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1FFCC" w14:textId="77777777" w:rsidR="00096DDE" w:rsidRDefault="00000000" w:rsidP="00C12E70">
      <w:pPr>
        <w:pStyle w:val="aa"/>
        <w:widowControl/>
        <w:spacing w:after="180"/>
        <w:jc w:val="center"/>
        <w:rPr>
          <w:lang w:eastAsia="zh-CN"/>
        </w:rPr>
      </w:pPr>
      <w:r>
        <w:rPr>
          <w:rFonts w:eastAsia="Times New Roman" w:cs="Times New Roman" w:ascii="Times New Roman" w:hAnsi="Times New Roman"/>
          <w:b/>
          <w:color w:val="000000"/>
          <w:sz w:val="26"/>
        </w:rPr>
        <w:t>MAGIC-dMAP: Multiple Atlases and Granularities—Integrating Connectivity Dynamics for Multisite Autism Prediction</w:t>
      </w:r>
    </w:p>
    <w:p w14:paraId="642F0BCD" w14:textId="77777777" w:rsidR="00096DDE" w:rsidRDefault="00000000" w:rsidP="002711FB">
      <w:pPr>
        <w:pStyle w:val="1"/>
        <w:widowControl/>
        <w:spacing w:before="180" w:line="240" w:lineRule="auto"/>
        <w:jc w:val="left"/>
        <w:rPr>
          <w:lang w:eastAsia="zh-CN"/>
        </w:rPr>
      </w:pPr>
      <w:r>
        <w:rPr>
          <w:rFonts w:eastAsia="Times New Roman" w:cs="Times New Roman" w:ascii="Times New Roman" w:hAnsi="Times New Roman"/>
          <w:b/>
          <w:color w:val="000000"/>
          <w:sz w:val="24"/>
        </w:rPr>
        <w:t>Introduction</w:t>
      </w:r>
    </w:p>
    <w:p w14:paraId="7BE49761" w14:textId="0745B283" w:rsidR="00096DDE" w:rsidRDefault="00000000" w:rsidP="002711FB">
      <w:pPr>
        <w:widowControl/>
        <w:jc w:val="both"/>
        <w:rPr>
          <w:rFonts w:hint="eastAsia"/>
          <w:lang w:eastAsia="zh-CN"/>
        </w:rPr>
      </w:pPr>
      <w:r>
        <w:rPr>
          <w:rFonts w:eastAsia="Times New Roman" w:cs="Times New Roman" w:ascii="Times New Roman" w:hAnsi="Times New Roman"/>
          <w:color w:val="000000"/>
          <w:sz w:val="22"/>
        </w:rPr>
        <w:t>Autism spectrum disorder (ASD) is a neurodevelopmental disorder affecting social communication and behavior. Its estimated global age-standardized prevalence was 0.67% in 2023</w:t>
      </w:r>
      <w:r>
        <w:rPr>
          <w:rFonts w:eastAsia="Times New Roman" w:cs="Times New Roman" w:ascii="Times New Roman" w:hAnsi="Times New Roman"/>
          <w:color w:val="000000"/>
          <w:sz w:val="16"/>
          <w:vertAlign w:val="superscript"/>
        </w:rPr>
        <w:t>1</w:t>
      </w:r>
      <w:r>
        <w:rPr>
          <w:rFonts w:eastAsia="Times New Roman" w:cs="Times New Roman" w:ascii="Times New Roman" w:hAnsi="Times New Roman"/>
          <w:color w:val="000000"/>
          <w:sz w:val="22"/>
        </w:rPr>
        <w:t xml:space="preserve">. </w:t>
      </w:r>
      <w:r w:rsidR="00C536A5">
        <w:rPr>
          <w:rFonts w:eastAsia="Times New Roman" w:cs="Times New Roman" w:hint="eastAsia" w:ascii="Times New Roman" w:hAnsi="Times New Roman"/>
          <w:color w:val="000000"/>
          <w:sz w:val="22"/>
          <w:lang w:eastAsia="zh-CN"/>
        </w:rPr>
        <w:t>ASD</w:t>
      </w:r>
      <w:r w:rsidR="00C536A5">
        <w:rPr>
          <w:rFonts w:eastAsia="Times New Roman" w:cs="Times New Roman" w:ascii="Times New Roman" w:hAnsi="Times New Roman"/>
          <w:color w:val="000000"/>
          <w:sz w:val="22"/>
          <w:lang w:eastAsia="zh-CN"/>
        </w:rPr>
        <w:t xml:space="preserve"> </w:t>
      </w:r>
      <w:r w:rsidR="00C536A5">
        <w:rPr>
          <w:rFonts w:eastAsia="Times New Roman" w:cs="Times New Roman" w:ascii="Times New Roman" w:hAnsi="Times New Roman"/>
          <w:color w:val="000000"/>
          <w:sz w:val="22"/>
        </w:rPr>
        <w:t>d</w:t>
      </w:r>
      <w:r>
        <w:rPr>
          <w:rFonts w:eastAsia="Times New Roman" w:cs="Times New Roman" w:ascii="Times New Roman" w:hAnsi="Times New Roman"/>
          <w:color w:val="000000"/>
          <w:sz w:val="22"/>
        </w:rPr>
        <w:t>iagnosis relies on developmental history and behavioral assessment</w:t>
      </w:r>
      <w:r w:rsidR="00625AA8">
        <w:rPr>
          <w:rFonts w:ascii="Times New Roman" w:hAnsi="Times New Roman"/>
          <w:color w:val="000000"/>
          <w:sz w:val="22"/>
        </w:rPr>
        <w:t>, which can be time-consuming and influenced by the assessment setting and co-occurring conditions</w:t>
      </w:r>
      <w:r w:rsidR="006B0B96" w:rsidRPr="006B0B96">
        <w:rPr>
          <w:rFonts w:eastAsia="Times New Roman" w:cs="Times New Roman" w:ascii="Times New Roman" w:hAnsi="Times New Roman"/>
          <w:color w:val="000000"/>
          <w:sz w:val="22"/>
        </w:rPr>
        <w:t xml:space="preserve">. </w:t>
      </w:r>
      <w:r w:rsidR="006B0B96" w:rsidRPr="006B0B96">
        <w:rPr>
          <w:rFonts w:eastAsia="Times New Roman" w:cs="Times New Roman" w:hint="eastAsia" w:ascii="Times New Roman" w:hAnsi="Times New Roman"/>
          <w:color w:val="000000"/>
          <w:sz w:val="22"/>
        </w:rPr>
        <w:t>C</w:t>
      </w:r>
      <w:r w:rsidR="006B0B96">
        <w:rPr>
          <w:rFonts w:eastAsia="Times New Roman" w:cs="Times New Roman" w:hint="eastAsia" w:ascii="Times New Roman" w:hAnsi="Times New Roman"/>
          <w:color w:val="000000"/>
          <w:sz w:val="22"/>
        </w:rPr>
        <w:t>urrently</w:t>
      </w:r>
      <w:r w:rsidR="00625AA8">
        <w:rPr>
          <w:rFonts w:eastAsia="Times New Roman" w:cs="Times New Roman" w:ascii="Times New Roman" w:hAnsi="Times New Roman"/>
          <w:color w:val="000000"/>
          <w:sz w:val="22"/>
        </w:rPr>
        <w:t>,</w:t>
      </w:r>
      <w:r w:rsidR="006B0B96">
        <w:rPr>
          <w:rFonts w:eastAsia="Times New Roman" w:cs="Times New Roman" w:ascii="Times New Roman" w:hAnsi="Times New Roman"/>
          <w:color w:val="000000"/>
          <w:sz w:val="22"/>
        </w:rPr>
        <w:t xml:space="preserve"> </w:t>
      </w:r>
      <w:r>
        <w:rPr>
          <w:rFonts w:eastAsia="Times New Roman" w:cs="Times New Roman" w:ascii="Times New Roman" w:hAnsi="Times New Roman"/>
          <w:color w:val="000000"/>
          <w:sz w:val="22"/>
        </w:rPr>
        <w:t xml:space="preserve">no ASD-specific neuroimaging biomarker </w:t>
      </w:r>
      <w:r w:rsidR="0040515A">
        <w:rPr>
          <w:rFonts w:eastAsia="Times New Roman" w:cs="Times New Roman" w:hint="eastAsia" w:ascii="Times New Roman" w:hAnsi="Times New Roman"/>
          <w:color w:val="000000"/>
          <w:sz w:val="22"/>
          <w:lang w:eastAsia="zh-CN"/>
        </w:rPr>
        <w:t>has</w:t>
      </w:r>
      <w:r w:rsidR="0040515A">
        <w:rPr>
          <w:rFonts w:eastAsia="Times New Roman" w:cs="Times New Roman" w:ascii="Times New Roman" w:hAnsi="Times New Roman"/>
          <w:color w:val="000000"/>
          <w:sz w:val="22"/>
          <w:lang w:eastAsia="zh-CN"/>
        </w:rPr>
        <w:t xml:space="preserve"> been</w:t>
      </w:r>
      <w:r>
        <w:rPr>
          <w:rFonts w:eastAsia="Times New Roman" w:cs="Times New Roman" w:ascii="Times New Roman" w:hAnsi="Times New Roman"/>
          <w:color w:val="000000"/>
          <w:sz w:val="22"/>
        </w:rPr>
        <w:t xml:space="preserve"> established for routine clinical use</w:t>
      </w:r>
      <w:r>
        <w:rPr>
          <w:rFonts w:eastAsia="Times New Roman" w:cs="Times New Roman" w:ascii="Times New Roman" w:hAnsi="Times New Roman"/>
          <w:color w:val="000000"/>
          <w:sz w:val="16"/>
          <w:vertAlign w:val="superscript"/>
        </w:rPr>
        <w:t>2</w:t>
      </w:r>
      <w:r>
        <w:rPr>
          <w:rFonts w:eastAsia="Times New Roman" w:cs="Times New Roman" w:ascii="Times New Roman" w:hAnsi="Times New Roman"/>
          <w:color w:val="000000"/>
          <w:sz w:val="22"/>
        </w:rPr>
        <w:t>. Resting-state functional magnetic resonance imaging (</w:t>
      </w:r>
      <w:proofErr w:type="spellStart"/>
      <w:r>
        <w:rPr>
          <w:rFonts w:eastAsia="Times New Roman" w:cs="Times New Roman" w:ascii="Times New Roman" w:hAnsi="Times New Roman"/>
          <w:color w:val="000000"/>
          <w:sz w:val="22"/>
        </w:rPr>
        <w:t>rs</w:t>
      </w:r>
      <w:proofErr w:type="spellEnd"/>
      <w:r>
        <w:rPr>
          <w:rFonts w:eastAsia="Times New Roman" w:cs="Times New Roman" w:ascii="Times New Roman" w:hAnsi="Times New Roman"/>
          <w:color w:val="000000"/>
          <w:sz w:val="22"/>
        </w:rPr>
        <w:t>-fMRI) noninvasively characterizes brain functional connectivity</w:t>
      </w:r>
      <w:r>
        <w:rPr>
          <w:rFonts w:eastAsia="Times New Roman" w:cs="Times New Roman" w:ascii="Times New Roman" w:hAnsi="Times New Roman"/>
          <w:color w:val="000000"/>
          <w:sz w:val="16"/>
          <w:vertAlign w:val="superscript"/>
        </w:rPr>
        <w:t>3</w:t>
      </w:r>
      <w:r>
        <w:rPr>
          <w:rFonts w:eastAsia="Times New Roman" w:cs="Times New Roman" w:ascii="Times New Roman" w:hAnsi="Times New Roman"/>
          <w:color w:val="000000"/>
          <w:sz w:val="22"/>
        </w:rPr>
        <w:t>. However, heterogene</w:t>
      </w:r>
      <w:r w:rsidR="00352D3F">
        <w:rPr>
          <w:rFonts w:eastAsia="Times New Roman" w:cs="Times New Roman" w:hint="eastAsia" w:ascii="Times New Roman" w:hAnsi="Times New Roman"/>
          <w:color w:val="000000"/>
          <w:sz w:val="22"/>
          <w:lang w:eastAsia="zh-CN"/>
        </w:rPr>
        <w:t>ity</w:t>
      </w:r>
      <w:r w:rsidR="00352D3F">
        <w:rPr>
          <w:rFonts w:eastAsia="Times New Roman" w:cs="Times New Roman" w:ascii="Times New Roman" w:hAnsi="Times New Roman"/>
          <w:color w:val="000000"/>
          <w:sz w:val="22"/>
          <w:lang w:eastAsia="zh-CN"/>
        </w:rPr>
        <w:t xml:space="preserve"> in</w:t>
      </w:r>
      <w:r>
        <w:rPr>
          <w:rFonts w:eastAsia="Times New Roman" w:cs="Times New Roman" w:ascii="Times New Roman" w:hAnsi="Times New Roman"/>
          <w:color w:val="000000"/>
          <w:sz w:val="22"/>
        </w:rPr>
        <w:t xml:space="preserve"> ASD-related </w:t>
      </w:r>
      <w:r w:rsidR="00F7060A">
        <w:rPr>
          <w:rFonts w:eastAsia="Times New Roman" w:cs="Times New Roman" w:hint="eastAsia" w:ascii="Times New Roman" w:hAnsi="Times New Roman"/>
          <w:color w:val="000000"/>
          <w:sz w:val="22"/>
          <w:lang w:eastAsia="zh-CN"/>
        </w:rPr>
        <w:t>connectivity</w:t>
      </w:r>
      <w:r w:rsidR="00F7060A">
        <w:rPr>
          <w:rFonts w:eastAsia="Times New Roman" w:cs="Times New Roman" w:ascii="Times New Roman" w:hAnsi="Times New Roman"/>
          <w:color w:val="000000"/>
          <w:sz w:val="22"/>
          <w:lang w:eastAsia="zh-CN"/>
        </w:rPr>
        <w:t xml:space="preserve"> </w:t>
      </w:r>
      <w:r>
        <w:rPr>
          <w:rFonts w:eastAsia="Times New Roman" w:cs="Times New Roman" w:ascii="Times New Roman" w:hAnsi="Times New Roman"/>
          <w:color w:val="000000"/>
          <w:sz w:val="22"/>
        </w:rPr>
        <w:t>patterns</w:t>
      </w:r>
      <w:r>
        <w:rPr>
          <w:rFonts w:eastAsia="Times New Roman" w:cs="Times New Roman" w:ascii="Times New Roman" w:hAnsi="Times New Roman"/>
          <w:color w:val="000000"/>
          <w:sz w:val="16"/>
          <w:vertAlign w:val="superscript"/>
        </w:rPr>
        <w:t>4</w:t>
      </w:r>
      <w:r>
        <w:rPr>
          <w:rFonts w:eastAsia="Times New Roman" w:cs="Times New Roman" w:ascii="Times New Roman" w:hAnsi="Times New Roman"/>
          <w:color w:val="000000"/>
          <w:sz w:val="22"/>
        </w:rPr>
        <w:t xml:space="preserve"> and </w:t>
      </w:r>
      <w:proofErr w:type="spellStart"/>
      <w:r w:rsidR="00352D3F">
        <w:rPr>
          <w:rFonts w:eastAsia="Times New Roman" w:cs="Times New Roman" w:ascii="Times New Roman" w:hAnsi="Times New Roman"/>
          <w:color w:val="000000"/>
          <w:sz w:val="22"/>
        </w:rPr>
        <w:t>intersite</w:t>
      </w:r>
      <w:proofErr w:type="spellEnd"/>
      <w:r w:rsidR="00352D3F">
        <w:rPr>
          <w:rFonts w:eastAsia="Times New Roman" w:cs="Times New Roman" w:ascii="Times New Roman" w:hAnsi="Times New Roman"/>
          <w:color w:val="000000"/>
          <w:sz w:val="22"/>
        </w:rPr>
        <w:t xml:space="preserve"> variability</w:t>
      </w:r>
      <w:r>
        <w:rPr>
          <w:rFonts w:eastAsia="Times New Roman" w:cs="Times New Roman" w:ascii="Times New Roman" w:hAnsi="Times New Roman"/>
          <w:color w:val="000000"/>
          <w:sz w:val="22"/>
        </w:rPr>
        <w:t xml:space="preserve"> challenge </w:t>
      </w:r>
      <w:r w:rsidR="00F7060A">
        <w:rPr>
          <w:rFonts w:eastAsia="Times New Roman" w:cs="Times New Roman" w:ascii="Times New Roman" w:hAnsi="Times New Roman"/>
          <w:color w:val="000000"/>
          <w:sz w:val="22"/>
        </w:rPr>
        <w:t xml:space="preserve">the </w:t>
      </w:r>
      <w:r>
        <w:rPr>
          <w:rFonts w:eastAsia="Times New Roman" w:cs="Times New Roman" w:ascii="Times New Roman" w:hAnsi="Times New Roman"/>
          <w:color w:val="000000"/>
          <w:sz w:val="22"/>
        </w:rPr>
        <w:t>cross-site generalization</w:t>
      </w:r>
      <w:r w:rsidR="00F7060A">
        <w:rPr>
          <w:rFonts w:eastAsia="Times New Roman" w:cs="Times New Roman" w:ascii="Times New Roman" w:hAnsi="Times New Roman"/>
          <w:color w:val="000000"/>
          <w:sz w:val="22"/>
        </w:rPr>
        <w:t xml:space="preserve"> of </w:t>
      </w:r>
      <w:proofErr w:type="spellStart"/>
      <w:r w:rsidR="00F7060A">
        <w:rPr>
          <w:rFonts w:eastAsia="Times New Roman" w:cs="Times New Roman" w:ascii="Times New Roman" w:hAnsi="Times New Roman"/>
          <w:color w:val="000000"/>
          <w:sz w:val="22"/>
        </w:rPr>
        <w:t>rs</w:t>
      </w:r>
      <w:proofErr w:type="spellEnd"/>
      <w:r w:rsidR="00F7060A">
        <w:rPr>
          <w:rFonts w:eastAsia="Times New Roman" w:cs="Times New Roman" w:ascii="Times New Roman" w:hAnsi="Times New Roman"/>
          <w:color w:val="000000"/>
          <w:sz w:val="22"/>
        </w:rPr>
        <w:t>-fMRI-based ASD</w:t>
      </w:r>
      <w:r w:rsidR="00F7060A">
        <w:rPr>
          <w:rFonts w:eastAsia="Times New Roman" w:cs="Times New Roman" w:hint="eastAsia" w:ascii="Times New Roman" w:hAnsi="Times New Roman"/>
          <w:color w:val="000000"/>
          <w:sz w:val="22"/>
          <w:lang w:eastAsia="zh-CN"/>
        </w:rPr>
        <w:t xml:space="preserve"> classifiers</w:t>
      </w:r>
      <w:r>
        <w:rPr>
          <w:rFonts w:eastAsia="Times New Roman" w:cs="Times New Roman" w:ascii="Times New Roman" w:hAnsi="Times New Roman"/>
          <w:color w:val="000000"/>
          <w:sz w:val="22"/>
        </w:rPr>
      </w:r>
      <w:r>
        <w:rPr>
          <w:rFonts w:eastAsia="Times New Roman" w:cs="Times New Roman" w:ascii="Times New Roman" w:hAnsi="Times New Roman"/>
          <w:color w:val="000000"/>
          <w:sz w:val="16"/>
          <w:vertAlign w:val="superscript"/>
        </w:rPr>
        <w:t>5</w:t>
      </w:r>
      <w:r>
        <w:rPr>
          <w:rFonts w:eastAsia="Times New Roman" w:cs="Times New Roman" w:ascii="Times New Roman" w:hAnsi="Times New Roman"/>
          <w:color w:val="000000"/>
          <w:sz w:val="22"/>
        </w:rPr>
        <w:t xml:space="preserve">. </w:t>
      </w:r>
      <w:r w:rsidR="00352D3F">
        <w:rPr>
          <w:rFonts w:eastAsia="Times New Roman" w:cs="Times New Roman" w:ascii="Times New Roman" w:hAnsi="Times New Roman"/>
          <w:color w:val="000000"/>
          <w:sz w:val="22"/>
        </w:rPr>
        <w:t>Here</w:t>
      </w:r>
      <w:r w:rsidR="00352D3F">
        <w:rPr>
          <w:rFonts w:eastAsia="Times New Roman" w:cs="Times New Roman" w:ascii="Times New Roman" w:hAnsi="Times New Roman"/>
          <w:color w:val="000000"/>
          <w:sz w:val="22"/>
          <w:lang w:eastAsia="zh-CN"/>
        </w:rPr>
        <w:t xml:space="preserve">, </w:t>
      </w:r>
      <w:r w:rsidR="00352D3F">
        <w:rPr>
          <w:rFonts w:eastAsia="Times New Roman" w:cs="Times New Roman" w:ascii="Times New Roman" w:hAnsi="Times New Roman"/>
          <w:color w:val="000000"/>
          <w:sz w:val="22"/>
        </w:rPr>
        <w:t>w</w:t>
      </w:r>
      <w:r>
        <w:rPr>
          <w:rFonts w:eastAsia="Times New Roman" w:cs="Times New Roman" w:ascii="Times New Roman" w:hAnsi="Times New Roman"/>
          <w:color w:val="000000"/>
          <w:sz w:val="22"/>
        </w:rPr>
        <w:t xml:space="preserve">e propose a multi-atlas, multi-granularity framework </w:t>
      </w:r>
      <w:r w:rsidR="00FA78C6">
        <w:rPr>
          <w:rFonts w:eastAsia="Times New Roman" w:cs="Times New Roman" w:hint="eastAsia" w:ascii="Times New Roman" w:hAnsi="Times New Roman"/>
          <w:color w:val="000000"/>
          <w:sz w:val="22"/>
          <w:lang w:eastAsia="zh-CN"/>
        </w:rPr>
        <w:t>that</w:t>
      </w:r>
      <w:r w:rsidR="00FA78C6">
        <w:rPr>
          <w:rFonts w:eastAsia="Times New Roman" w:cs="Times New Roman" w:ascii="Times New Roman" w:hAnsi="Times New Roman"/>
          <w:color w:val="000000"/>
          <w:sz w:val="22"/>
          <w:lang w:eastAsia="zh-CN"/>
        </w:rPr>
        <w:t xml:space="preserve"> </w:t>
      </w:r>
      <w:r>
        <w:rPr>
          <w:rFonts w:eastAsia="Times New Roman" w:cs="Times New Roman" w:ascii="Times New Roman" w:hAnsi="Times New Roman"/>
          <w:color w:val="000000"/>
          <w:sz w:val="22"/>
        </w:rPr>
        <w:t>combin</w:t>
      </w:r>
      <w:r w:rsidR="00FA78C6">
        <w:rPr>
          <w:rFonts w:eastAsia="Times New Roman" w:cs="Times New Roman" w:ascii="Times New Roman" w:hAnsi="Times New Roman"/>
          <w:color w:val="000000"/>
          <w:sz w:val="22"/>
        </w:rPr>
        <w:t>es</w:t>
      </w:r>
      <w:r>
        <w:rPr>
          <w:rFonts w:eastAsia="Times New Roman" w:cs="Times New Roman" w:ascii="Times New Roman" w:hAnsi="Times New Roman"/>
          <w:color w:val="000000"/>
          <w:sz w:val="22"/>
        </w:rPr>
        <w:t xml:space="preserve"> coarse-grained window-wise statistics with fine-grained edge-wise dynamics</w:t>
      </w:r>
      <w:r w:rsidR="0063144F" w:rsidRPr="001E6E3E">
        <w:rPr>
          <w:rFonts w:eastAsia="Times New Roman" w:cs="Times New Roman" w:ascii="Times New Roman" w:hAnsi="Times New Roman"/>
          <w:color w:val="000000"/>
          <w:sz w:val="22"/>
        </w:rPr>
        <w:t>. Its performance was</w:t>
      </w:r>
      <w:r w:rsidR="00F7060A">
        <w:rPr>
          <w:rFonts w:eastAsia="Times New Roman" w:cs="Times New Roman" w:ascii="Times New Roman" w:hAnsi="Times New Roman"/>
          <w:color w:val="000000"/>
          <w:sz w:val="22"/>
        </w:rPr>
        <w:t xml:space="preserve"> </w:t>
      </w:r>
      <w:r w:rsidR="00E35E6A">
        <w:rPr>
          <w:rFonts w:eastAsia="Times New Roman" w:cs="Times New Roman" w:ascii="Times New Roman" w:hAnsi="Times New Roman"/>
          <w:color w:val="000000"/>
          <w:sz w:val="22"/>
        </w:rPr>
        <w:t>evaluat</w:t>
      </w:r>
      <w:r w:rsidR="00FA78C6">
        <w:rPr>
          <w:rFonts w:eastAsia="Times New Roman" w:cs="Times New Roman" w:hint="eastAsia" w:ascii="Times New Roman" w:hAnsi="Times New Roman"/>
          <w:color w:val="000000"/>
          <w:sz w:val="22"/>
        </w:rPr>
        <w:t>e</w:t>
      </w:r>
      <w:r w:rsidR="0063144F">
        <w:rPr>
          <w:rFonts w:eastAsia="Times New Roman" w:cs="Times New Roman" w:ascii="Times New Roman" w:hAnsi="Times New Roman"/>
          <w:color w:val="000000"/>
          <w:sz w:val="22"/>
        </w:rPr>
        <w:t xml:space="preserve">d </w:t>
      </w:r>
      <w:r w:rsidR="00E35E6A">
        <w:rPr>
          <w:rFonts w:eastAsia="Times New Roman" w:cs="Times New Roman" w:ascii="Times New Roman" w:hAnsi="Times New Roman"/>
          <w:color w:val="000000"/>
          <w:sz w:val="22"/>
        </w:rPr>
        <w:t>across 17 Autism Brain Imaging Data Exchange I (ABIDE-I) sites</w:t>
      </w:r>
      <w:r w:rsidR="00DC61BB">
        <w:rPr>
          <w:rFonts w:eastAsia="Times New Roman" w:cs="Times New Roman" w:ascii="Times New Roman" w:hAnsi="Times New Roman"/>
          <w:color w:val="000000"/>
          <w:sz w:val="16"/>
          <w:vertAlign w:val="superscript"/>
        </w:rPr>
        <w:t>6</w:t>
      </w:r>
      <w:r w:rsidR="00E35E6A">
        <w:rPr>
          <w:rFonts w:eastAsia="Times New Roman" w:cs="Times New Roman" w:hint="eastAsia" w:ascii="Times New Roman" w:hAnsi="Times New Roman"/>
          <w:color w:val="000000"/>
          <w:sz w:val="22"/>
          <w:lang w:eastAsia="zh-CN"/>
        </w:rPr>
        <w:t xml:space="preserve"> </w:t>
      </w:r>
      <w:r>
        <w:rPr>
          <w:rFonts w:eastAsia="Times New Roman" w:cs="Times New Roman" w:ascii="Times New Roman" w:hAnsi="Times New Roman"/>
          <w:color w:val="000000"/>
          <w:sz w:val="22"/>
        </w:rPr>
        <w:t xml:space="preserve">using </w:t>
      </w:r>
      <w:r w:rsidR="00E35E6A">
        <w:rPr>
          <w:rFonts w:eastAsia="Times New Roman" w:cs="Times New Roman" w:ascii="Times New Roman" w:hAnsi="Times New Roman"/>
          <w:color w:val="000000"/>
          <w:sz w:val="22"/>
        </w:rPr>
        <w:t>a</w:t>
      </w:r>
      <w:r w:rsidR="00E35E6A">
        <w:rPr>
          <w:rFonts w:eastAsia="Times New Roman" w:cs="Times New Roman" w:hint="eastAsia" w:ascii="Times New Roman" w:hAnsi="Times New Roman"/>
          <w:color w:val="000000"/>
          <w:sz w:val="22"/>
          <w:lang w:eastAsia="zh-CN"/>
        </w:rPr>
        <w:t xml:space="preserve"> </w:t>
      </w:r>
      <w:r>
        <w:rPr>
          <w:rFonts w:eastAsia="Times New Roman" w:cs="Times New Roman" w:ascii="Times New Roman" w:hAnsi="Times New Roman"/>
          <w:color w:val="000000"/>
          <w:sz w:val="22"/>
        </w:rPr>
        <w:t xml:space="preserve">leave-one-site-out (LOSO) </w:t>
      </w:r>
      <w:r w:rsidR="00EB294C">
        <w:rPr>
          <w:rFonts w:eastAsia="Times New Roman" w:cs="Times New Roman" w:hint="eastAsia" w:ascii="Times New Roman" w:hAnsi="Times New Roman"/>
          <w:color w:val="000000"/>
          <w:sz w:val="22"/>
          <w:lang w:eastAsia="zh-CN"/>
        </w:rPr>
        <w:t>protocol</w:t>
      </w:r>
      <w:r>
        <w:rPr>
          <w:rFonts w:eastAsia="Times New Roman" w:cs="Times New Roman" w:ascii="Times New Roman" w:hAnsi="Times New Roman"/>
          <w:color w:val="000000"/>
          <w:sz w:val="22"/>
        </w:rPr>
        <w:t>.</w:t>
      </w:r>
    </w:p>
    <w:p w14:paraId="0B905143" w14:textId="77777777" w:rsidR="00096DDE" w:rsidRDefault="00000000" w:rsidP="002711FB">
      <w:pPr>
        <w:pStyle w:val="1"/>
        <w:widowControl/>
        <w:spacing w:before="180" w:line="240" w:lineRule="auto"/>
        <w:jc w:val="left"/>
      </w:pPr>
      <w:r>
        <w:rPr>
          <w:rFonts w:eastAsia="Times New Roman" w:cs="Times New Roman" w:ascii="Times New Roman" w:hAnsi="Times New Roman"/>
          <w:b/>
          <w:color w:val="000000"/>
          <w:sz w:val="24"/>
        </w:rPr>
        <w:t>Methods</w:t>
      </w:r>
    </w:p>
    <w:p w14:paraId="3A8A35E8" w14:textId="77777777" w:rsidR="00096DDE" w:rsidRDefault="00000000" w:rsidP="002711FB">
      <w:pPr>
        <w:pStyle w:val="21"/>
        <w:widowControl/>
        <w:spacing w:before="140" w:line="240" w:lineRule="auto"/>
        <w:jc w:val="left"/>
        <w:rPr>
          <w:lang w:eastAsia="zh-CN"/>
        </w:rPr>
      </w:pPr>
      <w:r>
        <w:rPr>
          <w:rFonts w:eastAsia="Times New Roman" w:cs="Times New Roman" w:ascii="Times New Roman" w:hAnsi="Times New Roman"/>
          <w:b/>
          <w:color w:val="000000"/>
          <w:sz w:val="22"/>
        </w:rPr>
        <w:t>Data and Preprocessing</w:t>
      </w:r>
    </w:p>
    <w:p w14:paraId="6342D275" w14:textId="0B6C9734" w:rsidR="00096DDE" w:rsidRDefault="00974604" w:rsidP="002711FB">
      <w:pPr>
        <w:widowControl/>
        <w:jc w:val="both"/>
        <w:rPr>
          <w:lang w:eastAsia="zh-CN"/>
        </w:rPr>
      </w:pPr>
      <w:r w:rsidRPr="00974604">
        <w:rPr>
          <w:rFonts w:eastAsia="Times New Roman" w:cs="Times New Roman" w:ascii="Times New Roman" w:hAnsi="Times New Roman"/>
          <w:color w:val="000000"/>
          <w:sz w:val="22"/>
        </w:rPr>
        <w:t>We analyzed 1,020 subjects from 17 ABIDE-I sites, including 500 with ASD and 520 neurotypical controls (NC)</w:t>
      </w:r>
      <w:r w:rsidR="0017335C">
        <w:rPr>
          <w:rFonts w:eastAsia="Times New Roman" w:cs="Times New Roman" w:ascii="Times New Roman" w:hAnsi="Times New Roman"/>
          <w:color w:val="000000"/>
          <w:sz w:val="22"/>
        </w:rPr>
        <w:t xml:space="preserve">. Demographics and acquisition parameters are summarized in Figure </w:t>
      </w:r>
      <w:r w:rsidR="0017335C" w:rsidRPr="00FC0645">
        <w:rPr>
          <w:rFonts w:eastAsia="Times New Roman" w:cs="Times New Roman" w:ascii="Times New Roman" w:hAnsi="Times New Roman"/>
          <w:color w:val="000000"/>
          <w:sz w:val="22"/>
        </w:rPr>
        <w:t xml:space="preserve">1. </w:t>
      </w:r>
      <w:r w:rsidR="00323C34" w:rsidRPr="00FC0645">
        <w:rPr>
          <w:rFonts w:eastAsia="Times New Roman" w:cs="Times New Roman" w:ascii="Times New Roman" w:hAnsi="Times New Roman"/>
          <w:color w:val="000000"/>
          <w:sz w:val="22"/>
        </w:rPr>
        <w:t>As shown in Figure 2A,</w:t>
      </w:r>
      <w:r w:rsidR="00323C34">
        <w:rPr>
          <w:rFonts w:eastAsia="Times New Roman" w:cs="Times New Roman" w:hint="eastAsia" w:ascii="Times New Roman" w:hAnsi="Times New Roman"/>
          <w:color w:val="000000"/>
          <w:sz w:val="22"/>
          <w:lang w:eastAsia="zh-CN"/>
        </w:rPr>
        <w:t xml:space="preserve"> </w:t>
      </w:r>
      <w:r w:rsidR="0017335C">
        <w:rPr>
          <w:rFonts w:eastAsia="Times New Roman" w:cs="Times New Roman" w:ascii="Times New Roman" w:hAnsi="Times New Roman"/>
          <w:color w:val="000000"/>
          <w:sz w:val="22"/>
        </w:rPr>
        <w:t>T1-weighted (T1w) images were brain-extracted using brain masks</w:t>
      </w:r>
      <w:r w:rsidR="00923625" w:rsidRPr="00923625">
        <w:rPr>
          <w:rFonts w:eastAsia="Times New Roman" w:cs="Times New Roman" w:ascii="Times New Roman" w:hAnsi="Times New Roman"/>
          <w:color w:val="000000"/>
          <w:sz w:val="16"/>
          <w:vertAlign w:val="superscript"/>
        </w:rPr>
        <w:t>7</w:t>
      </w:r>
      <w:r w:rsidR="0017335C">
        <w:rPr>
          <w:rFonts w:eastAsia="Times New Roman" w:cs="Times New Roman" w:ascii="Times New Roman" w:hAnsi="Times New Roman"/>
          <w:color w:val="000000"/>
          <w:sz w:val="22"/>
        </w:rPr>
        <w:t xml:space="preserve"> and nonlinearly registered to Montreal Neurological Institute (MNI) space using Advanced Normalization Tools (ANTs)</w:t>
      </w:r>
      <w:r w:rsidR="00923625">
        <w:rPr>
          <w:rFonts w:eastAsia="Times New Roman" w:cs="Times New Roman" w:ascii="Times New Roman" w:hAnsi="Times New Roman"/>
          <w:color w:val="000000"/>
          <w:sz w:val="16"/>
          <w:vertAlign w:val="superscript"/>
        </w:rPr>
        <w:t>8</w:t>
      </w:r>
      <w:r w:rsidR="0017335C">
        <w:rPr>
          <w:rFonts w:eastAsia="Times New Roman" w:cs="Times New Roman" w:ascii="Times New Roman" w:hAnsi="Times New Roman"/>
          <w:color w:val="000000"/>
          <w:sz w:val="22"/>
        </w:rPr>
        <w:t>. rs-fMRI underwent head-motion correction using FSL MCFLIRT</w:t>
      </w:r>
      <w:r w:rsidR="00923625">
        <w:rPr>
          <w:rFonts w:eastAsia="Times New Roman" w:cs="Times New Roman" w:ascii="Times New Roman" w:hAnsi="Times New Roman"/>
          <w:color w:val="000000"/>
          <w:sz w:val="16"/>
          <w:vertAlign w:val="superscript"/>
        </w:rPr>
        <w:t>9</w:t>
      </w:r>
      <w:r w:rsidR="0017335C">
        <w:rPr>
          <w:rFonts w:eastAsia="Times New Roman" w:cs="Times New Roman" w:ascii="Times New Roman" w:hAnsi="Times New Roman"/>
          <w:color w:val="000000"/>
          <w:sz w:val="22"/>
        </w:rPr>
        <w:t xml:space="preserve"> and was coregistered to T1w using FSL FLIRT boundary-based registration (BBR),</w:t>
      </w:r>
      <w:r w:rsidR="00923625">
        <w:rPr>
          <w:rFonts w:eastAsia="Times New Roman" w:cs="Times New Roman" w:ascii="Times New Roman" w:hAnsi="Times New Roman"/>
          <w:color w:val="000000"/>
          <w:sz w:val="16"/>
          <w:vertAlign w:val="superscript"/>
        </w:rPr>
        <w:t>10</w:t>
      </w:r>
      <w:r w:rsidR="0017335C">
        <w:rPr>
          <w:rFonts w:eastAsia="Times New Roman" w:cs="Times New Roman" w:ascii="Times New Roman" w:hAnsi="Times New Roman"/>
          <w:color w:val="000000"/>
          <w:sz w:val="22"/>
        </w:rPr>
        <w:t xml:space="preserve"> guided by white matter </w:t>
      </w:r>
      <w:r w:rsidR="0017335C" w:rsidRPr="00923625">
        <w:rPr>
          <w:rFonts w:eastAsia="Times New Roman" w:cs="Times New Roman" w:ascii="Times New Roman" w:hAnsi="Times New Roman"/>
          <w:color w:val="000000"/>
          <w:sz w:val="22"/>
        </w:rPr>
        <w:t>segmentations</w:t>
      </w:r>
      <w:r w:rsidR="00923625" w:rsidRPr="00923625">
        <w:rPr>
          <w:rFonts w:eastAsia="Times New Roman" w:cs="Times New Roman" w:ascii="Times New Roman" w:hAnsi="Times New Roman"/>
          <w:color w:val="000000"/>
          <w:sz w:val="16"/>
          <w:vertAlign w:val="superscript"/>
        </w:rPr>
        <w:t>11</w:t>
      </w:r>
      <w:r w:rsidR="0017335C" w:rsidRPr="00923625">
        <w:rPr>
          <w:rFonts w:eastAsia="Times New Roman" w:cs="Times New Roman" w:ascii="Times New Roman" w:hAnsi="Times New Roman"/>
          <w:color w:val="000000"/>
          <w:sz w:val="22"/>
        </w:rPr>
        <w:t xml:space="preserve">. The functional images in T1w space were then resampled to MNI space using the T1w-to-MNI transformation, preserving original voxel spacing. Region-of-interest (ROI) time series were extracted using </w:t>
      </w:r>
      <w:r w:rsidR="00323C34" w:rsidRPr="00923625">
        <w:rPr>
          <w:rFonts w:eastAsia="Times New Roman" w:cs="Times New Roman" w:hint="eastAsia" w:ascii="Times New Roman" w:hAnsi="Times New Roman"/>
          <w:color w:val="000000"/>
          <w:sz w:val="22"/>
          <w:lang w:eastAsia="zh-CN"/>
        </w:rPr>
        <w:t>the</w:t>
      </w:r>
      <w:r w:rsidR="00323C34" w:rsidRPr="00923625">
        <w:rPr>
          <w:rFonts w:eastAsia="Times New Roman" w:cs="Times New Roman" w:ascii="Times New Roman" w:hAnsi="Times New Roman"/>
          <w:color w:val="000000"/>
          <w:sz w:val="22"/>
          <w:lang w:eastAsia="zh-CN"/>
        </w:rPr>
        <w:t xml:space="preserve"> </w:t>
      </w:r>
      <w:r w:rsidR="0017335C" w:rsidRPr="00923625">
        <w:rPr>
          <w:rFonts w:eastAsia="Times New Roman" w:cs="Times New Roman" w:ascii="Times New Roman" w:hAnsi="Times New Roman"/>
          <w:color w:val="000000"/>
          <w:sz w:val="22"/>
        </w:rPr>
        <w:t>Automated Anatomical Labeling (AAL),</w:t>
      </w:r>
      <w:r w:rsidR="0017335C" w:rsidRPr="00923625">
        <w:rPr>
          <w:rFonts w:eastAsia="Times New Roman" w:cs="Times New Roman" w:ascii="Times New Roman" w:hAnsi="Times New Roman"/>
          <w:color w:val="000000"/>
          <w:sz w:val="16"/>
          <w:vertAlign w:val="superscript"/>
        </w:rPr>
        <w:t>12</w:t>
      </w:r>
      <w:r w:rsidR="0017335C" w:rsidRPr="00923625">
        <w:rPr>
          <w:rFonts w:eastAsia="Times New Roman" w:cs="Times New Roman" w:ascii="Times New Roman" w:hAnsi="Times New Roman"/>
          <w:color w:val="000000"/>
          <w:sz w:val="22"/>
        </w:rPr>
        <w:t xml:space="preserve"> Craddock 400 (CC400),</w:t>
      </w:r>
      <w:r w:rsidR="0017335C" w:rsidRPr="00923625">
        <w:rPr>
          <w:rFonts w:eastAsia="Times New Roman" w:cs="Times New Roman" w:ascii="Times New Roman" w:hAnsi="Times New Roman"/>
          <w:color w:val="000000"/>
          <w:sz w:val="16"/>
          <w:vertAlign w:val="superscript"/>
        </w:rPr>
        <w:t>13</w:t>
      </w:r>
      <w:r w:rsidR="0017335C" w:rsidRPr="00923625">
        <w:rPr>
          <w:rFonts w:eastAsia="Times New Roman" w:cs="Times New Roman" w:ascii="Times New Roman" w:hAnsi="Times New Roman"/>
          <w:color w:val="000000"/>
          <w:sz w:val="22"/>
        </w:rPr>
        <w:t xml:space="preserve"> Dosenbach160,</w:t>
      </w:r>
      <w:r w:rsidR="0017335C" w:rsidRPr="00923625">
        <w:rPr>
          <w:rFonts w:eastAsia="Times New Roman" w:cs="Times New Roman" w:ascii="Times New Roman" w:hAnsi="Times New Roman"/>
          <w:color w:val="000000"/>
          <w:sz w:val="16"/>
          <w:vertAlign w:val="superscript"/>
        </w:rPr>
        <w:t>14</w:t>
      </w:r>
      <w:r w:rsidR="0017335C" w:rsidRPr="00923625">
        <w:rPr>
          <w:rFonts w:eastAsia="Times New Roman" w:cs="Times New Roman" w:ascii="Times New Roman" w:hAnsi="Times New Roman"/>
          <w:color w:val="000000"/>
          <w:sz w:val="22"/>
        </w:rPr>
        <w:t xml:space="preserve"> Eickhoff–Zilles (EZ),</w:t>
      </w:r>
      <w:r w:rsidR="0017335C" w:rsidRPr="00923625">
        <w:rPr>
          <w:rFonts w:eastAsia="Times New Roman" w:cs="Times New Roman" w:ascii="Times New Roman" w:hAnsi="Times New Roman"/>
          <w:color w:val="000000"/>
          <w:sz w:val="16"/>
          <w:vertAlign w:val="superscript"/>
        </w:rPr>
        <w:t>15</w:t>
      </w:r>
      <w:r w:rsidR="0017335C" w:rsidRPr="00923625">
        <w:rPr>
          <w:rFonts w:eastAsia="Times New Roman" w:cs="Times New Roman" w:ascii="Times New Roman" w:hAnsi="Times New Roman"/>
          <w:color w:val="000000"/>
          <w:sz w:val="22"/>
        </w:rPr>
        <w:t xml:space="preserve"> and Harvard–Oxford (HO)</w:t>
      </w:r>
      <w:r w:rsidR="0017335C" w:rsidRPr="00923625">
        <w:rPr>
          <w:rFonts w:eastAsia="Times New Roman" w:cs="Times New Roman" w:ascii="Times New Roman" w:hAnsi="Times New Roman"/>
          <w:color w:val="000000"/>
          <w:sz w:val="16"/>
          <w:vertAlign w:val="superscript"/>
        </w:rPr>
        <w:t>16</w:t>
      </w:r>
      <w:r w:rsidR="0017335C" w:rsidRPr="00923625">
        <w:rPr>
          <w:rFonts w:eastAsia="Times New Roman" w:cs="Times New Roman" w:ascii="Times New Roman" w:hAnsi="Times New Roman"/>
          <w:color w:val="000000"/>
          <w:sz w:val="22"/>
        </w:rPr>
        <w:t xml:space="preserve"> atlases.</w:t>
      </w:r>
    </w:p>
    <w:p w14:paraId="1590AFCB" w14:textId="3248DD78" w:rsidR="00505D5E" w:rsidRDefault="007C6E72" w:rsidP="002711FB">
      <w:pPr>
        <w:keepNext/>
        <w:keepLines/>
        <w:widowControl/>
        <w:spacing w:before="80" w:after="40" w:line="240" w:lineRule="auto"/>
        <w:jc w:val="center"/>
        <w:rPr>
          <w:rFonts w:hint="eastAsia"/>
          <w:lang w:eastAsia="zh-CN"/>
        </w:rPr>
      </w:pPr>
      <w:r>
        <w:rPr>
          <w:rFonts w:hint="eastAsia" w:ascii="Times New Roman" w:hAnsi="Times New Roman"/>
          <w:noProof/>
          <w:color w:val="000000"/>
          <w:lang w:eastAsia="zh-CN"/>
        </w:rPr>
        <w:drawing>
          <wp:inline distT="0" distB="0" distL="0" distR="0" wp14:anchorId="30650CFA" wp14:editId="371CCB6B">
            <wp:extent cx="6492240" cy="3458210"/>
            <wp:effectExtent l="0" t="0" r="0" b="0"/>
            <wp:docPr id="1092042762" name="图片 2" descr="图形用户界面,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42762" name="图片 2" descr="图形用户界面, 表格&#10;&#10;AI 生成的内容可能不正确。"/>
                    <pic:cNvPicPr/>
                  </pic:nvPicPr>
                  <pic:blipFill>
                    <a:blip r:embed="rId6"/>
                    <a:stretch>
                      <a:fillRect/>
                    </a:stretch>
                  </pic:blipFill>
                  <pic:spPr>
                    <a:xfrm>
                      <a:off x="0" y="0"/>
                      <a:ext cx="6492240" cy="3458210"/>
                    </a:xfrm>
                    <a:prstGeom prst="rect">
                      <a:avLst/>
                    </a:prstGeom>
                  </pic:spPr>
                </pic:pic>
              </a:graphicData>
            </a:graphic>
          </wp:inline>
        </w:drawing>
      </w:r>
    </w:p>
    <w:p w14:paraId="6AB4B7B0" w14:textId="7900E498" w:rsidR="00505D5E" w:rsidRDefault="00031FE7" w:rsidP="002711FB">
      <w:pPr>
        <w:pStyle w:val="af7"/>
        <w:keepNext w:val="0"/>
        <w:keepLines/>
        <w:widowControl/>
        <w:spacing w:before="60" w:line="247" w:lineRule="auto" w:after="140"/>
        <w:jc w:val="left"/>
        <w:rPr>
          <w:rFonts w:hint="eastAsia"/>
          <w:lang w:eastAsia="zh-CN"/>
        </w:rPr>
      </w:pPr>
      <w:r>
        <w:rPr>
          <w:rFonts w:eastAsia="Times New Roman" w:cs="Times New Roman" w:ascii="Times New Roman" w:hAnsi="Times New Roman"/>
          <w:b/>
          <w:color w:val="000000"/>
          <w:sz w:val="19"/>
        </w:rPr>
        <w:t xml:space="preserve">Figure 1. Demographic and fMRI acquisition characteristics of the 17 ABIDE-I sites (1,020 subjects: 500 ASD, 520 NC). </w:t>
      </w:r>
      <w:r w:rsidR="006428F6" w:rsidRPr="006428F6">
        <w:rPr>
          <w:rFonts w:eastAsia="Times New Roman" w:cs="Times New Roman" w:ascii="Times New Roman" w:hAnsi="Times New Roman"/>
          <w:color w:val="000000"/>
          <w:sz w:val="19"/>
        </w:rPr>
        <w:t>Columns show scanner manufacturer, group counts, matrix and voxel sizes, time points (T), repetition time (TR), age (mean ± SD), and male proportion. ABIDE-I, Autism Brain Imaging Data Exchange I; fMRI, functional magnetic resonance imaging; ASD, autism spectrum disorder; NC, neurotypical control; SD, standard deviation.</w:t>
      </w:r>
    </w:p>
    <w:p w14:paraId="31F7DCF0" w14:textId="6AB45E26" w:rsidR="00505D5E" w:rsidRDefault="00C33327" w:rsidP="002711FB">
      <w:pPr>
        <w:keepNext/>
        <w:keepLines/>
        <w:widowControl/>
        <w:spacing w:before="80" w:after="40" w:line="240" w:lineRule="auto"/>
        <w:jc w:val="center"/>
        <w:rPr>
          <w:lang w:eastAsia="zh-CN"/>
        </w:rPr>
      </w:pPr>
      <w:r>
        <w:rPr>
          <w:rFonts w:ascii="Times New Roman" w:hAnsi="Times New Roman"/>
          <w:noProof/>
          <w:color w:val="000000"/>
          <w:lang w:eastAsia="zh-CN"/>
        </w:rPr>
        <w:lastRenderedPageBreak/>
        <w:drawing>
          <wp:inline distT="0" distB="0" distL="0" distR="0" wp14:anchorId="248CC580" wp14:editId="1B12D8F8">
            <wp:extent cx="6492240" cy="3651885"/>
            <wp:effectExtent l="0" t="0" r="0" b="5715"/>
            <wp:docPr id="1197781858" name="图片 3"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81858" name="图片 3" descr="图形用户界面, 图示&#10;&#10;AI 生成的内容可能不正确。"/>
                    <pic:cNvPicPr/>
                  </pic:nvPicPr>
                  <pic:blipFill>
                    <a:blip r:embed="rId7"/>
                    <a:stretch>
                      <a:fillRect/>
                    </a:stretch>
                  </pic:blipFill>
                  <pic:spPr>
                    <a:xfrm>
                      <a:off x="0" y="0"/>
                      <a:ext cx="6492240" cy="3651885"/>
                    </a:xfrm>
                    <a:prstGeom prst="rect">
                      <a:avLst/>
                    </a:prstGeom>
                  </pic:spPr>
                </pic:pic>
              </a:graphicData>
            </a:graphic>
          </wp:inline>
        </w:drawing>
      </w:r>
    </w:p>
    <w:p w14:paraId="0CE3C2A6" w14:textId="00C7D272" w:rsidR="00BE053D" w:rsidRDefault="00BE053D" w:rsidP="002711FB">
      <w:pPr>
        <w:pStyle w:val="af7"/>
        <w:keepNext w:val="0"/>
        <w:keepLines/>
        <w:widowControl/>
        <w:spacing w:before="60" w:line="247" w:lineRule="auto" w:after="140"/>
        <w:jc w:val="left"/>
        <w:rPr>
          <w:rFonts w:hint="eastAsia"/>
          <w:lang w:eastAsia="zh-CN"/>
        </w:rPr>
      </w:pPr>
      <w:r>
        <w:rPr>
          <w:rFonts w:eastAsia="Times New Roman" w:cs="Times New Roman" w:ascii="Times New Roman" w:hAnsi="Times New Roman"/>
          <w:b/>
          <w:color w:val="000000"/>
          <w:sz w:val="19"/>
        </w:rPr>
        <w:t xml:space="preserve">Figure 2. MAGIC-dMAP framework. </w:t>
      </w:r>
      <w:r w:rsidR="00CF1494" w:rsidRPr="00CF1494">
        <w:rPr>
          <w:rFonts w:eastAsia="Times New Roman" w:cs="Times New Roman" w:ascii="Times New Roman" w:hAnsi="Times New Roman"/>
          <w:color w:val="000000"/>
          <w:sz w:val="19"/>
        </w:rPr>
        <w:t xml:space="preserve">(A) Workflow from data preprocessing to ASD prediction. (B) Feature construction in (A): coarse-grained and fine-grained features from windowed FC. (C) Common CC400/EZ model architecture and triplet training. </w:t>
      </w:r>
      <w:r w:rsidR="00CF1494" w:rsidRPr="00CF1494">
        <w:rPr>
          <w:rFonts w:ascii="Cambria Math" w:eastAsia="Times New Roman" w:hAnsi="Cambria Math" w:cs="Cambria Math"/>
          <w:color w:val="000000"/>
          <w:sz w:val="19"/>
        </w:rPr>
        <w:t>⟨</w:t>
      </w:r>
      <w:r w:rsidR="00CF1494" w:rsidRPr="00CF1494">
        <w:rPr>
          <w:rFonts w:eastAsia="Times New Roman" w:cs="Times New Roman" w:ascii="Times New Roman" w:hAnsi="Times New Roman"/>
          <w:color w:val="000000"/>
          <w:sz w:val="19"/>
        </w:rPr>
        <w:t>|z|</w:t>
      </w:r>
      <w:r w:rsidR="00CF1494" w:rsidRPr="00CF1494">
        <w:rPr>
          <w:rFonts w:ascii="Cambria Math" w:eastAsia="Times New Roman" w:hAnsi="Cambria Math" w:cs="Cambria Math"/>
          <w:color w:val="000000"/>
          <w:sz w:val="19"/>
        </w:rPr>
        <w:t>⟩</w:t>
      </w:r>
      <w:r w:rsidR="00CF1494" w:rsidRPr="00CF1494">
        <w:rPr>
          <w:rFonts w:eastAsia="Times New Roman" w:cs="Times New Roman" w:ascii="Times New Roman" w:hAnsi="Times New Roman"/>
          <w:color w:val="000000"/>
          <w:sz w:val="19"/>
        </w:rPr>
        <w:t>, mean absolute connectivity; W, total number of windows; α and 1−α, adaptive feature-wise fusion weights; w₁ and w₂, validation-derived ensemble weights; FC, functional connectivity; SD, standard deviation; ASD, autism spectrum disorder.</w:t>
      </w:r>
    </w:p>
    <w:p w14:paraId="18AF1D85" w14:textId="77777777" w:rsidR="00096DDE" w:rsidRDefault="00000000" w:rsidP="002711FB">
      <w:pPr>
        <w:pStyle w:val="21"/>
        <w:widowControl/>
        <w:spacing w:before="140" w:line="240" w:lineRule="auto"/>
        <w:jc w:val="left"/>
      </w:pPr>
      <w:r>
        <w:rPr>
          <w:rFonts w:eastAsia="Times New Roman" w:cs="Times New Roman" w:ascii="Times New Roman" w:hAnsi="Times New Roman"/>
          <w:b/>
          <w:color w:val="000000"/>
          <w:sz w:val="22"/>
        </w:rPr>
        <w:t>Multi-Granularity Dynamic Feature Construction</w:t>
      </w:r>
    </w:p>
    <w:p w14:paraId="110C282C" w14:textId="77777777" w:rsidR="007D4CD1" w:rsidRDefault="00FA460C" w:rsidP="002711FB">
      <w:pPr>
        <w:widowControl/>
        <w:jc w:val="both"/>
      </w:pPr>
      <w:r>
        <w:rPr>
          <w:rFonts w:eastAsia="Times New Roman" w:cs="Times New Roman" w:ascii="Times New Roman" w:hAnsi="Times New Roman"/>
          <w:color w:val="000000"/>
          <w:sz w:val="22"/>
        </w:rPr>
        <w:t>Dynamic functional connectivity (dFC) features were constructed at coarse and fine granularities from windowed FC matrices (Figure 2B). These matrices were computed from ROI time series using Pearson correlations with a window length and stride of 20 frames. For coarse-grained features, the mean, standard deviation (SD), mean absolute value, and 25th and 75th percentiles were calculated across connections within each window. The across-window means and SDs of these five measures were then concatenated, providing compact summaries of overall connectivity distributions and their temporal variation. Fine-grained features comprised the across-window mean and SD of individual ROI-to-ROI connections, yielding a higher-dimensional representation that preserves connection-specific strength and temporal variability.</w:t>
      </w:r>
    </w:p>
    <w:p w14:paraId="1A6DE3F2" w14:textId="77777777" w:rsidR="00096DDE" w:rsidRDefault="00000000" w:rsidP="002711FB">
      <w:pPr>
        <w:pStyle w:val="21"/>
        <w:widowControl/>
        <w:spacing w:before="140" w:line="240" w:lineRule="auto"/>
        <w:jc w:val="left"/>
      </w:pPr>
      <w:r>
        <w:rPr>
          <w:rFonts w:eastAsia="Times New Roman" w:cs="Times New Roman" w:ascii="Times New Roman" w:hAnsi="Times New Roman"/>
          <w:b/>
          <w:color w:val="000000"/>
          <w:sz w:val="22"/>
        </w:rPr>
        <w:t>Multi-Atlas Integration and Metric Learning</w:t>
      </w:r>
    </w:p>
    <w:p w14:paraId="04CE8B17" w14:textId="1219B3FE" w:rsidR="00BE053D" w:rsidRDefault="00F732E0" w:rsidP="002711FB">
      <w:pPr>
        <w:widowControl/>
        <w:jc w:val="both"/>
        <w:rPr>
          <w:lang w:eastAsia="zh-CN"/>
        </w:rPr>
      </w:pPr>
      <w:r>
        <w:rPr>
          <w:rFonts w:eastAsia="Times New Roman" w:cs="Times New Roman" w:ascii="Times New Roman" w:hAnsi="Times New Roman"/>
          <w:color w:val="000000"/>
          <w:sz w:val="22"/>
        </w:rPr>
        <w:t>We integrated multi-atlas information at the feature and decision levels (Figure 2A). Coarse-grained features from all five atlases were concatenated into a shared vector, paired with CC400 fine-grained features in the CC400-specific model and EZ fine-grained features in the EZ-specific model. Both models used the same architecture (Figure 2C). Parallel multilayer perceptron (MLP) encoders learned representations from the shared coarse-grained and atlas-specific fine-grained inputs. Feature-wise gated fusion combined these representations</w:t>
      </w:r>
      <w:r w:rsidR="006840E6">
        <w:rPr>
          <w:rFonts w:eastAsia="Times New Roman" w:cs="Times New Roman" w:ascii="Times New Roman" w:hAnsi="Times New Roman"/>
          <w:color w:val="000000"/>
          <w:sz w:val="22"/>
        </w:rPr>
        <w:t>. S</w:t>
      </w:r>
      <w:r>
        <w:rPr>
          <w:rFonts w:eastAsia="Times New Roman" w:cs="Times New Roman" w:ascii="Times New Roman" w:hAnsi="Times New Roman"/>
          <w:color w:val="000000"/>
          <w:sz w:val="22"/>
        </w:rPr>
        <w:t xml:space="preserve">ex was then added as a covariate before a projection MLP generated subject-level embeddings. Triplet metric learning compared three subjects, bringing those with matching diagnoses closer and separating those with different diagnoses. Each model compared mean Euclidean distances from a subject embedding to ASD and NC training embeddings, assigning higher ASD probabilities when closer to ASD. At the decision level, the CC400 and EZ probabilities were ensembled using validation-derived weights </w:t>
      </w:r>
      <w:r>
        <w:rPr>
          <w:rFonts w:eastAsia="Times New Roman" w:cs="Times New Roman" w:ascii="Times New Roman" w:hAnsi="Times New Roman"/>
          <w:i/>
          <w:color w:val="000000"/>
          <w:sz w:val="22"/>
        </w:rPr>
        <w:t>w</w:t>
      </w:r>
      <w:r>
        <w:rPr>
          <w:rFonts w:eastAsia="Times New Roman" w:cs="Times New Roman" w:ascii="Times New Roman" w:hAnsi="Times New Roman"/>
          <w:color w:val="000000"/>
          <w:sz w:val="22"/>
          <w:vertAlign w:val="subscript"/>
        </w:rPr>
        <w:t>1</w:t>
      </w:r>
      <w:r>
        <w:rPr>
          <w:rFonts w:eastAsia="Times New Roman" w:cs="Times New Roman" w:ascii="Times New Roman" w:hAnsi="Times New Roman"/>
          <w:color w:val="000000"/>
          <w:sz w:val="22"/>
        </w:rPr>
        <w:t xml:space="preserve"> and </w:t>
      </w:r>
      <w:r>
        <w:rPr>
          <w:rFonts w:eastAsia="Times New Roman" w:cs="Times New Roman" w:ascii="Times New Roman" w:hAnsi="Times New Roman"/>
          <w:i/>
          <w:color w:val="000000"/>
          <w:sz w:val="22"/>
        </w:rPr>
        <w:t>w</w:t>
      </w:r>
      <w:r>
        <w:rPr>
          <w:rFonts w:eastAsia="Times New Roman" w:cs="Times New Roman" w:ascii="Times New Roman" w:hAnsi="Times New Roman"/>
          <w:color w:val="000000"/>
          <w:sz w:val="22"/>
          <w:vertAlign w:val="subscript"/>
        </w:rPr>
        <w:t>2</w:t>
      </w:r>
      <w:r>
        <w:rPr>
          <w:rFonts w:eastAsia="Times New Roman" w:cs="Times New Roman" w:ascii="Times New Roman" w:hAnsi="Times New Roman"/>
          <w:color w:val="000000"/>
          <w:sz w:val="22"/>
        </w:rPr>
        <w:t xml:space="preserve"> (Figure 2A) to obtain the final ASD probability.</w:t>
      </w:r>
    </w:p>
    <w:p w14:paraId="02BAB279" w14:textId="77777777" w:rsidR="00096DDE" w:rsidRDefault="00000000" w:rsidP="002711FB">
      <w:pPr>
        <w:pStyle w:val="1"/>
        <w:widowControl/>
        <w:spacing w:before="180" w:line="240" w:lineRule="auto"/>
        <w:jc w:val="left"/>
      </w:pPr>
      <w:r>
        <w:rPr>
          <w:rFonts w:eastAsia="Times New Roman" w:cs="Times New Roman" w:ascii="Times New Roman" w:hAnsi="Times New Roman"/>
          <w:b/>
          <w:color w:val="000000"/>
          <w:sz w:val="24"/>
        </w:rPr>
        <w:lastRenderedPageBreak/>
        <w:t>Results</w:t>
      </w:r>
    </w:p>
    <w:p w14:paraId="4F5D7983" w14:textId="519A6A36" w:rsidR="00096DDE" w:rsidRDefault="00000000" w:rsidP="002711FB">
      <w:pPr>
        <w:keepLines/>
        <w:widowControl/>
        <w:jc w:val="both"/>
      </w:pPr>
      <w:r>
        <w:rPr>
          <w:rFonts w:eastAsia="Times New Roman" w:cs="Times New Roman" w:ascii="Times New Roman" w:hAnsi="Times New Roman"/>
          <w:color w:val="000000"/>
          <w:sz w:val="22"/>
        </w:rPr>
        <w:t xml:space="preserve">LOSO evaluation included 1,020 subjects (500 ASD/520 NC), </w:t>
      </w:r>
      <w:r w:rsidR="0078661C" w:rsidRPr="0078661C">
        <w:rPr>
          <w:rFonts w:eastAsia="Times New Roman" w:cs="Times New Roman" w:ascii="Times New Roman" w:hAnsi="Times New Roman"/>
          <w:color w:val="000000"/>
          <w:sz w:val="22"/>
        </w:rPr>
        <w:t>with one site held out for testing, a second site used for validation, and the remaining sites used for training in each fold</w:t>
      </w:r>
      <w:r>
        <w:rPr>
          <w:rFonts w:eastAsia="Times New Roman" w:cs="Times New Roman" w:ascii="Times New Roman" w:hAnsi="Times New Roman"/>
          <w:color w:val="000000"/>
          <w:sz w:val="22"/>
        </w:rPr>
        <w:t>. As shown in Table 1, mean test area under the receiver operating characteristic curve (AUC) and accuracy (ACC) were 0.6855/0.6467 across all 17 sites and 0.7033/0.6651 across eight sites with &gt;50 subjects (n = 697). CMU achieved the highest AUC (0.7857), and KKI the highest ACC (0.7500).</w:t>
      </w:r>
    </w:p>
    <w:p w14:paraId="500B8137" w14:textId="7EBD9CAD" w:rsidR="00096DDE" w:rsidRDefault="00000000" w:rsidP="002711FB">
      <w:pPr>
        <w:pStyle w:val="af7"/>
        <w:keepNext/>
        <w:keepLines/>
        <w:widowControl/>
        <w:spacing w:before="100" w:line="240" w:lineRule="auto" w:after="120"/>
        <w:jc w:val="left"/>
      </w:pPr>
      <w:r>
        <w:rPr>
          <w:rFonts w:ascii="Times New Roman" w:hAnsi="Times New Roman"/>
          <w:b/>
          <w:color w:val="000000"/>
          <w:sz w:val="19"/>
        </w:rPr>
        <w:t xml:space="preserve">Table 1. Site-level LOSO performance on ABIDE-I. </w:t>
      </w:r>
      <w:r>
        <w:rPr>
          <w:rFonts w:ascii="Times New Roman" w:hAnsi="Times New Roman"/>
          <w:color w:val="000000"/>
          <w:sz w:val="19"/>
        </w:rPr>
        <w:t>n denotes subjects. Train (Val) gives training counts, with validation site and count in parentheses. Summary rows report total test counts and unweighted means across the corresponding sites. ASD, autism spectrum disorder; NC, neurotypical control; AUC, area under the receiver operating characteristic curve; ACC, accuracy.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2736"/>
        <w:gridCol w:w="1512"/>
        <w:gridCol w:w="1512"/>
      </w:tblGrid>
      <w:tr>
        <w:trPr>
          <w:cantSplit/>
          <w:tblHeader/>
        </w:trPr>
        <w:tc>
          <w:tcPr>
            <w:tcW w:type="dxa" w:w="2232"/>
            <w:vAlign w:val="center"/>
            <w:shd w:fill="E6EBEF"/>
            <w:tcMar>
              <w:top w:w="65" w:type="dxa"/>
              <w:bottom w:w="65" w:type="dxa"/>
              <w:left w:w="70" w:type="dxa"/>
              <w:right w:w="70" w:type="dxa"/>
            </w:tcMar>
          </w:tcPr>
          <w:p>
            <w:pPr>
              <w:spacing w:before="0" w:after="0" w:line="240" w:lineRule="auto"/>
              <w:jc w:val="center"/>
            </w:pPr>
            <w:r>
              <w:rPr>
                <w:rFonts w:ascii="Times New Roman" w:hAnsi="Times New Roman"/>
                <w:b/>
                <w:color w:val="000000"/>
                <w:sz w:val="19"/>
              </w:rPr>
              <w:t>Test site</w:t>
            </w:r>
          </w:p>
        </w:tc>
        <w:tc>
          <w:tcPr>
            <w:tcW w:type="dxa" w:w="2232"/>
            <w:vAlign w:val="center"/>
            <w:shd w:fill="E6EBEF"/>
            <w:tcMar>
              <w:top w:w="65" w:type="dxa"/>
              <w:bottom w:w="65" w:type="dxa"/>
              <w:left w:w="70" w:type="dxa"/>
              <w:right w:w="70" w:type="dxa"/>
            </w:tcMar>
          </w:tcPr>
          <w:p>
            <w:pPr>
              <w:spacing w:before="0" w:after="0" w:line="240" w:lineRule="auto"/>
              <w:jc w:val="center"/>
            </w:pPr>
            <w:r>
              <w:rPr>
                <w:rFonts w:ascii="Times New Roman" w:hAnsi="Times New Roman"/>
                <w:b/>
                <w:color w:val="000000"/>
                <w:sz w:val="19"/>
              </w:rPr>
              <w:t>Test n (ASD/NC)</w:t>
            </w:r>
          </w:p>
        </w:tc>
        <w:tc>
          <w:tcPr>
            <w:tcW w:type="dxa" w:w="2736"/>
            <w:vAlign w:val="center"/>
            <w:shd w:fill="E6EBEF"/>
            <w:tcMar>
              <w:top w:w="65" w:type="dxa"/>
              <w:bottom w:w="65" w:type="dxa"/>
              <w:left w:w="70" w:type="dxa"/>
              <w:right w:w="70" w:type="dxa"/>
            </w:tcMar>
          </w:tcPr>
          <w:p>
            <w:pPr>
              <w:spacing w:before="0" w:after="0" w:line="240" w:lineRule="auto"/>
              <w:jc w:val="center"/>
            </w:pPr>
            <w:r>
              <w:rPr>
                <w:rFonts w:ascii="Times New Roman" w:hAnsi="Times New Roman"/>
                <w:b/>
                <w:color w:val="000000"/>
                <w:sz w:val="19"/>
              </w:rPr>
              <w:t>Train (Val)</w:t>
            </w:r>
          </w:p>
        </w:tc>
        <w:tc>
          <w:tcPr>
            <w:tcW w:type="dxa" w:w="1512"/>
            <w:vAlign w:val="center"/>
            <w:shd w:fill="E6EBEF"/>
            <w:tcMar>
              <w:top w:w="65" w:type="dxa"/>
              <w:bottom w:w="65" w:type="dxa"/>
              <w:left w:w="70" w:type="dxa"/>
              <w:right w:w="70" w:type="dxa"/>
            </w:tcMar>
          </w:tcPr>
          <w:p>
            <w:pPr>
              <w:spacing w:before="0" w:after="0" w:line="240" w:lineRule="auto"/>
              <w:jc w:val="center"/>
            </w:pPr>
            <w:r>
              <w:rPr>
                <w:rFonts w:ascii="Times New Roman" w:hAnsi="Times New Roman"/>
                <w:b/>
                <w:color w:val="000000"/>
                <w:sz w:val="19"/>
              </w:rPr>
              <w:t>AUC</w:t>
            </w:r>
          </w:p>
        </w:tc>
        <w:tc>
          <w:tcPr>
            <w:tcW w:type="dxa" w:w="1512"/>
            <w:vAlign w:val="center"/>
            <w:shd w:fill="E6EBEF"/>
            <w:tcMar>
              <w:top w:w="65" w:type="dxa"/>
              <w:bottom w:w="65" w:type="dxa"/>
              <w:left w:w="70" w:type="dxa"/>
              <w:right w:w="70" w:type="dxa"/>
            </w:tcMar>
          </w:tcPr>
          <w:p>
            <w:pPr>
              <w:spacing w:before="0" w:after="0" w:line="240" w:lineRule="auto"/>
              <w:jc w:val="center"/>
            </w:pPr>
            <w:r>
              <w:rPr>
                <w:rFonts w:ascii="Times New Roman" w:hAnsi="Times New Roman"/>
                <w:b/>
                <w:color w:val="000000"/>
                <w:sz w:val="19"/>
              </w:rPr>
              <w:t>ACC</w:t>
            </w:r>
          </w:p>
        </w:tc>
      </w:tr>
      <w:tr>
        <w:trPr>
          <w:cantSplit/>
        </w:trPr>
        <w:tc>
          <w:tcPr>
            <w:tcW w:type="dxa" w:w="2232"/>
            <w:vAlign w:val="center"/>
            <w:shd w:fill="FFFFFF"/>
            <w:tcMar>
              <w:top w:w="65" w:type="dxa"/>
              <w:bottom w:w="65" w:type="dxa"/>
              <w:left w:w="70" w:type="dxa"/>
              <w:right w:w="70" w:type="dxa"/>
            </w:tcMar>
          </w:tcPr>
          <w:p>
            <w:pPr>
              <w:spacing w:before="0" w:after="0" w:line="240" w:lineRule="auto"/>
              <w:jc w:val="left"/>
            </w:pPr>
            <w:r>
              <w:rPr>
                <w:rFonts w:ascii="Times New Roman" w:hAnsi="Times New Roman"/>
                <w:b w:val="0"/>
                <w:color w:val="000000"/>
                <w:sz w:val="19"/>
              </w:rPr>
              <w:t>NYU</w:t>
            </w:r>
          </w:p>
        </w:tc>
        <w:tc>
          <w:tcPr>
            <w:tcW w:type="dxa" w:w="223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175 (75/100)</w:t>
            </w:r>
          </w:p>
        </w:tc>
        <w:tc>
          <w:tcPr>
            <w:tcW w:type="dxa" w:w="2736"/>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789 (PITT, 56)</w:t>
            </w:r>
          </w:p>
        </w:tc>
        <w:tc>
          <w:tcPr>
            <w:tcW w:type="dxa" w:w="151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0.6975</w:t>
            </w:r>
          </w:p>
        </w:tc>
        <w:tc>
          <w:tcPr>
            <w:tcW w:type="dxa" w:w="151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0.6514</w:t>
            </w:r>
          </w:p>
        </w:tc>
      </w:tr>
      <w:tr>
        <w:trPr>
          <w:cantSplit/>
        </w:trPr>
        <w:tc>
          <w:tcPr>
            <w:tcW w:type="dxa" w:w="2232"/>
            <w:vAlign w:val="center"/>
            <w:shd w:fill="FFFFFF"/>
            <w:tcMar>
              <w:top w:w="65" w:type="dxa"/>
              <w:bottom w:w="65" w:type="dxa"/>
              <w:left w:w="70" w:type="dxa"/>
              <w:right w:w="70" w:type="dxa"/>
            </w:tcMar>
          </w:tcPr>
          <w:p>
            <w:pPr>
              <w:spacing w:before="0" w:after="0" w:line="240" w:lineRule="auto"/>
              <w:jc w:val="left"/>
            </w:pPr>
            <w:r>
              <w:rPr>
                <w:rFonts w:ascii="Times New Roman" w:hAnsi="Times New Roman"/>
                <w:b w:val="0"/>
                <w:color w:val="000000"/>
                <w:sz w:val="19"/>
              </w:rPr>
              <w:t>UM</w:t>
            </w:r>
          </w:p>
        </w:tc>
        <w:tc>
          <w:tcPr>
            <w:tcW w:type="dxa" w:w="223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139 (65/74)</w:t>
            </w:r>
          </w:p>
        </w:tc>
        <w:tc>
          <w:tcPr>
            <w:tcW w:type="dxa" w:w="2736"/>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825 (YALE, 56)</w:t>
            </w:r>
          </w:p>
        </w:tc>
        <w:tc>
          <w:tcPr>
            <w:tcW w:type="dxa" w:w="151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0.6996</w:t>
            </w:r>
          </w:p>
        </w:tc>
        <w:tc>
          <w:tcPr>
            <w:tcW w:type="dxa" w:w="151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0.6331</w:t>
            </w:r>
          </w:p>
        </w:tc>
      </w:tr>
      <w:tr>
        <w:trPr>
          <w:cantSplit/>
        </w:trPr>
        <w:tc>
          <w:tcPr>
            <w:tcW w:type="dxa" w:w="2232"/>
            <w:vAlign w:val="center"/>
            <w:shd w:fill="FFFFFF"/>
            <w:tcMar>
              <w:top w:w="65" w:type="dxa"/>
              <w:bottom w:w="65" w:type="dxa"/>
              <w:left w:w="70" w:type="dxa"/>
              <w:right w:w="70" w:type="dxa"/>
            </w:tcMar>
          </w:tcPr>
          <w:p>
            <w:pPr>
              <w:spacing w:before="0" w:after="0" w:line="240" w:lineRule="auto"/>
              <w:jc w:val="left"/>
            </w:pPr>
            <w:r>
              <w:rPr>
                <w:rFonts w:ascii="Times New Roman" w:hAnsi="Times New Roman"/>
                <w:b w:val="0"/>
                <w:color w:val="000000"/>
                <w:sz w:val="19"/>
              </w:rPr>
              <w:t>UCLA</w:t>
            </w:r>
          </w:p>
        </w:tc>
        <w:tc>
          <w:tcPr>
            <w:tcW w:type="dxa" w:w="223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98 (54/44)</w:t>
            </w:r>
          </w:p>
        </w:tc>
        <w:tc>
          <w:tcPr>
            <w:tcW w:type="dxa" w:w="2736"/>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866 (PITT, 56)</w:t>
            </w:r>
          </w:p>
        </w:tc>
        <w:tc>
          <w:tcPr>
            <w:tcW w:type="dxa" w:w="151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0.7235</w:t>
            </w:r>
          </w:p>
        </w:tc>
        <w:tc>
          <w:tcPr>
            <w:tcW w:type="dxa" w:w="151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0.6633</w:t>
            </w:r>
          </w:p>
        </w:tc>
      </w:tr>
      <w:tr>
        <w:trPr>
          <w:cantSplit/>
        </w:trPr>
        <w:tc>
          <w:tcPr>
            <w:tcW w:type="dxa" w:w="2232"/>
            <w:vAlign w:val="center"/>
            <w:shd w:fill="FFFFFF"/>
            <w:tcMar>
              <w:top w:w="65" w:type="dxa"/>
              <w:bottom w:w="65" w:type="dxa"/>
              <w:left w:w="70" w:type="dxa"/>
              <w:right w:w="70" w:type="dxa"/>
            </w:tcMar>
          </w:tcPr>
          <w:p>
            <w:pPr>
              <w:spacing w:before="0" w:after="0" w:line="240" w:lineRule="auto"/>
              <w:jc w:val="left"/>
            </w:pPr>
            <w:r>
              <w:rPr>
                <w:rFonts w:ascii="Times New Roman" w:hAnsi="Times New Roman"/>
                <w:b w:val="0"/>
                <w:color w:val="000000"/>
                <w:sz w:val="19"/>
              </w:rPr>
              <w:t>LEUVEN</w:t>
            </w:r>
          </w:p>
        </w:tc>
        <w:tc>
          <w:tcPr>
            <w:tcW w:type="dxa" w:w="223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63 (29/34)</w:t>
            </w:r>
          </w:p>
        </w:tc>
        <w:tc>
          <w:tcPr>
            <w:tcW w:type="dxa" w:w="2736"/>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898 (USM, 59)</w:t>
            </w:r>
          </w:p>
        </w:tc>
        <w:tc>
          <w:tcPr>
            <w:tcW w:type="dxa" w:w="151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0.6775</w:t>
            </w:r>
          </w:p>
        </w:tc>
        <w:tc>
          <w:tcPr>
            <w:tcW w:type="dxa" w:w="151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0.7143</w:t>
            </w:r>
          </w:p>
        </w:tc>
      </w:tr>
      <w:tr>
        <w:trPr>
          <w:cantSplit/>
        </w:trPr>
        <w:tc>
          <w:tcPr>
            <w:tcW w:type="dxa" w:w="2232"/>
            <w:vAlign w:val="center"/>
            <w:shd w:fill="FFFFFF"/>
            <w:tcMar>
              <w:top w:w="65" w:type="dxa"/>
              <w:bottom w:w="65" w:type="dxa"/>
              <w:left w:w="70" w:type="dxa"/>
              <w:right w:w="70" w:type="dxa"/>
            </w:tcMar>
          </w:tcPr>
          <w:p>
            <w:pPr>
              <w:spacing w:before="0" w:after="0" w:line="240" w:lineRule="auto"/>
              <w:jc w:val="left"/>
            </w:pPr>
            <w:r>
              <w:rPr>
                <w:rFonts w:ascii="Times New Roman" w:hAnsi="Times New Roman"/>
                <w:b w:val="0"/>
                <w:color w:val="000000"/>
                <w:sz w:val="19"/>
              </w:rPr>
              <w:t>USM</w:t>
            </w:r>
          </w:p>
        </w:tc>
        <w:tc>
          <w:tcPr>
            <w:tcW w:type="dxa" w:w="223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59 (43/16)</w:t>
            </w:r>
          </w:p>
        </w:tc>
        <w:tc>
          <w:tcPr>
            <w:tcW w:type="dxa" w:w="2736"/>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910 (MAX_MUN, 51)</w:t>
            </w:r>
          </w:p>
        </w:tc>
        <w:tc>
          <w:tcPr>
            <w:tcW w:type="dxa" w:w="151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0.7340</w:t>
            </w:r>
          </w:p>
        </w:tc>
        <w:tc>
          <w:tcPr>
            <w:tcW w:type="dxa" w:w="151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0.7119</w:t>
            </w:r>
          </w:p>
        </w:tc>
      </w:tr>
      <w:tr>
        <w:trPr>
          <w:cantSplit/>
        </w:trPr>
        <w:tc>
          <w:tcPr>
            <w:tcW w:type="dxa" w:w="2232"/>
            <w:vAlign w:val="center"/>
            <w:shd w:fill="FFFFFF"/>
            <w:tcMar>
              <w:top w:w="65" w:type="dxa"/>
              <w:bottom w:w="65" w:type="dxa"/>
              <w:left w:w="70" w:type="dxa"/>
              <w:right w:w="70" w:type="dxa"/>
            </w:tcMar>
          </w:tcPr>
          <w:p>
            <w:pPr>
              <w:spacing w:before="0" w:after="0" w:line="240" w:lineRule="auto"/>
              <w:jc w:val="left"/>
            </w:pPr>
            <w:r>
              <w:rPr>
                <w:rFonts w:ascii="Times New Roman" w:hAnsi="Times New Roman"/>
                <w:b w:val="0"/>
                <w:color w:val="000000"/>
                <w:sz w:val="19"/>
              </w:rPr>
              <w:t>YALE</w:t>
            </w:r>
          </w:p>
        </w:tc>
        <w:tc>
          <w:tcPr>
            <w:tcW w:type="dxa" w:w="223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56 (28/28)</w:t>
            </w:r>
          </w:p>
        </w:tc>
        <w:tc>
          <w:tcPr>
            <w:tcW w:type="dxa" w:w="2736"/>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789 (NYU, 175)</w:t>
            </w:r>
          </w:p>
        </w:tc>
        <w:tc>
          <w:tcPr>
            <w:tcW w:type="dxa" w:w="151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0.7717</w:t>
            </w:r>
          </w:p>
        </w:tc>
        <w:tc>
          <w:tcPr>
            <w:tcW w:type="dxa" w:w="151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0.6786</w:t>
            </w:r>
          </w:p>
        </w:tc>
      </w:tr>
      <w:tr>
        <w:trPr>
          <w:cantSplit/>
        </w:trPr>
        <w:tc>
          <w:tcPr>
            <w:tcW w:type="dxa" w:w="2232"/>
            <w:vAlign w:val="center"/>
            <w:shd w:fill="FFFFFF"/>
            <w:tcMar>
              <w:top w:w="65" w:type="dxa"/>
              <w:bottom w:w="65" w:type="dxa"/>
              <w:left w:w="70" w:type="dxa"/>
              <w:right w:w="70" w:type="dxa"/>
            </w:tcMar>
          </w:tcPr>
          <w:p>
            <w:pPr>
              <w:spacing w:before="0" w:after="0" w:line="240" w:lineRule="auto"/>
              <w:jc w:val="left"/>
            </w:pPr>
            <w:r>
              <w:rPr>
                <w:rFonts w:ascii="Times New Roman" w:hAnsi="Times New Roman"/>
                <w:b w:val="0"/>
                <w:color w:val="000000"/>
                <w:sz w:val="19"/>
              </w:rPr>
              <w:t>PITT</w:t>
            </w:r>
          </w:p>
        </w:tc>
        <w:tc>
          <w:tcPr>
            <w:tcW w:type="dxa" w:w="223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56 (29/27)</w:t>
            </w:r>
          </w:p>
        </w:tc>
        <w:tc>
          <w:tcPr>
            <w:tcW w:type="dxa" w:w="2736"/>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789 (NYU, 175)</w:t>
            </w:r>
          </w:p>
        </w:tc>
        <w:tc>
          <w:tcPr>
            <w:tcW w:type="dxa" w:w="151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0.7050</w:t>
            </w:r>
          </w:p>
        </w:tc>
        <w:tc>
          <w:tcPr>
            <w:tcW w:type="dxa" w:w="151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0.6607</w:t>
            </w:r>
          </w:p>
        </w:tc>
      </w:tr>
      <w:tr>
        <w:trPr>
          <w:cantSplit/>
        </w:trPr>
        <w:tc>
          <w:tcPr>
            <w:tcW w:type="dxa" w:w="2232"/>
            <w:vAlign w:val="center"/>
            <w:shd w:fill="FFFFFF"/>
            <w:tcMar>
              <w:top w:w="65" w:type="dxa"/>
              <w:bottom w:w="65" w:type="dxa"/>
              <w:left w:w="70" w:type="dxa"/>
              <w:right w:w="70" w:type="dxa"/>
            </w:tcMar>
          </w:tcPr>
          <w:p>
            <w:pPr>
              <w:spacing w:before="0" w:after="0" w:line="240" w:lineRule="auto"/>
              <w:jc w:val="left"/>
            </w:pPr>
            <w:r>
              <w:rPr>
                <w:rFonts w:ascii="Times New Roman" w:hAnsi="Times New Roman"/>
                <w:b w:val="0"/>
                <w:color w:val="000000"/>
                <w:sz w:val="19"/>
              </w:rPr>
              <w:t>MAX_MUN</w:t>
            </w:r>
          </w:p>
        </w:tc>
        <w:tc>
          <w:tcPr>
            <w:tcW w:type="dxa" w:w="223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51 (23/28)</w:t>
            </w:r>
          </w:p>
        </w:tc>
        <w:tc>
          <w:tcPr>
            <w:tcW w:type="dxa" w:w="2736"/>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910 (USM, 59)</w:t>
            </w:r>
          </w:p>
        </w:tc>
        <w:tc>
          <w:tcPr>
            <w:tcW w:type="dxa" w:w="151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0.6180</w:t>
            </w:r>
          </w:p>
        </w:tc>
        <w:tc>
          <w:tcPr>
            <w:tcW w:type="dxa" w:w="151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0.6078</w:t>
            </w:r>
          </w:p>
        </w:tc>
      </w:tr>
      <w:tr>
        <w:trPr>
          <w:cantSplit/>
        </w:trPr>
        <w:tc>
          <w:tcPr>
            <w:tcW w:type="dxa" w:w="2232"/>
            <w:vAlign w:val="center"/>
            <w:shd w:fill="F0F2F4"/>
            <w:tcMar>
              <w:top w:w="65" w:type="dxa"/>
              <w:bottom w:w="65" w:type="dxa"/>
              <w:left w:w="70" w:type="dxa"/>
              <w:right w:w="70" w:type="dxa"/>
            </w:tcMar>
          </w:tcPr>
          <w:p>
            <w:pPr>
              <w:spacing w:before="0" w:after="0" w:line="240" w:lineRule="auto"/>
              <w:jc w:val="left"/>
            </w:pPr>
            <w:r>
              <w:rPr>
                <w:rFonts w:ascii="Times New Roman" w:hAnsi="Times New Roman"/>
                <w:b/>
                <w:color w:val="000000"/>
                <w:sz w:val="19"/>
              </w:rPr>
              <w:t>Sites with n &gt; 50</w:t>
            </w:r>
          </w:p>
        </w:tc>
        <w:tc>
          <w:tcPr>
            <w:tcW w:type="dxa" w:w="2232"/>
            <w:vAlign w:val="center"/>
            <w:shd w:fill="F0F2F4"/>
            <w:tcMar>
              <w:top w:w="65" w:type="dxa"/>
              <w:bottom w:w="65" w:type="dxa"/>
              <w:left w:w="70" w:type="dxa"/>
              <w:right w:w="70" w:type="dxa"/>
            </w:tcMar>
          </w:tcPr>
          <w:p>
            <w:pPr>
              <w:spacing w:before="0" w:after="0" w:line="240" w:lineRule="auto"/>
              <w:jc w:val="center"/>
            </w:pPr>
            <w:r>
              <w:rPr>
                <w:rFonts w:ascii="Times New Roman" w:hAnsi="Times New Roman"/>
                <w:b/>
                <w:color w:val="000000"/>
                <w:sz w:val="19"/>
              </w:rPr>
              <w:t>697 (346/351)</w:t>
            </w:r>
          </w:p>
        </w:tc>
        <w:tc>
          <w:tcPr>
            <w:tcW w:type="dxa" w:w="2736"/>
            <w:vAlign w:val="center"/>
            <w:shd w:fill="F0F2F4"/>
            <w:tcMar>
              <w:top w:w="65" w:type="dxa"/>
              <w:bottom w:w="65" w:type="dxa"/>
              <w:left w:w="70" w:type="dxa"/>
              <w:right w:w="70" w:type="dxa"/>
            </w:tcMar>
          </w:tcPr>
          <w:p>
            <w:pPr>
              <w:spacing w:before="0" w:after="0" w:line="240" w:lineRule="auto"/>
              <w:jc w:val="center"/>
            </w:pPr>
            <w:r>
              <w:rPr>
                <w:rFonts w:ascii="Times New Roman" w:hAnsi="Times New Roman"/>
                <w:b/>
                <w:color w:val="000000"/>
                <w:sz w:val="19"/>
              </w:rPr>
              <w:t>—</w:t>
            </w:r>
          </w:p>
        </w:tc>
        <w:tc>
          <w:tcPr>
            <w:tcW w:type="dxa" w:w="1512"/>
            <w:vAlign w:val="center"/>
            <w:shd w:fill="F0F2F4"/>
            <w:tcMar>
              <w:top w:w="65" w:type="dxa"/>
              <w:bottom w:w="65" w:type="dxa"/>
              <w:left w:w="70" w:type="dxa"/>
              <w:right w:w="70" w:type="dxa"/>
            </w:tcMar>
          </w:tcPr>
          <w:p>
            <w:pPr>
              <w:spacing w:before="0" w:after="0" w:line="240" w:lineRule="auto"/>
              <w:jc w:val="center"/>
            </w:pPr>
            <w:r>
              <w:rPr>
                <w:rFonts w:ascii="Times New Roman" w:hAnsi="Times New Roman"/>
                <w:b/>
                <w:color w:val="000000"/>
                <w:sz w:val="19"/>
              </w:rPr>
              <w:t>0.7033</w:t>
            </w:r>
          </w:p>
        </w:tc>
        <w:tc>
          <w:tcPr>
            <w:tcW w:type="dxa" w:w="1512"/>
            <w:vAlign w:val="center"/>
            <w:shd w:fill="F0F2F4"/>
            <w:tcMar>
              <w:top w:w="65" w:type="dxa"/>
              <w:bottom w:w="65" w:type="dxa"/>
              <w:left w:w="70" w:type="dxa"/>
              <w:right w:w="70" w:type="dxa"/>
            </w:tcMar>
          </w:tcPr>
          <w:p>
            <w:pPr>
              <w:spacing w:before="0" w:after="0" w:line="240" w:lineRule="auto"/>
              <w:jc w:val="center"/>
            </w:pPr>
            <w:r>
              <w:rPr>
                <w:rFonts w:ascii="Times New Roman" w:hAnsi="Times New Roman"/>
                <w:b/>
                <w:color w:val="000000"/>
                <w:sz w:val="19"/>
              </w:rPr>
              <w:t>0.6651</w:t>
            </w:r>
          </w:p>
        </w:tc>
      </w:tr>
      <w:tr>
        <w:trPr>
          <w:cantSplit/>
        </w:trPr>
        <w:tc>
          <w:tcPr>
            <w:tcW w:type="dxa" w:w="2232"/>
            <w:vAlign w:val="center"/>
            <w:shd w:fill="FFFFFF"/>
            <w:tcMar>
              <w:top w:w="65" w:type="dxa"/>
              <w:bottom w:w="65" w:type="dxa"/>
              <w:left w:w="70" w:type="dxa"/>
              <w:right w:w="70" w:type="dxa"/>
            </w:tcMar>
          </w:tcPr>
          <w:p>
            <w:pPr>
              <w:spacing w:before="0" w:after="0" w:line="240" w:lineRule="auto"/>
              <w:jc w:val="left"/>
            </w:pPr>
            <w:r>
              <w:rPr>
                <w:rFonts w:ascii="Times New Roman" w:hAnsi="Times New Roman"/>
                <w:b w:val="0"/>
                <w:color w:val="000000"/>
                <w:sz w:val="19"/>
              </w:rPr>
              <w:t>KKI</w:t>
            </w:r>
          </w:p>
        </w:tc>
        <w:tc>
          <w:tcPr>
            <w:tcW w:type="dxa" w:w="223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48 (20/28)</w:t>
            </w:r>
          </w:p>
        </w:tc>
        <w:tc>
          <w:tcPr>
            <w:tcW w:type="dxa" w:w="2736"/>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874 (UCLA, 98)</w:t>
            </w:r>
          </w:p>
        </w:tc>
        <w:tc>
          <w:tcPr>
            <w:tcW w:type="dxa" w:w="151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0.7661</w:t>
            </w:r>
          </w:p>
        </w:tc>
        <w:tc>
          <w:tcPr>
            <w:tcW w:type="dxa" w:w="151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0.7500</w:t>
            </w:r>
          </w:p>
        </w:tc>
      </w:tr>
      <w:tr>
        <w:trPr>
          <w:cantSplit/>
        </w:trPr>
        <w:tc>
          <w:tcPr>
            <w:tcW w:type="dxa" w:w="2232"/>
            <w:vAlign w:val="center"/>
            <w:shd w:fill="FFFFFF"/>
            <w:tcMar>
              <w:top w:w="65" w:type="dxa"/>
              <w:bottom w:w="65" w:type="dxa"/>
              <w:left w:w="70" w:type="dxa"/>
              <w:right w:w="70" w:type="dxa"/>
            </w:tcMar>
          </w:tcPr>
          <w:p>
            <w:pPr>
              <w:spacing w:before="0" w:after="0" w:line="240" w:lineRule="auto"/>
              <w:jc w:val="left"/>
            </w:pPr>
            <w:r>
              <w:rPr>
                <w:rFonts w:ascii="Times New Roman" w:hAnsi="Times New Roman"/>
                <w:b w:val="0"/>
                <w:color w:val="000000"/>
                <w:sz w:val="19"/>
              </w:rPr>
              <w:t>TRINITY</w:t>
            </w:r>
          </w:p>
        </w:tc>
        <w:tc>
          <w:tcPr>
            <w:tcW w:type="dxa" w:w="223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47 (22/25)</w:t>
            </w:r>
          </w:p>
        </w:tc>
        <w:tc>
          <w:tcPr>
            <w:tcW w:type="dxa" w:w="2736"/>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914 (USM, 59)</w:t>
            </w:r>
          </w:p>
        </w:tc>
        <w:tc>
          <w:tcPr>
            <w:tcW w:type="dxa" w:w="151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0.6800</w:t>
            </w:r>
          </w:p>
        </w:tc>
        <w:tc>
          <w:tcPr>
            <w:tcW w:type="dxa" w:w="151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0.5532</w:t>
            </w:r>
          </w:p>
        </w:tc>
      </w:tr>
      <w:tr>
        <w:trPr>
          <w:cantSplit/>
        </w:trPr>
        <w:tc>
          <w:tcPr>
            <w:tcW w:type="dxa" w:w="2232"/>
            <w:vAlign w:val="center"/>
            <w:shd w:fill="FFFFFF"/>
            <w:tcMar>
              <w:top w:w="65" w:type="dxa"/>
              <w:bottom w:w="65" w:type="dxa"/>
              <w:left w:w="70" w:type="dxa"/>
              <w:right w:w="70" w:type="dxa"/>
            </w:tcMar>
          </w:tcPr>
          <w:p>
            <w:pPr>
              <w:spacing w:before="0" w:after="0" w:line="240" w:lineRule="auto"/>
              <w:jc w:val="left"/>
            </w:pPr>
            <w:r>
              <w:rPr>
                <w:rFonts w:ascii="Times New Roman" w:hAnsi="Times New Roman"/>
                <w:b w:val="0"/>
                <w:color w:val="000000"/>
                <w:sz w:val="19"/>
              </w:rPr>
              <w:t>STANFORD</w:t>
            </w:r>
          </w:p>
        </w:tc>
        <w:tc>
          <w:tcPr>
            <w:tcW w:type="dxa" w:w="223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39 (19/20)</w:t>
            </w:r>
          </w:p>
        </w:tc>
        <w:tc>
          <w:tcPr>
            <w:tcW w:type="dxa" w:w="2736"/>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918 (LEUVEN, 63)</w:t>
            </w:r>
          </w:p>
        </w:tc>
        <w:tc>
          <w:tcPr>
            <w:tcW w:type="dxa" w:w="151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0.7053</w:t>
            </w:r>
          </w:p>
        </w:tc>
        <w:tc>
          <w:tcPr>
            <w:tcW w:type="dxa" w:w="151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0.6667</w:t>
            </w:r>
          </w:p>
        </w:tc>
      </w:tr>
      <w:tr>
        <w:trPr>
          <w:cantSplit/>
        </w:trPr>
        <w:tc>
          <w:tcPr>
            <w:tcW w:type="dxa" w:w="2232"/>
            <w:vAlign w:val="center"/>
            <w:shd w:fill="FFFFFF"/>
            <w:tcMar>
              <w:top w:w="65" w:type="dxa"/>
              <w:bottom w:w="65" w:type="dxa"/>
              <w:left w:w="70" w:type="dxa"/>
              <w:right w:w="70" w:type="dxa"/>
            </w:tcMar>
          </w:tcPr>
          <w:p>
            <w:pPr>
              <w:spacing w:before="0" w:after="0" w:line="240" w:lineRule="auto"/>
              <w:jc w:val="left"/>
            </w:pPr>
            <w:r>
              <w:rPr>
                <w:rFonts w:ascii="Times New Roman" w:hAnsi="Times New Roman"/>
                <w:b w:val="0"/>
                <w:color w:val="000000"/>
                <w:sz w:val="19"/>
              </w:rPr>
              <w:t>CALTECH</w:t>
            </w:r>
          </w:p>
        </w:tc>
        <w:tc>
          <w:tcPr>
            <w:tcW w:type="dxa" w:w="223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37 (19/18)</w:t>
            </w:r>
          </w:p>
        </w:tc>
        <w:tc>
          <w:tcPr>
            <w:tcW w:type="dxa" w:w="2736"/>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808 (NYU, 175)</w:t>
            </w:r>
          </w:p>
        </w:tc>
        <w:tc>
          <w:tcPr>
            <w:tcW w:type="dxa" w:w="151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0.6550</w:t>
            </w:r>
          </w:p>
        </w:tc>
        <w:tc>
          <w:tcPr>
            <w:tcW w:type="dxa" w:w="151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0.5946</w:t>
            </w:r>
          </w:p>
        </w:tc>
      </w:tr>
      <w:tr>
        <w:trPr>
          <w:cantSplit/>
        </w:trPr>
        <w:tc>
          <w:tcPr>
            <w:tcW w:type="dxa" w:w="2232"/>
            <w:vAlign w:val="center"/>
            <w:shd w:fill="FFFFFF"/>
            <w:tcMar>
              <w:top w:w="65" w:type="dxa"/>
              <w:bottom w:w="65" w:type="dxa"/>
              <w:left w:w="70" w:type="dxa"/>
              <w:right w:w="70" w:type="dxa"/>
            </w:tcMar>
          </w:tcPr>
          <w:p>
            <w:pPr>
              <w:spacing w:before="0" w:after="0" w:line="240" w:lineRule="auto"/>
              <w:jc w:val="left"/>
            </w:pPr>
            <w:r>
              <w:rPr>
                <w:rFonts w:ascii="Times New Roman" w:hAnsi="Times New Roman"/>
                <w:b w:val="0"/>
                <w:color w:val="000000"/>
                <w:sz w:val="19"/>
              </w:rPr>
              <w:t>SDSU</w:t>
            </w:r>
          </w:p>
        </w:tc>
        <w:tc>
          <w:tcPr>
            <w:tcW w:type="dxa" w:w="223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36 (14/22)</w:t>
            </w:r>
          </w:p>
        </w:tc>
        <w:tc>
          <w:tcPr>
            <w:tcW w:type="dxa" w:w="2736"/>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886 (UCLA, 98)</w:t>
            </w:r>
          </w:p>
        </w:tc>
        <w:tc>
          <w:tcPr>
            <w:tcW w:type="dxa" w:w="151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0.6234</w:t>
            </w:r>
          </w:p>
        </w:tc>
        <w:tc>
          <w:tcPr>
            <w:tcW w:type="dxa" w:w="151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0.6389</w:t>
            </w:r>
          </w:p>
        </w:tc>
      </w:tr>
      <w:tr>
        <w:trPr>
          <w:cantSplit/>
        </w:trPr>
        <w:tc>
          <w:tcPr>
            <w:tcW w:type="dxa" w:w="2232"/>
            <w:vAlign w:val="center"/>
            <w:shd w:fill="FFFFFF"/>
            <w:tcMar>
              <w:top w:w="65" w:type="dxa"/>
              <w:bottom w:w="65" w:type="dxa"/>
              <w:left w:w="70" w:type="dxa"/>
              <w:right w:w="70" w:type="dxa"/>
            </w:tcMar>
          </w:tcPr>
          <w:p>
            <w:pPr>
              <w:spacing w:before="0" w:after="0" w:line="240" w:lineRule="auto"/>
              <w:jc w:val="left"/>
            </w:pPr>
            <w:r>
              <w:rPr>
                <w:rFonts w:ascii="Times New Roman" w:hAnsi="Times New Roman"/>
                <w:b w:val="0"/>
                <w:color w:val="000000"/>
                <w:sz w:val="19"/>
              </w:rPr>
              <w:t>OLIN</w:t>
            </w:r>
          </w:p>
        </w:tc>
        <w:tc>
          <w:tcPr>
            <w:tcW w:type="dxa" w:w="223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34 (19/15)</w:t>
            </w:r>
          </w:p>
        </w:tc>
        <w:tc>
          <w:tcPr>
            <w:tcW w:type="dxa" w:w="2736"/>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935 (MAX_MUN, 51)</w:t>
            </w:r>
          </w:p>
        </w:tc>
        <w:tc>
          <w:tcPr>
            <w:tcW w:type="dxa" w:w="151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0.7123</w:t>
            </w:r>
          </w:p>
        </w:tc>
        <w:tc>
          <w:tcPr>
            <w:tcW w:type="dxa" w:w="151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0.6765</w:t>
            </w:r>
          </w:p>
        </w:tc>
      </w:tr>
      <w:tr>
        <w:trPr>
          <w:cantSplit/>
        </w:trPr>
        <w:tc>
          <w:tcPr>
            <w:tcW w:type="dxa" w:w="2232"/>
            <w:vAlign w:val="center"/>
            <w:shd w:fill="FFFFFF"/>
            <w:tcMar>
              <w:top w:w="65" w:type="dxa"/>
              <w:bottom w:w="65" w:type="dxa"/>
              <w:left w:w="70" w:type="dxa"/>
              <w:right w:w="70" w:type="dxa"/>
            </w:tcMar>
          </w:tcPr>
          <w:p>
            <w:pPr>
              <w:spacing w:before="0" w:after="0" w:line="240" w:lineRule="auto"/>
              <w:jc w:val="left"/>
            </w:pPr>
            <w:r>
              <w:rPr>
                <w:rFonts w:ascii="Times New Roman" w:hAnsi="Times New Roman"/>
                <w:b w:val="0"/>
                <w:color w:val="000000"/>
                <w:sz w:val="19"/>
              </w:rPr>
              <w:t>SBL</w:t>
            </w:r>
          </w:p>
        </w:tc>
        <w:tc>
          <w:tcPr>
            <w:tcW w:type="dxa" w:w="223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30 (15/15)</w:t>
            </w:r>
          </w:p>
        </w:tc>
        <w:tc>
          <w:tcPr>
            <w:tcW w:type="dxa" w:w="2736"/>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851 (UM, 139)</w:t>
            </w:r>
          </w:p>
        </w:tc>
        <w:tc>
          <w:tcPr>
            <w:tcW w:type="dxa" w:w="151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0.6178</w:t>
            </w:r>
          </w:p>
        </w:tc>
        <w:tc>
          <w:tcPr>
            <w:tcW w:type="dxa" w:w="151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0.6000</w:t>
            </w:r>
          </w:p>
        </w:tc>
      </w:tr>
      <w:tr>
        <w:trPr>
          <w:cantSplit/>
        </w:trPr>
        <w:tc>
          <w:tcPr>
            <w:tcW w:type="dxa" w:w="2232"/>
            <w:vAlign w:val="center"/>
            <w:shd w:fill="FFFFFF"/>
            <w:tcMar>
              <w:top w:w="65" w:type="dxa"/>
              <w:bottom w:w="65" w:type="dxa"/>
              <w:left w:w="70" w:type="dxa"/>
              <w:right w:w="70" w:type="dxa"/>
            </w:tcMar>
          </w:tcPr>
          <w:p>
            <w:pPr>
              <w:spacing w:before="0" w:after="0" w:line="240" w:lineRule="auto"/>
              <w:jc w:val="left"/>
            </w:pPr>
            <w:r>
              <w:rPr>
                <w:rFonts w:ascii="Times New Roman" w:hAnsi="Times New Roman"/>
                <w:b w:val="0"/>
                <w:color w:val="000000"/>
                <w:sz w:val="19"/>
              </w:rPr>
              <w:t>CMU</w:t>
            </w:r>
          </w:p>
        </w:tc>
        <w:tc>
          <w:tcPr>
            <w:tcW w:type="dxa" w:w="223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26 (14/12)</w:t>
            </w:r>
          </w:p>
        </w:tc>
        <w:tc>
          <w:tcPr>
            <w:tcW w:type="dxa" w:w="2736"/>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855 (UM, 139)</w:t>
            </w:r>
          </w:p>
        </w:tc>
        <w:tc>
          <w:tcPr>
            <w:tcW w:type="dxa" w:w="151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0.7857</w:t>
            </w:r>
          </w:p>
        </w:tc>
        <w:tc>
          <w:tcPr>
            <w:tcW w:type="dxa" w:w="151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0.6538</w:t>
            </w:r>
          </w:p>
        </w:tc>
      </w:tr>
      <w:tr>
        <w:trPr>
          <w:cantSplit/>
        </w:trPr>
        <w:tc>
          <w:tcPr>
            <w:tcW w:type="dxa" w:w="2232"/>
            <w:vAlign w:val="center"/>
            <w:shd w:fill="FFFFFF"/>
            <w:tcMar>
              <w:top w:w="65" w:type="dxa"/>
              <w:bottom w:w="65" w:type="dxa"/>
              <w:left w:w="70" w:type="dxa"/>
              <w:right w:w="70" w:type="dxa"/>
            </w:tcMar>
          </w:tcPr>
          <w:p>
            <w:pPr>
              <w:spacing w:before="0" w:after="0" w:line="240" w:lineRule="auto"/>
              <w:jc w:val="left"/>
            </w:pPr>
            <w:r>
              <w:rPr>
                <w:rFonts w:ascii="Times New Roman" w:hAnsi="Times New Roman"/>
                <w:b w:val="0"/>
                <w:color w:val="000000"/>
                <w:sz w:val="19"/>
              </w:rPr>
              <w:t>OHSU</w:t>
            </w:r>
          </w:p>
        </w:tc>
        <w:tc>
          <w:tcPr>
            <w:tcW w:type="dxa" w:w="223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26 (12/14)</w:t>
            </w:r>
          </w:p>
        </w:tc>
        <w:tc>
          <w:tcPr>
            <w:tcW w:type="dxa" w:w="2736"/>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938 (YALE, 56)</w:t>
            </w:r>
          </w:p>
        </w:tc>
        <w:tc>
          <w:tcPr>
            <w:tcW w:type="dxa" w:w="151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0.4821</w:t>
            </w:r>
          </w:p>
        </w:tc>
        <w:tc>
          <w:tcPr>
            <w:tcW w:type="dxa" w:w="1512"/>
            <w:vAlign w:val="center"/>
            <w:shd w:fill="FFFFFF"/>
            <w:tcMar>
              <w:top w:w="65" w:type="dxa"/>
              <w:bottom w:w="65" w:type="dxa"/>
              <w:left w:w="70" w:type="dxa"/>
              <w:right w:w="70" w:type="dxa"/>
            </w:tcMar>
          </w:tcPr>
          <w:p>
            <w:pPr>
              <w:spacing w:before="0" w:after="0" w:line="240" w:lineRule="auto"/>
              <w:jc w:val="center"/>
            </w:pPr>
            <w:r>
              <w:rPr>
                <w:rFonts w:ascii="Times New Roman" w:hAnsi="Times New Roman"/>
                <w:b w:val="0"/>
                <w:color w:val="000000"/>
                <w:sz w:val="19"/>
              </w:rPr>
              <w:t>0.5385</w:t>
            </w:r>
          </w:p>
        </w:tc>
      </w:tr>
      <w:tr>
        <w:trPr>
          <w:cantSplit/>
        </w:trPr>
        <w:tc>
          <w:tcPr>
            <w:tcW w:type="dxa" w:w="2232"/>
            <w:vAlign w:val="center"/>
            <w:shd w:fill="F0F2F4"/>
            <w:tcMar>
              <w:top w:w="65" w:type="dxa"/>
              <w:bottom w:w="65" w:type="dxa"/>
              <w:left w:w="70" w:type="dxa"/>
              <w:right w:w="70" w:type="dxa"/>
            </w:tcMar>
          </w:tcPr>
          <w:p>
            <w:pPr>
              <w:spacing w:before="0" w:after="0" w:line="240" w:lineRule="auto"/>
              <w:jc w:val="left"/>
            </w:pPr>
            <w:r>
              <w:rPr>
                <w:rFonts w:ascii="Times New Roman" w:hAnsi="Times New Roman"/>
                <w:b/>
                <w:color w:val="000000"/>
                <w:sz w:val="19"/>
              </w:rPr>
              <w:t>All sites</w:t>
            </w:r>
          </w:p>
        </w:tc>
        <w:tc>
          <w:tcPr>
            <w:tcW w:type="dxa" w:w="2232"/>
            <w:vAlign w:val="center"/>
            <w:shd w:fill="F0F2F4"/>
            <w:tcMar>
              <w:top w:w="65" w:type="dxa"/>
              <w:bottom w:w="65" w:type="dxa"/>
              <w:left w:w="70" w:type="dxa"/>
              <w:right w:w="70" w:type="dxa"/>
            </w:tcMar>
          </w:tcPr>
          <w:p>
            <w:pPr>
              <w:spacing w:before="0" w:after="0" w:line="240" w:lineRule="auto"/>
              <w:jc w:val="center"/>
            </w:pPr>
            <w:r>
              <w:rPr>
                <w:rFonts w:ascii="Times New Roman" w:hAnsi="Times New Roman"/>
                <w:b/>
                <w:color w:val="000000"/>
                <w:sz w:val="19"/>
              </w:rPr>
              <w:t>1020 (500/520)</w:t>
            </w:r>
          </w:p>
        </w:tc>
        <w:tc>
          <w:tcPr>
            <w:tcW w:type="dxa" w:w="2736"/>
            <w:vAlign w:val="center"/>
            <w:shd w:fill="F0F2F4"/>
            <w:tcMar>
              <w:top w:w="65" w:type="dxa"/>
              <w:bottom w:w="65" w:type="dxa"/>
              <w:left w:w="70" w:type="dxa"/>
              <w:right w:w="70" w:type="dxa"/>
            </w:tcMar>
          </w:tcPr>
          <w:p>
            <w:pPr>
              <w:spacing w:before="0" w:after="0" w:line="240" w:lineRule="auto"/>
              <w:jc w:val="center"/>
            </w:pPr>
            <w:r>
              <w:rPr>
                <w:rFonts w:ascii="Times New Roman" w:hAnsi="Times New Roman"/>
                <w:b/>
                <w:color w:val="000000"/>
                <w:sz w:val="19"/>
              </w:rPr>
              <w:t>—</w:t>
            </w:r>
          </w:p>
        </w:tc>
        <w:tc>
          <w:tcPr>
            <w:tcW w:type="dxa" w:w="1512"/>
            <w:vAlign w:val="center"/>
            <w:shd w:fill="F0F2F4"/>
            <w:tcMar>
              <w:top w:w="65" w:type="dxa"/>
              <w:bottom w:w="65" w:type="dxa"/>
              <w:left w:w="70" w:type="dxa"/>
              <w:right w:w="70" w:type="dxa"/>
            </w:tcMar>
          </w:tcPr>
          <w:p>
            <w:pPr>
              <w:spacing w:before="0" w:after="0" w:line="240" w:lineRule="auto"/>
              <w:jc w:val="center"/>
            </w:pPr>
            <w:r>
              <w:rPr>
                <w:rFonts w:ascii="Times New Roman" w:hAnsi="Times New Roman"/>
                <w:b/>
                <w:color w:val="000000"/>
                <w:sz w:val="19"/>
              </w:rPr>
              <w:t>0.6855</w:t>
            </w:r>
          </w:p>
        </w:tc>
        <w:tc>
          <w:tcPr>
            <w:tcW w:type="dxa" w:w="1512"/>
            <w:vAlign w:val="center"/>
            <w:shd w:fill="F0F2F4"/>
            <w:tcMar>
              <w:top w:w="65" w:type="dxa"/>
              <w:bottom w:w="65" w:type="dxa"/>
              <w:left w:w="70" w:type="dxa"/>
              <w:right w:w="70" w:type="dxa"/>
            </w:tcMar>
          </w:tcPr>
          <w:p>
            <w:pPr>
              <w:spacing w:before="0" w:after="0" w:line="240" w:lineRule="auto"/>
              <w:jc w:val="center"/>
            </w:pPr>
            <w:r>
              <w:rPr>
                <w:rFonts w:ascii="Times New Roman" w:hAnsi="Times New Roman"/>
                <w:b/>
                <w:color w:val="000000"/>
                <w:sz w:val="19"/>
              </w:rPr>
              <w:t>0.6467</w:t>
            </w:r>
          </w:p>
        </w:tc>
      </w:tr>
    </w:tbl>
    <w:p w14:paraId="11EF1451" w14:textId="77777777" w:rsidR="00096DDE" w:rsidRDefault="00000000" w:rsidP="002711FB">
      <w:pPr>
        <w:widowControl/>
        <w:spacing w:before="120"/>
        <w:jc w:val="both"/>
      </w:pPr>
      <w:r>
        <w:rPr>
          <w:rFonts w:eastAsia="Times New Roman" w:cs="Times New Roman" w:ascii="Times New Roman" w:hAnsi="Times New Roman"/>
          <w:color w:val="000000"/>
          <w:sz w:val="22"/>
        </w:rPr>
        <w:t>Age-stratified LOSO results are presented in Table 2. The adolescent group had the highest mean AUC (0.7830) and ACC (0.7010), followed by school-age children and adults.</w:t>
      </w:r>
    </w:p>
    <w:p w14:paraId="1BEB1728" w14:textId="4B3088F1" w:rsidR="00096DDE" w:rsidRDefault="00000000" w:rsidP="002711FB">
      <w:pPr>
        <w:pStyle w:val="af7"/>
        <w:keepNext/>
        <w:keepLines/>
        <w:widowControl/>
        <w:spacing w:before="100" w:line="240" w:lineRule="auto" w:after="120"/>
        <w:jc w:val="left"/>
      </w:pPr>
      <w:r>
        <w:rPr>
          <w:rFonts w:ascii="Times New Roman" w:hAnsi="Times New Roman"/>
          <w:b/>
          <w:color w:val="000000"/>
          <w:sz w:val="19"/>
        </w:rPr>
        <w:t xml:space="preserve">Table 2. Age-stratified LOSO performance on ABIDE-I. </w:t>
      </w:r>
      <w:r>
        <w:rPr>
          <w:rFonts w:ascii="Times New Roman" w:hAnsi="Times New Roman"/>
          <w:color w:val="000000"/>
          <w:sz w:val="19"/>
        </w:rPr>
        <w:t>n denotes test subjects in each age group. AUC and ACC are unweighted means across evaluable sites. ASD, autism spectrum disorder; NC, neurotypical control; AUC, area under the receiver operating characteristic curve; ACC, accuracy.</w:t>
      </w:r>
    </w:p>
    <w:tbl>
      <w:tblPr>
        <w:tblW w:w="0" w:type="auto"/>
        <w:jc w:val="center"/>
        <w:tblLayout w:type="fixed"/>
        <w:tblCellMar>
          <w:top w:w="34" w:type="dxa"/>
          <w:left w:w="65" w:type="dxa"/>
          <w:bottom w:w="34" w:type="dxa"/>
          <w:right w:w="65"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1512"/>
        <w:gridCol w:w="792"/>
        <w:gridCol w:w="1656"/>
        <w:gridCol w:w="1548"/>
        <w:gridCol w:w="1548"/>
      </w:tblGrid>
      <w:tr w:rsidR="00096DDE" w14:paraId="7AF6E532" w14:textId="77777777">
        <w:trPr>
          <w:cantSplit/>
          <w:tblHeader/>
          <w:jc w:val="center"/>
        </w:trPr>
        <w:tc>
          <w:tcPr>
            <w:tcW w:w="2736" w:type="dxa"/>
            <w:vAlign w:val="center"/>
            <w:tcMar>
              <w:top w:w="55" w:type="dxa"/>
              <w:bottom w:w="55" w:type="dxa"/>
              <w:left w:w="70" w:type="dxa"/>
              <w:right w:w="70" w:type="dxa"/>
            </w:tcMar>
            <w:shd w:fill="E6EBEF"/>
          </w:tcPr>
          <w:p w14:paraId="24E4280F" w14:textId="77777777" w:rsidR="00096DDE" w:rsidRDefault="00000000" w:rsidP="002711FB">
            <w:pPr>
              <w:keepNext w:val="0"/>
              <w:keepLines/>
              <w:spacing w:after="0" w:line="240" w:lineRule="auto" w:before="0"/>
              <w:jc w:val="center"/>
            </w:pPr>
            <w:r>
              <w:rPr>
                <w:rFonts w:eastAsia="Times New Roman" w:cs="Times New Roman" w:ascii="Times New Roman" w:hAnsi="Times New Roman"/>
                <w:b/>
                <w:color w:val="000000"/>
                <w:sz w:val="20"/>
              </w:rPr>
              <w:t>Age group</w:t>
            </w:r>
          </w:p>
        </w:tc>
        <w:tc>
          <w:tcPr>
            <w:tcW w:w="1512" w:type="dxa"/>
            <w:vAlign w:val="center"/>
            <w:tcMar>
              <w:top w:w="55" w:type="dxa"/>
              <w:bottom w:w="55" w:type="dxa"/>
              <w:left w:w="70" w:type="dxa"/>
              <w:right w:w="70" w:type="dxa"/>
            </w:tcMar>
            <w:shd w:fill="E6EBEF"/>
          </w:tcPr>
          <w:p w14:paraId="5FE188B6" w14:textId="77777777" w:rsidR="00096DDE" w:rsidRDefault="00000000" w:rsidP="002711FB">
            <w:pPr>
              <w:keepNext w:val="0"/>
              <w:keepLines/>
              <w:spacing w:after="0" w:line="240" w:lineRule="auto" w:before="0"/>
              <w:jc w:val="center"/>
            </w:pPr>
            <w:r>
              <w:rPr>
                <w:rFonts w:eastAsia="Times New Roman" w:cs="Times New Roman" w:ascii="Times New Roman" w:hAnsi="Times New Roman"/>
                <w:b/>
                <w:color w:val="000000"/>
                <w:sz w:val="20"/>
              </w:rPr>
              <w:t>Age (years)</w:t>
            </w:r>
          </w:p>
        </w:tc>
        <w:tc>
          <w:tcPr>
            <w:tcW w:w="792" w:type="dxa"/>
            <w:vAlign w:val="center"/>
            <w:tcMar>
              <w:top w:w="55" w:type="dxa"/>
              <w:bottom w:w="55" w:type="dxa"/>
              <w:left w:w="70" w:type="dxa"/>
              <w:right w:w="70" w:type="dxa"/>
            </w:tcMar>
            <w:shd w:fill="E6EBEF"/>
          </w:tcPr>
          <w:p w14:paraId="6A468FF9" w14:textId="77777777" w:rsidR="00096DDE" w:rsidRDefault="00000000" w:rsidP="002711FB">
            <w:pPr>
              <w:keepNext w:val="0"/>
              <w:keepLines/>
              <w:spacing w:after="0" w:line="240" w:lineRule="auto" w:before="0"/>
              <w:jc w:val="center"/>
            </w:pPr>
            <w:r>
              <w:rPr>
                <w:rFonts w:eastAsia="Times New Roman" w:cs="Times New Roman" w:ascii="Times New Roman" w:hAnsi="Times New Roman"/>
                <w:b/>
                <w:color w:val="000000"/>
                <w:sz w:val="20"/>
              </w:rPr>
              <w:t>n</w:t>
            </w:r>
          </w:p>
        </w:tc>
        <w:tc>
          <w:tcPr>
            <w:tcW w:w="1656" w:type="dxa"/>
            <w:vAlign w:val="center"/>
            <w:tcMar>
              <w:top w:w="55" w:type="dxa"/>
              <w:bottom w:w="55" w:type="dxa"/>
              <w:left w:w="70" w:type="dxa"/>
              <w:right w:w="70" w:type="dxa"/>
            </w:tcMar>
            <w:shd w:fill="E6EBEF"/>
          </w:tcPr>
          <w:p w14:paraId="300E25D7" w14:textId="77777777" w:rsidR="00096DDE" w:rsidRDefault="00000000" w:rsidP="002711FB">
            <w:pPr>
              <w:keepNext w:val="0"/>
              <w:keepLines/>
              <w:spacing w:after="0" w:line="240" w:lineRule="auto" w:before="0"/>
              <w:jc w:val="center"/>
            </w:pPr>
            <w:r>
              <w:rPr>
                <w:rFonts w:eastAsia="Times New Roman" w:cs="Times New Roman" w:ascii="Times New Roman" w:hAnsi="Times New Roman"/>
                <w:b/>
                <w:color w:val="000000"/>
                <w:sz w:val="20"/>
              </w:rPr>
              <w:t>ASD / NC</w:t>
            </w:r>
          </w:p>
        </w:tc>
        <w:tc>
          <w:tcPr>
            <w:tcW w:w="1548" w:type="dxa"/>
            <w:vAlign w:val="center"/>
            <w:tcMar>
              <w:top w:w="55" w:type="dxa"/>
              <w:bottom w:w="55" w:type="dxa"/>
              <w:left w:w="70" w:type="dxa"/>
              <w:right w:w="70" w:type="dxa"/>
            </w:tcMar>
            <w:shd w:fill="E6EBEF"/>
          </w:tcPr>
          <w:p w14:paraId="29CE6F8A" w14:textId="77777777" w:rsidR="00096DDE" w:rsidRDefault="00000000" w:rsidP="002711FB">
            <w:pPr>
              <w:keepNext w:val="0"/>
              <w:keepLines/>
              <w:spacing w:after="0" w:line="240" w:lineRule="auto" w:before="0"/>
              <w:jc w:val="center"/>
            </w:pPr>
            <w:r>
              <w:rPr>
                <w:rFonts w:eastAsia="Times New Roman" w:cs="Times New Roman" w:ascii="Times New Roman" w:hAnsi="Times New Roman"/>
                <w:b/>
                <w:color w:val="000000"/>
                <w:sz w:val="20"/>
              </w:rPr>
              <w:t>AUC</w:t>
            </w:r>
          </w:p>
        </w:tc>
        <w:tc>
          <w:tcPr>
            <w:tcW w:w="1548" w:type="dxa"/>
            <w:vAlign w:val="center"/>
            <w:tcMar>
              <w:top w:w="55" w:type="dxa"/>
              <w:bottom w:w="55" w:type="dxa"/>
              <w:left w:w="70" w:type="dxa"/>
              <w:right w:w="70" w:type="dxa"/>
            </w:tcMar>
            <w:shd w:fill="E6EBEF"/>
          </w:tcPr>
          <w:p w14:paraId="6F99D114" w14:textId="77777777" w:rsidR="00096DDE" w:rsidRDefault="00000000" w:rsidP="002711FB">
            <w:pPr>
              <w:keepNext w:val="0"/>
              <w:keepLines/>
              <w:spacing w:after="0" w:line="240" w:lineRule="auto" w:before="0"/>
              <w:jc w:val="center"/>
            </w:pPr>
            <w:r>
              <w:rPr>
                <w:rFonts w:eastAsia="Times New Roman" w:cs="Times New Roman" w:ascii="Times New Roman" w:hAnsi="Times New Roman"/>
                <w:b/>
                <w:color w:val="000000"/>
                <w:sz w:val="20"/>
              </w:rPr>
              <w:t>ACC</w:t>
            </w:r>
          </w:p>
        </w:tc>
      </w:tr>
      <w:tr w:rsidR="00096DDE" w14:paraId="75412FFB" w14:textId="77777777">
        <w:trPr>
          <w:cantSplit/>
          <w:jc w:val="center"/>
        </w:trPr>
        <w:tc>
          <w:tcPr>
            <w:tcW w:w="2736" w:type="dxa"/>
            <w:vAlign w:val="center"/>
            <w:tcMar>
              <w:top w:w="55" w:type="dxa"/>
              <w:bottom w:w="55" w:type="dxa"/>
              <w:left w:w="70" w:type="dxa"/>
              <w:right w:w="70" w:type="dxa"/>
            </w:tcMar>
            <w:shd w:fill="FFFFFF"/>
          </w:tcPr>
          <w:p w14:paraId="6CC3B5CF" w14:textId="77777777" w:rsidR="00096DDE" w:rsidRDefault="00000000" w:rsidP="002711FB">
            <w:pPr>
              <w:keepNext w:val="0"/>
              <w:keepLines/>
              <w:spacing w:after="0" w:line="240" w:lineRule="auto" w:before="0"/>
              <w:jc w:val="center"/>
            </w:pPr>
            <w:r>
              <w:rPr>
                <w:rFonts w:eastAsia="Times New Roman" w:cs="Times New Roman" w:ascii="Times New Roman" w:hAnsi="Times New Roman"/>
                <w:b w:val="0"/>
                <w:color w:val="000000"/>
                <w:sz w:val="20"/>
              </w:rPr>
              <w:t>School-age children</w:t>
            </w:r>
          </w:p>
        </w:tc>
        <w:tc>
          <w:tcPr>
            <w:tcW w:w="1512" w:type="dxa"/>
            <w:vAlign w:val="center"/>
            <w:tcMar>
              <w:top w:w="55" w:type="dxa"/>
              <w:bottom w:w="55" w:type="dxa"/>
              <w:left w:w="70" w:type="dxa"/>
              <w:right w:w="70" w:type="dxa"/>
            </w:tcMar>
            <w:shd w:fill="FFFFFF"/>
          </w:tcPr>
          <w:p w14:paraId="2B22AFC6" w14:textId="77777777" w:rsidR="00096DDE" w:rsidRDefault="00000000" w:rsidP="002711FB">
            <w:pPr>
              <w:keepNext w:val="0"/>
              <w:keepLines/>
              <w:spacing w:after="0" w:line="240" w:lineRule="auto" w:before="0"/>
              <w:jc w:val="center"/>
            </w:pPr>
            <w:r>
              <w:rPr>
                <w:rFonts w:eastAsia="Times New Roman" w:cs="Times New Roman" w:ascii="Times New Roman" w:hAnsi="Times New Roman"/>
                <w:b w:val="0"/>
                <w:color w:val="000000"/>
                <w:sz w:val="20"/>
              </w:rPr>
              <w:t>6–12</w:t>
            </w:r>
          </w:p>
        </w:tc>
        <w:tc>
          <w:tcPr>
            <w:tcW w:w="792" w:type="dxa"/>
            <w:vAlign w:val="center"/>
            <w:tcMar>
              <w:top w:w="55" w:type="dxa"/>
              <w:bottom w:w="55" w:type="dxa"/>
              <w:left w:w="70" w:type="dxa"/>
              <w:right w:w="70" w:type="dxa"/>
            </w:tcMar>
            <w:shd w:fill="FFFFFF"/>
          </w:tcPr>
          <w:p w14:paraId="6CBE1638" w14:textId="77777777" w:rsidR="00096DDE" w:rsidRDefault="00000000" w:rsidP="002711FB">
            <w:pPr>
              <w:keepNext w:val="0"/>
              <w:keepLines/>
              <w:spacing w:after="0" w:line="240" w:lineRule="auto" w:before="0"/>
              <w:jc w:val="center"/>
            </w:pPr>
            <w:r>
              <w:rPr>
                <w:rFonts w:eastAsia="Times New Roman" w:cs="Times New Roman" w:ascii="Times New Roman" w:hAnsi="Times New Roman"/>
                <w:b w:val="0"/>
                <w:color w:val="000000"/>
                <w:sz w:val="20"/>
              </w:rPr>
              <w:t>379</w:t>
            </w:r>
          </w:p>
        </w:tc>
        <w:tc>
          <w:tcPr>
            <w:tcW w:w="1656" w:type="dxa"/>
            <w:vAlign w:val="center"/>
            <w:tcMar>
              <w:top w:w="55" w:type="dxa"/>
              <w:bottom w:w="55" w:type="dxa"/>
              <w:left w:w="70" w:type="dxa"/>
              <w:right w:w="70" w:type="dxa"/>
            </w:tcMar>
            <w:shd w:fill="FFFFFF"/>
          </w:tcPr>
          <w:p w14:paraId="536753A2" w14:textId="77777777" w:rsidR="00096DDE" w:rsidRDefault="00000000" w:rsidP="002711FB">
            <w:pPr>
              <w:keepNext w:val="0"/>
              <w:keepLines/>
              <w:spacing w:after="0" w:line="240" w:lineRule="auto" w:before="0"/>
              <w:jc w:val="center"/>
            </w:pPr>
            <w:r>
              <w:rPr>
                <w:rFonts w:eastAsia="Times New Roman" w:cs="Times New Roman" w:ascii="Times New Roman" w:hAnsi="Times New Roman"/>
                <w:b w:val="0"/>
                <w:color w:val="000000"/>
                <w:sz w:val="20"/>
              </w:rPr>
              <w:t>191 / 188</w:t>
            </w:r>
          </w:p>
        </w:tc>
        <w:tc>
          <w:tcPr>
            <w:tcW w:w="1548" w:type="dxa"/>
            <w:vAlign w:val="center"/>
            <w:tcMar>
              <w:top w:w="55" w:type="dxa"/>
              <w:bottom w:w="55" w:type="dxa"/>
              <w:left w:w="70" w:type="dxa"/>
              <w:right w:w="70" w:type="dxa"/>
            </w:tcMar>
            <w:shd w:fill="FFFFFF"/>
          </w:tcPr>
          <w:p w14:paraId="3E006044" w14:textId="77777777" w:rsidR="00096DDE" w:rsidRDefault="00000000" w:rsidP="002711FB">
            <w:pPr>
              <w:keepNext w:val="0"/>
              <w:keepLines/>
              <w:spacing w:after="0" w:line="240" w:lineRule="auto" w:before="0"/>
              <w:jc w:val="center"/>
            </w:pPr>
            <w:r>
              <w:rPr>
                <w:rFonts w:eastAsia="Times New Roman" w:cs="Times New Roman" w:ascii="Times New Roman" w:hAnsi="Times New Roman"/>
                <w:b w:val="0"/>
                <w:color w:val="000000"/>
                <w:sz w:val="20"/>
              </w:rPr>
              <w:t>0.6772</w:t>
            </w:r>
          </w:p>
        </w:tc>
        <w:tc>
          <w:tcPr>
            <w:tcW w:w="1548" w:type="dxa"/>
            <w:vAlign w:val="center"/>
            <w:tcMar>
              <w:top w:w="55" w:type="dxa"/>
              <w:bottom w:w="55" w:type="dxa"/>
              <w:left w:w="70" w:type="dxa"/>
              <w:right w:w="70" w:type="dxa"/>
            </w:tcMar>
            <w:shd w:fill="FFFFFF"/>
          </w:tcPr>
          <w:p w14:paraId="2F79F88E" w14:textId="77777777" w:rsidR="00096DDE" w:rsidRDefault="00000000" w:rsidP="002711FB">
            <w:pPr>
              <w:keepNext w:val="0"/>
              <w:keepLines/>
              <w:spacing w:after="0" w:line="240" w:lineRule="auto" w:before="0"/>
              <w:jc w:val="center"/>
            </w:pPr>
            <w:r>
              <w:rPr>
                <w:rFonts w:eastAsia="Times New Roman" w:cs="Times New Roman" w:ascii="Times New Roman" w:hAnsi="Times New Roman"/>
                <w:b w:val="0"/>
                <w:color w:val="000000"/>
                <w:sz w:val="20"/>
              </w:rPr>
              <w:t>0.6500</w:t>
            </w:r>
          </w:p>
        </w:tc>
      </w:tr>
      <w:tr w:rsidR="00096DDE" w14:paraId="52CB6A09" w14:textId="77777777">
        <w:trPr>
          <w:cantSplit/>
          <w:jc w:val="center"/>
        </w:trPr>
        <w:tc>
          <w:tcPr>
            <w:tcW w:w="2736" w:type="dxa"/>
            <w:vAlign w:val="center"/>
            <w:tcMar>
              <w:top w:w="55" w:type="dxa"/>
              <w:bottom w:w="55" w:type="dxa"/>
              <w:left w:w="70" w:type="dxa"/>
              <w:right w:w="70" w:type="dxa"/>
            </w:tcMar>
            <w:shd w:fill="FFFFFF"/>
          </w:tcPr>
          <w:p w14:paraId="60DAAC90" w14:textId="77777777" w:rsidR="00096DDE" w:rsidRDefault="00000000" w:rsidP="002711FB">
            <w:pPr>
              <w:keepNext w:val="0"/>
              <w:keepLines/>
              <w:spacing w:after="0" w:line="240" w:lineRule="auto" w:before="0"/>
              <w:jc w:val="center"/>
            </w:pPr>
            <w:r>
              <w:rPr>
                <w:rFonts w:eastAsia="Times New Roman" w:cs="Times New Roman" w:ascii="Times New Roman" w:hAnsi="Times New Roman"/>
                <w:b w:val="0"/>
                <w:color w:val="000000"/>
                <w:sz w:val="20"/>
              </w:rPr>
              <w:t>Adolescents</w:t>
            </w:r>
          </w:p>
        </w:tc>
        <w:tc>
          <w:tcPr>
            <w:tcW w:w="1512" w:type="dxa"/>
            <w:vAlign w:val="center"/>
            <w:tcMar>
              <w:top w:w="55" w:type="dxa"/>
              <w:bottom w:w="55" w:type="dxa"/>
              <w:left w:w="70" w:type="dxa"/>
              <w:right w:w="70" w:type="dxa"/>
            </w:tcMar>
            <w:shd w:fill="FFFFFF"/>
          </w:tcPr>
          <w:p w14:paraId="401AFE3C" w14:textId="77777777" w:rsidR="00096DDE" w:rsidRDefault="00000000" w:rsidP="002711FB">
            <w:pPr>
              <w:keepNext w:val="0"/>
              <w:keepLines/>
              <w:spacing w:after="0" w:line="240" w:lineRule="auto" w:before="0"/>
              <w:jc w:val="center"/>
            </w:pPr>
            <w:r>
              <w:rPr>
                <w:rFonts w:eastAsia="Times New Roman" w:cs="Times New Roman" w:ascii="Times New Roman" w:hAnsi="Times New Roman"/>
                <w:b w:val="0"/>
                <w:color w:val="000000"/>
                <w:sz w:val="20"/>
              </w:rPr>
              <w:t>13–17</w:t>
            </w:r>
          </w:p>
        </w:tc>
        <w:tc>
          <w:tcPr>
            <w:tcW w:w="792" w:type="dxa"/>
            <w:vAlign w:val="center"/>
            <w:tcMar>
              <w:top w:w="55" w:type="dxa"/>
              <w:bottom w:w="55" w:type="dxa"/>
              <w:left w:w="70" w:type="dxa"/>
              <w:right w:w="70" w:type="dxa"/>
            </w:tcMar>
            <w:shd w:fill="FFFFFF"/>
          </w:tcPr>
          <w:p w14:paraId="6698092E" w14:textId="77777777" w:rsidR="00096DDE" w:rsidRDefault="00000000" w:rsidP="002711FB">
            <w:pPr>
              <w:keepNext w:val="0"/>
              <w:keepLines/>
              <w:spacing w:after="0" w:line="240" w:lineRule="auto" w:before="0"/>
              <w:jc w:val="center"/>
            </w:pPr>
            <w:r>
              <w:rPr>
                <w:rFonts w:eastAsia="Times New Roman" w:cs="Times New Roman" w:ascii="Times New Roman" w:hAnsi="Times New Roman"/>
                <w:b w:val="0"/>
                <w:color w:val="000000"/>
                <w:sz w:val="20"/>
              </w:rPr>
              <w:t>334</w:t>
            </w:r>
          </w:p>
        </w:tc>
        <w:tc>
          <w:tcPr>
            <w:tcW w:w="1656" w:type="dxa"/>
            <w:vAlign w:val="center"/>
            <w:tcMar>
              <w:top w:w="55" w:type="dxa"/>
              <w:bottom w:w="55" w:type="dxa"/>
              <w:left w:w="70" w:type="dxa"/>
              <w:right w:w="70" w:type="dxa"/>
            </w:tcMar>
            <w:shd w:fill="FFFFFF"/>
          </w:tcPr>
          <w:p w14:paraId="71A50B31" w14:textId="77777777" w:rsidR="00096DDE" w:rsidRDefault="00000000" w:rsidP="002711FB">
            <w:pPr>
              <w:keepNext w:val="0"/>
              <w:keepLines/>
              <w:spacing w:after="0" w:line="240" w:lineRule="auto" w:before="0"/>
              <w:jc w:val="center"/>
            </w:pPr>
            <w:r>
              <w:rPr>
                <w:rFonts w:eastAsia="Times New Roman" w:cs="Times New Roman" w:ascii="Times New Roman" w:hAnsi="Times New Roman"/>
                <w:b w:val="0"/>
                <w:color w:val="000000"/>
                <w:sz w:val="20"/>
              </w:rPr>
              <w:t>158 / 176</w:t>
            </w:r>
          </w:p>
        </w:tc>
        <w:tc>
          <w:tcPr>
            <w:tcW w:w="1548" w:type="dxa"/>
            <w:vAlign w:val="center"/>
            <w:tcMar>
              <w:top w:w="55" w:type="dxa"/>
              <w:bottom w:w="55" w:type="dxa"/>
              <w:left w:w="70" w:type="dxa"/>
              <w:right w:w="70" w:type="dxa"/>
            </w:tcMar>
            <w:shd w:fill="FFFFFF"/>
          </w:tcPr>
          <w:p w14:paraId="63AB3CB4" w14:textId="77777777" w:rsidR="00096DDE" w:rsidRDefault="00000000" w:rsidP="002711FB">
            <w:pPr>
              <w:keepNext w:val="0"/>
              <w:keepLines/>
              <w:spacing w:after="0" w:line="240" w:lineRule="auto" w:before="0"/>
              <w:jc w:val="center"/>
            </w:pPr>
            <w:r>
              <w:rPr>
                <w:rFonts w:eastAsia="Times New Roman" w:cs="Times New Roman" w:ascii="Times New Roman" w:hAnsi="Times New Roman"/>
                <w:b w:val="0"/>
                <w:color w:val="000000"/>
                <w:sz w:val="20"/>
              </w:rPr>
              <w:t>0.7830</w:t>
            </w:r>
          </w:p>
        </w:tc>
        <w:tc>
          <w:tcPr>
            <w:tcW w:w="1548" w:type="dxa"/>
            <w:vAlign w:val="center"/>
            <w:tcMar>
              <w:top w:w="55" w:type="dxa"/>
              <w:bottom w:w="55" w:type="dxa"/>
              <w:left w:w="70" w:type="dxa"/>
              <w:right w:w="70" w:type="dxa"/>
            </w:tcMar>
            <w:shd w:fill="FFFFFF"/>
          </w:tcPr>
          <w:p w14:paraId="3B44A06E" w14:textId="77777777" w:rsidR="00096DDE" w:rsidRDefault="00000000" w:rsidP="002711FB">
            <w:pPr>
              <w:keepNext w:val="0"/>
              <w:keepLines/>
              <w:spacing w:after="0" w:line="240" w:lineRule="auto" w:before="0"/>
              <w:jc w:val="center"/>
            </w:pPr>
            <w:r>
              <w:rPr>
                <w:rFonts w:eastAsia="Times New Roman" w:cs="Times New Roman" w:ascii="Times New Roman" w:hAnsi="Times New Roman"/>
                <w:b w:val="0"/>
                <w:color w:val="000000"/>
                <w:sz w:val="20"/>
              </w:rPr>
              <w:t>0.7010</w:t>
            </w:r>
          </w:p>
        </w:tc>
      </w:tr>
      <w:tr w:rsidR="00096DDE" w14:paraId="20DE0D4C" w14:textId="77777777">
        <w:trPr>
          <w:cantSplit/>
          <w:jc w:val="center"/>
        </w:trPr>
        <w:tc>
          <w:tcPr>
            <w:tcW w:w="2736" w:type="dxa"/>
            <w:vAlign w:val="center"/>
            <w:tcMar>
              <w:top w:w="55" w:type="dxa"/>
              <w:bottom w:w="55" w:type="dxa"/>
              <w:left w:w="70" w:type="dxa"/>
              <w:right w:w="70" w:type="dxa"/>
            </w:tcMar>
            <w:shd w:fill="FFFFFF"/>
          </w:tcPr>
          <w:p w14:paraId="60AFBF72" w14:textId="77777777" w:rsidR="00096DDE" w:rsidRDefault="00000000" w:rsidP="002711FB">
            <w:pPr>
              <w:keepNext w:val="0"/>
              <w:keepLines/>
              <w:spacing w:after="0" w:line="240" w:lineRule="auto" w:before="0"/>
              <w:jc w:val="center"/>
            </w:pPr>
            <w:r>
              <w:rPr>
                <w:rFonts w:eastAsia="Times New Roman" w:cs="Times New Roman" w:ascii="Times New Roman" w:hAnsi="Times New Roman"/>
                <w:b w:val="0"/>
                <w:color w:val="000000"/>
                <w:sz w:val="20"/>
              </w:rPr>
              <w:t>Adults</w:t>
            </w:r>
          </w:p>
        </w:tc>
        <w:tc>
          <w:tcPr>
            <w:tcW w:w="1512" w:type="dxa"/>
            <w:vAlign w:val="center"/>
            <w:tcMar>
              <w:top w:w="55" w:type="dxa"/>
              <w:bottom w:w="55" w:type="dxa"/>
              <w:left w:w="70" w:type="dxa"/>
              <w:right w:w="70" w:type="dxa"/>
            </w:tcMar>
            <w:shd w:fill="FFFFFF"/>
          </w:tcPr>
          <w:p w14:paraId="515072FF" w14:textId="77777777" w:rsidR="00096DDE" w:rsidRDefault="00000000" w:rsidP="002711FB">
            <w:pPr>
              <w:keepNext w:val="0"/>
              <w:keepLines/>
              <w:spacing w:after="0" w:line="240" w:lineRule="auto" w:before="0"/>
              <w:jc w:val="center"/>
            </w:pPr>
            <w:r w:rsidRPr="00D23920">
              <w:rPr>
                <w:rFonts w:eastAsia="Times New Roman" w:cs="Times New Roman" w:ascii="Times New Roman" w:hAnsi="Times New Roman"/>
                <w:b w:val="0"/>
                <w:color w:val="000000"/>
                <w:sz w:val="20"/>
              </w:rPr>
              <w:t>≥18</w:t>
            </w:r>
          </w:p>
        </w:tc>
        <w:tc>
          <w:tcPr>
            <w:tcW w:w="792" w:type="dxa"/>
            <w:vAlign w:val="center"/>
            <w:tcMar>
              <w:top w:w="55" w:type="dxa"/>
              <w:bottom w:w="55" w:type="dxa"/>
              <w:left w:w="70" w:type="dxa"/>
              <w:right w:w="70" w:type="dxa"/>
            </w:tcMar>
            <w:shd w:fill="FFFFFF"/>
          </w:tcPr>
          <w:p w14:paraId="165880C6" w14:textId="77777777" w:rsidR="00096DDE" w:rsidRDefault="00000000" w:rsidP="002711FB">
            <w:pPr>
              <w:keepNext w:val="0"/>
              <w:keepLines/>
              <w:spacing w:after="0" w:line="240" w:lineRule="auto" w:before="0"/>
              <w:jc w:val="center"/>
            </w:pPr>
            <w:r>
              <w:rPr>
                <w:rFonts w:eastAsia="Times New Roman" w:cs="Times New Roman" w:ascii="Times New Roman" w:hAnsi="Times New Roman"/>
                <w:b w:val="0"/>
                <w:color w:val="000000"/>
                <w:sz w:val="20"/>
              </w:rPr>
              <w:t>307</w:t>
            </w:r>
          </w:p>
        </w:tc>
        <w:tc>
          <w:tcPr>
            <w:tcW w:w="1656" w:type="dxa"/>
            <w:vAlign w:val="center"/>
            <w:tcMar>
              <w:top w:w="55" w:type="dxa"/>
              <w:bottom w:w="55" w:type="dxa"/>
              <w:left w:w="70" w:type="dxa"/>
              <w:right w:w="70" w:type="dxa"/>
            </w:tcMar>
            <w:shd w:fill="FFFFFF"/>
          </w:tcPr>
          <w:p w14:paraId="5C50E121" w14:textId="77777777" w:rsidR="00096DDE" w:rsidRDefault="00000000" w:rsidP="002711FB">
            <w:pPr>
              <w:keepNext w:val="0"/>
              <w:keepLines/>
              <w:spacing w:after="0" w:line="240" w:lineRule="auto" w:before="0"/>
              <w:jc w:val="center"/>
            </w:pPr>
            <w:r>
              <w:rPr>
                <w:rFonts w:eastAsia="Times New Roman" w:cs="Times New Roman" w:ascii="Times New Roman" w:hAnsi="Times New Roman"/>
                <w:b w:val="0"/>
                <w:color w:val="000000"/>
                <w:sz w:val="20"/>
              </w:rPr>
              <w:t>151 / 156</w:t>
            </w:r>
          </w:p>
        </w:tc>
        <w:tc>
          <w:tcPr>
            <w:tcW w:w="1548" w:type="dxa"/>
            <w:vAlign w:val="center"/>
            <w:tcMar>
              <w:top w:w="55" w:type="dxa"/>
              <w:bottom w:w="55" w:type="dxa"/>
              <w:left w:w="70" w:type="dxa"/>
              <w:right w:w="70" w:type="dxa"/>
            </w:tcMar>
            <w:shd w:fill="FFFFFF"/>
          </w:tcPr>
          <w:p w14:paraId="25D9877B" w14:textId="77777777" w:rsidR="00096DDE" w:rsidRDefault="00000000" w:rsidP="002711FB">
            <w:pPr>
              <w:keepNext w:val="0"/>
              <w:keepLines/>
              <w:spacing w:after="0" w:line="240" w:lineRule="auto" w:before="0"/>
              <w:jc w:val="center"/>
            </w:pPr>
            <w:r>
              <w:rPr>
                <w:rFonts w:eastAsia="Times New Roman" w:cs="Times New Roman" w:ascii="Times New Roman" w:hAnsi="Times New Roman"/>
                <w:b w:val="0"/>
                <w:color w:val="000000"/>
                <w:sz w:val="20"/>
              </w:rPr>
              <w:t>0.6615</w:t>
            </w:r>
          </w:p>
        </w:tc>
        <w:tc>
          <w:tcPr>
            <w:tcW w:w="1548" w:type="dxa"/>
            <w:vAlign w:val="center"/>
            <w:tcMar>
              <w:top w:w="55" w:type="dxa"/>
              <w:bottom w:w="55" w:type="dxa"/>
              <w:left w:w="70" w:type="dxa"/>
              <w:right w:w="70" w:type="dxa"/>
            </w:tcMar>
            <w:shd w:fill="FFFFFF"/>
          </w:tcPr>
          <w:p w14:paraId="252F4104" w14:textId="77777777" w:rsidR="00096DDE" w:rsidRDefault="00000000" w:rsidP="002711FB">
            <w:pPr>
              <w:keepNext w:val="0"/>
              <w:keepLines/>
              <w:spacing w:after="0" w:line="240" w:lineRule="auto" w:before="0"/>
              <w:jc w:val="center"/>
            </w:pPr>
            <w:r>
              <w:rPr>
                <w:rFonts w:eastAsia="Times New Roman" w:cs="Times New Roman" w:ascii="Times New Roman" w:hAnsi="Times New Roman"/>
                <w:b w:val="0"/>
                <w:color w:val="000000"/>
                <w:sz w:val="20"/>
              </w:rPr>
              <w:t>0.6128</w:t>
            </w:r>
          </w:p>
        </w:tc>
      </w:tr>
    </w:tbl>
    <w:p w14:paraId="01B0E418" w14:textId="77777777" w:rsidR="00096DDE" w:rsidRDefault="00BD6444" w:rsidP="002711FB">
      <w:pPr>
        <w:widowControl/>
        <w:spacing w:before="120"/>
        <w:jc w:val="both"/>
      </w:pPr>
      <w:r>
        <w:rPr>
          <w:rFonts w:eastAsia="Times New Roman" w:cs="Times New Roman" w:ascii="Times New Roman" w:hAnsi="Times New Roman"/>
          <w:color w:val="000000"/>
          <w:sz w:val="22"/>
        </w:rPr>
        <w:t>Figure 3 shows the validation-weighted ensemble saliency map, highlighting the top 5% of brain regions based on the absolute gradient of the ASD prediction score.</w:t>
      </w:r>
    </w:p>
    <w:p w14:paraId="7A2B2B21" w14:textId="77777777" w:rsidR="00096DDE" w:rsidRDefault="00000000" w:rsidP="00A21BB3">
      <w:pPr>
        <w:keepNext/>
        <w:keepLines/>
        <w:widowControl/>
        <w:spacing w:before="80" w:after="40" w:line="240" w:lineRule="auto"/>
        <w:jc w:val="center"/>
      </w:pPr>
      <w:r>
        <w:rPr>
          <w:rFonts w:eastAsia="Times New Roman" w:cs="Times New Roman" w:ascii="Times New Roman" w:hAnsi="Times New Roman"/>
          <w:noProof/>
          <w:color w:val="000000"/>
          <w:sz w:val="2"/>
        </w:rPr>
        <w:lastRenderedPageBreak/>
        <w:drawing>
          <wp:inline distT="0" distB="0" distL="0" distR="0" wp14:anchorId="3DBFDDE7" wp14:editId="6131EE0E">
            <wp:extent cx="5144370" cy="28724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168407" cy="2885829"/>
                    </a:xfrm>
                    <a:prstGeom prst="rect">
                      <a:avLst/>
                    </a:prstGeom>
                  </pic:spPr>
                </pic:pic>
              </a:graphicData>
            </a:graphic>
          </wp:inline>
        </w:drawing>
      </w:r>
    </w:p>
    <w:p w14:paraId="65229CF4" w14:textId="77777777" w:rsidR="00096DDE" w:rsidRDefault="00000000" w:rsidP="002711FB">
      <w:pPr>
        <w:pStyle w:val="af7"/>
        <w:keepNext w:val="0"/>
        <w:keepLines/>
        <w:widowControl/>
        <w:spacing w:before="60" w:line="247" w:lineRule="auto" w:after="140"/>
        <w:jc w:val="left"/>
      </w:pPr>
      <w:r>
        <w:rPr>
          <w:rFonts w:eastAsia="Times New Roman" w:cs="Times New Roman" w:ascii="Times New Roman" w:hAnsi="Times New Roman"/>
          <w:b/>
          <w:color w:val="000000"/>
          <w:sz w:val="19"/>
        </w:rPr>
        <w:t xml:space="preserve">Figure 3. Cortical distribution of ensemble saliency for ASD classification. </w:t>
      </w:r>
      <w:r>
        <w:rPr>
          <w:rFonts w:eastAsia="Times New Roman" w:cs="Times New Roman" w:ascii="Times New Roman" w:hAnsi="Times New Roman"/>
          <w:color w:val="000000"/>
          <w:sz w:val="19"/>
        </w:rPr>
        <w:t>Absolute-gradient saliency maps from the CC400 and EZ models were combined using validation-derived weights. The top 5% of relative importance values are shown on lateral and medial surfaces of both hemispheres. Darker red indicates higher relative importance.</w:t>
      </w:r>
    </w:p>
    <w:p w14:paraId="7BEC3918" w14:textId="77777777" w:rsidR="00096DDE" w:rsidRDefault="00000000" w:rsidP="002711FB">
      <w:pPr>
        <w:pStyle w:val="1"/>
        <w:widowControl/>
        <w:spacing w:before="180" w:line="240" w:lineRule="auto"/>
        <w:jc w:val="left"/>
      </w:pPr>
      <w:r>
        <w:rPr>
          <w:rFonts w:eastAsia="Times New Roman" w:cs="Times New Roman" w:ascii="Times New Roman" w:hAnsi="Times New Roman"/>
          <w:b/>
          <w:color w:val="000000"/>
          <w:sz w:val="24"/>
        </w:rPr>
        <w:t>Discussion</w:t>
      </w:r>
    </w:p>
    <w:p w14:paraId="3057429C" w14:textId="77777777" w:rsidR="00096DDE" w:rsidRDefault="00EF3A54" w:rsidP="002711FB">
      <w:pPr>
        <w:widowControl/>
        <w:jc w:val="both"/>
      </w:pPr>
      <w:r>
        <w:rPr>
          <w:rFonts w:eastAsia="Times New Roman" w:cs="Times New Roman" w:ascii="Times New Roman" w:hAnsi="Times New Roman"/>
          <w:color w:val="000000"/>
          <w:sz w:val="22"/>
        </w:rPr>
        <w:t>The framework demonstrated generalization to unseen sites, with a mean AUC of 0.7033 across the eight larger sites. The lowest performance at OHSU may partly reflect its shorter time series. Age-stratified performance suggested age-related differences in discriminability and motivated further research in younger populations. Saliency maps highlighted posterior medial, medial frontal, temporoparietal, and temporo-occipital cortices, providing preliminary insight into connectivity features contributing to model predictions.</w:t>
      </w:r>
    </w:p>
    <w:p w14:paraId="1EA31BF0" w14:textId="77777777" w:rsidR="00096DDE" w:rsidRDefault="00000000" w:rsidP="002711FB">
      <w:pPr>
        <w:pStyle w:val="1"/>
        <w:widowControl/>
        <w:spacing w:before="180" w:line="240" w:lineRule="auto"/>
        <w:jc w:val="left"/>
      </w:pPr>
      <w:r>
        <w:rPr>
          <w:rFonts w:eastAsia="Times New Roman" w:cs="Times New Roman" w:ascii="Times New Roman" w:hAnsi="Times New Roman"/>
          <w:b/>
          <w:color w:val="000000"/>
          <w:sz w:val="24"/>
        </w:rPr>
        <w:t>Conclusion</w:t>
      </w:r>
    </w:p>
    <w:p w14:paraId="727381AE" w14:textId="77777777" w:rsidR="00096DDE" w:rsidRDefault="00F41EE3" w:rsidP="002711FB">
      <w:pPr>
        <w:widowControl/>
        <w:jc w:val="both"/>
        <w:rPr>
          <w:lang w:eastAsia="zh-CN"/>
        </w:rPr>
      </w:pPr>
      <w:r>
        <w:rPr>
          <w:rFonts w:eastAsia="Times New Roman" w:cs="Times New Roman" w:ascii="Times New Roman" w:hAnsi="Times New Roman"/>
          <w:color w:val="000000"/>
          <w:sz w:val="22"/>
        </w:rPr>
        <w:t>Multi-atlas, multi-granularity dFC features and triplet metric learning support cross-site ASD classification and provide preliminary insight into regional contributions to model predictions. Future work will aim to improve cross-site classification and investigate connectivity patterns that consistently contribute to predictions across sites, relating them to functional brain networks.</w:t>
      </w:r>
    </w:p>
    <w:p w14:paraId="5442D297" w14:textId="77777777" w:rsidR="00096DDE" w:rsidRDefault="00000000" w:rsidP="002711FB">
      <w:pPr>
        <w:pStyle w:val="1"/>
        <w:pageBreakBefore/>
        <w:widowControl/>
        <w:spacing w:before="180" w:line="240" w:lineRule="auto"/>
        <w:jc w:val="left"/>
      </w:pPr>
      <w:r>
        <w:rPr>
          <w:rFonts w:eastAsia="Times New Roman" w:cs="Times New Roman" w:ascii="Times New Roman" w:hAnsi="Times New Roman"/>
          <w:b/>
          <w:color w:val="000000"/>
          <w:sz w:val="24"/>
        </w:rPr>
        <w:lastRenderedPageBreak/>
        <w:t>References</w:t>
      </w:r>
    </w:p>
    <w:p>
      <w:pPr>
        <w:keepLines/>
        <w:spacing w:line="240" w:lineRule="auto" w:after="100"/>
        <w:ind w:left="360" w:hanging="360"/>
        <w:jc w:val="left"/>
      </w:pPr>
      <w:r>
        <w:rPr>
          <w:rFonts w:ascii="Times New Roman" w:hAnsi="Times New Roman"/>
          <w:b w:val="0"/>
          <w:color w:val="000000"/>
          <w:sz w:val="19"/>
        </w:rPr>
        <w:t>1. GBD 2023 Mental Disorder Collaborators. Updated trends in the global prevalence and burden of mental disorders, 1990–2023: a systematic analysis for the Global Burden of Disease Study 2023. Lancet. 2026;407(10543):2040–2064. doi:10.1016/S0140-6736(26)00519-2.</w:t>
      </w:r>
    </w:p>
    <w:p>
      <w:pPr>
        <w:keepLines/>
        <w:spacing w:line="240" w:lineRule="auto" w:after="100"/>
        <w:ind w:left="360" w:hanging="360"/>
        <w:jc w:val="left"/>
      </w:pPr>
      <w:r>
        <w:rPr>
          <w:rFonts w:ascii="Times New Roman" w:hAnsi="Times New Roman"/>
          <w:b w:val="0"/>
          <w:color w:val="000000"/>
          <w:sz w:val="19"/>
        </w:rPr>
        <w:t>2. Hirota T, King BH. Autism spectrum disorder: a review. JAMA. 2023;329(2):157–168. doi:10.1001/jama.2022.23661.</w:t>
      </w:r>
    </w:p>
    <w:p>
      <w:pPr>
        <w:keepLines/>
        <w:spacing w:line="240" w:lineRule="auto" w:after="100"/>
        <w:ind w:left="360" w:hanging="360"/>
        <w:jc w:val="left"/>
      </w:pPr>
      <w:r>
        <w:rPr>
          <w:rFonts w:ascii="Times New Roman" w:hAnsi="Times New Roman"/>
          <w:b w:val="0"/>
          <w:color w:val="000000"/>
          <w:sz w:val="19"/>
        </w:rPr>
        <w:t>3. Amemiya S, Takao H, Abe O. Resting-state fMRI: emerging concepts for future clinical application. J Magn Reson Imaging. 2024;59(4):1135–1148. doi:10.1002/jmri.28894.</w:t>
      </w:r>
    </w:p>
    <w:p>
      <w:pPr>
        <w:keepLines/>
        <w:spacing w:line="240" w:lineRule="auto" w:after="100"/>
        <w:ind w:left="360" w:hanging="360"/>
        <w:jc w:val="left"/>
      </w:pPr>
      <w:r>
        <w:rPr>
          <w:rFonts w:ascii="Times New Roman" w:hAnsi="Times New Roman"/>
          <w:b w:val="0"/>
          <w:color w:val="000000"/>
          <w:sz w:val="19"/>
        </w:rPr>
        <w:t>4. Ilioska I, Oldehinkel M, Llera A, et al. Multiscale heterogeneity of atypical functional connectivity in autism. Nat Ment Health. 2026;4(6):1010–1020. doi:10.1038/s44220-026-00656-y.</w:t>
      </w:r>
    </w:p>
    <w:p>
      <w:pPr>
        <w:keepLines/>
        <w:spacing w:line="240" w:lineRule="auto" w:after="100"/>
        <w:ind w:left="360" w:hanging="360"/>
        <w:jc w:val="left"/>
      </w:pPr>
      <w:r>
        <w:rPr>
          <w:rFonts w:ascii="Times New Roman" w:hAnsi="Times New Roman"/>
          <w:b w:val="0"/>
          <w:color w:val="000000"/>
          <w:sz w:val="19"/>
        </w:rPr>
        <w:t>5. Itahashi T, Yamashita A, Takahara Y, et al. Generalizable and transportable resting-state neural signatures characterized by functional networks, neurotransmitters, and clinical symptoms in autism. Mol Psychiatry. 2025;30(4):1466–1478. doi:10.1038/s41380-024-02759-3.</w:t>
      </w:r>
    </w:p>
    <w:p>
      <w:pPr>
        <w:keepLines/>
        <w:spacing w:line="240" w:lineRule="auto" w:after="100"/>
        <w:ind w:left="360" w:hanging="360"/>
        <w:jc w:val="left"/>
      </w:pPr>
      <w:r>
        <w:rPr>
          <w:rFonts w:ascii="Times New Roman" w:hAnsi="Times New Roman"/>
          <w:b w:val="0"/>
          <w:color w:val="000000"/>
          <w:sz w:val="19"/>
        </w:rPr>
        <w:t>6. Di Martino A, Yan CG, Li Q, et al. The autism brain imaging data exchange: towards a large-scale evaluation of the intrinsic brain architecture in autism. Mol Psychiatry. 2014;19(6):659–667. doi:10.1038/mp.2013.78.</w:t>
      </w:r>
    </w:p>
    <w:p>
      <w:pPr>
        <w:keepLines/>
        <w:spacing w:line="240" w:lineRule="auto" w:after="100"/>
        <w:ind w:left="360" w:hanging="360"/>
        <w:jc w:val="left"/>
      </w:pPr>
      <w:r>
        <w:rPr>
          <w:rFonts w:ascii="Times New Roman" w:hAnsi="Times New Roman"/>
          <w:b w:val="0"/>
          <w:color w:val="000000"/>
          <w:sz w:val="19"/>
        </w:rPr>
        <w:t>7. Wang L, Sun Y, Seidlitz J, et al. A lifespan-generalizable skull-stripping model for magnetic resonance images that leverages prior knowledge from brain atlases. Nat Biomed Eng. 2025;9(5):700–715. doi:10.1038/s41551-024-01337-w.</w:t>
      </w:r>
    </w:p>
    <w:p>
      <w:pPr>
        <w:keepLines/>
        <w:spacing w:line="240" w:lineRule="auto" w:after="100"/>
        <w:ind w:left="360" w:hanging="360"/>
        <w:jc w:val="left"/>
      </w:pPr>
      <w:r>
        <w:rPr>
          <w:rFonts w:ascii="Times New Roman" w:hAnsi="Times New Roman"/>
          <w:b w:val="0"/>
          <w:color w:val="000000"/>
          <w:sz w:val="19"/>
        </w:rPr>
        <w:t>8. Avants BB, Tustison NJ, Song G, et al. A reproducible evaluation of ANTs similarity metric performance in brain image registration. NeuroImage. 2011;54(3):2033–2044. doi:10.1016/j.neuroimage.2010.09.025.</w:t>
      </w:r>
    </w:p>
    <w:p>
      <w:pPr>
        <w:keepLines/>
        <w:spacing w:line="240" w:lineRule="auto" w:after="100"/>
        <w:ind w:left="360" w:hanging="360"/>
        <w:jc w:val="left"/>
      </w:pPr>
      <w:r>
        <w:rPr>
          <w:rFonts w:ascii="Times New Roman" w:hAnsi="Times New Roman"/>
          <w:b w:val="0"/>
          <w:color w:val="000000"/>
          <w:sz w:val="19"/>
        </w:rPr>
        <w:t>9. Jenkinson M, Bannister P, Brady M, Smith S. Improved optimization for the robust and accurate linear registration and motion correction of brain images. NeuroImage. 2002;17(2):825–841. doi:10.1006/nimg.2002.1132.</w:t>
      </w:r>
    </w:p>
    <w:p>
      <w:pPr>
        <w:keepLines/>
        <w:spacing w:line="240" w:lineRule="auto" w:after="100"/>
        <w:ind w:left="360" w:hanging="360"/>
        <w:jc w:val="left"/>
      </w:pPr>
      <w:r>
        <w:rPr>
          <w:rFonts w:ascii="Times New Roman" w:hAnsi="Times New Roman"/>
          <w:b w:val="0"/>
          <w:color w:val="000000"/>
          <w:sz w:val="19"/>
        </w:rPr>
        <w:t>10. Greve DN, Fischl B. Accurate and robust brain image alignment using boundary-based registration. NeuroImage. 2009;48(1):63–72. doi:10.1016/j.neuroimage.2009.06.060.</w:t>
      </w:r>
    </w:p>
    <w:p>
      <w:pPr>
        <w:keepLines/>
        <w:spacing w:line="240" w:lineRule="auto" w:after="100"/>
        <w:ind w:left="360" w:hanging="360"/>
        <w:jc w:val="left"/>
      </w:pPr>
      <w:r>
        <w:rPr>
          <w:rFonts w:ascii="Times New Roman" w:hAnsi="Times New Roman"/>
          <w:b w:val="0"/>
          <w:color w:val="000000"/>
          <w:sz w:val="19"/>
        </w:rPr>
        <w:t>11. Sun Y, Wang L, Li G, Lin W, Wang L. A foundation model for enhancing magnetic resonance images and downstream segmentation, registration and diagnostic tasks. Nat Biomed Eng. 2025;9(4):521–538. doi:10.1038/s41551-024-01283-7.</w:t>
      </w:r>
    </w:p>
    <w:p>
      <w:pPr>
        <w:keepLines/>
        <w:spacing w:line="240" w:lineRule="auto" w:after="100"/>
        <w:ind w:left="360" w:hanging="360"/>
        <w:jc w:val="left"/>
      </w:pPr>
      <w:r>
        <w:rPr>
          <w:rFonts w:ascii="Times New Roman" w:hAnsi="Times New Roman"/>
          <w:b w:val="0"/>
          <w:color w:val="000000"/>
          <w:sz w:val="19"/>
        </w:rPr>
        <w:t>12. Tzourio-Mazoyer N, Landeau B, Papathanassiou D, et al. Automated anatomical labeling of activations in SPM using a macroscopic anatomical parcellation of the MNI MRI single-subject brain. NeuroImage. 2002;15(1):273–289. doi:10.1006/nimg.2001.0978.</w:t>
      </w:r>
    </w:p>
    <w:p>
      <w:pPr>
        <w:keepLines/>
        <w:spacing w:line="240" w:lineRule="auto" w:after="100"/>
        <w:ind w:left="360" w:hanging="360"/>
        <w:jc w:val="left"/>
      </w:pPr>
      <w:r>
        <w:rPr>
          <w:rFonts w:ascii="Times New Roman" w:hAnsi="Times New Roman"/>
          <w:b w:val="0"/>
          <w:color w:val="000000"/>
          <w:sz w:val="19"/>
        </w:rPr>
        <w:t>13. Craddock RC, James GA, Holtzheimer PE 3rd, Hu XP, Mayberg HS. A whole brain fMRI atlas generated via spatially constrained spectral clustering. Hum Brain Mapp. 2012;33(8):1914–1928. doi:10.1002/hbm.21333.</w:t>
      </w:r>
    </w:p>
    <w:p>
      <w:pPr>
        <w:keepLines/>
        <w:spacing w:line="240" w:lineRule="auto" w:after="100"/>
        <w:ind w:left="360" w:hanging="360"/>
        <w:jc w:val="left"/>
      </w:pPr>
      <w:r>
        <w:rPr>
          <w:rFonts w:ascii="Times New Roman" w:hAnsi="Times New Roman"/>
          <w:b w:val="0"/>
          <w:color w:val="000000"/>
          <w:sz w:val="19"/>
        </w:rPr>
        <w:t>14. Dosenbach NUF, Nardos B, Cohen AL, et al. Prediction of individual brain maturity using fMRI. Science. 2010;329(5997):1358–1361. doi:10.1126/science.1194144.</w:t>
      </w:r>
    </w:p>
    <w:p>
      <w:pPr>
        <w:keepLines/>
        <w:spacing w:line="240" w:lineRule="auto" w:after="100"/>
        <w:ind w:left="360" w:hanging="360"/>
        <w:jc w:val="left"/>
      </w:pPr>
      <w:r>
        <w:rPr>
          <w:rFonts w:ascii="Times New Roman" w:hAnsi="Times New Roman"/>
          <w:b w:val="0"/>
          <w:color w:val="000000"/>
          <w:sz w:val="19"/>
        </w:rPr>
        <w:t>15. Eickhoff SB, Stephan KE, Mohlberg H, Grefkes C, Fink GR, Amunts K, Zilles K. A new SPM toolbox for combining probabilistic cytoarchitectonic maps and functional imaging data. NeuroImage. 2005;25(4):1325–1335. doi:10.1016/j.neuroimage.2004.12.034.</w:t>
      </w:r>
    </w:p>
    <w:p>
      <w:pPr>
        <w:keepLines/>
        <w:spacing w:line="240" w:lineRule="auto" w:after="100"/>
        <w:ind w:left="360" w:hanging="360"/>
        <w:jc w:val="left"/>
      </w:pPr>
      <w:r>
        <w:rPr>
          <w:rFonts w:ascii="Times New Roman" w:hAnsi="Times New Roman"/>
          <w:b w:val="0"/>
          <w:color w:val="000000"/>
          <w:sz w:val="19"/>
        </w:rPr>
        <w:t>16. Desikan RS, Ségonne F, Fischl B, et al. An automated labeling system for subdividing the human cerebral cortex on MRI scans into gyral based regions of interest. NeuroImage. 2006;31(3):968–980. doi:10.1016/j.neuroimage.2006.01.021.</w:t>
      </w:r>
    </w:p>
    <w:sectPr w:rsidR="00B76649"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95636378">
    <w:abstractNumId w:val="8"/>
  </w:num>
  <w:num w:numId="2" w16cid:durableId="1790665120">
    <w:abstractNumId w:val="6"/>
  </w:num>
  <w:num w:numId="3" w16cid:durableId="504982398">
    <w:abstractNumId w:val="5"/>
  </w:num>
  <w:num w:numId="4" w16cid:durableId="415907854">
    <w:abstractNumId w:val="4"/>
  </w:num>
  <w:num w:numId="5" w16cid:durableId="426658889">
    <w:abstractNumId w:val="7"/>
  </w:num>
  <w:num w:numId="6" w16cid:durableId="1175919334">
    <w:abstractNumId w:val="3"/>
  </w:num>
  <w:num w:numId="7" w16cid:durableId="708729412">
    <w:abstractNumId w:val="2"/>
  </w:num>
  <w:num w:numId="8" w16cid:durableId="406462419">
    <w:abstractNumId w:val="1"/>
  </w:num>
  <w:num w:numId="9" w16cid:durableId="118652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BB6"/>
    <w:rsid w:val="0002009A"/>
    <w:rsid w:val="000263BE"/>
    <w:rsid w:val="00027DCB"/>
    <w:rsid w:val="00031FE7"/>
    <w:rsid w:val="00034616"/>
    <w:rsid w:val="000349AB"/>
    <w:rsid w:val="00051C5C"/>
    <w:rsid w:val="0006063C"/>
    <w:rsid w:val="0006154B"/>
    <w:rsid w:val="00096DDE"/>
    <w:rsid w:val="000D0970"/>
    <w:rsid w:val="00105AEF"/>
    <w:rsid w:val="00112546"/>
    <w:rsid w:val="0015074B"/>
    <w:rsid w:val="0017335C"/>
    <w:rsid w:val="001E6E3E"/>
    <w:rsid w:val="00227F2C"/>
    <w:rsid w:val="00237C27"/>
    <w:rsid w:val="00265BD0"/>
    <w:rsid w:val="00270F49"/>
    <w:rsid w:val="002711FB"/>
    <w:rsid w:val="00292884"/>
    <w:rsid w:val="0029639D"/>
    <w:rsid w:val="002B1F73"/>
    <w:rsid w:val="002B2E2D"/>
    <w:rsid w:val="002D1A28"/>
    <w:rsid w:val="002D70C1"/>
    <w:rsid w:val="002F405C"/>
    <w:rsid w:val="00314B90"/>
    <w:rsid w:val="00323C34"/>
    <w:rsid w:val="00326F90"/>
    <w:rsid w:val="003301E1"/>
    <w:rsid w:val="00330373"/>
    <w:rsid w:val="003315E9"/>
    <w:rsid w:val="00332AA2"/>
    <w:rsid w:val="00332C29"/>
    <w:rsid w:val="00336401"/>
    <w:rsid w:val="00352D3F"/>
    <w:rsid w:val="003D235A"/>
    <w:rsid w:val="0040515A"/>
    <w:rsid w:val="00407955"/>
    <w:rsid w:val="00432126"/>
    <w:rsid w:val="00483AF3"/>
    <w:rsid w:val="004F61FB"/>
    <w:rsid w:val="00505D5E"/>
    <w:rsid w:val="00521716"/>
    <w:rsid w:val="0056300E"/>
    <w:rsid w:val="00583451"/>
    <w:rsid w:val="00585C88"/>
    <w:rsid w:val="00593F17"/>
    <w:rsid w:val="005B265F"/>
    <w:rsid w:val="005C3880"/>
    <w:rsid w:val="005D67EB"/>
    <w:rsid w:val="005E0289"/>
    <w:rsid w:val="00625AA8"/>
    <w:rsid w:val="0063144F"/>
    <w:rsid w:val="006428F6"/>
    <w:rsid w:val="006436AB"/>
    <w:rsid w:val="006478E6"/>
    <w:rsid w:val="006528E1"/>
    <w:rsid w:val="006840E6"/>
    <w:rsid w:val="00685ED1"/>
    <w:rsid w:val="006B0427"/>
    <w:rsid w:val="006B0B96"/>
    <w:rsid w:val="0070156C"/>
    <w:rsid w:val="00712471"/>
    <w:rsid w:val="00734266"/>
    <w:rsid w:val="00737B33"/>
    <w:rsid w:val="00746AAD"/>
    <w:rsid w:val="00761B84"/>
    <w:rsid w:val="0077470F"/>
    <w:rsid w:val="00780654"/>
    <w:rsid w:val="0078661C"/>
    <w:rsid w:val="00797A97"/>
    <w:rsid w:val="007A0A06"/>
    <w:rsid w:val="007B7A85"/>
    <w:rsid w:val="007C386B"/>
    <w:rsid w:val="007C3BED"/>
    <w:rsid w:val="007C6E72"/>
    <w:rsid w:val="007D26C9"/>
    <w:rsid w:val="007D2C78"/>
    <w:rsid w:val="007D4CD1"/>
    <w:rsid w:val="007E1844"/>
    <w:rsid w:val="00804D70"/>
    <w:rsid w:val="00874DAE"/>
    <w:rsid w:val="008850A4"/>
    <w:rsid w:val="00890348"/>
    <w:rsid w:val="008F40C2"/>
    <w:rsid w:val="0092298E"/>
    <w:rsid w:val="00923625"/>
    <w:rsid w:val="00974604"/>
    <w:rsid w:val="00974B44"/>
    <w:rsid w:val="00A205C4"/>
    <w:rsid w:val="00A21BB3"/>
    <w:rsid w:val="00A25329"/>
    <w:rsid w:val="00A46863"/>
    <w:rsid w:val="00A6646A"/>
    <w:rsid w:val="00A86818"/>
    <w:rsid w:val="00AA1D8D"/>
    <w:rsid w:val="00AA4665"/>
    <w:rsid w:val="00AA5B35"/>
    <w:rsid w:val="00AF3CA5"/>
    <w:rsid w:val="00B02391"/>
    <w:rsid w:val="00B12951"/>
    <w:rsid w:val="00B201B6"/>
    <w:rsid w:val="00B31C70"/>
    <w:rsid w:val="00B3638E"/>
    <w:rsid w:val="00B43E99"/>
    <w:rsid w:val="00B46E54"/>
    <w:rsid w:val="00B47730"/>
    <w:rsid w:val="00B5115C"/>
    <w:rsid w:val="00B63027"/>
    <w:rsid w:val="00B739B5"/>
    <w:rsid w:val="00B76649"/>
    <w:rsid w:val="00B81C5F"/>
    <w:rsid w:val="00BB306D"/>
    <w:rsid w:val="00BD6444"/>
    <w:rsid w:val="00BE01E0"/>
    <w:rsid w:val="00BE053D"/>
    <w:rsid w:val="00BF704C"/>
    <w:rsid w:val="00C12E01"/>
    <w:rsid w:val="00C12E70"/>
    <w:rsid w:val="00C13D4D"/>
    <w:rsid w:val="00C15523"/>
    <w:rsid w:val="00C320D9"/>
    <w:rsid w:val="00C33327"/>
    <w:rsid w:val="00C36DFF"/>
    <w:rsid w:val="00C52F8C"/>
    <w:rsid w:val="00C536A5"/>
    <w:rsid w:val="00C67005"/>
    <w:rsid w:val="00C87C63"/>
    <w:rsid w:val="00CB0664"/>
    <w:rsid w:val="00CF1494"/>
    <w:rsid w:val="00D05DAC"/>
    <w:rsid w:val="00D23920"/>
    <w:rsid w:val="00D25857"/>
    <w:rsid w:val="00D412E8"/>
    <w:rsid w:val="00D65A91"/>
    <w:rsid w:val="00DA0366"/>
    <w:rsid w:val="00DA3BA9"/>
    <w:rsid w:val="00DB0A9F"/>
    <w:rsid w:val="00DC23BA"/>
    <w:rsid w:val="00DC61BB"/>
    <w:rsid w:val="00DE31CE"/>
    <w:rsid w:val="00E046CB"/>
    <w:rsid w:val="00E2285D"/>
    <w:rsid w:val="00E35E6A"/>
    <w:rsid w:val="00E50DB9"/>
    <w:rsid w:val="00E51200"/>
    <w:rsid w:val="00E96C70"/>
    <w:rsid w:val="00EB294C"/>
    <w:rsid w:val="00EB3F1C"/>
    <w:rsid w:val="00EC0D17"/>
    <w:rsid w:val="00EC7447"/>
    <w:rsid w:val="00ED4D5B"/>
    <w:rsid w:val="00ED6963"/>
    <w:rsid w:val="00EF3A54"/>
    <w:rsid w:val="00EF7C22"/>
    <w:rsid w:val="00F15471"/>
    <w:rsid w:val="00F359CD"/>
    <w:rsid w:val="00F41217"/>
    <w:rsid w:val="00F41D17"/>
    <w:rsid w:val="00F41EE3"/>
    <w:rsid w:val="00F4206D"/>
    <w:rsid w:val="00F44C10"/>
    <w:rsid w:val="00F7060A"/>
    <w:rsid w:val="00F72C2E"/>
    <w:rsid w:val="00F732E0"/>
    <w:rsid w:val="00FA3DBE"/>
    <w:rsid w:val="00FA460C"/>
    <w:rsid w:val="00FA78C6"/>
    <w:rsid w:val="00FC0645"/>
    <w:rsid w:val="00FC31C6"/>
    <w:rsid w:val="00FC693F"/>
    <w:rsid w:val="00FE6A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806E8D"/>
  <w14:defaultImageDpi w14:val="300"/>
  <w15:docId w15:val="{E441423C-E952-0C49-B03F-24D26A4BA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52" w:lineRule="auto"/>
    </w:pPr>
    <w:rPr>
      <w:rFonts w:ascii="Times New Roman" w:hAnsi="Times New Roman"/>
      <w:color w:val="000000"/>
      <w:sz w:val="22"/>
    </w:rPr>
  </w:style>
  <w:style w:type="paragraph" w:styleId="1">
    <w:name w:val="heading 1"/>
    <w:basedOn w:val="a1"/>
    <w:next w:val="a1"/>
    <w:link w:val="10"/>
    <w:uiPriority w:val="9"/>
    <w:qFormat/>
    <w:rsid w:val="00FC693F"/>
    <w:pPr>
      <w:keepNext/>
      <w:keepLines/>
      <w:spacing w:before="140" w:after="60"/>
      <w:outlineLvl w:val="0"/>
    </w:pPr>
    <w:rPr>
      <w:rFonts w:ascii="Times New Roman" w:hAnsi="Times New Roman"/>
      <w:b/>
      <w:bCs/>
      <w:color w:val="000000"/>
      <w:sz w:val="24"/>
      <w:szCs w:val="28"/>
    </w:rPr>
  </w:style>
  <w:style w:type="paragraph" w:styleId="21">
    <w:name w:val="heading 2"/>
    <w:basedOn w:val="a1"/>
    <w:next w:val="a1"/>
    <w:link w:val="22"/>
    <w:uiPriority w:val="9"/>
    <w:unhideWhenUsed/>
    <w:qFormat/>
    <w:rsid w:val="00FC693F"/>
    <w:pPr>
      <w:keepNext/>
      <w:keepLines/>
      <w:spacing w:before="140" w:after="60"/>
      <w:outlineLvl w:val="1"/>
    </w:pPr>
    <w:rPr>
      <w:rFonts w:ascii="Times New Roman" w:hAnsi="Times New Roman"/>
      <w:b/>
      <w:bCs/>
      <w:color w:val="000000"/>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keepLines/>
      <w:spacing w:after="180"/>
      <w:contextualSpacing/>
    </w:pPr>
    <w:rPr>
      <w:rFonts w:ascii="Times New Roman" w:hAnsi="Times New Roman"/>
      <w:b/>
      <w:color w:val="000000"/>
      <w:spacing w:val="5"/>
      <w:kern w:val="2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rFonts w:ascii="Times New Roman" w:hAnsi="Times New Roman"/>
      <w:bCs/>
      <w:color w:val="000000"/>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BF704C"/>
    <w:rPr>
      <w:sz w:val="21"/>
      <w:szCs w:val="21"/>
    </w:rPr>
  </w:style>
  <w:style w:type="paragraph" w:styleId="affa">
    <w:name w:val="annotation text"/>
    <w:basedOn w:val="a1"/>
    <w:link w:val="affb"/>
    <w:uiPriority w:val="99"/>
    <w:semiHidden/>
    <w:unhideWhenUsed/>
    <w:rsid w:val="00BF704C"/>
  </w:style>
  <w:style w:type="character" w:customStyle="1" w:styleId="affb">
    <w:name w:val="批注文字 字符"/>
    <w:basedOn w:val="a2"/>
    <w:link w:val="affa"/>
    <w:uiPriority w:val="99"/>
    <w:semiHidden/>
    <w:rsid w:val="00BF704C"/>
    <w:rPr>
      <w:rFonts w:ascii="Times New Roman" w:hAnsi="Times New Roman"/>
      <w:color w:val="000000"/>
    </w:rPr>
  </w:style>
  <w:style w:type="paragraph" w:styleId="affc">
    <w:name w:val="annotation subject"/>
    <w:basedOn w:val="affa"/>
    <w:next w:val="affa"/>
    <w:link w:val="affd"/>
    <w:uiPriority w:val="99"/>
    <w:semiHidden/>
    <w:unhideWhenUsed/>
    <w:rsid w:val="00BF704C"/>
    <w:rPr>
      <w:b/>
      <w:bCs/>
    </w:rPr>
  </w:style>
  <w:style w:type="character" w:customStyle="1" w:styleId="affd">
    <w:name w:val="批注主题 字符"/>
    <w:basedOn w:val="affb"/>
    <w:link w:val="affc"/>
    <w:uiPriority w:val="99"/>
    <w:semiHidden/>
    <w:rsid w:val="00BF704C"/>
    <w:rPr>
      <w:rFonts w:ascii="Times New Roman" w:hAnsi="Times New Roman"/>
      <w:b/>
      <w:bCs/>
      <w:color w:val="000000"/>
    </w:rPr>
  </w:style>
  <w:style w:type="paragraph" w:styleId="affe">
    <w:name w:val="Normal (Web)"/>
    <w:basedOn w:val="a1"/>
    <w:uiPriority w:val="99"/>
    <w:unhideWhenUsed/>
    <w:rsid w:val="002D70C1"/>
    <w:pPr>
      <w:spacing w:before="100" w:beforeAutospacing="1" w:afterAutospacing="1" w:line="240" w:lineRule="auto"/>
    </w:pPr>
    <w:rPr>
      <w:rFonts w:eastAsia="宋体" w:cs="宋体"/>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785</TotalTime>
  <Pages>5</Pages>
  <Words>1780</Words>
  <Characters>10152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MAGIC-dMAP: Multiple Atlases and Granularities—Integrating Connectivity Dynamics for Multisite Autism Prediction</dc:title>
  <dc:subject>Multi-atlas dynamic functional connectivity for ASD classification</dc:subject>
  <dc:creator/>
  <cp:keywords/>
  <dc:description/>
  <cp:lastModifiedBy/>
  <cp:revision>138</cp:revision>
  <dcterms:created xsi:type="dcterms:W3CDTF">2013-12-23T23:15:00Z</dcterms:created>
  <dcterms:modified xsi:type="dcterms:W3CDTF">2026-10-26T02:39:00Z</dcterms:modified>
  <cp:category/>
</cp:coreProperties>
</file>