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4"/>
        <w:gridCol w:w="7776"/>
      </w:tblGrid>
      <w:tr>
        <w:tc>
          <w:tcPr>
            <w:tcW w:type="dxa" w:w="468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77240" cy="777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ql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Garamond" w:hAnsi="Garamond"/>
                <w:b/>
                <w:color w:val="3D3D3D"/>
                <w:sz w:val="30"/>
              </w:rPr>
              <w:t>RAPPORT DE VIGILANCE — THE GUARDIAN</w:t>
              <w:br/>
            </w:r>
            <w:r>
              <w:rPr>
                <w:rFonts w:ascii="Courier New" w:hAnsi="Courier New"/>
                <w:color w:val="C0392B"/>
                <w:sz w:val="17"/>
              </w:rPr>
              <w:t>{{DATE_HEURE_LOG}}  ·  Statut : VÉRIFIÉ ✓</w:t>
            </w:r>
          </w:p>
        </w:tc>
      </w:tr>
    </w:tbl>
    <w:p>
      <w:pPr>
        <w:spacing w:before="80" w:after="200"/>
        <w:pBdr>
          <w:bottom w:val="single" w:sz="10" w:space="1" w:color="00AA00"/>
        </w:pBdr>
      </w:pPr>
    </w:p>
    <w:p>
      <w:pPr>
        <w:spacing w:before="240" w:after="60"/>
        <w:pBdr>
          <w:bottom w:val="single" w:sz="6" w:space="1" w:color="00AA00"/>
        </w:pBdr>
      </w:pPr>
      <w:r>
        <w:rPr>
          <w:rFonts w:ascii="Garamond" w:hAnsi="Garamond"/>
          <w:b/>
          <w:color w:val="3D3D3D"/>
          <w:sz w:val="24"/>
        </w:rPr>
        <w:t>PARAMÈTRES D'EXTRACTION</w:t>
      </w:r>
    </w:p>
    <w:p>
      <w:pPr>
        <w:spacing w:after="60"/>
      </w:pPr>
      <w:r>
        <w:rPr>
          <w:rFonts w:ascii="Garamond" w:hAnsi="Garamond"/>
          <w:b/>
          <w:color w:val="555555"/>
          <w:sz w:val="21"/>
        </w:rPr>
        <w:t xml:space="preserve">Horodatage :  </w:t>
      </w:r>
      <w:r>
        <w:rPr>
          <w:rFonts w:ascii="Courier New" w:hAnsi="Courier New"/>
          <w:color w:val="C0392B"/>
          <w:sz w:val="21"/>
        </w:rPr>
        <w:t>{{DATE_HEURE_LOG}}</w:t>
      </w:r>
    </w:p>
    <w:p>
      <w:pPr>
        <w:spacing w:after="60"/>
      </w:pPr>
      <w:r>
        <w:rPr>
          <w:rFonts w:ascii="Garamond" w:hAnsi="Garamond"/>
          <w:b/>
          <w:color w:val="555555"/>
          <w:sz w:val="21"/>
        </w:rPr>
        <w:t xml:space="preserve">Client :  </w:t>
      </w:r>
      <w:r>
        <w:rPr>
          <w:rFonts w:ascii="Courier New" w:hAnsi="Courier New"/>
          <w:color w:val="C0392B"/>
          <w:sz w:val="21"/>
        </w:rPr>
        <w:t>{{Nom_Client}}</w:t>
      </w:r>
    </w:p>
    <w:p>
      <w:pPr>
        <w:spacing w:after="60"/>
      </w:pPr>
      <w:r>
        <w:rPr>
          <w:rFonts w:ascii="Garamond" w:hAnsi="Garamond"/>
          <w:b/>
          <w:color w:val="555555"/>
          <w:sz w:val="21"/>
        </w:rPr>
        <w:t xml:space="preserve">Workflow utilisé :  </w:t>
      </w:r>
      <w:r>
        <w:rPr>
          <w:rFonts w:ascii="Courier New" w:hAnsi="Courier New"/>
          <w:color w:val="C0392B"/>
          <w:sz w:val="21"/>
        </w:rPr>
        <w:t>{{WORKFLOW_NAME}}</w:t>
      </w:r>
    </w:p>
    <w:p>
      <w:r>
        <w:rPr>
          <w:rFonts w:ascii="Garamond" w:hAnsi="Garamond"/>
          <w:b/>
          <w:color w:val="555555"/>
          <w:sz w:val="21"/>
        </w:rPr>
        <w:t>Briques extraites :</w:t>
      </w:r>
    </w:p>
    <w:p>
      <w:pPr>
        <w:spacing w:after="40"/>
        <w:ind w:left="432"/>
      </w:pPr>
      <w:r>
        <w:rPr>
          <w:color w:val="00AA00"/>
          <w:sz w:val="21"/>
        </w:rPr>
        <w:t xml:space="preserve">•  </w:t>
      </w:r>
      <w:r>
        <w:rPr>
          <w:rFonts w:ascii="Courier New" w:hAnsi="Courier New"/>
          <w:color w:val="C0392B"/>
          <w:sz w:val="21"/>
        </w:rPr>
        <w:t>{{NOM_BRIQUE_1}}</w:t>
      </w:r>
    </w:p>
    <w:p>
      <w:pPr>
        <w:spacing w:after="40"/>
        <w:ind w:left="432"/>
      </w:pPr>
      <w:r>
        <w:rPr>
          <w:color w:val="00AA00"/>
          <w:sz w:val="21"/>
        </w:rPr>
        <w:t xml:space="preserve">•  </w:t>
      </w:r>
      <w:r>
        <w:rPr>
          <w:rFonts w:ascii="Courier New" w:hAnsi="Courier New"/>
          <w:color w:val="C0392B"/>
          <w:sz w:val="21"/>
        </w:rPr>
        <w:t>{{NOM_BRIQUE_2}}</w:t>
      </w:r>
    </w:p>
    <w:p>
      <w:pPr>
        <w:spacing w:before="240" w:after="60"/>
        <w:pBdr>
          <w:bottom w:val="single" w:sz="6" w:space="1" w:color="00AA00"/>
        </w:pBdr>
      </w:pPr>
      <w:r>
        <w:rPr>
          <w:rFonts w:ascii="Garamond" w:hAnsi="Garamond"/>
          <w:b/>
          <w:color w:val="3D3D3D"/>
          <w:sz w:val="24"/>
        </w:rPr>
        <w:t>ANALYSE DE SÉCURITÉ</w:t>
      </w:r>
    </w:p>
    <w:p>
      <w:pPr>
        <w:spacing w:after="60"/>
      </w:pPr>
      <w:r>
        <w:rPr>
          <w:rFonts w:ascii="Garamond" w:hAnsi="Garamond"/>
          <w:b/>
          <w:color w:val="555555"/>
          <w:sz w:val="21"/>
        </w:rPr>
        <w:t xml:space="preserve">Contrôle F1 (Santé/Hors-UE) :  </w:t>
      </w:r>
      <w:r>
        <w:rPr>
          <w:rFonts w:ascii="Courier New" w:hAnsi="Courier New"/>
          <w:color w:val="C0392B"/>
          <w:sz w:val="21"/>
        </w:rPr>
        <w:t>{{RESULT_F1}}</w:t>
      </w:r>
    </w:p>
    <w:p>
      <w:pPr>
        <w:spacing w:after="60"/>
      </w:pPr>
      <w:r>
        <w:rPr>
          <w:rFonts w:ascii="Garamond" w:hAnsi="Garamond"/>
          <w:color w:val="555555"/>
          <w:sz w:val="21"/>
        </w:rPr>
        <w:t xml:space="preserve">Contrôle Nettoyage ^content :  </w:t>
      </w:r>
      <w:r>
        <w:rPr>
          <w:rFonts w:ascii="Garamond" w:hAnsi="Garamond"/>
          <w:b/>
          <w:color w:val="00AA00"/>
          <w:sz w:val="21"/>
        </w:rPr>
        <w:t>EFFECTUÉ ✓</w:t>
      </w:r>
    </w:p>
    <w:p>
      <w:pPr>
        <w:spacing w:after="60"/>
      </w:pPr>
      <w:r>
        <w:rPr>
          <w:rFonts w:ascii="Garamond" w:hAnsi="Garamond"/>
          <w:b/>
          <w:color w:val="555555"/>
          <w:sz w:val="21"/>
        </w:rPr>
        <w:t xml:space="preserve">Validation Identifiant Fiscal :  </w:t>
      </w:r>
      <w:r>
        <w:rPr>
          <w:rFonts w:ascii="Courier New" w:hAnsi="Courier New"/>
          <w:color w:val="C0392B"/>
          <w:sz w:val="21"/>
        </w:rPr>
        <w:t>{{TYPE_IDENTIFIANT_APPLIQUÉ}}</w:t>
      </w:r>
    </w:p>
    <w:p>
      <w:pPr>
        <w:spacing w:before="240" w:after="60"/>
        <w:pBdr>
          <w:bottom w:val="single" w:sz="6" w:space="1" w:color="00AA00"/>
        </w:pBdr>
      </w:pPr>
      <w:r>
        <w:rPr>
          <w:rFonts w:ascii="Garamond" w:hAnsi="Garamond"/>
          <w:b/>
          <w:color w:val="3D3D3D"/>
          <w:sz w:val="24"/>
        </w:rPr>
        <w:t>CERTIFICATION</w:t>
      </w:r>
    </w:p>
    <w:p>
      <w:pPr>
        <w:spacing w:after="60"/>
      </w:pPr>
      <w:r>
        <w:rPr>
          <w:rFonts w:ascii="Garamond" w:hAnsi="Garamond"/>
          <w:b/>
          <w:color w:val="555555"/>
          <w:sz w:val="21"/>
        </w:rPr>
        <w:t xml:space="preserve">HASH SHA-256 :  </w:t>
      </w:r>
      <w:r>
        <w:rPr>
          <w:rFonts w:ascii="Courier New" w:hAnsi="Courier New"/>
          <w:color w:val="C0392B"/>
          <w:sz w:val="21"/>
        </w:rPr>
        <w:t>{{DOCUMENT_HASH}}</w:t>
      </w:r>
    </w:p>
    <w:p>
      <w:pPr>
        <w:spacing w:before="160"/>
      </w:pPr>
      <w:r>
        <w:rPr>
          <w:rFonts w:ascii="Garamond" w:hAnsi="Garamond"/>
          <w:i/>
          <w:color w:val="888888"/>
          <w:sz w:val="18"/>
        </w:rPr>
        <w:t>Ce rapport certifie que le document Instance A est conforme à la base de données QualityLinks v2.1.</w:t>
      </w:r>
    </w:p>
    <w:p>
      <w:pPr>
        <w:spacing w:before="160" w:after="40"/>
        <w:pBdr>
          <w:bottom w:val="single" w:sz="10" w:space="1" w:color="00AA00"/>
        </w:pBdr>
      </w:pPr>
    </w:p>
    <w:p>
      <w:pPr>
        <w:jc w:val="center"/>
      </w:pPr>
      <w:r>
        <w:rPr>
          <w:rFonts w:ascii="Garamond" w:hAnsi="Garamond"/>
          <w:i/>
          <w:color w:val="888888"/>
          <w:sz w:val="16"/>
        </w:rPr>
        <w:t>QualityLinks Compliance v2.1  ·  Guardian Report  ·  Généré automatiquement</w:t>
      </w:r>
    </w:p>
    <w:sectPr w:rsidR="00FC693F" w:rsidRPr="0006063C" w:rsidSect="00034616">
      <w:pgSz w:w="12240" w:h="15840"/>
      <w:pgMar w:top="1008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