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AUTONOMOUS</w:t>
      </w:r>
    </w:p>
    <w:p>
      <w:pPr>
        <w:jc w:val="center"/>
      </w:pPr>
      <w:r>
        <w:rPr>
          <w:b/>
          <w:color w:val="374151"/>
          <w:sz w:val="32"/>
        </w:rPr>
        <w:t>Copy Editorial Review</w:t>
      </w:r>
    </w:p>
    <w:p>
      <w:pPr>
        <w:jc w:val="center"/>
      </w:pPr>
      <w:r>
        <w:rPr>
          <w:color w:val="6B7280"/>
          <w:sz w:val="19"/>
        </w:rPr>
        <w:t>Post-line-edit manuscript • 34 chapters • approximately 68,600 words</w:t>
      </w:r>
    </w:p>
    <w:p>
      <w:pPr>
        <w:jc w:val="center"/>
      </w:pPr>
      <w:r>
        <w:rPr>
          <w:i/>
          <w:sz w:val="19"/>
        </w:rPr>
        <w:t>Manuscript left unchanged; all recommendations are contained in this report.</w:t>
      </w:r>
    </w:p>
    <w:p>
      <w:pPr>
        <w:pStyle w:val="Heading1"/>
      </w:pPr>
      <w:r>
        <w:t>Copy Editor’s Assessment</w:t>
      </w:r>
    </w:p>
    <w:p>
      <w:r>
        <w:t>This manuscript is in strong copy condition. The developmental, cold-read, and line-edit work has left relatively little mechanical cleanup for a novel of this length and technical density. I do not recommend another prose-level rewrite before copy corrections are folded in.</w:t>
      </w:r>
    </w:p>
    <w:p>
      <w:r>
        <w:t>This pass uses a conservative U.S. trade-fiction standard: correct only what is demonstrably wrong, inconsistent, ambiguous, or likely to interrupt comprehension. I have not converted stylistic preferences into “errors,” and I have specifically protected deliberate anomalies that function as evidence or plot clues.</w:t>
      </w:r>
    </w:p>
    <w:p>
      <w:r>
        <w:t>I identified 20 actionable copy notes: clear corrections, a small number of consistency standardizations, and a few author queries where intent should control. The repeated punctuation notes are intentionally listed at their individual locations so they can be folded into the manuscript without a search-and-replace risk.</w:t>
      </w:r>
    </w:p>
    <w:tbl>
      <w:tblPr>
        <w:tblStyle w:val="TableGrid"/>
        <w:tblW w:type="auto" w:w="0"/>
        <w:jc w:val="left"/>
        <w:tblLook w:firstColumn="1" w:firstRow="1" w:lastColumn="0" w:lastRow="0" w:noHBand="0" w:noVBand="1" w:val="04A0"/>
      </w:tblPr>
      <w:tblGrid>
        <w:gridCol w:w="4997"/>
        <w:gridCol w:w="4997"/>
      </w:tblGrid>
      <w:tr>
        <w:tc>
          <w:tcPr>
            <w:tcW w:type="dxa" w:w="4997"/>
            <w:shd w:fill="E5E7EB"/>
            <w:vAlign w:val="center"/>
            <w:tcMar>
              <w:top w:w="100" w:type="dxa"/>
              <w:start w:w="120" w:type="dxa"/>
              <w:bottom w:w="100" w:type="dxa"/>
              <w:end w:w="120" w:type="dxa"/>
            </w:tcMar>
          </w:tcPr>
          <w:p>
            <w:r>
              <w:t>Category</w:t>
            </w:r>
          </w:p>
        </w:tc>
        <w:tc>
          <w:tcPr>
            <w:tcW w:type="dxa" w:w="4997"/>
            <w:shd w:fill="E5E7EB"/>
            <w:vAlign w:val="center"/>
            <w:tcMar>
              <w:top w:w="100" w:type="dxa"/>
              <w:start w:w="120" w:type="dxa"/>
              <w:bottom w:w="100" w:type="dxa"/>
              <w:end w:w="120" w:type="dxa"/>
            </w:tcMar>
          </w:tcPr>
          <w:p>
            <w:r>
              <w:t>Count</w:t>
            </w:r>
          </w:p>
        </w:tc>
      </w:tr>
      <w:tr>
        <w:tc>
          <w:tcPr>
            <w:tcW w:type="dxa" w:w="4997"/>
            <w:vAlign w:val="center"/>
            <w:tcMar>
              <w:top w:w="100" w:type="dxa"/>
              <w:start w:w="120" w:type="dxa"/>
              <w:bottom w:w="100" w:type="dxa"/>
              <w:end w:w="120" w:type="dxa"/>
            </w:tcMar>
          </w:tcPr>
          <w:p>
            <w:r>
              <w:t>Clear / strong corrections</w:t>
            </w:r>
          </w:p>
        </w:tc>
        <w:tc>
          <w:tcPr>
            <w:tcW w:type="dxa" w:w="4997"/>
            <w:vAlign w:val="center"/>
            <w:tcMar>
              <w:top w:w="100" w:type="dxa"/>
              <w:start w:w="120" w:type="dxa"/>
              <w:bottom w:w="100" w:type="dxa"/>
              <w:end w:w="120" w:type="dxa"/>
            </w:tcMar>
          </w:tcPr>
          <w:p>
            <w:r>
              <w:t>15</w:t>
            </w:r>
          </w:p>
        </w:tc>
      </w:tr>
      <w:tr>
        <w:tc>
          <w:tcPr>
            <w:tcW w:type="dxa" w:w="4997"/>
            <w:vAlign w:val="center"/>
            <w:tcMar>
              <w:top w:w="100" w:type="dxa"/>
              <w:start w:w="120" w:type="dxa"/>
              <w:bottom w:w="100" w:type="dxa"/>
              <w:end w:w="120" w:type="dxa"/>
            </w:tcMar>
          </w:tcPr>
          <w:p>
            <w:r>
              <w:t>Consistency standardization</w:t>
            </w:r>
          </w:p>
        </w:tc>
        <w:tc>
          <w:tcPr>
            <w:tcW w:type="dxa" w:w="4997"/>
            <w:vAlign w:val="center"/>
            <w:tcMar>
              <w:top w:w="100" w:type="dxa"/>
              <w:start w:w="120" w:type="dxa"/>
              <w:bottom w:w="100" w:type="dxa"/>
              <w:end w:w="120" w:type="dxa"/>
            </w:tcMar>
          </w:tcPr>
          <w:p>
            <w:r>
              <w:t>1</w:t>
            </w:r>
          </w:p>
        </w:tc>
      </w:tr>
      <w:tr>
        <w:tc>
          <w:tcPr>
            <w:tcW w:type="dxa" w:w="4997"/>
            <w:vAlign w:val="center"/>
            <w:tcMar>
              <w:top w:w="100" w:type="dxa"/>
              <w:start w:w="120" w:type="dxa"/>
              <w:bottom w:w="100" w:type="dxa"/>
              <w:end w:w="120" w:type="dxa"/>
            </w:tcMar>
          </w:tcPr>
          <w:p>
            <w:r>
              <w:t>Author queries</w:t>
            </w:r>
          </w:p>
        </w:tc>
        <w:tc>
          <w:tcPr>
            <w:tcW w:type="dxa" w:w="4997"/>
            <w:vAlign w:val="center"/>
            <w:tcMar>
              <w:top w:w="100" w:type="dxa"/>
              <w:start w:w="120" w:type="dxa"/>
              <w:bottom w:w="100" w:type="dxa"/>
              <w:end w:w="120" w:type="dxa"/>
            </w:tcMar>
          </w:tcPr>
          <w:p>
            <w:r>
              <w:t>3</w:t>
            </w:r>
          </w:p>
        </w:tc>
      </w:tr>
      <w:tr>
        <w:tc>
          <w:tcPr>
            <w:tcW w:type="dxa" w:w="4997"/>
            <w:vAlign w:val="center"/>
            <w:tcMar>
              <w:top w:w="100" w:type="dxa"/>
              <w:start w:w="120" w:type="dxa"/>
              <w:bottom w:w="100" w:type="dxa"/>
              <w:end w:w="120" w:type="dxa"/>
            </w:tcMar>
          </w:tcPr>
          <w:p>
            <w:r>
              <w:t>Optional clarification</w:t>
            </w:r>
          </w:p>
        </w:tc>
        <w:tc>
          <w:tcPr>
            <w:tcW w:type="dxa" w:w="4997"/>
            <w:vAlign w:val="center"/>
            <w:tcMar>
              <w:top w:w="100" w:type="dxa"/>
              <w:start w:w="120" w:type="dxa"/>
              <w:bottom w:w="100" w:type="dxa"/>
              <w:end w:w="120" w:type="dxa"/>
            </w:tcMar>
          </w:tcPr>
          <w:p>
            <w:r>
              <w:t>1</w:t>
            </w:r>
          </w:p>
        </w:tc>
      </w:tr>
    </w:tbl>
    <w:p>
      <w:pPr>
        <w:pStyle w:val="Heading1"/>
      </w:pPr>
      <w:r>
        <w:t>Working Copy Style Sheet</w:t>
      </w:r>
    </w:p>
    <w:p>
      <w:r>
        <w:t>Recommended baseline: U.S. English, Chicago-style trade-fiction conventions, with a current U.S. dictionary as the spelling/compound authority. Where the manuscript has an internally consistent technical usage, consistency should generally outrank a generic dictionary preference.</w:t>
      </w:r>
    </w:p>
    <w:p>
      <w:pPr/>
      <w:r>
        <w:rPr>
          <w:b/>
        </w:rPr>
        <w:t xml:space="preserve">Spelling: </w:t>
      </w:r>
      <w:r>
        <w:t>U.S. forms are already consistent: gray, canceled, toward, defense, theater.</w:t>
      </w:r>
    </w:p>
    <w:p>
      <w:pPr/>
      <w:r>
        <w:rPr>
          <w:b/>
        </w:rPr>
        <w:t xml:space="preserve">Serial comma: </w:t>
      </w:r>
      <w:r>
        <w:t>Retain. The manuscript consistently uses the serial comma in narrative lists.</w:t>
      </w:r>
    </w:p>
    <w:p>
      <w:pPr/>
      <w:r>
        <w:rPr>
          <w:b/>
        </w:rPr>
        <w:t xml:space="preserve">Numbers: </w:t>
      </w:r>
      <w:r>
        <w:t>Spell ordinary narrative quantities where natural; retain numerals for exact clock times, vote totals, probabilities, record identifiers, page numbers, and technical values.</w:t>
      </w:r>
    </w:p>
    <w:p>
      <w:pPr/>
      <w:r>
        <w:rPr>
          <w:b/>
        </w:rPr>
        <w:t xml:space="preserve">Percentages: </w:t>
      </w:r>
      <w:r>
        <w:t>Use “percent” in prose; reserve the % symbol for interface/code material. Current usage is consistent.</w:t>
      </w:r>
    </w:p>
    <w:p>
      <w:pPr/>
      <w:r>
        <w:rPr>
          <w:b/>
        </w:rPr>
        <w:t xml:space="preserve">Time: </w:t>
      </w:r>
      <w:r>
        <w:t>Retain context-sensitive treatment: military/technical logs in 24-hour time; civilian narrative in 12-hour time where context supplies morning/afternoon; spoken times may remain spelled out.</w:t>
      </w:r>
    </w:p>
    <w:p>
      <w:pPr/>
      <w:r>
        <w:rPr>
          <w:b/>
        </w:rPr>
        <w:t xml:space="preserve">Em dashes: </w:t>
      </w:r>
      <w:r>
        <w:t>The manuscript consistently uses spaced em dashes in narrative and closed em dashes for interrupted dialogue. Treat this as project style unless a publisher later requires closed Chicago em dashes globally.</w:t>
      </w:r>
    </w:p>
    <w:p>
      <w:pPr/>
      <w:r>
        <w:rPr>
          <w:b/>
        </w:rPr>
        <w:t xml:space="preserve">Display / interface language: </w:t>
      </w:r>
      <w:r>
        <w:t>Backtick-delimited labels, records, prompts, and diagnostic strings are functioning consistently. Do not normalize apparent anomalies without checking narrative context.</w:t>
      </w:r>
    </w:p>
    <w:p>
      <w:pPr/>
      <w:r>
        <w:rPr>
          <w:b/>
        </w:rPr>
        <w:t xml:space="preserve">Treaty naming: </w:t>
      </w:r>
      <w:r>
        <w:t>Preserve the deliberate two-name system: “Eastern Mediterranean Framework” is the official name; “the Istanbul agreement” is the political/colloquial name.</w:t>
      </w:r>
    </w:p>
    <w:p>
      <w:pPr/>
      <w:r>
        <w:rPr>
          <w:b/>
        </w:rPr>
        <w:t xml:space="preserve">Foreign names and places: </w:t>
      </w:r>
      <w:r>
        <w:t>Retain diacritics: Rūta Vaitkutė, Klaipėda, Beşiktaş, Diyarbakır, Tunalı, Yalçın, etc.</w:t>
      </w:r>
    </w:p>
    <w:p>
      <w:pPr/>
      <w:r>
        <w:rPr>
          <w:b/>
        </w:rPr>
        <w:t xml:space="preserve">Key technical forms: </w:t>
      </w:r>
      <w:r>
        <w:t>Retain established project forms such as cross-domain, cross-border, failover, timestamp, cybersecurity, StratCore, NCP-7, POL-7, Project Polaris, and Aurora unless a publisher’s house sheet supersedes them.</w:t>
      </w:r>
    </w:p>
    <w:p>
      <w:pPr>
        <w:pStyle w:val="Heading2"/>
      </w:pPr>
      <w:r>
        <w:t>Protected Intentional Anomalies — Do Not “Correct” Blindly</w:t>
      </w:r>
    </w:p>
    <w:p>
      <w:r>
        <w:rPr>
          <w:b/>
        </w:rPr>
        <w:t>Chapter 19, line 4879 — `NCP7 alignment expense`</w:t>
      </w:r>
      <w:r>
        <w:br/>
        <w:t>The missing hyphen is explicitly noticed by Naomi and functions as evidence. Preserve it.</w:t>
      </w:r>
    </w:p>
    <w:p>
      <w:r>
        <w:rPr>
          <w:b/>
        </w:rPr>
        <w:t>Chapter 26, line 7007 — `AUTHORI        MODEL`</w:t>
      </w:r>
      <w:r>
        <w:br/>
        <w:t>The damaged/incomplete label appears in the context of security handling and a clean rectangle left by a label. Treat as artifact text unless author intent says otherwise.</w:t>
      </w:r>
    </w:p>
    <w:p>
      <w:r>
        <w:rPr>
          <w:b/>
        </w:rPr>
        <w:t>Chapter 32, line 9303 — `RESPONSIBILE AUTHORITY`</w:t>
      </w:r>
      <w:r>
        <w:br/>
        <w:t>The misspelling is explicitly identified in the next sentence as Malcolm’s own old misspelling and is plot-bearing. Preserve it exactly.</w:t>
      </w:r>
    </w:p>
    <w:p>
      <w:r>
        <w:br w:type="page"/>
      </w:r>
    </w:p>
    <w:p>
      <w:pPr>
        <w:pStyle w:val="Heading1"/>
      </w:pPr>
      <w:r>
        <w:t>Actionable Copy-Edit Notes</w:t>
      </w:r>
    </w:p>
    <w:p>
      <w:pPr>
        <w:pStyle w:val="Heading2"/>
      </w:pPr>
      <w:r>
        <w:t>Chapter 1 — Too Efficient</w:t>
      </w:r>
    </w:p>
    <w:p>
      <w:pPr>
        <w:keepNext/>
      </w:pPr>
      <w:r>
        <w:rPr>
          <w:b/>
          <w:color w:val="1F2937"/>
        </w:rPr>
        <w:t>CE-001  |  Correction — punctuation  |  source line 183</w:t>
      </w:r>
    </w:p>
    <w:p>
      <w:pPr>
        <w:keepNext/>
      </w:pPr>
      <w:r>
        <w:rPr>
          <w:b/>
          <w:color w:val="6B7280"/>
          <w:sz w:val="16"/>
        </w:rPr>
        <w:t>ORIGINAL</w:t>
      </w:r>
    </w:p>
    <w:p>
      <w:pPr>
        <w:pStyle w:val="ManuscriptQuote"/>
      </w:pPr>
      <w:r>
        <w:t>"I'm not filing an incident," Rūta said, to no one who could fix it. "I'm asking who already opened one."</w:t>
      </w:r>
    </w:p>
    <w:p>
      <w:pPr>
        <w:keepNext/>
      </w:pPr>
      <w:r>
        <w:rPr>
          <w:b/>
          <w:color w:val="6B7280"/>
          <w:sz w:val="16"/>
        </w:rPr>
        <w:t>SUGGESTED TREATMENT</w:t>
      </w:r>
    </w:p>
    <w:p>
      <w:r>
        <w:t>"I'm not filing an incident," Rūta said to no one who could fix it. "I'm asking who already opened one."</w:t>
      </w:r>
    </w:p>
    <w:p>
      <w:pPr>
        <w:keepNext/>
      </w:pPr>
      <w:r>
        <w:rPr>
          <w:b/>
          <w:color w:val="6B7280"/>
          <w:sz w:val="16"/>
        </w:rPr>
        <w:t>WHY</w:t>
      </w:r>
    </w:p>
    <w:p>
      <w:r>
        <w:t>The prepositional phrase is integrated with the dialogue tag; the comma after “said” unnecessarily separates the verb from its modifier. This same pattern recurs several times later in the manuscript.</w:t>
      </w:r>
    </w:p>
    <w:p>
      <w:pPr>
        <w:spacing w:after="40"/>
        <w:pBdr>
          <w:bottom w:val="single" w:sz="4" w:space="1" w:color="D1D5DB"/>
        </w:pBdr>
      </w:pPr>
    </w:p>
    <w:p>
      <w:pPr>
        <w:pStyle w:val="Heading2"/>
      </w:pPr>
      <w:r>
        <w:t>Chapter 3 — Circuit Breaker</w:t>
      </w:r>
    </w:p>
    <w:p>
      <w:pPr>
        <w:keepNext/>
      </w:pPr>
      <w:r>
        <w:rPr>
          <w:b/>
          <w:color w:val="1F2937"/>
        </w:rPr>
        <w:t>CE-002  |  Query — acronym first use  |  source line 757 (first use); full expansion currently at 1050</w:t>
      </w:r>
    </w:p>
    <w:p>
      <w:pPr>
        <w:keepNext/>
      </w:pPr>
      <w:r>
        <w:rPr>
          <w:b/>
          <w:color w:val="6B7280"/>
          <w:sz w:val="16"/>
        </w:rPr>
        <w:t>ORIGINAL</w:t>
      </w:r>
    </w:p>
    <w:p>
      <w:pPr>
        <w:pStyle w:val="ManuscriptQuote"/>
      </w:pPr>
      <w:r>
        <w:t>"OSSI wants a constraint-modeling consultant."</w:t>
      </w:r>
    </w:p>
    <w:p>
      <w:pPr>
        <w:keepNext/>
      </w:pPr>
      <w:r>
        <w:rPr>
          <w:b/>
          <w:color w:val="6B7280"/>
          <w:sz w:val="16"/>
        </w:rPr>
        <w:t>SUGGESTED TREATMENT</w:t>
      </w:r>
    </w:p>
    <w:p>
      <w:r>
        <w:t>Define OSSI at or immediately after this first appearance, if possible in narration rather than forcing an unnatural expansion into Beck’s dialogue. Keep the later Chapter 5 description, but avoid making Chapter 5 the reader’s first decoding of the acronym.</w:t>
      </w:r>
    </w:p>
    <w:p>
      <w:pPr>
        <w:keepNext/>
      </w:pPr>
      <w:r>
        <w:rPr>
          <w:b/>
          <w:color w:val="6B7280"/>
          <w:sz w:val="16"/>
        </w:rPr>
        <w:t>WHY</w:t>
      </w:r>
    </w:p>
    <w:p>
      <w:r>
        <w:t>OSSI is load-bearing to Malcolm’s institutional world and appears repeatedly before the full name “Office of Strategic Systems Integration” is supplied two chapters later. Copy convention favors defining an unfamiliar acronym at first useful occurrence unless withholding the name is intentional.</w:t>
      </w:r>
    </w:p>
    <w:p>
      <w:pPr>
        <w:spacing w:after="40"/>
        <w:pBdr>
          <w:bottom w:val="single" w:sz="4" w:space="1" w:color="D1D5DB"/>
        </w:pBdr>
      </w:pPr>
    </w:p>
    <w:p>
      <w:pPr>
        <w:pStyle w:val="Heading2"/>
      </w:pPr>
      <w:r>
        <w:t>Chapters 3 and 6 — global word-form consistency</w:t>
      </w:r>
    </w:p>
    <w:p>
      <w:pPr>
        <w:keepNext/>
      </w:pPr>
      <w:r>
        <w:rPr>
          <w:b/>
          <w:color w:val="1F2937"/>
        </w:rPr>
        <w:t>CE-003  |  Standardize — compound/adverb form  |  source line 807, 1544, 1640, 1682; compare 1031, 2282, 3989, 6751, 9149</w:t>
      </w:r>
    </w:p>
    <w:p>
      <w:pPr>
        <w:keepNext/>
      </w:pPr>
      <w:r>
        <w:rPr>
          <w:b/>
          <w:color w:val="6B7280"/>
          <w:sz w:val="16"/>
        </w:rPr>
        <w:t>ORIGINAL</w:t>
      </w:r>
    </w:p>
    <w:p>
      <w:pPr>
        <w:pStyle w:val="ManuscriptQuote"/>
      </w:pPr>
      <w:r>
        <w:t>Mixed forms: “face down,” “face-down,” “face up,” and the dominant “facedown.”</w:t>
      </w:r>
    </w:p>
    <w:p>
      <w:pPr>
        <w:keepNext/>
      </w:pPr>
      <w:r>
        <w:rPr>
          <w:b/>
          <w:color w:val="6B7280"/>
          <w:sz w:val="16"/>
        </w:rPr>
        <w:t>SUGGESTED TREATMENT</w:t>
      </w:r>
    </w:p>
    <w:p>
      <w:r>
        <w:t>Standardize the down-facing form to “facedown” (lines 807, 1544, 1682) to match the five existing “facedown” uses. For the opposite orientation at line 1640, use “face-up.”</w:t>
      </w:r>
    </w:p>
    <w:p>
      <w:pPr>
        <w:keepNext/>
      </w:pPr>
      <w:r>
        <w:rPr>
          <w:b/>
          <w:color w:val="6B7280"/>
          <w:sz w:val="16"/>
        </w:rPr>
        <w:t>WHY</w:t>
      </w:r>
    </w:p>
    <w:p>
      <w:r>
        <w:t>The manuscript currently uses three treatments for the same construction. This is a classic copy-edit consistency issue; the dominant established form should control unless the publisher’s house dictionary specifies otherwise.</w:t>
      </w:r>
    </w:p>
    <w:p>
      <w:pPr>
        <w:spacing w:after="40"/>
        <w:pBdr>
          <w:bottom w:val="single" w:sz="4" w:space="1" w:color="D1D5DB"/>
        </w:pBdr>
      </w:pPr>
    </w:p>
    <w:p>
      <w:pPr>
        <w:pStyle w:val="Heading2"/>
      </w:pPr>
      <w:r>
        <w:t>Chapter 5 — The Redaction</w:t>
      </w:r>
    </w:p>
    <w:p>
      <w:pPr>
        <w:keepNext/>
      </w:pPr>
      <w:r>
        <w:rPr>
          <w:b/>
          <w:color w:val="1F2937"/>
        </w:rPr>
        <w:t>CE-004  |  Correction — sentence syntax  |  source line 1050</w:t>
      </w:r>
    </w:p>
    <w:p>
      <w:pPr>
        <w:keepNext/>
      </w:pPr>
      <w:r>
        <w:rPr>
          <w:b/>
          <w:color w:val="6B7280"/>
          <w:sz w:val="16"/>
        </w:rPr>
        <w:t>ORIGINAL</w:t>
      </w:r>
    </w:p>
    <w:p>
      <w:pPr>
        <w:pStyle w:val="ManuscriptQuote"/>
      </w:pPr>
      <w:r>
        <w:t>OSSI's building gave nothing away from the parking structure: poured concrete, tinted glass, no sign worth reading, nowhere the full name — the Office of Strategic Systems Integration — appeared at all.</w:t>
      </w:r>
    </w:p>
    <w:p>
      <w:pPr>
        <w:keepNext/>
      </w:pPr>
      <w:r>
        <w:rPr>
          <w:b/>
          <w:color w:val="6B7280"/>
          <w:sz w:val="16"/>
        </w:rPr>
        <w:t>SUGGESTED TREATMENT</w:t>
      </w:r>
    </w:p>
    <w:p>
      <w:r>
        <w:t>OSSI's building gave nothing away from the parking structure: poured concrete, tinted glass, no sign worth reading. The full name — the Office of Strategic Systems Integration — appeared nowhere at all.</w:t>
      </w:r>
    </w:p>
    <w:p>
      <w:pPr>
        <w:keepNext/>
      </w:pPr>
      <w:r>
        <w:rPr>
          <w:b/>
          <w:color w:val="6B7280"/>
          <w:sz w:val="16"/>
        </w:rPr>
        <w:t>WHY</w:t>
      </w:r>
    </w:p>
    <w:p>
      <w:r>
        <w:t>“Nowhere the full name appeared” is an awkward inversion inside an already long introductory sentence. Splitting the thought removes the syntactic hitch and makes the institutional description easier to absorb. If CE-002 moves the acronym expansion earlier, this sentence can be shortened further.</w:t>
      </w:r>
    </w:p>
    <w:p>
      <w:pPr>
        <w:spacing w:after="40"/>
        <w:pBdr>
          <w:bottom w:val="single" w:sz="4" w:space="1" w:color="D1D5DB"/>
        </w:pBdr>
      </w:pPr>
    </w:p>
    <w:p>
      <w:pPr>
        <w:keepNext/>
      </w:pPr>
      <w:r>
        <w:rPr>
          <w:b/>
          <w:color w:val="1F2937"/>
        </w:rPr>
        <w:t>CE-005  |  Correction — punctuation  |  source line 1058</w:t>
      </w:r>
    </w:p>
    <w:p>
      <w:pPr>
        <w:keepNext/>
      </w:pPr>
      <w:r>
        <w:rPr>
          <w:b/>
          <w:color w:val="6B7280"/>
          <w:sz w:val="16"/>
        </w:rPr>
        <w:t>ORIGINAL</w:t>
      </w:r>
    </w:p>
    <w:p>
      <w:pPr>
        <w:pStyle w:val="ManuscriptQuote"/>
      </w:pPr>
      <w:r>
        <w:t>"The badge is valid," the security officer said, from the desk beside the turnstile.</w:t>
      </w:r>
    </w:p>
    <w:p>
      <w:pPr>
        <w:keepNext/>
      </w:pPr>
      <w:r>
        <w:rPr>
          <w:b/>
          <w:color w:val="6B7280"/>
          <w:sz w:val="16"/>
        </w:rPr>
        <w:t>SUGGESTED TREATMENT</w:t>
      </w:r>
    </w:p>
    <w:p>
      <w:r>
        <w:t>"The badge is valid," the security officer said from the desk beside the turnstile.</w:t>
      </w:r>
    </w:p>
    <w:p>
      <w:pPr>
        <w:keepNext/>
      </w:pPr>
      <w:r>
        <w:rPr>
          <w:b/>
          <w:color w:val="6B7280"/>
          <w:sz w:val="16"/>
        </w:rPr>
        <w:t>WHY</w:t>
      </w:r>
    </w:p>
    <w:p>
      <w:r>
        <w:t>No comma is needed between “said” and the integrated prepositional phrase “from the desk…”</w:t>
      </w:r>
    </w:p>
    <w:p>
      <w:pPr>
        <w:spacing w:after="40"/>
        <w:pBdr>
          <w:bottom w:val="single" w:sz="4" w:space="1" w:color="D1D5DB"/>
        </w:pBdr>
      </w:pPr>
    </w:p>
    <w:p>
      <w:pPr>
        <w:keepNext/>
      </w:pPr>
      <w:r>
        <w:rPr>
          <w:b/>
          <w:color w:val="1F2937"/>
        </w:rPr>
        <w:t>CE-006  |  Correction — spelling / word form  |  source line 1068</w:t>
      </w:r>
    </w:p>
    <w:p>
      <w:pPr>
        <w:keepNext/>
      </w:pPr>
      <w:r>
        <w:rPr>
          <w:b/>
          <w:color w:val="6B7280"/>
          <w:sz w:val="16"/>
        </w:rPr>
        <w:t>ORIGINAL</w:t>
      </w:r>
    </w:p>
    <w:p>
      <w:pPr>
        <w:pStyle w:val="ManuscriptQuote"/>
      </w:pPr>
      <w:r>
        <w:t>…a jaw he no longer un-clenched without noticing…</w:t>
      </w:r>
    </w:p>
    <w:p>
      <w:pPr>
        <w:keepNext/>
      </w:pPr>
      <w:r>
        <w:rPr>
          <w:b/>
          <w:color w:val="6B7280"/>
          <w:sz w:val="16"/>
        </w:rPr>
        <w:t>SUGGESTED TREATMENT</w:t>
      </w:r>
    </w:p>
    <w:p>
      <w:r>
        <w:t>…a jaw he no longer unclenched without noticing…</w:t>
      </w:r>
    </w:p>
    <w:p>
      <w:pPr>
        <w:keepNext/>
      </w:pPr>
      <w:r>
        <w:rPr>
          <w:b/>
          <w:color w:val="6B7280"/>
          <w:sz w:val="16"/>
        </w:rPr>
        <w:t>WHY</w:t>
      </w:r>
    </w:p>
    <w:p>
      <w:r>
        <w:t>“Unclench” is the standard closed form. The inserted hyphen is not needed.</w:t>
      </w:r>
    </w:p>
    <w:p>
      <w:pPr>
        <w:spacing w:after="40"/>
        <w:pBdr>
          <w:bottom w:val="single" w:sz="4" w:space="1" w:color="D1D5DB"/>
        </w:pBdr>
      </w:pPr>
    </w:p>
    <w:p>
      <w:pPr>
        <w:keepNext/>
      </w:pPr>
      <w:r>
        <w:rPr>
          <w:b/>
          <w:color w:val="1F2937"/>
        </w:rPr>
        <w:t>CE-007  |  Query — acronym clarity  |  source line 1140</w:t>
      </w:r>
    </w:p>
    <w:p>
      <w:pPr>
        <w:keepNext/>
      </w:pPr>
      <w:r>
        <w:rPr>
          <w:b/>
          <w:color w:val="6B7280"/>
          <w:sz w:val="16"/>
        </w:rPr>
        <w:t>ORIGINAL</w:t>
      </w:r>
    </w:p>
    <w:p>
      <w:pPr>
        <w:pStyle w:val="ManuscriptQuote"/>
      </w:pPr>
      <w:r>
        <w:t>Dr. Leila Haddad, according to the nameplate. CISA.</w:t>
      </w:r>
    </w:p>
    <w:p>
      <w:pPr>
        <w:keepNext/>
      </w:pPr>
      <w:r>
        <w:rPr>
          <w:b/>
          <w:color w:val="6B7280"/>
          <w:sz w:val="16"/>
        </w:rPr>
        <w:t>SUGGESTED TREATMENT</w:t>
      </w:r>
    </w:p>
    <w:p>
      <w:r>
        <w:t>Consider spelling out or lightly glossing CISA on first use: “Cybersecurity and Infrastructure Security Agency” or an unobtrusive narrative equivalent. If the intended readership is expected to know CISA immediately, retain as written.</w:t>
      </w:r>
    </w:p>
    <w:p>
      <w:pPr>
        <w:keepNext/>
      </w:pPr>
      <w:r>
        <w:rPr>
          <w:b/>
          <w:color w:val="6B7280"/>
          <w:sz w:val="16"/>
        </w:rPr>
        <w:t>WHY</w:t>
      </w:r>
    </w:p>
    <w:p>
      <w:r>
        <w:t>Unlike NATO, NSA, or EU, CISA appears only once and is never expanded. A copy editor would normally query an unfamiliar one-off agency acronym rather than assume every thriller reader will decode it.</w:t>
      </w:r>
    </w:p>
    <w:p>
      <w:pPr>
        <w:spacing w:after="40"/>
        <w:pBdr>
          <w:bottom w:val="single" w:sz="4" w:space="1" w:color="D1D5DB"/>
        </w:pBdr>
      </w:pPr>
    </w:p>
    <w:p>
      <w:pPr>
        <w:keepNext/>
      </w:pPr>
      <w:r>
        <w:rPr>
          <w:b/>
          <w:color w:val="1F2937"/>
        </w:rPr>
        <w:t>CE-008  |  Correction — punctuation  |  source line 1396</w:t>
      </w:r>
    </w:p>
    <w:p>
      <w:pPr>
        <w:keepNext/>
      </w:pPr>
      <w:r>
        <w:rPr>
          <w:b/>
          <w:color w:val="6B7280"/>
          <w:sz w:val="16"/>
        </w:rPr>
        <w:t>ORIGINAL</w:t>
      </w:r>
    </w:p>
    <w:p>
      <w:pPr>
        <w:pStyle w:val="ManuscriptQuote"/>
      </w:pPr>
      <w:r>
        <w:t>"Go home," he said, from the doorway.</w:t>
      </w:r>
    </w:p>
    <w:p>
      <w:pPr>
        <w:keepNext/>
      </w:pPr>
      <w:r>
        <w:rPr>
          <w:b/>
          <w:color w:val="6B7280"/>
          <w:sz w:val="16"/>
        </w:rPr>
        <w:t>SUGGESTED TREATMENT</w:t>
      </w:r>
    </w:p>
    <w:p>
      <w:r>
        <w:t>"Go home," he said from the doorway.</w:t>
      </w:r>
    </w:p>
    <w:p>
      <w:pPr>
        <w:keepNext/>
      </w:pPr>
      <w:r>
        <w:rPr>
          <w:b/>
          <w:color w:val="6B7280"/>
          <w:sz w:val="16"/>
        </w:rPr>
        <w:t>WHY</w:t>
      </w:r>
    </w:p>
    <w:p>
      <w:r>
        <w:t>The comma unnecessarily separates the dialogue tag from its integrated location phrase.</w:t>
      </w:r>
    </w:p>
    <w:p>
      <w:pPr>
        <w:spacing w:after="40"/>
        <w:pBdr>
          <w:bottom w:val="single" w:sz="4" w:space="1" w:color="D1D5DB"/>
        </w:pBdr>
      </w:pPr>
    </w:p>
    <w:p>
      <w:pPr>
        <w:pStyle w:val="Heading2"/>
      </w:pPr>
      <w:r>
        <w:t>Chapter 10 — The Cost of Correction</w:t>
      </w:r>
    </w:p>
    <w:p>
      <w:pPr>
        <w:keepNext/>
      </w:pPr>
      <w:r>
        <w:rPr>
          <w:b/>
          <w:color w:val="1F2937"/>
        </w:rPr>
        <w:t>CE-009  |  Correction — word form  |  source line 2986</w:t>
      </w:r>
    </w:p>
    <w:p>
      <w:pPr>
        <w:keepNext/>
      </w:pPr>
      <w:r>
        <w:rPr>
          <w:b/>
          <w:color w:val="6B7280"/>
          <w:sz w:val="16"/>
        </w:rPr>
        <w:t>ORIGINAL</w:t>
      </w:r>
    </w:p>
    <w:p>
      <w:pPr>
        <w:pStyle w:val="ManuscriptQuote"/>
      </w:pPr>
      <w:r>
        <w:t>…the one with the Vale amendment paperclipped to a nine-year-old patent filing…</w:t>
      </w:r>
    </w:p>
    <w:p>
      <w:pPr>
        <w:keepNext/>
      </w:pPr>
      <w:r>
        <w:rPr>
          <w:b/>
          <w:color w:val="6B7280"/>
          <w:sz w:val="16"/>
        </w:rPr>
        <w:t>SUGGESTED TREATMENT</w:t>
      </w:r>
    </w:p>
    <w:p>
      <w:r>
        <w:t>…the one with the Vale amendment paper-clipped to a nine-year-old patent filing…</w:t>
        <w:br/>
        <w:t>—or, for the least conspicuous wording—</w:t>
        <w:br/>
        <w:t>…with the Vale amendment clipped to a nine-year-old patent filing…</w:t>
      </w:r>
    </w:p>
    <w:p>
      <w:pPr>
        <w:keepNext/>
      </w:pPr>
      <w:r>
        <w:rPr>
          <w:b/>
          <w:color w:val="6B7280"/>
          <w:sz w:val="16"/>
        </w:rPr>
        <w:t>WHY</w:t>
      </w:r>
    </w:p>
    <w:p>
      <w:r>
        <w:t>The closed form “paperclipped” is visually nonstandard. Hyphenating the compound verb or recasting to “clipped to” avoids a copy-level spelling distraction.</w:t>
      </w:r>
    </w:p>
    <w:p>
      <w:pPr>
        <w:spacing w:after="40"/>
        <w:pBdr>
          <w:bottom w:val="single" w:sz="4" w:space="1" w:color="D1D5DB"/>
        </w:pBdr>
      </w:pPr>
    </w:p>
    <w:p>
      <w:pPr>
        <w:keepNext/>
      </w:pPr>
      <w:r>
        <w:rPr>
          <w:b/>
          <w:color w:val="1F2937"/>
        </w:rPr>
        <w:t>CE-010  |  Correction — punctuation  |  source line 3002</w:t>
      </w:r>
    </w:p>
    <w:p>
      <w:pPr>
        <w:keepNext/>
      </w:pPr>
      <w:r>
        <w:rPr>
          <w:b/>
          <w:color w:val="6B7280"/>
          <w:sz w:val="16"/>
        </w:rPr>
        <w:t>ORIGINAL</w:t>
      </w:r>
    </w:p>
    <w:p>
      <w:pPr>
        <w:pStyle w:val="ManuscriptQuote"/>
      </w:pPr>
      <w:r>
        <w:t>"I work for OSSI," he said, before she could ask what that had to do with a fellowship that never sent a follow-up.</w:t>
      </w:r>
    </w:p>
    <w:p>
      <w:pPr>
        <w:keepNext/>
      </w:pPr>
      <w:r>
        <w:rPr>
          <w:b/>
          <w:color w:val="6B7280"/>
          <w:sz w:val="16"/>
        </w:rPr>
        <w:t>SUGGESTED TREATMENT</w:t>
      </w:r>
    </w:p>
    <w:p>
      <w:r>
        <w:t>"I work for OSSI," he said before she could ask what that had to do with a fellowship that never sent a follow-up.</w:t>
      </w:r>
    </w:p>
    <w:p>
      <w:pPr>
        <w:keepNext/>
      </w:pPr>
      <w:r>
        <w:rPr>
          <w:b/>
          <w:color w:val="6B7280"/>
          <w:sz w:val="16"/>
        </w:rPr>
        <w:t>WHY</w:t>
      </w:r>
    </w:p>
    <w:p>
      <w:r>
        <w:t>The temporal clause directly modifies “said”; the comma is unnecessary.</w:t>
      </w:r>
    </w:p>
    <w:p>
      <w:pPr>
        <w:spacing w:after="40"/>
        <w:pBdr>
          <w:bottom w:val="single" w:sz="4" w:space="1" w:color="D1D5DB"/>
        </w:pBdr>
      </w:pPr>
    </w:p>
    <w:p>
      <w:pPr>
        <w:pStyle w:val="Heading2"/>
      </w:pPr>
      <w:r>
        <w:t>Chapter 12 — Acceptable Parameters</w:t>
      </w:r>
    </w:p>
    <w:p>
      <w:pPr>
        <w:keepNext/>
      </w:pPr>
      <w:r>
        <w:rPr>
          <w:b/>
          <w:color w:val="1F2937"/>
        </w:rPr>
        <w:t>CE-011  |  Correction — punctuation  |  source line 3406</w:t>
      </w:r>
    </w:p>
    <w:p>
      <w:pPr>
        <w:keepNext/>
      </w:pPr>
      <w:r>
        <w:rPr>
          <w:b/>
          <w:color w:val="6B7280"/>
          <w:sz w:val="16"/>
        </w:rPr>
        <w:t>ORIGINAL</w:t>
      </w:r>
    </w:p>
    <w:p>
      <w:pPr>
        <w:pStyle w:val="ManuscriptQuote"/>
      </w:pPr>
      <w:r>
        <w:t>"The timestamp is wrong," Malcolm said, before he'd read it.</w:t>
      </w:r>
    </w:p>
    <w:p>
      <w:pPr>
        <w:keepNext/>
      </w:pPr>
      <w:r>
        <w:rPr>
          <w:b/>
          <w:color w:val="6B7280"/>
          <w:sz w:val="16"/>
        </w:rPr>
        <w:t>SUGGESTED TREATMENT</w:t>
      </w:r>
    </w:p>
    <w:p>
      <w:r>
        <w:t>"The timestamp is wrong," Malcolm said before he'd read it.</w:t>
      </w:r>
    </w:p>
    <w:p>
      <w:pPr>
        <w:keepNext/>
      </w:pPr>
      <w:r>
        <w:rPr>
          <w:b/>
          <w:color w:val="6B7280"/>
          <w:sz w:val="16"/>
        </w:rPr>
        <w:t>WHY</w:t>
      </w:r>
    </w:p>
    <w:p>
      <w:r>
        <w:t>The short temporal clause is integrated with the dialogue tag; no comma is required.</w:t>
      </w:r>
    </w:p>
    <w:p>
      <w:pPr>
        <w:spacing w:after="40"/>
        <w:pBdr>
          <w:bottom w:val="single" w:sz="4" w:space="1" w:color="D1D5DB"/>
        </w:pBdr>
      </w:pPr>
    </w:p>
    <w:p>
      <w:pPr>
        <w:pStyle w:val="Heading2"/>
      </w:pPr>
      <w:r>
        <w:t>Chapter 14 — Contain the Language</w:t>
      </w:r>
    </w:p>
    <w:p>
      <w:pPr>
        <w:keepNext/>
      </w:pPr>
      <w:r>
        <w:rPr>
          <w:b/>
          <w:color w:val="1F2937"/>
        </w:rPr>
        <w:t>CE-012  |  Correction — punctuation  |  source line 3801</w:t>
      </w:r>
    </w:p>
    <w:p>
      <w:pPr>
        <w:keepNext/>
      </w:pPr>
      <w:r>
        <w:rPr>
          <w:b/>
          <w:color w:val="6B7280"/>
          <w:sz w:val="16"/>
        </w:rPr>
        <w:t>ORIGINAL</w:t>
      </w:r>
    </w:p>
    <w:p>
      <w:pPr>
        <w:pStyle w:val="ManuscriptQuote"/>
      </w:pPr>
      <w:r>
        <w:t>"There goes eighty-one seconds," Leila said, after the Baltic correction.</w:t>
      </w:r>
    </w:p>
    <w:p>
      <w:pPr>
        <w:keepNext/>
      </w:pPr>
      <w:r>
        <w:rPr>
          <w:b/>
          <w:color w:val="6B7280"/>
          <w:sz w:val="16"/>
        </w:rPr>
        <w:t>SUGGESTED TREATMENT</w:t>
      </w:r>
    </w:p>
    <w:p>
      <w:r>
        <w:t>"There goes eighty-one seconds," Leila said after the Baltic correction.</w:t>
      </w:r>
    </w:p>
    <w:p>
      <w:pPr>
        <w:keepNext/>
      </w:pPr>
      <w:r>
        <w:rPr>
          <w:b/>
          <w:color w:val="6B7280"/>
          <w:sz w:val="16"/>
        </w:rPr>
        <w:t>WHY</w:t>
      </w:r>
    </w:p>
    <w:p>
      <w:r>
        <w:t>The comma after “said” interrupts a continuous verb-plus-modifier construction.</w:t>
      </w:r>
    </w:p>
    <w:p>
      <w:pPr>
        <w:spacing w:after="40"/>
        <w:pBdr>
          <w:bottom w:val="single" w:sz="4" w:space="1" w:color="D1D5DB"/>
        </w:pBdr>
      </w:pPr>
    </w:p>
    <w:p>
      <w:pPr>
        <w:pStyle w:val="Heading2"/>
      </w:pPr>
      <w:r>
        <w:t>Chapter 19 — Pressure</w:t>
      </w:r>
    </w:p>
    <w:p>
      <w:pPr>
        <w:keepNext/>
      </w:pPr>
      <w:r>
        <w:rPr>
          <w:b/>
          <w:color w:val="1F2937"/>
        </w:rPr>
        <w:t>CE-013  |  Correction — punctuation  |  source line 4955</w:t>
      </w:r>
    </w:p>
    <w:p>
      <w:pPr>
        <w:keepNext/>
      </w:pPr>
      <w:r>
        <w:rPr>
          <w:b/>
          <w:color w:val="6B7280"/>
          <w:sz w:val="16"/>
        </w:rPr>
        <w:t>ORIGINAL</w:t>
      </w:r>
    </w:p>
    <w:p>
      <w:pPr>
        <w:pStyle w:val="ManuscriptQuote"/>
      </w:pPr>
      <w:r>
        <w:t>"No phone," he said, before the channel closed. "Not in your bag. Not powered off. Leave it somewhere else."</w:t>
      </w:r>
    </w:p>
    <w:p>
      <w:pPr>
        <w:keepNext/>
      </w:pPr>
      <w:r>
        <w:rPr>
          <w:b/>
          <w:color w:val="6B7280"/>
          <w:sz w:val="16"/>
        </w:rPr>
        <w:t>SUGGESTED TREATMENT</w:t>
      </w:r>
    </w:p>
    <w:p>
      <w:r>
        <w:t>"No phone," he said before the channel closed. "Not in your bag. Not powered off. Leave it somewhere else."</w:t>
      </w:r>
    </w:p>
    <w:p>
      <w:pPr>
        <w:keepNext/>
      </w:pPr>
      <w:r>
        <w:rPr>
          <w:b/>
          <w:color w:val="6B7280"/>
          <w:sz w:val="16"/>
        </w:rPr>
        <w:t>WHY</w:t>
      </w:r>
    </w:p>
    <w:p>
      <w:r>
        <w:t>As above, the temporal clause directly modifies the dialogue tag and does not need the comma.</w:t>
      </w:r>
    </w:p>
    <w:p>
      <w:pPr>
        <w:spacing w:after="40"/>
        <w:pBdr>
          <w:bottom w:val="single" w:sz="4" w:space="1" w:color="D1D5DB"/>
        </w:pBdr>
      </w:pPr>
    </w:p>
    <w:p>
      <w:pPr>
        <w:pStyle w:val="Heading2"/>
      </w:pPr>
      <w:r>
        <w:t>Chapter 20 — Need to Know</w:t>
      </w:r>
    </w:p>
    <w:p>
      <w:pPr>
        <w:keepNext/>
      </w:pPr>
      <w:r>
        <w:rPr>
          <w:b/>
          <w:color w:val="1F2937"/>
        </w:rPr>
        <w:t>CE-014  |  Strong correction — numerical ambiguity  |  source line 5163</w:t>
      </w:r>
    </w:p>
    <w:p>
      <w:pPr>
        <w:keepNext/>
      </w:pPr>
      <w:r>
        <w:rPr>
          <w:b/>
          <w:color w:val="6B7280"/>
          <w:sz w:val="16"/>
        </w:rPr>
        <w:t>ORIGINAL</w:t>
      </w:r>
    </w:p>
    <w:p>
      <w:pPr>
        <w:pStyle w:val="ManuscriptQuote"/>
      </w:pPr>
      <w:r>
        <w:t>…the forty-second gap in coverage when Markou's detail rotated shift there…</w:t>
      </w:r>
    </w:p>
    <w:p>
      <w:pPr>
        <w:keepNext/>
      </w:pPr>
      <w:r>
        <w:rPr>
          <w:b/>
          <w:color w:val="6B7280"/>
          <w:sz w:val="16"/>
        </w:rPr>
        <w:t>SUGGESTED TREATMENT</w:t>
      </w:r>
    </w:p>
    <w:p>
      <w:r>
        <w:t>…the forty-second-long gap in coverage when Markou's detail rotated shift there…</w:t>
        <w:br/>
        <w:t>—or—</w:t>
        <w:br/>
        <w:t>…the 40-second gap in coverage…</w:t>
      </w:r>
    </w:p>
    <w:p>
      <w:pPr>
        <w:keepNext/>
      </w:pPr>
      <w:r>
        <w:rPr>
          <w:b/>
          <w:color w:val="6B7280"/>
          <w:sz w:val="16"/>
        </w:rPr>
        <w:t>WHY</w:t>
      </w:r>
    </w:p>
    <w:p>
      <w:r>
        <w:t>Written out, “forty-second gap” can be parsed as the forty-second gap (ordinal) rather than a gap lasting forty seconds. The scene is a targeting-package reveal, so precision matters more than preserving the ambiguous construction.</w:t>
      </w:r>
    </w:p>
    <w:p>
      <w:pPr>
        <w:spacing w:after="40"/>
        <w:pBdr>
          <w:bottom w:val="single" w:sz="4" w:space="1" w:color="D1D5DB"/>
        </w:pBdr>
      </w:pPr>
    </w:p>
    <w:p>
      <w:pPr>
        <w:pStyle w:val="Heading2"/>
      </w:pPr>
      <w:r>
        <w:t>Chapter 21 — Fault Lines</w:t>
      </w:r>
    </w:p>
    <w:p>
      <w:pPr>
        <w:keepNext/>
      </w:pPr>
      <w:r>
        <w:rPr>
          <w:b/>
          <w:color w:val="1F2937"/>
        </w:rPr>
        <w:t>CE-015  |  Correction — punctuation  |  source line 5233</w:t>
      </w:r>
    </w:p>
    <w:p>
      <w:pPr>
        <w:keepNext/>
      </w:pPr>
      <w:r>
        <w:rPr>
          <w:b/>
          <w:color w:val="6B7280"/>
          <w:sz w:val="16"/>
        </w:rPr>
        <w:t>ORIGINAL</w:t>
      </w:r>
    </w:p>
    <w:p>
      <w:pPr>
        <w:pStyle w:val="ManuscriptQuote"/>
      </w:pPr>
      <w:r>
        <w:t>"A written denial changes the record," Cate said, from her doorway.</w:t>
      </w:r>
    </w:p>
    <w:p>
      <w:pPr>
        <w:keepNext/>
      </w:pPr>
      <w:r>
        <w:rPr>
          <w:b/>
          <w:color w:val="6B7280"/>
          <w:sz w:val="16"/>
        </w:rPr>
        <w:t>SUGGESTED TREATMENT</w:t>
      </w:r>
    </w:p>
    <w:p>
      <w:r>
        <w:t>"A written denial changes the record," Cate said from her doorway.</w:t>
      </w:r>
    </w:p>
    <w:p>
      <w:pPr>
        <w:keepNext/>
      </w:pPr>
      <w:r>
        <w:rPr>
          <w:b/>
          <w:color w:val="6B7280"/>
          <w:sz w:val="16"/>
        </w:rPr>
        <w:t>WHY</w:t>
      </w:r>
    </w:p>
    <w:p>
      <w:r>
        <w:t>The location phrase is integrated with the dialogue tag; remove the comma.</w:t>
      </w:r>
    </w:p>
    <w:p>
      <w:pPr>
        <w:spacing w:after="40"/>
        <w:pBdr>
          <w:bottom w:val="single" w:sz="4" w:space="1" w:color="D1D5DB"/>
        </w:pBdr>
      </w:pPr>
    </w:p>
    <w:p>
      <w:pPr>
        <w:pStyle w:val="Heading2"/>
      </w:pPr>
      <w:r>
        <w:t>Chapter 26 — False Failure</w:t>
      </w:r>
    </w:p>
    <w:p>
      <w:pPr>
        <w:keepNext/>
      </w:pPr>
      <w:r>
        <w:rPr>
          <w:b/>
          <w:color w:val="1F2937"/>
        </w:rPr>
        <w:t>CE-016  |  Strong correction / author query — terminology  |  source line 7171</w:t>
      </w:r>
    </w:p>
    <w:p>
      <w:pPr>
        <w:keepNext/>
      </w:pPr>
      <w:r>
        <w:rPr>
          <w:b/>
          <w:color w:val="6B7280"/>
          <w:sz w:val="16"/>
        </w:rPr>
        <w:t>ORIGINAL</w:t>
      </w:r>
    </w:p>
    <w:p>
      <w:pPr>
        <w:pStyle w:val="ManuscriptQuote"/>
      </w:pPr>
      <w:r>
        <w:t>"I need a nonclassified timing method. Public notices, independent timestamps, uncertainty ranges. Nothing from the audit."</w:t>
      </w:r>
    </w:p>
    <w:p>
      <w:pPr>
        <w:keepNext/>
      </w:pPr>
      <w:r>
        <w:rPr>
          <w:b/>
          <w:color w:val="6B7280"/>
          <w:sz w:val="16"/>
        </w:rPr>
        <w:t>SUGGESTED TREATMENT</w:t>
      </w:r>
    </w:p>
    <w:p>
      <w:r>
        <w:t>"I need an unclassified timing method. Public notices, independent timestamps, uncertainty ranges. Nothing from the audit."</w:t>
      </w:r>
    </w:p>
    <w:p>
      <w:pPr>
        <w:keepNext/>
      </w:pPr>
      <w:r>
        <w:rPr>
          <w:b/>
          <w:color w:val="6B7280"/>
          <w:sz w:val="16"/>
        </w:rPr>
        <w:t>WHY</w:t>
      </w:r>
    </w:p>
    <w:p>
      <w:r>
        <w:t>“Unclassified” is the manuscript’s own later terminology (Chapter 27: “OSSI’s unclassified incident-reporting channel”) and is the more natural term in Malcolm’s government/security context. Retain “nonclassified” only if you intend a technical distinction between material that is formally unclassified and material that never entered a classification system.</w:t>
      </w:r>
    </w:p>
    <w:p>
      <w:pPr>
        <w:spacing w:after="40"/>
        <w:pBdr>
          <w:bottom w:val="single" w:sz="4" w:space="1" w:color="D1D5DB"/>
        </w:pBdr>
      </w:pPr>
    </w:p>
    <w:p>
      <w:pPr>
        <w:pStyle w:val="Heading2"/>
      </w:pPr>
      <w:r>
        <w:t>Chapter 27 — Convergence</w:t>
      </w:r>
    </w:p>
    <w:p>
      <w:pPr>
        <w:keepNext/>
      </w:pPr>
      <w:r>
        <w:rPr>
          <w:b/>
          <w:color w:val="1F2937"/>
        </w:rPr>
        <w:t>CE-017  |  Author query — proper-name spelling  |  source line 7280</w:t>
      </w:r>
    </w:p>
    <w:p>
      <w:pPr>
        <w:keepNext/>
      </w:pPr>
      <w:r>
        <w:rPr>
          <w:b/>
          <w:color w:val="6B7280"/>
          <w:sz w:val="16"/>
        </w:rPr>
        <w:t>ORIGINAL</w:t>
      </w:r>
    </w:p>
    <w:p>
      <w:pPr>
        <w:pStyle w:val="ManuscriptQuote"/>
      </w:pPr>
      <w:r>
        <w:t>Its local badge named Bosporus Civic Systems.</w:t>
      </w:r>
    </w:p>
    <w:p>
      <w:pPr>
        <w:keepNext/>
      </w:pPr>
      <w:r>
        <w:rPr>
          <w:b/>
          <w:color w:val="6B7280"/>
          <w:sz w:val="16"/>
        </w:rPr>
        <w:t>SUGGESTED TREATMENT</w:t>
      </w:r>
    </w:p>
    <w:p>
      <w:r>
        <w:t>Confirm that “Bosporus Civic Systems” is the intentional fictional company spelling. If the company name is meant to derive directly from the geographic Bosphorus used elsewhere in the chapter, change to “Bosphorus Civic Systems.” If “Bosporus” is a deliberate brand spelling, retain it and add it to the style sheet.</w:t>
      </w:r>
    </w:p>
    <w:p>
      <w:pPr>
        <w:keepNext/>
      </w:pPr>
      <w:r>
        <w:rPr>
          <w:b/>
          <w:color w:val="6B7280"/>
          <w:sz w:val="16"/>
        </w:rPr>
        <w:t>WHY</w:t>
      </w:r>
    </w:p>
    <w:p>
      <w:r>
        <w:t>The geographic feature is consistently “Bosphorus” elsewhere (five uses), while the vendor appears once as “Bosporus.” This may be intentional, but a copy editor should query rather than silently normalize a proper name.</w:t>
      </w:r>
    </w:p>
    <w:p>
      <w:pPr>
        <w:spacing w:after="40"/>
        <w:pBdr>
          <w:bottom w:val="single" w:sz="4" w:space="1" w:color="D1D5DB"/>
        </w:pBdr>
      </w:pPr>
    </w:p>
    <w:p>
      <w:pPr>
        <w:pStyle w:val="Heading2"/>
      </w:pPr>
      <w:r>
        <w:t>Chapter 33 — Exposure Window</w:t>
      </w:r>
    </w:p>
    <w:p>
      <w:pPr>
        <w:keepNext/>
      </w:pPr>
      <w:r>
        <w:rPr>
          <w:b/>
          <w:color w:val="1F2937"/>
        </w:rPr>
        <w:t>CE-018  |  Correction — missing preposition / syntax  |  source line 10033</w:t>
      </w:r>
    </w:p>
    <w:p>
      <w:pPr>
        <w:keepNext/>
      </w:pPr>
      <w:r>
        <w:rPr>
          <w:b/>
          <w:color w:val="6B7280"/>
          <w:sz w:val="16"/>
        </w:rPr>
        <w:t>ORIGINAL</w:t>
      </w:r>
    </w:p>
    <w:p>
      <w:pPr>
        <w:pStyle w:val="ManuscriptQuote"/>
      </w:pPr>
      <w:r>
        <w:t>On the wall, the embargo timer counting down Naomi's article reached six minutes.</w:t>
      </w:r>
    </w:p>
    <w:p>
      <w:pPr>
        <w:keepNext/>
      </w:pPr>
      <w:r>
        <w:rPr>
          <w:b/>
          <w:color w:val="6B7280"/>
          <w:sz w:val="16"/>
        </w:rPr>
        <w:t>SUGGESTED TREATMENT</w:t>
      </w:r>
    </w:p>
    <w:p>
      <w:r>
        <w:t>On the wall, the embargo timer counting down to Naomi's article reached six minutes.</w:t>
        <w:br/>
        <w:t>—or, more precisely—</w:t>
        <w:br/>
        <w:t>On the wall, the embargo timer counting down to publication of Naomi's article reached six minutes.</w:t>
      </w:r>
    </w:p>
    <w:p>
      <w:pPr>
        <w:keepNext/>
      </w:pPr>
      <w:r>
        <w:rPr>
          <w:b/>
          <w:color w:val="6B7280"/>
          <w:sz w:val="16"/>
        </w:rPr>
        <w:t>WHY</w:t>
      </w:r>
    </w:p>
    <w:p>
      <w:r>
        <w:t>As written, the timer appears to be “counting down” the article itself. Adding “to” supplies the intended relationship between the timer and publication.</w:t>
      </w:r>
    </w:p>
    <w:p>
      <w:pPr>
        <w:spacing w:after="40"/>
        <w:pBdr>
          <w:bottom w:val="single" w:sz="4" w:space="1" w:color="D1D5DB"/>
        </w:pBdr>
      </w:pPr>
    </w:p>
    <w:p>
      <w:pPr>
        <w:pStyle w:val="Heading2"/>
      </w:pPr>
      <w:r>
        <w:t>Chapter 34 — Polaris</w:t>
      </w:r>
    </w:p>
    <w:p>
      <w:pPr>
        <w:keepNext/>
      </w:pPr>
      <w:r>
        <w:rPr>
          <w:b/>
          <w:color w:val="1F2937"/>
        </w:rPr>
        <w:t>CE-019  |  Correction — missing relative pronoun / parsing  |  source line 10161</w:t>
      </w:r>
    </w:p>
    <w:p>
      <w:pPr>
        <w:keepNext/>
      </w:pPr>
      <w:r>
        <w:rPr>
          <w:b/>
          <w:color w:val="6B7280"/>
          <w:sz w:val="16"/>
        </w:rPr>
        <w:t>ORIGINAL</w:t>
      </w:r>
    </w:p>
    <w:p>
      <w:pPr>
        <w:pStyle w:val="ManuscriptQuote"/>
      </w:pPr>
      <w:r>
        <w:t>We prevented an allied rupture at a time when the government needed access those partners could withdraw.</w:t>
      </w:r>
    </w:p>
    <w:p>
      <w:pPr>
        <w:keepNext/>
      </w:pPr>
      <w:r>
        <w:rPr>
          <w:b/>
          <w:color w:val="6B7280"/>
          <w:sz w:val="16"/>
        </w:rPr>
        <w:t>SUGGESTED TREATMENT</w:t>
      </w:r>
    </w:p>
    <w:p>
      <w:r>
        <w:t>We prevented an allied rupture at a time when the government needed access that those partners could withdraw.</w:t>
      </w:r>
    </w:p>
    <w:p>
      <w:pPr>
        <w:keepNext/>
      </w:pPr>
      <w:r>
        <w:rPr>
          <w:b/>
          <w:color w:val="6B7280"/>
          <w:sz w:val="16"/>
        </w:rPr>
        <w:t>WHY</w:t>
      </w:r>
    </w:p>
    <w:p>
      <w:r>
        <w:t>Without “that,” “needed access those partners…” briefly invites the reader to parse “access” as a verb. The relative pronoun makes the intended noun phrase immediate and unambiguous.</w:t>
      </w:r>
    </w:p>
    <w:p>
      <w:pPr>
        <w:spacing w:after="40"/>
        <w:pBdr>
          <w:bottom w:val="single" w:sz="4" w:space="1" w:color="D1D5DB"/>
        </w:pBdr>
      </w:pPr>
    </w:p>
    <w:p>
      <w:pPr>
        <w:keepNext/>
      </w:pPr>
      <w:r>
        <w:rPr>
          <w:b/>
          <w:color w:val="1F2937"/>
        </w:rPr>
        <w:t>CE-020  |  Optional copy clarification — idiom  |  source line 10311</w:t>
      </w:r>
    </w:p>
    <w:p>
      <w:pPr>
        <w:keepNext/>
      </w:pPr>
      <w:r>
        <w:rPr>
          <w:b/>
          <w:color w:val="6B7280"/>
          <w:sz w:val="16"/>
        </w:rPr>
        <w:t>ORIGINAL</w:t>
      </w:r>
    </w:p>
    <w:p>
      <w:pPr>
        <w:pStyle w:val="ManuscriptQuote"/>
      </w:pPr>
      <w:r>
        <w:t>Another led to a policy fund with no public staff and a board made of law firms.</w:t>
      </w:r>
    </w:p>
    <w:p>
      <w:pPr>
        <w:keepNext/>
      </w:pPr>
      <w:r>
        <w:rPr>
          <w:b/>
          <w:color w:val="6B7280"/>
          <w:sz w:val="16"/>
        </w:rPr>
        <w:t>SUGGESTED TREATMENT</w:t>
      </w:r>
    </w:p>
    <w:p>
      <w:r>
        <w:t>Another led to a policy fund with no public staff and a board made up of law firms.</w:t>
      </w:r>
    </w:p>
    <w:p>
      <w:pPr>
        <w:keepNext/>
      </w:pPr>
      <w:r>
        <w:rPr>
          <w:b/>
          <w:color w:val="6B7280"/>
          <w:sz w:val="16"/>
        </w:rPr>
        <w:t>WHY</w:t>
      </w:r>
    </w:p>
    <w:p>
      <w:r>
        <w:t>“Made up of” is the more idiomatic construction for a body composed of member entities. The original is understandable, so this is optional rather than required.</w:t>
      </w:r>
    </w:p>
    <w:p>
      <w:pPr>
        <w:spacing w:after="40"/>
        <w:pBdr>
          <w:bottom w:val="single" w:sz="4" w:space="1" w:color="D1D5DB"/>
        </w:pBdr>
      </w:pPr>
    </w:p>
    <w:p>
      <w:pPr>
        <w:pStyle w:val="Heading1"/>
      </w:pPr>
      <w:r>
        <w:t>What I Would Not Change in Copyedit</w:t>
      </w:r>
    </w:p>
    <w:p>
      <w:pPr>
        <w:pStyle w:val="ListBullet"/>
      </w:pPr>
      <w:r>
        <w:t>The clipped fragments, procedural cadence, and technical vocabulary that create the thriller’s voice. Those are line/style choices, not copy errors.</w:t>
      </w:r>
    </w:p>
    <w:p>
      <w:pPr>
        <w:pStyle w:val="ListBullet"/>
      </w:pPr>
      <w:r>
        <w:t>The deliberate difference between official “Eastern Mediterranean Framework” usage and colloquial “Istanbul agreement” usage.</w:t>
      </w:r>
    </w:p>
    <w:p>
      <w:pPr>
        <w:pStyle w:val="ListBullet"/>
      </w:pPr>
      <w:r>
        <w:t>NCP7 without a hyphen in the specific reimbursement record, because the text explicitly calls attention to that discrepancy.</w:t>
      </w:r>
    </w:p>
    <w:p>
      <w:pPr>
        <w:pStyle w:val="ListBullet"/>
      </w:pPr>
      <w:r>
        <w:t>RESPONSIBILE AUTHORITY in Chapter 32, because the misspelling is intentional and immediately identified as Malcolm’s.</w:t>
      </w:r>
    </w:p>
    <w:p>
      <w:pPr>
        <w:pStyle w:val="ListBullet"/>
      </w:pPr>
      <w:r>
        <w:t>Technical labels that use all caps, slashes, arrows, or terse grammar. They are presented as interface/data artifacts and should not be forced into narrative grammar.</w:t>
      </w:r>
    </w:p>
    <w:p>
      <w:pPr>
        <w:pStyle w:val="ListBullet"/>
      </w:pPr>
      <w:r>
        <w:t>The manuscript’s strong preference for “said” and action beats over embellished dialogue tags; this is clean thriller practice and already consistent.</w:t>
      </w:r>
    </w:p>
    <w:p>
      <w:pPr>
        <w:pStyle w:val="Heading1"/>
      </w:pPr>
      <w:r>
        <w:t>Recommended Sequence After You Fold These In</w:t>
      </w:r>
    </w:p>
    <w:p>
      <w:pPr>
        <w:pStyle w:val="ListNumber"/>
      </w:pPr>
      <w:r>
        <w:t>Resolve the three author-intent queries first: OSSI/CISA first-use treatment and Bosporus/Bosphorus spelling.</w:t>
      </w:r>
    </w:p>
    <w:p>
      <w:pPr>
        <w:pStyle w:val="ListNumber"/>
      </w:pPr>
      <w:r>
        <w:t>Apply the clear punctuation and spelling corrections.</w:t>
      </w:r>
    </w:p>
    <w:p>
      <w:pPr>
        <w:pStyle w:val="ListNumber"/>
      </w:pPr>
      <w:r>
        <w:t>Standardize facedown / face-up usage.</w:t>
      </w:r>
    </w:p>
    <w:p>
      <w:pPr>
        <w:pStyle w:val="ListNumber"/>
      </w:pPr>
      <w:r>
        <w:t>Run one final mechanical proof after all manual changes, because manual insertion is the stage most likely to introduce a fresh typo or punctuation error.</w:t>
      </w:r>
    </w:p>
    <w:p>
      <w:pPr>
        <w:pStyle w:val="ListNumber"/>
      </w:pPr>
      <w:r>
        <w:t>After layout/typesetting, perform a separate proofread against the formatted pages; that is where widows/orphans, quotation-mark conversion, scene-break placement, dropped italics, and page-specific errors should be caught.</w:t>
      </w:r>
    </w:p>
    <w:p>
      <w:pPr>
        <w:jc w:val="center"/>
      </w:pPr>
      <w:r>
        <w:rPr>
          <w:i/>
          <w:color w:val="6B7280"/>
        </w:rPr>
        <w:t>— End of copy editorial review —</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AUTONOMOUS  |  COPY EDITORIAL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Quote">
    <w:name w:val="Manuscript Quote"/>
    <w:pPr>
      <w:spacing w:after="80"/>
      <w:ind w:left="317" w:right="173"/>
    </w:pPr>
    <w:rPr>
      <w:rFonts w:ascii="Aptos" w:hAnsi="Aptos"/>
      <w:i/>
      <w:color w:val="37415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