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D3C18" w14:textId="77777777" w:rsidR="000C4947" w:rsidRDefault="00000000">
      <w:pPr>
        <w:spacing w:before="840"/>
        <w:rPr>
          <w:rFonts w:hint="eastAsia"/>
        </w:rPr>
      </w:pPr>
      <w:r>
        <w:rPr>
          <w:rFonts w:ascii="Aptos Display" w:hAnsi="Aptos Display"/>
          <w:b/>
          <w:color w:val="17324D"/>
          <w:sz w:val="64"/>
        </w:rPr>
        <w:t>AUTONOMOUS</w:t>
      </w:r>
    </w:p>
    <w:p w14:paraId="47A72442" w14:textId="77777777" w:rsidR="000C4947" w:rsidRDefault="00000000">
      <w:pPr>
        <w:spacing w:after="160"/>
        <w:rPr>
          <w:rFonts w:hint="eastAsia"/>
        </w:rPr>
      </w:pPr>
      <w:r>
        <w:rPr>
          <w:b/>
          <w:color w:val="315B7D"/>
          <w:sz w:val="36"/>
        </w:rPr>
        <w:t>Developmental Editorial Review &amp; Suggested Edit File</w:t>
      </w:r>
    </w:p>
    <w:p w14:paraId="7226D303" w14:textId="77777777" w:rsidR="000C4947" w:rsidRDefault="00000000">
      <w:pPr>
        <w:pStyle w:val="Deck"/>
        <w:pBdr>
          <w:bottom w:val="single" w:sz="12" w:space="1" w:color="315B7D"/>
        </w:pBdr>
        <w:rPr>
          <w:rFonts w:hint="eastAsia"/>
        </w:rPr>
      </w:pPr>
      <w:r>
        <w:t>A manuscript-first developmental assessment cross-checked against the attached canon, act maps, scene maps, revision audits, reader-experience passes, and trilogy planning material.</w:t>
      </w:r>
    </w:p>
    <w:tbl>
      <w:tblPr>
        <w:tblW w:w="0" w:type="auto"/>
        <w:tblLayout w:type="fixed"/>
        <w:tblLook w:val="04A0" w:firstRow="1" w:lastRow="0" w:firstColumn="1" w:lastColumn="0" w:noHBand="0" w:noVBand="1"/>
      </w:tblPr>
      <w:tblGrid>
        <w:gridCol w:w="4939"/>
        <w:gridCol w:w="4939"/>
      </w:tblGrid>
      <w:tr w:rsidR="000C4947" w14:paraId="54E85FAB" w14:textId="77777777">
        <w:trPr>
          <w:cantSplit/>
        </w:trPr>
        <w:tc>
          <w:tcPr>
            <w:tcW w:w="4939" w:type="dxa"/>
            <w:tcBorders>
              <w:bottom w:val="single" w:sz="3" w:space="0" w:color="CBD5DE"/>
            </w:tcBorders>
            <w:shd w:val="clear" w:color="auto" w:fill="F4F6F8"/>
            <w:tcMar>
              <w:top w:w="95" w:type="dxa"/>
              <w:left w:w="100" w:type="dxa"/>
              <w:bottom w:w="95" w:type="dxa"/>
              <w:right w:w="100" w:type="dxa"/>
            </w:tcMar>
          </w:tcPr>
          <w:p w14:paraId="567A0E87" w14:textId="77777777" w:rsidR="000C4947" w:rsidRDefault="00000000">
            <w:pPr>
              <w:rPr>
                <w:rFonts w:hint="eastAsia"/>
              </w:rPr>
            </w:pPr>
            <w:r>
              <w:rPr>
                <w:b/>
                <w:color w:val="315B7D"/>
                <w:sz w:val="18"/>
              </w:rPr>
              <w:t>Working manuscript</w:t>
            </w:r>
          </w:p>
        </w:tc>
        <w:tc>
          <w:tcPr>
            <w:tcW w:w="4939" w:type="dxa"/>
            <w:tcBorders>
              <w:bottom w:val="single" w:sz="3" w:space="0" w:color="CBD5DE"/>
            </w:tcBorders>
            <w:tcMar>
              <w:top w:w="95" w:type="dxa"/>
              <w:left w:w="100" w:type="dxa"/>
              <w:bottom w:w="95" w:type="dxa"/>
              <w:right w:w="100" w:type="dxa"/>
            </w:tcMar>
          </w:tcPr>
          <w:p w14:paraId="238C3560" w14:textId="77777777" w:rsidR="000C4947" w:rsidRDefault="00000000">
            <w:pPr>
              <w:rPr>
                <w:rFonts w:hint="eastAsia"/>
              </w:rPr>
            </w:pPr>
            <w:r>
              <w:rPr>
                <w:sz w:val="18"/>
              </w:rPr>
              <w:t>Autonomous_Book_1_Reimagined_Reading_Manuscript.md</w:t>
            </w:r>
          </w:p>
        </w:tc>
      </w:tr>
      <w:tr w:rsidR="000C4947" w14:paraId="283A06DE" w14:textId="77777777">
        <w:trPr>
          <w:cantSplit/>
        </w:trPr>
        <w:tc>
          <w:tcPr>
            <w:tcW w:w="4939" w:type="dxa"/>
            <w:tcBorders>
              <w:bottom w:val="single" w:sz="3" w:space="0" w:color="CBD5DE"/>
            </w:tcBorders>
            <w:shd w:val="clear" w:color="auto" w:fill="F4F6F8"/>
            <w:tcMar>
              <w:top w:w="95" w:type="dxa"/>
              <w:left w:w="100" w:type="dxa"/>
              <w:bottom w:w="95" w:type="dxa"/>
              <w:right w:w="100" w:type="dxa"/>
            </w:tcMar>
          </w:tcPr>
          <w:p w14:paraId="71AAFB02" w14:textId="77777777" w:rsidR="000C4947" w:rsidRDefault="00000000">
            <w:pPr>
              <w:rPr>
                <w:rFonts w:hint="eastAsia"/>
              </w:rPr>
            </w:pPr>
            <w:r>
              <w:rPr>
                <w:b/>
                <w:color w:val="315B7D"/>
                <w:sz w:val="18"/>
              </w:rPr>
              <w:t>Draft profile</w:t>
            </w:r>
          </w:p>
        </w:tc>
        <w:tc>
          <w:tcPr>
            <w:tcW w:w="4939" w:type="dxa"/>
            <w:tcBorders>
              <w:bottom w:val="single" w:sz="3" w:space="0" w:color="CBD5DE"/>
            </w:tcBorders>
            <w:tcMar>
              <w:top w:w="95" w:type="dxa"/>
              <w:left w:w="100" w:type="dxa"/>
              <w:bottom w:w="95" w:type="dxa"/>
              <w:right w:w="100" w:type="dxa"/>
            </w:tcMar>
          </w:tcPr>
          <w:p w14:paraId="476C7E67" w14:textId="77777777" w:rsidR="000C4947" w:rsidRDefault="00000000">
            <w:pPr>
              <w:rPr>
                <w:rFonts w:hint="eastAsia"/>
              </w:rPr>
            </w:pPr>
            <w:r>
              <w:rPr>
                <w:sz w:val="18"/>
              </w:rPr>
              <w:t>34 chapters • approximately 67,900 words • five-movement structure</w:t>
            </w:r>
          </w:p>
        </w:tc>
      </w:tr>
      <w:tr w:rsidR="000C4947" w14:paraId="353E012E" w14:textId="77777777">
        <w:trPr>
          <w:cantSplit/>
        </w:trPr>
        <w:tc>
          <w:tcPr>
            <w:tcW w:w="4939" w:type="dxa"/>
            <w:tcBorders>
              <w:bottom w:val="single" w:sz="3" w:space="0" w:color="CBD5DE"/>
            </w:tcBorders>
            <w:shd w:val="clear" w:color="auto" w:fill="F4F6F8"/>
            <w:tcMar>
              <w:top w:w="95" w:type="dxa"/>
              <w:left w:w="100" w:type="dxa"/>
              <w:bottom w:w="95" w:type="dxa"/>
              <w:right w:w="100" w:type="dxa"/>
            </w:tcMar>
          </w:tcPr>
          <w:p w14:paraId="55263722" w14:textId="77777777" w:rsidR="000C4947" w:rsidRDefault="00000000">
            <w:pPr>
              <w:rPr>
                <w:rFonts w:hint="eastAsia"/>
              </w:rPr>
            </w:pPr>
            <w:r>
              <w:rPr>
                <w:b/>
                <w:color w:val="315B7D"/>
                <w:sz w:val="18"/>
              </w:rPr>
              <w:t>Editorial mode</w:t>
            </w:r>
          </w:p>
        </w:tc>
        <w:tc>
          <w:tcPr>
            <w:tcW w:w="4939" w:type="dxa"/>
            <w:tcBorders>
              <w:bottom w:val="single" w:sz="3" w:space="0" w:color="CBD5DE"/>
            </w:tcBorders>
            <w:tcMar>
              <w:top w:w="95" w:type="dxa"/>
              <w:left w:w="100" w:type="dxa"/>
              <w:bottom w:w="95" w:type="dxa"/>
              <w:right w:w="100" w:type="dxa"/>
            </w:tcMar>
          </w:tcPr>
          <w:p w14:paraId="361DEDF1" w14:textId="77777777" w:rsidR="000C4947" w:rsidRDefault="00000000">
            <w:pPr>
              <w:rPr>
                <w:rFonts w:hint="eastAsia"/>
              </w:rPr>
            </w:pPr>
            <w:r>
              <w:rPr>
                <w:sz w:val="18"/>
              </w:rPr>
              <w:t>Developmental review; no line edits, copyedits, or source-file changes</w:t>
            </w:r>
          </w:p>
        </w:tc>
      </w:tr>
      <w:tr w:rsidR="000C4947" w14:paraId="721A1464" w14:textId="77777777">
        <w:trPr>
          <w:cantSplit/>
        </w:trPr>
        <w:tc>
          <w:tcPr>
            <w:tcW w:w="4939" w:type="dxa"/>
            <w:tcBorders>
              <w:bottom w:val="single" w:sz="3" w:space="0" w:color="CBD5DE"/>
            </w:tcBorders>
            <w:shd w:val="clear" w:color="auto" w:fill="F4F6F8"/>
            <w:tcMar>
              <w:top w:w="95" w:type="dxa"/>
              <w:left w:w="100" w:type="dxa"/>
              <w:bottom w:w="95" w:type="dxa"/>
              <w:right w:w="100" w:type="dxa"/>
            </w:tcMar>
          </w:tcPr>
          <w:p w14:paraId="26C01841" w14:textId="77777777" w:rsidR="000C4947" w:rsidRDefault="00000000">
            <w:pPr>
              <w:rPr>
                <w:rFonts w:hint="eastAsia"/>
              </w:rPr>
            </w:pPr>
            <w:r>
              <w:rPr>
                <w:b/>
                <w:color w:val="315B7D"/>
                <w:sz w:val="18"/>
              </w:rPr>
              <w:t>Supporting material</w:t>
            </w:r>
          </w:p>
        </w:tc>
        <w:tc>
          <w:tcPr>
            <w:tcW w:w="4939" w:type="dxa"/>
            <w:tcBorders>
              <w:bottom w:val="single" w:sz="3" w:space="0" w:color="CBD5DE"/>
            </w:tcBorders>
            <w:tcMar>
              <w:top w:w="95" w:type="dxa"/>
              <w:left w:w="100" w:type="dxa"/>
              <w:bottom w:w="95" w:type="dxa"/>
              <w:right w:w="100" w:type="dxa"/>
            </w:tcMar>
          </w:tcPr>
          <w:p w14:paraId="326F4796" w14:textId="77777777" w:rsidR="000C4947" w:rsidRDefault="00000000">
            <w:pPr>
              <w:rPr>
                <w:rFonts w:hint="eastAsia"/>
              </w:rPr>
            </w:pPr>
            <w:r>
              <w:rPr>
                <w:sz w:val="18"/>
              </w:rPr>
              <w:t>Canon histories, trilogy bible, updated act map, scene maps, character/reference files, Istanbul/Vardonia/source canon, prior audits and reader passes</w:t>
            </w:r>
          </w:p>
        </w:tc>
      </w:tr>
      <w:tr w:rsidR="000C4947" w14:paraId="66B382BB" w14:textId="77777777">
        <w:trPr>
          <w:cantSplit/>
        </w:trPr>
        <w:tc>
          <w:tcPr>
            <w:tcW w:w="4939" w:type="dxa"/>
            <w:tcBorders>
              <w:bottom w:val="single" w:sz="3" w:space="0" w:color="CBD5DE"/>
            </w:tcBorders>
            <w:shd w:val="clear" w:color="auto" w:fill="F4F6F8"/>
            <w:tcMar>
              <w:top w:w="95" w:type="dxa"/>
              <w:left w:w="100" w:type="dxa"/>
              <w:bottom w:w="95" w:type="dxa"/>
              <w:right w:w="100" w:type="dxa"/>
            </w:tcMar>
          </w:tcPr>
          <w:p w14:paraId="6D8D246E" w14:textId="77777777" w:rsidR="000C4947" w:rsidRDefault="00000000">
            <w:pPr>
              <w:rPr>
                <w:rFonts w:hint="eastAsia"/>
              </w:rPr>
            </w:pPr>
            <w:r>
              <w:rPr>
                <w:b/>
                <w:color w:val="315B7D"/>
                <w:sz w:val="18"/>
              </w:rPr>
              <w:t>Review stance</w:t>
            </w:r>
          </w:p>
        </w:tc>
        <w:tc>
          <w:tcPr>
            <w:tcW w:w="4939" w:type="dxa"/>
            <w:tcBorders>
              <w:bottom w:val="single" w:sz="3" w:space="0" w:color="CBD5DE"/>
            </w:tcBorders>
            <w:tcMar>
              <w:top w:w="95" w:type="dxa"/>
              <w:left w:w="100" w:type="dxa"/>
              <w:bottom w:w="95" w:type="dxa"/>
              <w:right w:w="100" w:type="dxa"/>
            </w:tcMar>
          </w:tcPr>
          <w:p w14:paraId="5ABB8393" w14:textId="77777777" w:rsidR="000C4947" w:rsidRDefault="00000000">
            <w:pPr>
              <w:rPr>
                <w:rFonts w:hint="eastAsia"/>
              </w:rPr>
            </w:pPr>
            <w:r>
              <w:rPr>
                <w:sz w:val="18"/>
              </w:rPr>
              <w:t>Current manuscript governs reader experience; supporting documents explain intent but do not excuse what is absent or unclear on the page.</w:t>
            </w:r>
          </w:p>
        </w:tc>
      </w:tr>
    </w:tbl>
    <w:p w14:paraId="0FAB2218" w14:textId="77777777" w:rsidR="000C4947" w:rsidRDefault="00000000">
      <w:pPr>
        <w:spacing w:before="320" w:after="80"/>
        <w:rPr>
          <w:rFonts w:hint="eastAsia"/>
        </w:rPr>
      </w:pPr>
      <w:r>
        <w:rPr>
          <w:b/>
          <w:color w:val="2F6B4F"/>
          <w:sz w:val="18"/>
        </w:rPr>
        <w:t>EDITORIAL VERDICT</w:t>
      </w:r>
    </w:p>
    <w:p w14:paraId="3347A43F" w14:textId="77777777" w:rsidR="000C4947" w:rsidRDefault="00000000">
      <w:pPr>
        <w:rPr>
          <w:rFonts w:hint="eastAsia"/>
        </w:rPr>
      </w:pPr>
      <w:r>
        <w:rPr>
          <w:b/>
          <w:color w:val="17324D"/>
          <w:sz w:val="32"/>
        </w:rPr>
        <w:t>Targeted revision recommended — not another structural rebuild.</w:t>
      </w:r>
    </w:p>
    <w:p w14:paraId="5E74E132" w14:textId="77777777" w:rsidR="000C4947" w:rsidRDefault="00000000">
      <w:pPr>
        <w:pStyle w:val="Deck"/>
        <w:rPr>
          <w:rFonts w:hint="eastAsia"/>
        </w:rPr>
      </w:pPr>
      <w:r>
        <w:t>The current reimagined manuscript has a coherent escalation spine, a functioning climax, and a strong thematic ending. The highest-value work now is correcting a few trust/knowledge seams, clarifying one character-arc promise, and bringing the supporting canon into alignment with the manuscript.</w:t>
      </w:r>
    </w:p>
    <w:p w14:paraId="44F032F9" w14:textId="77777777" w:rsidR="000C4947" w:rsidRDefault="00000000">
      <w:pPr>
        <w:rPr>
          <w:rFonts w:hint="eastAsia"/>
        </w:rPr>
      </w:pPr>
      <w:r>
        <w:br w:type="page"/>
      </w:r>
    </w:p>
    <w:p w14:paraId="4DE0654E" w14:textId="77777777" w:rsidR="000C4947" w:rsidRDefault="00000000">
      <w:pPr>
        <w:pStyle w:val="Heading1"/>
      </w:pPr>
      <w:r>
        <w:lastRenderedPageBreak/>
        <w:t>1. Executive Assessment</w:t>
      </w:r>
    </w:p>
    <w:tbl>
      <w:tblPr>
        <w:tblW w:w="0" w:type="auto"/>
        <w:jc w:val="center"/>
        <w:tblLook w:val="04A0" w:firstRow="1" w:lastRow="0" w:firstColumn="1" w:lastColumn="0" w:noHBand="0" w:noVBand="1"/>
      </w:tblPr>
      <w:tblGrid>
        <w:gridCol w:w="9852"/>
      </w:tblGrid>
      <w:tr w:rsidR="000C4947" w14:paraId="14B95F1E" w14:textId="77777777">
        <w:trPr>
          <w:cantSplit/>
          <w:jc w:val="center"/>
        </w:trPr>
        <w:tc>
          <w:tcPr>
            <w:tcW w:w="9878" w:type="dxa"/>
            <w:tcBorders>
              <w:top w:val="single" w:sz="2" w:space="0" w:color="EDF5F0"/>
              <w:left w:val="single" w:sz="18" w:space="0" w:color="2F6B4F"/>
              <w:bottom w:val="single" w:sz="2" w:space="0" w:color="EDF5F0"/>
              <w:right w:val="single" w:sz="2" w:space="0" w:color="EDF5F0"/>
            </w:tcBorders>
            <w:shd w:val="clear" w:color="auto" w:fill="EDF5F0"/>
            <w:tcMar>
              <w:top w:w="140" w:type="dxa"/>
              <w:left w:w="160" w:type="dxa"/>
              <w:bottom w:w="140" w:type="dxa"/>
              <w:right w:w="160" w:type="dxa"/>
            </w:tcMar>
          </w:tcPr>
          <w:p w14:paraId="349B3BED" w14:textId="77777777" w:rsidR="000C4947" w:rsidRDefault="00000000">
            <w:pPr>
              <w:spacing w:after="80"/>
              <w:rPr>
                <w:rFonts w:hint="eastAsia"/>
              </w:rPr>
            </w:pPr>
            <w:r>
              <w:rPr>
                <w:b/>
                <w:color w:val="2F6B4F"/>
                <w:sz w:val="18"/>
              </w:rPr>
              <w:t>BOTTOM LINE</w:t>
            </w:r>
          </w:p>
          <w:p w14:paraId="4256BDBA" w14:textId="77777777" w:rsidR="000C4947" w:rsidRDefault="00000000">
            <w:pPr>
              <w:spacing w:after="0"/>
              <w:rPr>
                <w:rFonts w:hint="eastAsia"/>
              </w:rPr>
            </w:pPr>
            <w:r>
              <w:t>I would not send this book back for a broad developmental rewrite. The reimagined structure is doing its job. My recommendations are surgical: one conspicuous scene seam, one epistemic-certainty problem, one character-arc clarity question, two manuscript/canon identity conflicts, and a supporting-document cleanup pass before the next external edit or Book II development cycle.</w:t>
            </w:r>
          </w:p>
        </w:tc>
      </w:tr>
    </w:tbl>
    <w:p w14:paraId="2682AD82" w14:textId="77777777" w:rsidR="000C4947" w:rsidRDefault="00000000">
      <w:pPr>
        <w:rPr>
          <w:rFonts w:hint="eastAsia"/>
        </w:rPr>
      </w:pPr>
      <w:r>
        <w:rPr>
          <w:b/>
        </w:rPr>
        <w:t>What is working especially well</w:t>
      </w:r>
    </w:p>
    <w:p w14:paraId="7E47231F" w14:textId="77777777" w:rsidR="000C4947" w:rsidRDefault="00000000">
      <w:pPr>
        <w:pStyle w:val="ListBullet"/>
        <w:spacing w:after="80"/>
        <w:rPr>
          <w:rFonts w:hint="eastAsia"/>
        </w:rPr>
      </w:pPr>
      <w:r>
        <w:rPr>
          <w:b/>
        </w:rPr>
        <w:t xml:space="preserve">The opening establishes the novel’s governing pattern quickly. </w:t>
      </w:r>
      <w:r>
        <w:t>Malcolm sees a correction occur before the responsible human authority should be able to authorize it, while the Baltic human interludes keep the anomaly from feeling like abstract dashboard fiction.</w:t>
      </w:r>
    </w:p>
    <w:p w14:paraId="0A1B66BC" w14:textId="77777777" w:rsidR="000C4947" w:rsidRDefault="00000000">
      <w:pPr>
        <w:pStyle w:val="ListBullet"/>
        <w:spacing w:after="80"/>
        <w:rPr>
          <w:rFonts w:hint="eastAsia"/>
        </w:rPr>
      </w:pPr>
      <w:r>
        <w:rPr>
          <w:b/>
        </w:rPr>
        <w:t xml:space="preserve">The dual-investigation structure is complementary rather than redundant. </w:t>
      </w:r>
      <w:r>
        <w:t>Malcolm can see system behavior but not ownership; Naomi can see ownership, language changes, distribution effects, and public records but not the classified architecture. Their collaboration earns itself because neither has the whole problem.</w:t>
      </w:r>
    </w:p>
    <w:p w14:paraId="5840E12F" w14:textId="77777777" w:rsidR="000C4947" w:rsidRDefault="00000000">
      <w:pPr>
        <w:pStyle w:val="ListBullet"/>
        <w:spacing w:after="80"/>
        <w:rPr>
          <w:rFonts w:hint="eastAsia"/>
        </w:rPr>
      </w:pPr>
      <w:r>
        <w:rPr>
          <w:b/>
        </w:rPr>
        <w:t xml:space="preserve">The medical-isotope live test is a strong midpoint proof mechanism. </w:t>
      </w:r>
      <w:r>
        <w:t>Malcolm predicts the objective but not the route. Polaris reaches the same stabilizing result through insurance, airline, customs, and supply alternatives, proving objective-level behavior instead of a scripted trick.</w:t>
      </w:r>
    </w:p>
    <w:p w14:paraId="4C0BAC54" w14:textId="77777777" w:rsidR="000C4947" w:rsidRDefault="00000000">
      <w:pPr>
        <w:pStyle w:val="ListBullet"/>
        <w:spacing w:after="80"/>
        <w:rPr>
          <w:rFonts w:hint="eastAsia"/>
        </w:rPr>
      </w:pPr>
      <w:r>
        <w:rPr>
          <w:b/>
        </w:rPr>
        <w:t xml:space="preserve">Institutional obstruction is thematic, not merely procedural. </w:t>
      </w:r>
      <w:r>
        <w:t>The audit’s scope wall works because no single participant has to behave irrationally. Local authorities and local mandates collectively create the same kind of “stable” enclosure the novel is criticizing.</w:t>
      </w:r>
    </w:p>
    <w:p w14:paraId="76DEEDB3" w14:textId="77777777" w:rsidR="000C4947" w:rsidRDefault="00000000">
      <w:pPr>
        <w:pStyle w:val="ListBullet"/>
        <w:spacing w:after="80"/>
        <w:rPr>
          <w:rFonts w:hint="eastAsia"/>
        </w:rPr>
      </w:pPr>
      <w:r>
        <w:rPr>
          <w:b/>
        </w:rPr>
        <w:t xml:space="preserve">Adrian remains morally implicated without becoming a cartoon. </w:t>
      </w:r>
      <w:r>
        <w:t>His concealment of ghost authorization, his need for Malcolm in Istanbul, and his willingness to sacrifice a visible layer preserve responsibility while allowing him to remain a strategically useful antagonist.</w:t>
      </w:r>
    </w:p>
    <w:p w14:paraId="6151EE67" w14:textId="77777777" w:rsidR="000C4947" w:rsidRDefault="00000000">
      <w:pPr>
        <w:pStyle w:val="ListBullet"/>
        <w:spacing w:after="80"/>
        <w:rPr>
          <w:rFonts w:hint="eastAsia"/>
        </w:rPr>
      </w:pPr>
      <w:r>
        <w:rPr>
          <w:b/>
        </w:rPr>
        <w:t xml:space="preserve">Istanbul has a readable causal chain. </w:t>
      </w:r>
      <w:r>
        <w:t>The false contamination event, Markou’s water exit, Elif’s reassignment, the attackers’ route assumptions, and the post-attack attribution rewrite all build from previously established infrastructure rather than arriving as climax-only machinery.</w:t>
      </w:r>
    </w:p>
    <w:p w14:paraId="1F33C15B" w14:textId="77777777" w:rsidR="000C4947" w:rsidRDefault="00000000">
      <w:pPr>
        <w:pStyle w:val="ListBullet"/>
        <w:spacing w:after="80"/>
        <w:rPr>
          <w:rFonts w:hint="eastAsia"/>
        </w:rPr>
      </w:pPr>
      <w:r>
        <w:rPr>
          <w:b/>
        </w:rPr>
        <w:t xml:space="preserve">Elif’s death serves the thesis rather than only motivating the leads. </w:t>
      </w:r>
      <w:r>
        <w:t>Her movement persists because records, authority, and organizing capacity were distributed before her death. Polaris can remove a person but misreads where the movement’s resilience actually lives.</w:t>
      </w:r>
    </w:p>
    <w:p w14:paraId="1F8D9508" w14:textId="77777777" w:rsidR="000C4947" w:rsidRDefault="00000000">
      <w:pPr>
        <w:pStyle w:val="ListBullet"/>
        <w:spacing w:after="80"/>
        <w:rPr>
          <w:rFonts w:hint="eastAsia"/>
        </w:rPr>
      </w:pPr>
      <w:r>
        <w:rPr>
          <w:b/>
        </w:rPr>
        <w:t xml:space="preserve">The final publication sequence demonstrates mature evidentiary discipline. </w:t>
      </w:r>
      <w:r>
        <w:t>Tom removes what they know but cannot yet prove and publishes integration, concealment, and action instead. The reader is allowed to reach the stronger conclusion without the novel making Naomi professionally reckless to get there.</w:t>
      </w:r>
    </w:p>
    <w:p w14:paraId="159B06A3" w14:textId="77777777" w:rsidR="000C4947" w:rsidRDefault="00000000">
      <w:pPr>
        <w:pStyle w:val="ListBullet"/>
        <w:spacing w:after="80"/>
        <w:rPr>
          <w:rFonts w:hint="eastAsia"/>
        </w:rPr>
      </w:pPr>
      <w:r>
        <w:rPr>
          <w:b/>
        </w:rPr>
        <w:t xml:space="preserve">The ending completes Malcolm’s Book I arc without falsely “solving” the series. </w:t>
      </w:r>
      <w:r>
        <w:t>His refusal of protected re-entry and the move toward distributed records show a meaningful change in his relationship to control, while Daniel, Varga, upstream authority, and Polaris remain viable sequel pressure.</w:t>
      </w:r>
    </w:p>
    <w:p w14:paraId="775A4D90" w14:textId="77777777" w:rsidR="000C4947" w:rsidRDefault="00000000">
      <w:pPr>
        <w:rPr>
          <w:rFonts w:hint="eastAsia"/>
        </w:rPr>
      </w:pPr>
      <w:r>
        <w:rPr>
          <w:b/>
        </w:rPr>
        <w:t>Developmental diagnosis</w:t>
      </w:r>
      <w:r>
        <w:t xml:space="preserve"> The manuscript is now stronger than several of its older planning documents. That means the next pass should resist “editing back toward the bible.” Where the book has evolved successfully, the bible should be updated to match the book. Where the manuscript contradicts locked canon or skips a necessary emotional/causal beat, the manuscript should be corrected.</w:t>
      </w:r>
    </w:p>
    <w:p w14:paraId="5E5E8FE9" w14:textId="77777777" w:rsidR="000C4947" w:rsidRDefault="00000000">
      <w:pPr>
        <w:pStyle w:val="Heading1"/>
      </w:pPr>
      <w:r>
        <w:t>2. Recommended Manuscript Edits</w:t>
      </w:r>
    </w:p>
    <w:p w14:paraId="6CC3CE8F" w14:textId="77777777" w:rsidR="000C4947" w:rsidRDefault="00000000">
      <w:pPr>
        <w:pStyle w:val="Deck"/>
        <w:rPr>
          <w:rFonts w:hint="eastAsia"/>
        </w:rPr>
      </w:pPr>
      <w:r>
        <w:t>These are the changes I would put on the revision list before a line edit or copyedit. I am not supplying replacement prose; each note describes the problem and the editorial objective.</w:t>
      </w:r>
    </w:p>
    <w:tbl>
      <w:tblPr>
        <w:tblW w:w="0" w:type="auto"/>
        <w:jc w:val="center"/>
        <w:tblLayout w:type="fixed"/>
        <w:tblLook w:val="04A0" w:firstRow="1" w:lastRow="0" w:firstColumn="1" w:lastColumn="0" w:noHBand="0" w:noVBand="1"/>
      </w:tblPr>
      <w:tblGrid>
        <w:gridCol w:w="4939"/>
        <w:gridCol w:w="4939"/>
      </w:tblGrid>
      <w:tr w:rsidR="000C4947" w14:paraId="6062EF37" w14:textId="77777777">
        <w:trPr>
          <w:cantSplit/>
          <w:jc w:val="center"/>
        </w:trPr>
        <w:tc>
          <w:tcPr>
            <w:tcW w:w="4939" w:type="dxa"/>
            <w:tcBorders>
              <w:top w:val="single" w:sz="3" w:space="0" w:color="CBD5DE"/>
              <w:left w:val="single" w:sz="3" w:space="0" w:color="CBD5DE"/>
              <w:bottom w:val="single" w:sz="3" w:space="0" w:color="CBD5DE"/>
              <w:right w:val="single" w:sz="3" w:space="0" w:color="CBD5DE"/>
            </w:tcBorders>
            <w:shd w:val="clear" w:color="auto" w:fill="F8ECEC"/>
            <w:tcMar>
              <w:top w:w="75" w:type="dxa"/>
              <w:left w:w="90" w:type="dxa"/>
              <w:bottom w:w="75" w:type="dxa"/>
              <w:right w:w="90" w:type="dxa"/>
            </w:tcMar>
            <w:vAlign w:val="center"/>
          </w:tcPr>
          <w:p w14:paraId="2ED839E3" w14:textId="77777777" w:rsidR="000C4947" w:rsidRDefault="00000000">
            <w:pPr>
              <w:jc w:val="center"/>
              <w:rPr>
                <w:rFonts w:hint="eastAsia"/>
              </w:rPr>
            </w:pPr>
            <w:r>
              <w:rPr>
                <w:b/>
                <w:color w:val="8B2E2E"/>
                <w:sz w:val="16"/>
              </w:rPr>
              <w:lastRenderedPageBreak/>
              <w:t>HIGH</w:t>
            </w:r>
          </w:p>
        </w:tc>
        <w:tc>
          <w:tcPr>
            <w:tcW w:w="4939" w:type="dxa"/>
            <w:tcBorders>
              <w:top w:val="single" w:sz="3" w:space="0" w:color="CBD5DE"/>
              <w:left w:val="single" w:sz="3" w:space="0" w:color="CBD5DE"/>
              <w:bottom w:val="single" w:sz="3" w:space="0" w:color="CBD5DE"/>
              <w:right w:val="single" w:sz="3" w:space="0" w:color="CBD5DE"/>
            </w:tcBorders>
            <w:shd w:val="clear" w:color="auto" w:fill="F4F6F8"/>
            <w:tcMar>
              <w:top w:w="75" w:type="dxa"/>
              <w:left w:w="90" w:type="dxa"/>
              <w:bottom w:w="75" w:type="dxa"/>
              <w:right w:w="90" w:type="dxa"/>
            </w:tcMar>
            <w:vAlign w:val="center"/>
          </w:tcPr>
          <w:p w14:paraId="38318FB5" w14:textId="77777777" w:rsidR="000C4947" w:rsidRDefault="00000000">
            <w:pPr>
              <w:rPr>
                <w:rFonts w:hint="eastAsia"/>
              </w:rPr>
            </w:pPr>
            <w:r>
              <w:rPr>
                <w:b/>
                <w:sz w:val="19"/>
              </w:rPr>
              <w:t>Chapter 24 — “The Fragment” • Malcolm / Naomi trust conversation</w:t>
            </w:r>
          </w:p>
        </w:tc>
      </w:tr>
    </w:tbl>
    <w:p w14:paraId="4E7FF05D" w14:textId="77777777" w:rsidR="000C4947" w:rsidRDefault="00000000">
      <w:pPr>
        <w:spacing w:after="80"/>
        <w:rPr>
          <w:rFonts w:hint="eastAsia"/>
        </w:rPr>
      </w:pPr>
      <w:r>
        <w:rPr>
          <w:b/>
          <w:color w:val="315B7D"/>
        </w:rPr>
        <w:t xml:space="preserve">Issue: </w:t>
      </w:r>
      <w:r>
        <w:t>Naomi asks Malcolm, “Why did you wait until Daniel disappeared to tell me?” The manuscript immediately cuts to a scene break and resumes with Naomi negotiating whether she will ever publish Aurora. Malcolm never answers the relational question on the page.</w:t>
      </w:r>
    </w:p>
    <w:p w14:paraId="1D350265" w14:textId="77777777" w:rsidR="000C4947" w:rsidRDefault="00000000">
      <w:pPr>
        <w:spacing w:after="80"/>
        <w:rPr>
          <w:rFonts w:hint="eastAsia"/>
        </w:rPr>
      </w:pPr>
      <w:r>
        <w:rPr>
          <w:b/>
          <w:color w:val="315B7D"/>
        </w:rPr>
        <w:t xml:space="preserve">Evidence / context: </w:t>
      </w:r>
      <w:r>
        <w:t>The transition currently runs directly from the question to a break, then opens with “I won’t agree never to publish Aurora.”</w:t>
      </w:r>
    </w:p>
    <w:p w14:paraId="15A991AB" w14:textId="77777777" w:rsidR="000C4947" w:rsidRDefault="00000000">
      <w:pPr>
        <w:spacing w:after="80"/>
        <w:rPr>
          <w:rFonts w:hint="eastAsia"/>
        </w:rPr>
      </w:pPr>
      <w:r>
        <w:rPr>
          <w:b/>
          <w:color w:val="315B7D"/>
        </w:rPr>
        <w:t xml:space="preserve">Why it matters: </w:t>
      </w:r>
      <w:r>
        <w:t>This chapter is where their partnership moves from information exchange toward an explicit trust protocol. The skipped answer concerns the exact behavior they are trying to stop: Malcolm deciding alone what Naomi needs to know. Because the next scene assumes they are already negotiating rules, the omission reads like material lost during restructuring rather than intentional silence.</w:t>
      </w:r>
    </w:p>
    <w:p w14:paraId="254610B5" w14:textId="77777777" w:rsidR="000C4947" w:rsidRDefault="00000000">
      <w:pPr>
        <w:spacing w:after="80"/>
        <w:rPr>
          <w:rFonts w:hint="eastAsia"/>
        </w:rPr>
      </w:pPr>
      <w:r>
        <w:rPr>
          <w:b/>
          <w:color w:val="315B7D"/>
        </w:rPr>
        <w:t xml:space="preserve">Suggested action: </w:t>
      </w:r>
      <w:r>
        <w:t>Restore a brief answer or reaction before the scene break. It does not need to become exposition. The beat only needs to reveal what actually governed Malcolm’s withholding — classified reflex, shame, fear of contaminating her reporting, fear for her safety, self-protection, or some combination — and let Naomi respond enough that the later agreement feels earned.</w:t>
      </w:r>
    </w:p>
    <w:p w14:paraId="0BFBC374" w14:textId="77777777" w:rsidR="000C4947" w:rsidRDefault="000C4947">
      <w:pPr>
        <w:spacing w:after="40"/>
        <w:rPr>
          <w:rFonts w:hint="eastAsia"/>
        </w:rPr>
      </w:pPr>
    </w:p>
    <w:tbl>
      <w:tblPr>
        <w:tblW w:w="0" w:type="auto"/>
        <w:jc w:val="center"/>
        <w:tblLayout w:type="fixed"/>
        <w:tblLook w:val="04A0" w:firstRow="1" w:lastRow="0" w:firstColumn="1" w:lastColumn="0" w:noHBand="0" w:noVBand="1"/>
      </w:tblPr>
      <w:tblGrid>
        <w:gridCol w:w="4939"/>
        <w:gridCol w:w="4939"/>
      </w:tblGrid>
      <w:tr w:rsidR="000C4947" w14:paraId="016D3AF2" w14:textId="77777777">
        <w:trPr>
          <w:cantSplit/>
          <w:jc w:val="center"/>
        </w:trPr>
        <w:tc>
          <w:tcPr>
            <w:tcW w:w="4939" w:type="dxa"/>
            <w:tcBorders>
              <w:top w:val="single" w:sz="3" w:space="0" w:color="CBD5DE"/>
              <w:left w:val="single" w:sz="3" w:space="0" w:color="CBD5DE"/>
              <w:bottom w:val="single" w:sz="3" w:space="0" w:color="CBD5DE"/>
              <w:right w:val="single" w:sz="3" w:space="0" w:color="CBD5DE"/>
            </w:tcBorders>
            <w:shd w:val="clear" w:color="auto" w:fill="F8ECEC"/>
            <w:tcMar>
              <w:top w:w="75" w:type="dxa"/>
              <w:left w:w="90" w:type="dxa"/>
              <w:bottom w:w="75" w:type="dxa"/>
              <w:right w:w="90" w:type="dxa"/>
            </w:tcMar>
            <w:vAlign w:val="center"/>
          </w:tcPr>
          <w:p w14:paraId="5485E87F" w14:textId="77777777" w:rsidR="000C4947" w:rsidRDefault="00000000">
            <w:pPr>
              <w:jc w:val="center"/>
              <w:rPr>
                <w:rFonts w:hint="eastAsia"/>
              </w:rPr>
            </w:pPr>
            <w:r>
              <w:rPr>
                <w:b/>
                <w:color w:val="8B2E2E"/>
                <w:sz w:val="16"/>
              </w:rPr>
              <w:t>HIGH</w:t>
            </w:r>
          </w:p>
        </w:tc>
        <w:tc>
          <w:tcPr>
            <w:tcW w:w="4939" w:type="dxa"/>
            <w:tcBorders>
              <w:top w:val="single" w:sz="3" w:space="0" w:color="CBD5DE"/>
              <w:left w:val="single" w:sz="3" w:space="0" w:color="CBD5DE"/>
              <w:bottom w:val="single" w:sz="3" w:space="0" w:color="CBD5DE"/>
              <w:right w:val="single" w:sz="3" w:space="0" w:color="CBD5DE"/>
            </w:tcBorders>
            <w:shd w:val="clear" w:color="auto" w:fill="F4F6F8"/>
            <w:tcMar>
              <w:top w:w="75" w:type="dxa"/>
              <w:left w:w="90" w:type="dxa"/>
              <w:bottom w:w="75" w:type="dxa"/>
              <w:right w:w="90" w:type="dxa"/>
            </w:tcMar>
            <w:vAlign w:val="center"/>
          </w:tcPr>
          <w:p w14:paraId="3035222F" w14:textId="77777777" w:rsidR="000C4947" w:rsidRDefault="00000000">
            <w:pPr>
              <w:rPr>
                <w:rFonts w:hint="eastAsia"/>
              </w:rPr>
            </w:pPr>
            <w:r>
              <w:rPr>
                <w:b/>
                <w:sz w:val="19"/>
              </w:rPr>
              <w:t>Chapter 24 — Cate / Aurora evidence language</w:t>
            </w:r>
          </w:p>
        </w:tc>
      </w:tr>
    </w:tbl>
    <w:p w14:paraId="567B0F88" w14:textId="77777777" w:rsidR="000C4947" w:rsidRDefault="00000000">
      <w:pPr>
        <w:spacing w:after="80"/>
        <w:rPr>
          <w:rFonts w:hint="eastAsia"/>
        </w:rPr>
      </w:pPr>
      <w:r>
        <w:rPr>
          <w:b/>
          <w:color w:val="315B7D"/>
        </w:rPr>
        <w:t xml:space="preserve">Issue: </w:t>
      </w:r>
      <w:r>
        <w:t>Malcolm answers “Cate” when Naomi asks who moved the Aurora mismatch outside the causal finding, then says Cate knew unresolved evidence existed. From Malcolm’s available evidence, that level of certainty is stronger than what has been established.</w:t>
      </w:r>
    </w:p>
    <w:p w14:paraId="4A0FC865" w14:textId="77777777" w:rsidR="000C4947" w:rsidRDefault="00000000">
      <w:pPr>
        <w:spacing w:after="80"/>
        <w:rPr>
          <w:rFonts w:hint="eastAsia"/>
        </w:rPr>
      </w:pPr>
      <w:r>
        <w:rPr>
          <w:b/>
          <w:color w:val="315B7D"/>
        </w:rPr>
        <w:t xml:space="preserve">Evidence / context: </w:t>
      </w:r>
      <w:r>
        <w:t>This is a character-knowledge issue, not a plot-logic issue. The underlying Cate involvement is well supported for the reader.</w:t>
      </w:r>
    </w:p>
    <w:p w14:paraId="5A87B6E3" w14:textId="77777777" w:rsidR="000C4947" w:rsidRDefault="00000000">
      <w:pPr>
        <w:spacing w:after="80"/>
        <w:rPr>
          <w:rFonts w:hint="eastAsia"/>
        </w:rPr>
      </w:pPr>
      <w:r>
        <w:rPr>
          <w:b/>
          <w:color w:val="315B7D"/>
        </w:rPr>
        <w:t xml:space="preserve">Why it matters: </w:t>
      </w:r>
      <w:r>
        <w:t>The novel is unusually rigorous about separating observation, inference, and proof. Sam tells Malcolm that the inquiry lead moved the variance outside the causal finding; Malcolm infers Cate. The reader has additional Cate POV knowledge, but Malcolm does not automatically possess reader knowledge. Letting him state the conclusion as fact weakens a discipline the book otherwise treats as central.</w:t>
      </w:r>
    </w:p>
    <w:p w14:paraId="23800765" w14:textId="77777777" w:rsidR="000C4947" w:rsidRDefault="00000000">
      <w:pPr>
        <w:spacing w:after="80"/>
        <w:rPr>
          <w:rFonts w:hint="eastAsia"/>
        </w:rPr>
      </w:pPr>
      <w:r>
        <w:rPr>
          <w:b/>
          <w:color w:val="315B7D"/>
        </w:rPr>
        <w:t xml:space="preserve">Suggested action: </w:t>
      </w:r>
      <w:r>
        <w:t>Either qualify Malcolm’s statement as inference/probability, or give him one concrete piece of evidence before Chapter 24 that closes the gap. Then run a targeted pass for other moments where Malcolm or Naomi may speak with certainty about facts established only in Adrian/Cate/operational POV scenes.</w:t>
      </w:r>
    </w:p>
    <w:p w14:paraId="01A87ADF" w14:textId="77777777" w:rsidR="000C4947" w:rsidRDefault="000C4947">
      <w:pPr>
        <w:spacing w:after="40"/>
        <w:rPr>
          <w:rFonts w:hint="eastAsia"/>
        </w:rPr>
      </w:pPr>
    </w:p>
    <w:tbl>
      <w:tblPr>
        <w:tblW w:w="0" w:type="auto"/>
        <w:jc w:val="center"/>
        <w:tblLayout w:type="fixed"/>
        <w:tblLook w:val="04A0" w:firstRow="1" w:lastRow="0" w:firstColumn="1" w:lastColumn="0" w:noHBand="0" w:noVBand="1"/>
      </w:tblPr>
      <w:tblGrid>
        <w:gridCol w:w="4939"/>
        <w:gridCol w:w="4939"/>
      </w:tblGrid>
      <w:tr w:rsidR="000C4947" w14:paraId="70113A73" w14:textId="77777777">
        <w:trPr>
          <w:cantSplit/>
          <w:jc w:val="center"/>
        </w:trPr>
        <w:tc>
          <w:tcPr>
            <w:tcW w:w="4939" w:type="dxa"/>
            <w:tcBorders>
              <w:top w:val="single" w:sz="3" w:space="0" w:color="CBD5DE"/>
              <w:left w:val="single" w:sz="3" w:space="0" w:color="CBD5DE"/>
              <w:bottom w:val="single" w:sz="3" w:space="0" w:color="CBD5DE"/>
              <w:right w:val="single" w:sz="3" w:space="0" w:color="CBD5DE"/>
            </w:tcBorders>
            <w:shd w:val="clear" w:color="auto" w:fill="FCF4E4"/>
            <w:tcMar>
              <w:top w:w="75" w:type="dxa"/>
              <w:left w:w="90" w:type="dxa"/>
              <w:bottom w:w="75" w:type="dxa"/>
              <w:right w:w="90" w:type="dxa"/>
            </w:tcMar>
            <w:vAlign w:val="center"/>
          </w:tcPr>
          <w:p w14:paraId="377E73EF" w14:textId="77777777" w:rsidR="000C4947" w:rsidRDefault="00000000">
            <w:pPr>
              <w:jc w:val="center"/>
              <w:rPr>
                <w:rFonts w:hint="eastAsia"/>
              </w:rPr>
            </w:pPr>
            <w:r>
              <w:rPr>
                <w:b/>
                <w:color w:val="8A5A00"/>
                <w:sz w:val="16"/>
              </w:rPr>
              <w:t>MEDIUM-HIGH</w:t>
            </w:r>
          </w:p>
        </w:tc>
        <w:tc>
          <w:tcPr>
            <w:tcW w:w="4939" w:type="dxa"/>
            <w:tcBorders>
              <w:top w:val="single" w:sz="3" w:space="0" w:color="CBD5DE"/>
              <w:left w:val="single" w:sz="3" w:space="0" w:color="CBD5DE"/>
              <w:bottom w:val="single" w:sz="3" w:space="0" w:color="CBD5DE"/>
              <w:right w:val="single" w:sz="3" w:space="0" w:color="CBD5DE"/>
            </w:tcBorders>
            <w:shd w:val="clear" w:color="auto" w:fill="F4F6F8"/>
            <w:tcMar>
              <w:top w:w="75" w:type="dxa"/>
              <w:left w:w="90" w:type="dxa"/>
              <w:bottom w:w="75" w:type="dxa"/>
              <w:right w:w="90" w:type="dxa"/>
            </w:tcMar>
            <w:vAlign w:val="center"/>
          </w:tcPr>
          <w:p w14:paraId="09327723" w14:textId="77777777" w:rsidR="000C4947" w:rsidRDefault="00000000">
            <w:pPr>
              <w:rPr>
                <w:rFonts w:hint="eastAsia"/>
              </w:rPr>
            </w:pPr>
            <w:r>
              <w:rPr>
                <w:b/>
                <w:sz w:val="19"/>
              </w:rPr>
              <w:t>Naomi’s Book I internal arc — early reporting through Chapters 33–34</w:t>
            </w:r>
          </w:p>
        </w:tc>
      </w:tr>
    </w:tbl>
    <w:p w14:paraId="5FFC4B95" w14:textId="77777777" w:rsidR="000C4947" w:rsidRDefault="00000000">
      <w:pPr>
        <w:spacing w:after="80"/>
        <w:rPr>
          <w:rFonts w:hint="eastAsia"/>
        </w:rPr>
      </w:pPr>
      <w:r>
        <w:rPr>
          <w:b/>
          <w:color w:val="315B7D"/>
        </w:rPr>
        <w:t xml:space="preserve">Issue: </w:t>
      </w:r>
      <w:r>
        <w:t>The supporting material defines Naomi’s internal need as learning that exposure does not correct power by itself. The manuscript, however, introduces her as professionally sophisticated about proof, source protection, replication, legal limits, and networked dissemination almost immediately. Her end-state behavior is therefore closer to an expansion of her existing method than a visible reversal of a mistaken belief.</w:t>
      </w:r>
    </w:p>
    <w:p w14:paraId="6CEC6C11" w14:textId="77777777" w:rsidR="000C4947" w:rsidRDefault="00000000">
      <w:pPr>
        <w:spacing w:after="80"/>
        <w:rPr>
          <w:rFonts w:hint="eastAsia"/>
        </w:rPr>
      </w:pPr>
      <w:r>
        <w:rPr>
          <w:b/>
          <w:color w:val="315B7D"/>
        </w:rPr>
        <w:t xml:space="preserve">Evidence / context: </w:t>
      </w:r>
      <w:r>
        <w:t>The Vardonia material already provides the ingredients: the story matters, but certification, platform suppression, and institutional timing limit what publication can undo. The ending then shows her explicitly refusing to decide the movement’s future for Elif’s organizers.</w:t>
      </w:r>
    </w:p>
    <w:p w14:paraId="44FAB951" w14:textId="77777777" w:rsidR="000C4947" w:rsidRDefault="00000000">
      <w:pPr>
        <w:spacing w:after="80"/>
        <w:rPr>
          <w:rFonts w:hint="eastAsia"/>
        </w:rPr>
      </w:pPr>
      <w:r>
        <w:rPr>
          <w:b/>
          <w:color w:val="315B7D"/>
        </w:rPr>
        <w:t xml:space="preserve">Why it matters: </w:t>
      </w:r>
      <w:r>
        <w:t>Her plot arc is strong; the question is legibility of the internal arc promised by the bible. A reader can see her move from publishing a story to helping create durable, distributed options, but she rarely behaves as though she truly expects publication alone to correct the system. That can make Malcolm’s internal transformation feel more pronounced than hers.</w:t>
      </w:r>
    </w:p>
    <w:p w14:paraId="61A43D0E" w14:textId="77777777" w:rsidR="000C4947" w:rsidRDefault="00000000">
      <w:pPr>
        <w:spacing w:after="80"/>
        <w:rPr>
          <w:rFonts w:hint="eastAsia"/>
        </w:rPr>
      </w:pPr>
      <w:r>
        <w:rPr>
          <w:b/>
          <w:color w:val="315B7D"/>
        </w:rPr>
        <w:lastRenderedPageBreak/>
        <w:t xml:space="preserve">Suggested action: </w:t>
      </w:r>
      <w:r>
        <w:t>Choose one of two clean solutions: (A) sharpen one early moment of genuine faith that exposure itself will force correction, then let the system absorb/route around that exposure; or (B) update the bible so Naomi’s Book I arc is described more accurately as moving from exposure as the center of her method to resilient evidence distribution, shared agency, and action by people outside the newsroom. I favor B unless you want a stronger early blind spot for her.</w:t>
      </w:r>
    </w:p>
    <w:p w14:paraId="74C719C0" w14:textId="77777777" w:rsidR="000C4947" w:rsidRDefault="000C4947">
      <w:pPr>
        <w:spacing w:after="40"/>
        <w:rPr>
          <w:rFonts w:hint="eastAsia"/>
        </w:rPr>
      </w:pPr>
    </w:p>
    <w:tbl>
      <w:tblPr>
        <w:tblW w:w="0" w:type="auto"/>
        <w:jc w:val="center"/>
        <w:tblLayout w:type="fixed"/>
        <w:tblLook w:val="04A0" w:firstRow="1" w:lastRow="0" w:firstColumn="1" w:lastColumn="0" w:noHBand="0" w:noVBand="1"/>
      </w:tblPr>
      <w:tblGrid>
        <w:gridCol w:w="4939"/>
        <w:gridCol w:w="4939"/>
      </w:tblGrid>
      <w:tr w:rsidR="000C4947" w14:paraId="6C96B938" w14:textId="77777777">
        <w:trPr>
          <w:cantSplit/>
          <w:jc w:val="center"/>
        </w:trPr>
        <w:tc>
          <w:tcPr>
            <w:tcW w:w="4939" w:type="dxa"/>
            <w:tcBorders>
              <w:top w:val="single" w:sz="3" w:space="0" w:color="CBD5DE"/>
              <w:left w:val="single" w:sz="3" w:space="0" w:color="CBD5DE"/>
              <w:bottom w:val="single" w:sz="3" w:space="0" w:color="CBD5DE"/>
              <w:right w:val="single" w:sz="3" w:space="0" w:color="CBD5DE"/>
            </w:tcBorders>
            <w:shd w:val="clear" w:color="auto" w:fill="EDF3F8"/>
            <w:tcMar>
              <w:top w:w="75" w:type="dxa"/>
              <w:left w:w="90" w:type="dxa"/>
              <w:bottom w:w="75" w:type="dxa"/>
              <w:right w:w="90" w:type="dxa"/>
            </w:tcMar>
            <w:vAlign w:val="center"/>
          </w:tcPr>
          <w:p w14:paraId="1533C886" w14:textId="77777777" w:rsidR="000C4947" w:rsidRDefault="00000000">
            <w:pPr>
              <w:jc w:val="center"/>
              <w:rPr>
                <w:rFonts w:hint="eastAsia"/>
              </w:rPr>
            </w:pPr>
            <w:r>
              <w:rPr>
                <w:b/>
                <w:color w:val="315B7D"/>
                <w:sz w:val="16"/>
              </w:rPr>
              <w:t>MEDIUM</w:t>
            </w:r>
          </w:p>
        </w:tc>
        <w:tc>
          <w:tcPr>
            <w:tcW w:w="4939" w:type="dxa"/>
            <w:tcBorders>
              <w:top w:val="single" w:sz="3" w:space="0" w:color="CBD5DE"/>
              <w:left w:val="single" w:sz="3" w:space="0" w:color="CBD5DE"/>
              <w:bottom w:val="single" w:sz="3" w:space="0" w:color="CBD5DE"/>
              <w:right w:val="single" w:sz="3" w:space="0" w:color="CBD5DE"/>
            </w:tcBorders>
            <w:shd w:val="clear" w:color="auto" w:fill="F4F6F8"/>
            <w:tcMar>
              <w:top w:w="75" w:type="dxa"/>
              <w:left w:w="90" w:type="dxa"/>
              <w:bottom w:w="75" w:type="dxa"/>
              <w:right w:w="90" w:type="dxa"/>
            </w:tcMar>
            <w:vAlign w:val="center"/>
          </w:tcPr>
          <w:p w14:paraId="7EA07433" w14:textId="77777777" w:rsidR="000C4947" w:rsidRDefault="00000000">
            <w:pPr>
              <w:rPr>
                <w:rFonts w:hint="eastAsia"/>
              </w:rPr>
            </w:pPr>
            <w:r>
              <w:rPr>
                <w:b/>
                <w:sz w:val="19"/>
              </w:rPr>
              <w:t>Malcolm’s first-act physical identity</w:t>
            </w:r>
          </w:p>
        </w:tc>
      </w:tr>
    </w:tbl>
    <w:p w14:paraId="6D4C7A60" w14:textId="77777777" w:rsidR="000C4947" w:rsidRDefault="00000000">
      <w:pPr>
        <w:spacing w:after="80"/>
        <w:rPr>
          <w:rFonts w:hint="eastAsia"/>
        </w:rPr>
      </w:pPr>
      <w:r>
        <w:rPr>
          <w:b/>
          <w:color w:val="315B7D"/>
        </w:rPr>
        <w:t xml:space="preserve">Issue: </w:t>
      </w:r>
      <w:r>
        <w:t>The attached character-reference file marks Malcolm as African American and treats that as locked canon, but the current manuscript establishes his hair, glasses, face, posture, and four-year physical change without clearly placing his racial identity on the page.</w:t>
      </w:r>
    </w:p>
    <w:p w14:paraId="29FF9768" w14:textId="77777777" w:rsidR="000C4947" w:rsidRDefault="00000000">
      <w:pPr>
        <w:spacing w:after="80"/>
        <w:rPr>
          <w:rFonts w:hint="eastAsia"/>
        </w:rPr>
      </w:pPr>
      <w:r>
        <w:rPr>
          <w:b/>
          <w:color w:val="315B7D"/>
        </w:rPr>
        <w:t xml:space="preserve">Evidence / context: </w:t>
      </w:r>
      <w:r>
        <w:t>Chapter 5’s badge photograph is an especially natural location because the passage already inventories what has physically changed in four years.</w:t>
      </w:r>
    </w:p>
    <w:p w14:paraId="4D60453A" w14:textId="77777777" w:rsidR="000C4947" w:rsidRDefault="00000000">
      <w:pPr>
        <w:spacing w:after="80"/>
        <w:rPr>
          <w:rFonts w:hint="eastAsia"/>
        </w:rPr>
      </w:pPr>
      <w:r>
        <w:rPr>
          <w:b/>
          <w:color w:val="315B7D"/>
        </w:rPr>
        <w:t xml:space="preserve">Why it matters: </w:t>
      </w:r>
      <w:r>
        <w:t>Readers cannot access a character bible. If Malcolm’s identity is part of the intended representation of the series protagonist, leaving it entirely outside the manuscript makes that intention invisible or dependent on cover art/paratext. This is especially noticeable because several supporting characters receive explicit skin-tone or ethnicity-adjacent physical grounding.</w:t>
      </w:r>
    </w:p>
    <w:p w14:paraId="014C90C0" w14:textId="77777777" w:rsidR="000C4947" w:rsidRDefault="00000000">
      <w:pPr>
        <w:spacing w:after="80"/>
        <w:rPr>
          <w:rFonts w:hint="eastAsia"/>
        </w:rPr>
      </w:pPr>
      <w:r>
        <w:rPr>
          <w:b/>
          <w:color w:val="315B7D"/>
        </w:rPr>
        <w:t xml:space="preserve">Suggested action: </w:t>
      </w:r>
      <w:r>
        <w:t>Add one natural early physical marker in Malcolm POV or another character’s observation. Keep it as ordinary description rather than explanation; one well-placed detail is enough. Do not turn identity into a biography insert unless the story itself needs that material.</w:t>
      </w:r>
    </w:p>
    <w:p w14:paraId="7159BE95" w14:textId="77777777" w:rsidR="000C4947" w:rsidRDefault="000C4947">
      <w:pPr>
        <w:spacing w:after="40"/>
        <w:rPr>
          <w:rFonts w:hint="eastAsia"/>
        </w:rPr>
      </w:pPr>
    </w:p>
    <w:tbl>
      <w:tblPr>
        <w:tblW w:w="0" w:type="auto"/>
        <w:jc w:val="center"/>
        <w:tblLayout w:type="fixed"/>
        <w:tblLook w:val="04A0" w:firstRow="1" w:lastRow="0" w:firstColumn="1" w:lastColumn="0" w:noHBand="0" w:noVBand="1"/>
      </w:tblPr>
      <w:tblGrid>
        <w:gridCol w:w="4939"/>
        <w:gridCol w:w="4939"/>
      </w:tblGrid>
      <w:tr w:rsidR="000C4947" w14:paraId="7257A905" w14:textId="77777777">
        <w:trPr>
          <w:cantSplit/>
          <w:jc w:val="center"/>
        </w:trPr>
        <w:tc>
          <w:tcPr>
            <w:tcW w:w="4939" w:type="dxa"/>
            <w:tcBorders>
              <w:top w:val="single" w:sz="3" w:space="0" w:color="CBD5DE"/>
              <w:left w:val="single" w:sz="3" w:space="0" w:color="CBD5DE"/>
              <w:bottom w:val="single" w:sz="3" w:space="0" w:color="CBD5DE"/>
              <w:right w:val="single" w:sz="3" w:space="0" w:color="CBD5DE"/>
            </w:tcBorders>
            <w:shd w:val="clear" w:color="auto" w:fill="F8ECEC"/>
            <w:tcMar>
              <w:top w:w="75" w:type="dxa"/>
              <w:left w:w="90" w:type="dxa"/>
              <w:bottom w:w="75" w:type="dxa"/>
              <w:right w:w="90" w:type="dxa"/>
            </w:tcMar>
            <w:vAlign w:val="center"/>
          </w:tcPr>
          <w:p w14:paraId="1AF15A1C" w14:textId="77777777" w:rsidR="000C4947" w:rsidRDefault="00000000">
            <w:pPr>
              <w:jc w:val="center"/>
              <w:rPr>
                <w:rFonts w:hint="eastAsia"/>
              </w:rPr>
            </w:pPr>
            <w:r>
              <w:rPr>
                <w:b/>
                <w:color w:val="8B2E2E"/>
                <w:sz w:val="16"/>
              </w:rPr>
              <w:t>HIGH</w:t>
            </w:r>
          </w:p>
        </w:tc>
        <w:tc>
          <w:tcPr>
            <w:tcW w:w="4939" w:type="dxa"/>
            <w:tcBorders>
              <w:top w:val="single" w:sz="3" w:space="0" w:color="CBD5DE"/>
              <w:left w:val="single" w:sz="3" w:space="0" w:color="CBD5DE"/>
              <w:bottom w:val="single" w:sz="3" w:space="0" w:color="CBD5DE"/>
              <w:right w:val="single" w:sz="3" w:space="0" w:color="CBD5DE"/>
            </w:tcBorders>
            <w:shd w:val="clear" w:color="auto" w:fill="F4F6F8"/>
            <w:tcMar>
              <w:top w:w="75" w:type="dxa"/>
              <w:left w:w="90" w:type="dxa"/>
              <w:bottom w:w="75" w:type="dxa"/>
              <w:right w:w="90" w:type="dxa"/>
            </w:tcMar>
            <w:vAlign w:val="center"/>
          </w:tcPr>
          <w:p w14:paraId="381AAC7A" w14:textId="77777777" w:rsidR="000C4947" w:rsidRDefault="00000000">
            <w:pPr>
              <w:rPr>
                <w:rFonts w:hint="eastAsia"/>
              </w:rPr>
            </w:pPr>
            <w:r>
              <w:rPr>
                <w:b/>
                <w:sz w:val="19"/>
              </w:rPr>
              <w:t>Chapter 23 — Daniel Cho physical/canon continuity</w:t>
            </w:r>
          </w:p>
        </w:tc>
      </w:tr>
    </w:tbl>
    <w:p w14:paraId="27FC29D1" w14:textId="77777777" w:rsidR="000C4947" w:rsidRDefault="00000000">
      <w:pPr>
        <w:spacing w:after="80"/>
        <w:rPr>
          <w:rFonts w:hint="eastAsia"/>
        </w:rPr>
      </w:pPr>
      <w:r>
        <w:rPr>
          <w:b/>
          <w:color w:val="315B7D"/>
        </w:rPr>
        <w:t xml:space="preserve">Issue: </w:t>
      </w:r>
      <w:r>
        <w:t>The current manuscript describes Daniel Cho as 51 and Korean-American. The attached missing-source canon identifies him as 41, and the character physical-description file marks Daniel as Chinese in the list of user-confirmed, locked heritage facts. The Daniel captivity pilot also uses age 41.</w:t>
      </w:r>
    </w:p>
    <w:p w14:paraId="0FDCFA4A" w14:textId="77777777" w:rsidR="000C4947" w:rsidRDefault="00000000">
      <w:pPr>
        <w:spacing w:after="80"/>
        <w:rPr>
          <w:rFonts w:hint="eastAsia"/>
        </w:rPr>
      </w:pPr>
      <w:r>
        <w:rPr>
          <w:b/>
          <w:color w:val="315B7D"/>
        </w:rPr>
        <w:t xml:space="preserve">Evidence / context: </w:t>
      </w:r>
      <w:r>
        <w:t>The captivity circumstances themselves appear consistent: Daniel remains alive, missing, held under the Wexler Gray exposure-assessment logic, and the book appropriately leaves his fate unresolved.</w:t>
      </w:r>
    </w:p>
    <w:p w14:paraId="2B7AA7AD" w14:textId="77777777" w:rsidR="000C4947" w:rsidRDefault="00000000">
      <w:pPr>
        <w:spacing w:after="80"/>
        <w:rPr>
          <w:rFonts w:hint="eastAsia"/>
        </w:rPr>
      </w:pPr>
      <w:r>
        <w:rPr>
          <w:b/>
          <w:color w:val="315B7D"/>
        </w:rPr>
        <w:t xml:space="preserve">Why it matters: </w:t>
      </w:r>
      <w:r>
        <w:t>This is a direct continuity contradiction between the reading manuscript and the support package, and it will propagate into Book II if not resolved now.</w:t>
      </w:r>
    </w:p>
    <w:p w14:paraId="1B7F5391" w14:textId="77777777" w:rsidR="000C4947" w:rsidRDefault="00000000">
      <w:pPr>
        <w:spacing w:after="80"/>
        <w:rPr>
          <w:rFonts w:hint="eastAsia"/>
        </w:rPr>
      </w:pPr>
      <w:r>
        <w:rPr>
          <w:b/>
          <w:color w:val="315B7D"/>
        </w:rPr>
        <w:t xml:space="preserve">Suggested action: </w:t>
      </w:r>
      <w:r>
        <w:t>Choose the authoritative version and synchronize every file. If the locked character-reference/captivity material is still current, the Chapter 23 description should be brought into line with age 41 and Chinese heritage. If the manuscript version represents a later intentional change, update the canon files explicitly so an editor does not “correct” it back later.</w:t>
      </w:r>
    </w:p>
    <w:p w14:paraId="7EB5B298" w14:textId="77777777" w:rsidR="000C4947" w:rsidRDefault="000C4947">
      <w:pPr>
        <w:spacing w:after="40"/>
        <w:rPr>
          <w:rFonts w:hint="eastAsia"/>
        </w:rPr>
      </w:pPr>
    </w:p>
    <w:tbl>
      <w:tblPr>
        <w:tblW w:w="0" w:type="auto"/>
        <w:jc w:val="center"/>
        <w:tblLayout w:type="fixed"/>
        <w:tblLook w:val="04A0" w:firstRow="1" w:lastRow="0" w:firstColumn="1" w:lastColumn="0" w:noHBand="0" w:noVBand="1"/>
      </w:tblPr>
      <w:tblGrid>
        <w:gridCol w:w="4939"/>
        <w:gridCol w:w="4939"/>
      </w:tblGrid>
      <w:tr w:rsidR="000C4947" w14:paraId="7F8E9CEB" w14:textId="77777777">
        <w:trPr>
          <w:cantSplit/>
          <w:jc w:val="center"/>
        </w:trPr>
        <w:tc>
          <w:tcPr>
            <w:tcW w:w="4939" w:type="dxa"/>
            <w:tcBorders>
              <w:top w:val="single" w:sz="3" w:space="0" w:color="CBD5DE"/>
              <w:left w:val="single" w:sz="3" w:space="0" w:color="CBD5DE"/>
              <w:bottom w:val="single" w:sz="3" w:space="0" w:color="CBD5DE"/>
              <w:right w:val="single" w:sz="3" w:space="0" w:color="CBD5DE"/>
            </w:tcBorders>
            <w:shd w:val="clear" w:color="auto" w:fill="FCF4E4"/>
            <w:tcMar>
              <w:top w:w="75" w:type="dxa"/>
              <w:left w:w="90" w:type="dxa"/>
              <w:bottom w:w="75" w:type="dxa"/>
              <w:right w:w="90" w:type="dxa"/>
            </w:tcMar>
            <w:vAlign w:val="center"/>
          </w:tcPr>
          <w:p w14:paraId="1B917804" w14:textId="77777777" w:rsidR="000C4947" w:rsidRDefault="00000000">
            <w:pPr>
              <w:jc w:val="center"/>
              <w:rPr>
                <w:rFonts w:hint="eastAsia"/>
              </w:rPr>
            </w:pPr>
            <w:r>
              <w:rPr>
                <w:b/>
                <w:color w:val="8A5A00"/>
                <w:sz w:val="16"/>
              </w:rPr>
              <w:t>MEDIUM-HIGH</w:t>
            </w:r>
          </w:p>
        </w:tc>
        <w:tc>
          <w:tcPr>
            <w:tcW w:w="4939" w:type="dxa"/>
            <w:tcBorders>
              <w:top w:val="single" w:sz="3" w:space="0" w:color="CBD5DE"/>
              <w:left w:val="single" w:sz="3" w:space="0" w:color="CBD5DE"/>
              <w:bottom w:val="single" w:sz="3" w:space="0" w:color="CBD5DE"/>
              <w:right w:val="single" w:sz="3" w:space="0" w:color="CBD5DE"/>
            </w:tcBorders>
            <w:shd w:val="clear" w:color="auto" w:fill="F4F6F8"/>
            <w:tcMar>
              <w:top w:w="75" w:type="dxa"/>
              <w:left w:w="90" w:type="dxa"/>
              <w:bottom w:w="75" w:type="dxa"/>
              <w:right w:w="90" w:type="dxa"/>
            </w:tcMar>
            <w:vAlign w:val="center"/>
          </w:tcPr>
          <w:p w14:paraId="36B6029A" w14:textId="77777777" w:rsidR="000C4947" w:rsidRDefault="00000000">
            <w:pPr>
              <w:rPr>
                <w:rFonts w:hint="eastAsia"/>
              </w:rPr>
            </w:pPr>
            <w:r>
              <w:rPr>
                <w:b/>
                <w:sz w:val="19"/>
              </w:rPr>
              <w:t>Whole manuscript — character knowledge vs. reader knowledge pass</w:t>
            </w:r>
          </w:p>
        </w:tc>
      </w:tr>
    </w:tbl>
    <w:p w14:paraId="1D26CE72" w14:textId="77777777" w:rsidR="000C4947" w:rsidRDefault="00000000">
      <w:pPr>
        <w:spacing w:after="80"/>
        <w:rPr>
          <w:rFonts w:hint="eastAsia"/>
        </w:rPr>
      </w:pPr>
      <w:r>
        <w:rPr>
          <w:b/>
          <w:color w:val="315B7D"/>
        </w:rPr>
        <w:t xml:space="preserve">Issue: </w:t>
      </w:r>
      <w:r>
        <w:t>The book deliberately gives readers Adrian, Cate, Reddick, Zhou, and operational information that Malcolm and Naomi do not have. That dramatic irony is a strength, but it creates a recurring revision risk: a lead can accidentally state as known what only the reader knows.</w:t>
      </w:r>
    </w:p>
    <w:p w14:paraId="74CAB49E" w14:textId="77777777" w:rsidR="000C4947" w:rsidRDefault="00000000">
      <w:pPr>
        <w:spacing w:after="80"/>
        <w:rPr>
          <w:rFonts w:hint="eastAsia"/>
        </w:rPr>
      </w:pPr>
      <w:r>
        <w:rPr>
          <w:b/>
          <w:color w:val="315B7D"/>
        </w:rPr>
        <w:t xml:space="preserve">Evidence / context: </w:t>
      </w:r>
      <w:r>
        <w:t>Chapter 24’s Cate statement is the clearest example. Chapter 33 demonstrates the opposite — and correct — approach by explicitly separating what the team knows from what Tom can responsibly publish.</w:t>
      </w:r>
    </w:p>
    <w:p w14:paraId="1F7FFCFF" w14:textId="77777777" w:rsidR="000C4947" w:rsidRDefault="00000000">
      <w:pPr>
        <w:spacing w:after="80"/>
        <w:rPr>
          <w:rFonts w:hint="eastAsia"/>
        </w:rPr>
      </w:pPr>
      <w:r>
        <w:rPr>
          <w:b/>
          <w:color w:val="315B7D"/>
        </w:rPr>
        <w:lastRenderedPageBreak/>
        <w:t xml:space="preserve">Why it matters: </w:t>
      </w:r>
      <w:r>
        <w:t>In an evidence-driven thriller, epistemic precision is part of the suspense engine. The reader should be able to distinguish “we know,” “they know,” “they suspect,” “they can prove privately,” and “they can prove publicly.” Blurring those categories reduces tension and can make later proof-gathering feel redundant.</w:t>
      </w:r>
    </w:p>
    <w:p w14:paraId="0C19962F" w14:textId="77777777" w:rsidR="000C4947" w:rsidRDefault="00000000">
      <w:pPr>
        <w:spacing w:after="80"/>
        <w:rPr>
          <w:rFonts w:hint="eastAsia"/>
        </w:rPr>
      </w:pPr>
      <w:r>
        <w:rPr>
          <w:b/>
          <w:color w:val="315B7D"/>
        </w:rPr>
        <w:t xml:space="preserve">Suggested action: </w:t>
      </w:r>
      <w:r>
        <w:t>Do one narrow revision pass with a simple ledger for every major conclusion: reader knowledge / Malcolm knowledge / Naomi knowledge / public-proof status. Only change lines where a character outruns his or her evidence. Do not use this pass to add explanatory dialogue everywhere.</w:t>
      </w:r>
    </w:p>
    <w:p w14:paraId="4CA350DB" w14:textId="77777777" w:rsidR="000C4947" w:rsidRDefault="000C4947">
      <w:pPr>
        <w:spacing w:after="40"/>
        <w:rPr>
          <w:rFonts w:hint="eastAsia"/>
        </w:rPr>
      </w:pPr>
    </w:p>
    <w:tbl>
      <w:tblPr>
        <w:tblW w:w="0" w:type="auto"/>
        <w:jc w:val="center"/>
        <w:tblLayout w:type="fixed"/>
        <w:tblLook w:val="04A0" w:firstRow="1" w:lastRow="0" w:firstColumn="1" w:lastColumn="0" w:noHBand="0" w:noVBand="1"/>
      </w:tblPr>
      <w:tblGrid>
        <w:gridCol w:w="4939"/>
        <w:gridCol w:w="4939"/>
      </w:tblGrid>
      <w:tr w:rsidR="000C4947" w14:paraId="5EAB794D" w14:textId="77777777">
        <w:trPr>
          <w:cantSplit/>
          <w:jc w:val="center"/>
        </w:trPr>
        <w:tc>
          <w:tcPr>
            <w:tcW w:w="4939" w:type="dxa"/>
            <w:tcBorders>
              <w:top w:val="single" w:sz="3" w:space="0" w:color="CBD5DE"/>
              <w:left w:val="single" w:sz="3" w:space="0" w:color="CBD5DE"/>
              <w:bottom w:val="single" w:sz="3" w:space="0" w:color="CBD5DE"/>
              <w:right w:val="single" w:sz="3" w:space="0" w:color="CBD5DE"/>
            </w:tcBorders>
            <w:shd w:val="clear" w:color="auto" w:fill="EDF3F8"/>
            <w:tcMar>
              <w:top w:w="75" w:type="dxa"/>
              <w:left w:w="90" w:type="dxa"/>
              <w:bottom w:w="75" w:type="dxa"/>
              <w:right w:w="90" w:type="dxa"/>
            </w:tcMar>
            <w:vAlign w:val="center"/>
          </w:tcPr>
          <w:p w14:paraId="3061BBD9" w14:textId="77777777" w:rsidR="000C4947" w:rsidRDefault="00000000">
            <w:pPr>
              <w:jc w:val="center"/>
              <w:rPr>
                <w:rFonts w:hint="eastAsia"/>
              </w:rPr>
            </w:pPr>
            <w:r>
              <w:rPr>
                <w:b/>
                <w:color w:val="315B7D"/>
                <w:sz w:val="16"/>
              </w:rPr>
              <w:t>MEDIUM</w:t>
            </w:r>
          </w:p>
        </w:tc>
        <w:tc>
          <w:tcPr>
            <w:tcW w:w="4939" w:type="dxa"/>
            <w:tcBorders>
              <w:top w:val="single" w:sz="3" w:space="0" w:color="CBD5DE"/>
              <w:left w:val="single" w:sz="3" w:space="0" w:color="CBD5DE"/>
              <w:bottom w:val="single" w:sz="3" w:space="0" w:color="CBD5DE"/>
              <w:right w:val="single" w:sz="3" w:space="0" w:color="CBD5DE"/>
            </w:tcBorders>
            <w:shd w:val="clear" w:color="auto" w:fill="F4F6F8"/>
            <w:tcMar>
              <w:top w:w="75" w:type="dxa"/>
              <w:left w:w="90" w:type="dxa"/>
              <w:bottom w:w="75" w:type="dxa"/>
              <w:right w:w="90" w:type="dxa"/>
            </w:tcMar>
            <w:vAlign w:val="center"/>
          </w:tcPr>
          <w:p w14:paraId="307048F4" w14:textId="77777777" w:rsidR="000C4947" w:rsidRDefault="00000000">
            <w:pPr>
              <w:rPr>
                <w:rFonts w:hint="eastAsia"/>
              </w:rPr>
            </w:pPr>
            <w:r>
              <w:rPr>
                <w:b/>
                <w:sz w:val="19"/>
              </w:rPr>
              <w:t>Malcolm “Mace” Carter — nickname continuity</w:t>
            </w:r>
          </w:p>
        </w:tc>
      </w:tr>
    </w:tbl>
    <w:p w14:paraId="735975CE" w14:textId="77777777" w:rsidR="000C4947" w:rsidRDefault="00000000">
      <w:pPr>
        <w:spacing w:after="80"/>
        <w:rPr>
          <w:rFonts w:hint="eastAsia"/>
        </w:rPr>
      </w:pPr>
      <w:r>
        <w:rPr>
          <w:b/>
          <w:color w:val="315B7D"/>
        </w:rPr>
        <w:t xml:space="preserve">Issue: </w:t>
      </w:r>
      <w:r>
        <w:t>Major supporting documents title the protagonist Malcolm “Mace” Carter, but the current reimagined manuscript does not appear to use “Mace.”</w:t>
      </w:r>
    </w:p>
    <w:p w14:paraId="4A09632F" w14:textId="77777777" w:rsidR="000C4947" w:rsidRDefault="00000000">
      <w:pPr>
        <w:spacing w:after="80"/>
        <w:rPr>
          <w:rFonts w:hint="eastAsia"/>
        </w:rPr>
      </w:pPr>
      <w:r>
        <w:rPr>
          <w:b/>
          <w:color w:val="315B7D"/>
        </w:rPr>
        <w:t xml:space="preserve">Evidence / context: </w:t>
      </w:r>
      <w:r>
        <w:t>This is not a request to make every character call him Mace; a single credible use would be sufficient if retained.</w:t>
      </w:r>
    </w:p>
    <w:p w14:paraId="652EEBF2" w14:textId="77777777" w:rsidR="000C4947" w:rsidRDefault="00000000">
      <w:pPr>
        <w:spacing w:after="80"/>
        <w:rPr>
          <w:rFonts w:hint="eastAsia"/>
        </w:rPr>
      </w:pPr>
      <w:r>
        <w:rPr>
          <w:b/>
          <w:color w:val="315B7D"/>
        </w:rPr>
        <w:t xml:space="preserve">Why it matters: </w:t>
      </w:r>
      <w:r>
        <w:t>A nickname that exists only in planning material becomes a continuity trap, especially if future books, marketing copy, or series materials suddenly begin using it. Conversely, seeding a nickname solely because it is in an old bible can feel artificial if the manuscript has outgrown it.</w:t>
      </w:r>
    </w:p>
    <w:p w14:paraId="541E9601" w14:textId="77777777" w:rsidR="000C4947" w:rsidRDefault="00000000">
      <w:pPr>
        <w:spacing w:after="80"/>
        <w:rPr>
          <w:rFonts w:hint="eastAsia"/>
        </w:rPr>
      </w:pPr>
      <w:r>
        <w:rPr>
          <w:b/>
          <w:color w:val="315B7D"/>
        </w:rPr>
        <w:t xml:space="preserve">Suggested action: </w:t>
      </w:r>
      <w:r>
        <w:t>Make a canon decision now. If “Mace” remains part of his identity, seed it once through a relationship where it has history (for example, an old colleague) and let Malcolm’s reaction define whether he still uses it. If it is no longer wanted, remove it from the authoritative series documents.</w:t>
      </w:r>
    </w:p>
    <w:p w14:paraId="346D7E34" w14:textId="77777777" w:rsidR="000C4947" w:rsidRDefault="000C4947">
      <w:pPr>
        <w:spacing w:after="40"/>
        <w:rPr>
          <w:rFonts w:hint="eastAsia"/>
        </w:rPr>
      </w:pPr>
    </w:p>
    <w:tbl>
      <w:tblPr>
        <w:tblW w:w="0" w:type="auto"/>
        <w:jc w:val="center"/>
        <w:tblLayout w:type="fixed"/>
        <w:tblLook w:val="04A0" w:firstRow="1" w:lastRow="0" w:firstColumn="1" w:lastColumn="0" w:noHBand="0" w:noVBand="1"/>
      </w:tblPr>
      <w:tblGrid>
        <w:gridCol w:w="4939"/>
        <w:gridCol w:w="4939"/>
      </w:tblGrid>
      <w:tr w:rsidR="000C4947" w14:paraId="5BC5529D" w14:textId="77777777">
        <w:trPr>
          <w:cantSplit/>
          <w:jc w:val="center"/>
        </w:trPr>
        <w:tc>
          <w:tcPr>
            <w:tcW w:w="4939" w:type="dxa"/>
            <w:tcBorders>
              <w:top w:val="single" w:sz="3" w:space="0" w:color="CBD5DE"/>
              <w:left w:val="single" w:sz="3" w:space="0" w:color="CBD5DE"/>
              <w:bottom w:val="single" w:sz="3" w:space="0" w:color="CBD5DE"/>
              <w:right w:val="single" w:sz="3" w:space="0" w:color="CBD5DE"/>
            </w:tcBorders>
            <w:shd w:val="clear" w:color="auto" w:fill="EDF5F0"/>
            <w:tcMar>
              <w:top w:w="75" w:type="dxa"/>
              <w:left w:w="90" w:type="dxa"/>
              <w:bottom w:w="75" w:type="dxa"/>
              <w:right w:w="90" w:type="dxa"/>
            </w:tcMar>
            <w:vAlign w:val="center"/>
          </w:tcPr>
          <w:p w14:paraId="678F628F" w14:textId="77777777" w:rsidR="000C4947" w:rsidRDefault="00000000">
            <w:pPr>
              <w:jc w:val="center"/>
              <w:rPr>
                <w:rFonts w:hint="eastAsia"/>
              </w:rPr>
            </w:pPr>
            <w:r>
              <w:rPr>
                <w:b/>
                <w:color w:val="2F6B4F"/>
                <w:sz w:val="16"/>
              </w:rPr>
              <w:t>OPTIONAL</w:t>
            </w:r>
          </w:p>
        </w:tc>
        <w:tc>
          <w:tcPr>
            <w:tcW w:w="4939" w:type="dxa"/>
            <w:tcBorders>
              <w:top w:val="single" w:sz="3" w:space="0" w:color="CBD5DE"/>
              <w:left w:val="single" w:sz="3" w:space="0" w:color="CBD5DE"/>
              <w:bottom w:val="single" w:sz="3" w:space="0" w:color="CBD5DE"/>
              <w:right w:val="single" w:sz="3" w:space="0" w:color="CBD5DE"/>
            </w:tcBorders>
            <w:shd w:val="clear" w:color="auto" w:fill="F4F6F8"/>
            <w:tcMar>
              <w:top w:w="75" w:type="dxa"/>
              <w:left w:w="90" w:type="dxa"/>
              <w:bottom w:w="75" w:type="dxa"/>
              <w:right w:w="90" w:type="dxa"/>
            </w:tcMar>
            <w:vAlign w:val="center"/>
          </w:tcPr>
          <w:p w14:paraId="02C507B5" w14:textId="77777777" w:rsidR="000C4947" w:rsidRDefault="00000000">
            <w:pPr>
              <w:rPr>
                <w:rFonts w:hint="eastAsia"/>
              </w:rPr>
            </w:pPr>
            <w:r>
              <w:rPr>
                <w:b/>
                <w:sz w:val="19"/>
              </w:rPr>
              <w:t>Early Naomi chapters — Signal Ledger naming</w:t>
            </w:r>
          </w:p>
        </w:tc>
      </w:tr>
    </w:tbl>
    <w:p w14:paraId="3BFF4327" w14:textId="77777777" w:rsidR="000C4947" w:rsidRDefault="00000000">
      <w:pPr>
        <w:spacing w:after="80"/>
        <w:rPr>
          <w:rFonts w:hint="eastAsia"/>
        </w:rPr>
      </w:pPr>
      <w:r>
        <w:rPr>
          <w:b/>
          <w:color w:val="315B7D"/>
        </w:rPr>
        <w:t xml:space="preserve">Issue: </w:t>
      </w:r>
      <w:r>
        <w:t>The master material identifies Naomi’s outlet as Signal Ledger, while the current manuscript mostly uses “the outlet” / newsroom language and gives the publication name very little page presence.</w:t>
      </w:r>
    </w:p>
    <w:p w14:paraId="4AC01226" w14:textId="77777777" w:rsidR="000C4947" w:rsidRDefault="00000000">
      <w:pPr>
        <w:spacing w:after="80"/>
        <w:rPr>
          <w:rFonts w:hint="eastAsia"/>
        </w:rPr>
      </w:pPr>
      <w:r>
        <w:rPr>
          <w:b/>
          <w:color w:val="315B7D"/>
        </w:rPr>
        <w:t xml:space="preserve">Evidence / context: </w:t>
      </w:r>
      <w:r>
        <w:t>Treat this as branding/continuity polish, not a structural need.</w:t>
      </w:r>
    </w:p>
    <w:p w14:paraId="4585139F" w14:textId="77777777" w:rsidR="000C4947" w:rsidRDefault="00000000">
      <w:pPr>
        <w:spacing w:after="80"/>
        <w:rPr>
          <w:rFonts w:hint="eastAsia"/>
        </w:rPr>
      </w:pPr>
      <w:r>
        <w:rPr>
          <w:b/>
          <w:color w:val="315B7D"/>
        </w:rPr>
        <w:t xml:space="preserve">Why it matters: </w:t>
      </w:r>
      <w:r>
        <w:t>This is not confusing in Book I, but a named newsroom can help series continuity, later callbacks, and reader orientation once other outlets and international partners enter the story.</w:t>
      </w:r>
    </w:p>
    <w:p w14:paraId="1D4E901C" w14:textId="77777777" w:rsidR="000C4947" w:rsidRDefault="00000000">
      <w:pPr>
        <w:spacing w:after="80"/>
        <w:rPr>
          <w:rFonts w:hint="eastAsia"/>
        </w:rPr>
      </w:pPr>
      <w:r>
        <w:rPr>
          <w:b/>
          <w:color w:val="315B7D"/>
        </w:rPr>
        <w:t xml:space="preserve">Suggested action: </w:t>
      </w:r>
      <w:r>
        <w:t>If Signal Ledger remains canon, consider naming it naturally in Naomi’s first newsroom sequence and then use the name sparingly. If the generic treatment is intentional, mark the old name as deprecated in the bible.</w:t>
      </w:r>
    </w:p>
    <w:p w14:paraId="69FB3160" w14:textId="77777777" w:rsidR="000C4947" w:rsidRDefault="000C4947">
      <w:pPr>
        <w:spacing w:after="40"/>
        <w:rPr>
          <w:rFonts w:hint="eastAsia"/>
        </w:rPr>
      </w:pPr>
    </w:p>
    <w:tbl>
      <w:tblPr>
        <w:tblW w:w="0" w:type="auto"/>
        <w:jc w:val="center"/>
        <w:tblLayout w:type="fixed"/>
        <w:tblLook w:val="04A0" w:firstRow="1" w:lastRow="0" w:firstColumn="1" w:lastColumn="0" w:noHBand="0" w:noVBand="1"/>
      </w:tblPr>
      <w:tblGrid>
        <w:gridCol w:w="4939"/>
        <w:gridCol w:w="4939"/>
      </w:tblGrid>
      <w:tr w:rsidR="000C4947" w14:paraId="6DD31C48" w14:textId="77777777">
        <w:trPr>
          <w:cantSplit/>
          <w:jc w:val="center"/>
        </w:trPr>
        <w:tc>
          <w:tcPr>
            <w:tcW w:w="4939" w:type="dxa"/>
            <w:tcBorders>
              <w:top w:val="single" w:sz="3" w:space="0" w:color="CBD5DE"/>
              <w:left w:val="single" w:sz="3" w:space="0" w:color="CBD5DE"/>
              <w:bottom w:val="single" w:sz="3" w:space="0" w:color="CBD5DE"/>
              <w:right w:val="single" w:sz="3" w:space="0" w:color="CBD5DE"/>
            </w:tcBorders>
            <w:shd w:val="clear" w:color="auto" w:fill="EDF5F0"/>
            <w:tcMar>
              <w:top w:w="75" w:type="dxa"/>
              <w:left w:w="90" w:type="dxa"/>
              <w:bottom w:w="75" w:type="dxa"/>
              <w:right w:w="90" w:type="dxa"/>
            </w:tcMar>
            <w:vAlign w:val="center"/>
          </w:tcPr>
          <w:p w14:paraId="64A21A59" w14:textId="77777777" w:rsidR="000C4947" w:rsidRDefault="00000000">
            <w:pPr>
              <w:jc w:val="center"/>
              <w:rPr>
                <w:rFonts w:hint="eastAsia"/>
              </w:rPr>
            </w:pPr>
            <w:r>
              <w:rPr>
                <w:b/>
                <w:color w:val="2F6B4F"/>
                <w:sz w:val="16"/>
              </w:rPr>
              <w:t>OPTIONAL</w:t>
            </w:r>
          </w:p>
        </w:tc>
        <w:tc>
          <w:tcPr>
            <w:tcW w:w="4939" w:type="dxa"/>
            <w:tcBorders>
              <w:top w:val="single" w:sz="3" w:space="0" w:color="CBD5DE"/>
              <w:left w:val="single" w:sz="3" w:space="0" w:color="CBD5DE"/>
              <w:bottom w:val="single" w:sz="3" w:space="0" w:color="CBD5DE"/>
              <w:right w:val="single" w:sz="3" w:space="0" w:color="CBD5DE"/>
            </w:tcBorders>
            <w:shd w:val="clear" w:color="auto" w:fill="F4F6F8"/>
            <w:tcMar>
              <w:top w:w="75" w:type="dxa"/>
              <w:left w:w="90" w:type="dxa"/>
              <w:bottom w:w="75" w:type="dxa"/>
              <w:right w:w="90" w:type="dxa"/>
            </w:tcMar>
            <w:vAlign w:val="center"/>
          </w:tcPr>
          <w:p w14:paraId="39D9A671" w14:textId="77777777" w:rsidR="000C4947" w:rsidRDefault="00000000">
            <w:pPr>
              <w:rPr>
                <w:rFonts w:hint="eastAsia"/>
              </w:rPr>
            </w:pPr>
            <w:r>
              <w:rPr>
                <w:b/>
                <w:sz w:val="19"/>
              </w:rPr>
              <w:t>Chapters 17 and 29 — high-frequency intercut rhythm</w:t>
            </w:r>
          </w:p>
        </w:tc>
      </w:tr>
    </w:tbl>
    <w:p w14:paraId="56F0F130" w14:textId="77777777" w:rsidR="000C4947" w:rsidRDefault="00000000">
      <w:pPr>
        <w:spacing w:after="80"/>
        <w:rPr>
          <w:rFonts w:hint="eastAsia"/>
        </w:rPr>
      </w:pPr>
      <w:r>
        <w:rPr>
          <w:b/>
          <w:color w:val="315B7D"/>
        </w:rPr>
        <w:t xml:space="preserve">Issue: </w:t>
      </w:r>
      <w:r>
        <w:t>The reimagined manuscript uses very short cross-cuts during the medical-isotope test and especially the Istanbul attack. The approach works, but several beats are brief enough to approach screenplay rhythm rather than conventional thriller-scene rhythm.</w:t>
      </w:r>
    </w:p>
    <w:p w14:paraId="7461A22A" w14:textId="77777777" w:rsidR="000C4947" w:rsidRDefault="00000000">
      <w:pPr>
        <w:spacing w:after="80"/>
        <w:rPr>
          <w:rFonts w:hint="eastAsia"/>
        </w:rPr>
      </w:pPr>
      <w:r>
        <w:rPr>
          <w:b/>
          <w:color w:val="315B7D"/>
        </w:rPr>
        <w:t xml:space="preserve">Evidence / context: </w:t>
      </w:r>
      <w:r>
        <w:t>I would not broadly reduce the intercutting; it is part of what differentiates the reimagined version from the earlier chapter architecture.</w:t>
      </w:r>
    </w:p>
    <w:p w14:paraId="60971C64" w14:textId="77777777" w:rsidR="000C4947" w:rsidRDefault="00000000">
      <w:pPr>
        <w:spacing w:after="80"/>
        <w:rPr>
          <w:rFonts w:hint="eastAsia"/>
        </w:rPr>
      </w:pPr>
      <w:r>
        <w:rPr>
          <w:b/>
          <w:color w:val="315B7D"/>
        </w:rPr>
        <w:t xml:space="preserve">Why it matters: </w:t>
      </w:r>
      <w:r>
        <w:t>The staccato structure creates urgency, yet too many micro-scenes can make the reader process camera changes instead of emotional continuity. Chapter 29 has the greatest risk because Elif’s death needs both speed and emotional weight.</w:t>
      </w:r>
    </w:p>
    <w:p w14:paraId="20292157" w14:textId="77777777" w:rsidR="000C4947" w:rsidRDefault="00000000">
      <w:pPr>
        <w:spacing w:after="80"/>
        <w:rPr>
          <w:rFonts w:hint="eastAsia"/>
        </w:rPr>
      </w:pPr>
      <w:r>
        <w:rPr>
          <w:b/>
          <w:color w:val="315B7D"/>
        </w:rPr>
        <w:t xml:space="preserve">Suggested action: </w:t>
      </w:r>
      <w:r>
        <w:t>Do a print/read-aloud pacing test rather than an automatic rewrite. If the cuts feel breathless in the wrong way, absorb one or two of the shortest reaction/monitoring beats into adjacent scenes. If the rhythm feels propulsive and Elif still lands emotionally, leave it alone.</w:t>
      </w:r>
    </w:p>
    <w:p w14:paraId="64F0C77E" w14:textId="77777777" w:rsidR="000C4947" w:rsidRDefault="000C4947">
      <w:pPr>
        <w:spacing w:after="40"/>
        <w:rPr>
          <w:rFonts w:hint="eastAsia"/>
        </w:rPr>
      </w:pPr>
    </w:p>
    <w:p w14:paraId="04221228" w14:textId="77777777" w:rsidR="000C4947" w:rsidRDefault="00000000">
      <w:pPr>
        <w:pStyle w:val="Heading1"/>
      </w:pPr>
      <w:r>
        <w:t>3. Supporting-Document / Canon Corrections</w:t>
      </w:r>
    </w:p>
    <w:p w14:paraId="2A1F32CB" w14:textId="77777777" w:rsidR="000C4947" w:rsidRDefault="00000000">
      <w:pPr>
        <w:pStyle w:val="Deck"/>
        <w:rPr>
          <w:rFonts w:hint="eastAsia"/>
        </w:rPr>
      </w:pPr>
      <w:r>
        <w:t>These do not require prose changes unless noted above, but they should be resolved before another editor, collaborator, or Book II development pass uses the package.</w:t>
      </w:r>
    </w:p>
    <w:tbl>
      <w:tblPr>
        <w:tblW w:w="0" w:type="auto"/>
        <w:jc w:val="center"/>
        <w:tblLayout w:type="fixed"/>
        <w:tblLook w:val="04A0" w:firstRow="1" w:lastRow="0" w:firstColumn="1" w:lastColumn="0" w:noHBand="0" w:noVBand="1"/>
      </w:tblPr>
      <w:tblGrid>
        <w:gridCol w:w="2469"/>
        <w:gridCol w:w="2952"/>
        <w:gridCol w:w="2952"/>
        <w:gridCol w:w="2664"/>
      </w:tblGrid>
      <w:tr w:rsidR="000C4947" w14:paraId="4E91D55D" w14:textId="77777777">
        <w:trPr>
          <w:cantSplit/>
          <w:tblHeader/>
          <w:jc w:val="center"/>
        </w:trPr>
        <w:tc>
          <w:tcPr>
            <w:tcW w:w="2469" w:type="dxa"/>
            <w:shd w:val="clear" w:color="auto" w:fill="17324D"/>
            <w:tcMar>
              <w:top w:w="80" w:type="dxa"/>
              <w:left w:w="80" w:type="dxa"/>
              <w:bottom w:w="80" w:type="dxa"/>
              <w:right w:w="80" w:type="dxa"/>
            </w:tcMar>
          </w:tcPr>
          <w:p w14:paraId="09EC5A4F" w14:textId="77777777" w:rsidR="000C4947" w:rsidRDefault="00000000">
            <w:pPr>
              <w:rPr>
                <w:rFonts w:hint="eastAsia"/>
              </w:rPr>
            </w:pPr>
            <w:r>
              <w:rPr>
                <w:b/>
                <w:color w:val="FFFFFF"/>
                <w:sz w:val="17"/>
              </w:rPr>
              <w:t>Item</w:t>
            </w:r>
          </w:p>
        </w:tc>
        <w:tc>
          <w:tcPr>
            <w:tcW w:w="2469" w:type="dxa"/>
            <w:shd w:val="clear" w:color="auto" w:fill="17324D"/>
            <w:tcMar>
              <w:top w:w="80" w:type="dxa"/>
              <w:left w:w="80" w:type="dxa"/>
              <w:bottom w:w="80" w:type="dxa"/>
              <w:right w:w="80" w:type="dxa"/>
            </w:tcMar>
          </w:tcPr>
          <w:p w14:paraId="4B5143E4" w14:textId="77777777" w:rsidR="000C4947" w:rsidRDefault="00000000">
            <w:pPr>
              <w:rPr>
                <w:rFonts w:hint="eastAsia"/>
              </w:rPr>
            </w:pPr>
            <w:r>
              <w:rPr>
                <w:b/>
                <w:color w:val="FFFFFF"/>
                <w:sz w:val="17"/>
              </w:rPr>
              <w:t>Current conflict</w:t>
            </w:r>
          </w:p>
        </w:tc>
        <w:tc>
          <w:tcPr>
            <w:tcW w:w="2469" w:type="dxa"/>
            <w:shd w:val="clear" w:color="auto" w:fill="17324D"/>
            <w:tcMar>
              <w:top w:w="80" w:type="dxa"/>
              <w:left w:w="80" w:type="dxa"/>
              <w:bottom w:w="80" w:type="dxa"/>
              <w:right w:w="80" w:type="dxa"/>
            </w:tcMar>
          </w:tcPr>
          <w:p w14:paraId="07A66EB4" w14:textId="77777777" w:rsidR="000C4947" w:rsidRDefault="00000000">
            <w:pPr>
              <w:rPr>
                <w:rFonts w:hint="eastAsia"/>
              </w:rPr>
            </w:pPr>
            <w:r>
              <w:rPr>
                <w:b/>
                <w:color w:val="FFFFFF"/>
                <w:sz w:val="17"/>
              </w:rPr>
              <w:t>Developmental risk</w:t>
            </w:r>
          </w:p>
        </w:tc>
        <w:tc>
          <w:tcPr>
            <w:tcW w:w="2469" w:type="dxa"/>
            <w:shd w:val="clear" w:color="auto" w:fill="17324D"/>
            <w:tcMar>
              <w:top w:w="80" w:type="dxa"/>
              <w:left w:w="80" w:type="dxa"/>
              <w:bottom w:w="80" w:type="dxa"/>
              <w:right w:w="80" w:type="dxa"/>
            </w:tcMar>
          </w:tcPr>
          <w:p w14:paraId="16F19FF2" w14:textId="77777777" w:rsidR="000C4947" w:rsidRDefault="00000000">
            <w:pPr>
              <w:rPr>
                <w:rFonts w:hint="eastAsia"/>
              </w:rPr>
            </w:pPr>
            <w:r>
              <w:rPr>
                <w:b/>
                <w:color w:val="FFFFFF"/>
                <w:sz w:val="17"/>
              </w:rPr>
              <w:t>Recommendation</w:t>
            </w:r>
          </w:p>
        </w:tc>
      </w:tr>
      <w:tr w:rsidR="000C4947" w14:paraId="02ED09E8" w14:textId="77777777">
        <w:trPr>
          <w:cantSplit/>
          <w:jc w:val="center"/>
        </w:trPr>
        <w:tc>
          <w:tcPr>
            <w:tcW w:w="2088" w:type="dxa"/>
            <w:tcBorders>
              <w:bottom w:val="single" w:sz="2" w:space="0" w:color="CBD5DE"/>
            </w:tcBorders>
            <w:shd w:val="clear" w:color="auto" w:fill="FFFFFF"/>
            <w:tcMar>
              <w:top w:w="70" w:type="dxa"/>
              <w:left w:w="75" w:type="dxa"/>
              <w:bottom w:w="70" w:type="dxa"/>
              <w:right w:w="75" w:type="dxa"/>
            </w:tcMar>
          </w:tcPr>
          <w:p w14:paraId="4BB33171" w14:textId="77777777" w:rsidR="000C4947" w:rsidRDefault="00000000">
            <w:pPr>
              <w:rPr>
                <w:rFonts w:hint="eastAsia"/>
              </w:rPr>
            </w:pPr>
            <w:r>
              <w:rPr>
                <w:sz w:val="16"/>
              </w:rPr>
              <w:t>Daniel Cho</w:t>
            </w:r>
          </w:p>
        </w:tc>
        <w:tc>
          <w:tcPr>
            <w:tcW w:w="2952" w:type="dxa"/>
            <w:tcBorders>
              <w:bottom w:val="single" w:sz="2" w:space="0" w:color="CBD5DE"/>
            </w:tcBorders>
            <w:shd w:val="clear" w:color="auto" w:fill="FFFFFF"/>
            <w:tcMar>
              <w:top w:w="70" w:type="dxa"/>
              <w:left w:w="75" w:type="dxa"/>
              <w:bottom w:w="70" w:type="dxa"/>
              <w:right w:w="75" w:type="dxa"/>
            </w:tcMar>
          </w:tcPr>
          <w:p w14:paraId="347CA207" w14:textId="77777777" w:rsidR="000C4947" w:rsidRDefault="00000000">
            <w:pPr>
              <w:rPr>
                <w:rFonts w:hint="eastAsia"/>
              </w:rPr>
            </w:pPr>
            <w:r>
              <w:rPr>
                <w:sz w:val="16"/>
              </w:rPr>
              <w:t>Manuscript: 51, Korean-American. Canon/reference: 41, Chinese.</w:t>
            </w:r>
          </w:p>
        </w:tc>
        <w:tc>
          <w:tcPr>
            <w:tcW w:w="2952" w:type="dxa"/>
            <w:tcBorders>
              <w:bottom w:val="single" w:sz="2" w:space="0" w:color="CBD5DE"/>
            </w:tcBorders>
            <w:shd w:val="clear" w:color="auto" w:fill="FFFFFF"/>
            <w:tcMar>
              <w:top w:w="70" w:type="dxa"/>
              <w:left w:w="75" w:type="dxa"/>
              <w:bottom w:w="70" w:type="dxa"/>
              <w:right w:w="75" w:type="dxa"/>
            </w:tcMar>
          </w:tcPr>
          <w:p w14:paraId="2C60C88D" w14:textId="77777777" w:rsidR="000C4947" w:rsidRDefault="00000000">
            <w:pPr>
              <w:rPr>
                <w:rFonts w:hint="eastAsia"/>
              </w:rPr>
            </w:pPr>
            <w:r>
              <w:rPr>
                <w:sz w:val="16"/>
              </w:rPr>
              <w:t>Direct continuity error; sequel propagation.</w:t>
            </w:r>
          </w:p>
        </w:tc>
        <w:tc>
          <w:tcPr>
            <w:tcW w:w="2664" w:type="dxa"/>
            <w:tcBorders>
              <w:bottom w:val="single" w:sz="2" w:space="0" w:color="CBD5DE"/>
            </w:tcBorders>
            <w:shd w:val="clear" w:color="auto" w:fill="FFFFFF"/>
            <w:tcMar>
              <w:top w:w="70" w:type="dxa"/>
              <w:left w:w="75" w:type="dxa"/>
              <w:bottom w:w="70" w:type="dxa"/>
              <w:right w:w="75" w:type="dxa"/>
            </w:tcMar>
          </w:tcPr>
          <w:p w14:paraId="17FA932E" w14:textId="77777777" w:rsidR="000C4947" w:rsidRDefault="00000000">
            <w:pPr>
              <w:rPr>
                <w:rFonts w:hint="eastAsia"/>
              </w:rPr>
            </w:pPr>
            <w:r>
              <w:rPr>
                <w:sz w:val="16"/>
              </w:rPr>
              <w:t>Choose one version and synchronize all files.</w:t>
            </w:r>
          </w:p>
        </w:tc>
      </w:tr>
      <w:tr w:rsidR="000C4947" w14:paraId="705BD092" w14:textId="77777777">
        <w:trPr>
          <w:cantSplit/>
          <w:jc w:val="center"/>
        </w:trPr>
        <w:tc>
          <w:tcPr>
            <w:tcW w:w="2088" w:type="dxa"/>
            <w:tcBorders>
              <w:bottom w:val="single" w:sz="2" w:space="0" w:color="CBD5DE"/>
            </w:tcBorders>
            <w:shd w:val="clear" w:color="auto" w:fill="F7F9FB"/>
            <w:tcMar>
              <w:top w:w="70" w:type="dxa"/>
              <w:left w:w="75" w:type="dxa"/>
              <w:bottom w:w="70" w:type="dxa"/>
              <w:right w:w="75" w:type="dxa"/>
            </w:tcMar>
          </w:tcPr>
          <w:p w14:paraId="5AA1B39D" w14:textId="77777777" w:rsidR="000C4947" w:rsidRDefault="00000000">
            <w:pPr>
              <w:rPr>
                <w:rFonts w:hint="eastAsia"/>
              </w:rPr>
            </w:pPr>
            <w:r>
              <w:rPr>
                <w:sz w:val="16"/>
              </w:rPr>
              <w:t>Malcolm age</w:t>
            </w:r>
          </w:p>
        </w:tc>
        <w:tc>
          <w:tcPr>
            <w:tcW w:w="2952" w:type="dxa"/>
            <w:tcBorders>
              <w:bottom w:val="single" w:sz="2" w:space="0" w:color="CBD5DE"/>
            </w:tcBorders>
            <w:shd w:val="clear" w:color="auto" w:fill="F7F9FB"/>
            <w:tcMar>
              <w:top w:w="70" w:type="dxa"/>
              <w:left w:w="75" w:type="dxa"/>
              <w:bottom w:w="70" w:type="dxa"/>
              <w:right w:w="75" w:type="dxa"/>
            </w:tcMar>
          </w:tcPr>
          <w:p w14:paraId="08747FEF" w14:textId="77777777" w:rsidR="000C4947" w:rsidRDefault="00000000">
            <w:pPr>
              <w:rPr>
                <w:rFonts w:hint="eastAsia"/>
              </w:rPr>
            </w:pPr>
            <w:r>
              <w:rPr>
                <w:sz w:val="16"/>
              </w:rPr>
              <w:t>Master/trilogy bible: 38. Character physical reference: early-to-mid forties. Manuscript does not state a number.</w:t>
            </w:r>
          </w:p>
        </w:tc>
        <w:tc>
          <w:tcPr>
            <w:tcW w:w="2952" w:type="dxa"/>
            <w:tcBorders>
              <w:bottom w:val="single" w:sz="2" w:space="0" w:color="CBD5DE"/>
            </w:tcBorders>
            <w:shd w:val="clear" w:color="auto" w:fill="F7F9FB"/>
            <w:tcMar>
              <w:top w:w="70" w:type="dxa"/>
              <w:left w:w="75" w:type="dxa"/>
              <w:bottom w:w="70" w:type="dxa"/>
              <w:right w:w="75" w:type="dxa"/>
            </w:tcMar>
          </w:tcPr>
          <w:p w14:paraId="785C9B88" w14:textId="77777777" w:rsidR="000C4947" w:rsidRDefault="00000000">
            <w:pPr>
              <w:rPr>
                <w:rFonts w:hint="eastAsia"/>
              </w:rPr>
            </w:pPr>
            <w:r>
              <w:rPr>
                <w:sz w:val="16"/>
              </w:rPr>
              <w:t>Future age/timeline drift.</w:t>
            </w:r>
          </w:p>
        </w:tc>
        <w:tc>
          <w:tcPr>
            <w:tcW w:w="2664" w:type="dxa"/>
            <w:tcBorders>
              <w:bottom w:val="single" w:sz="2" w:space="0" w:color="CBD5DE"/>
            </w:tcBorders>
            <w:shd w:val="clear" w:color="auto" w:fill="F7F9FB"/>
            <w:tcMar>
              <w:top w:w="70" w:type="dxa"/>
              <w:left w:w="75" w:type="dxa"/>
              <w:bottom w:w="70" w:type="dxa"/>
              <w:right w:w="75" w:type="dxa"/>
            </w:tcMar>
          </w:tcPr>
          <w:p w14:paraId="13C7BAF4" w14:textId="77777777" w:rsidR="000C4947" w:rsidRDefault="00000000">
            <w:pPr>
              <w:rPr>
                <w:rFonts w:hint="eastAsia"/>
              </w:rPr>
            </w:pPr>
            <w:r>
              <w:rPr>
                <w:sz w:val="16"/>
              </w:rPr>
              <w:t>Lock an age/birth-year range in one authoritative canon file.</w:t>
            </w:r>
          </w:p>
        </w:tc>
      </w:tr>
      <w:tr w:rsidR="000C4947" w14:paraId="0C73DFB4" w14:textId="77777777">
        <w:trPr>
          <w:cantSplit/>
          <w:jc w:val="center"/>
        </w:trPr>
        <w:tc>
          <w:tcPr>
            <w:tcW w:w="2088" w:type="dxa"/>
            <w:tcBorders>
              <w:bottom w:val="single" w:sz="2" w:space="0" w:color="CBD5DE"/>
            </w:tcBorders>
            <w:shd w:val="clear" w:color="auto" w:fill="FFFFFF"/>
            <w:tcMar>
              <w:top w:w="70" w:type="dxa"/>
              <w:left w:w="75" w:type="dxa"/>
              <w:bottom w:w="70" w:type="dxa"/>
              <w:right w:w="75" w:type="dxa"/>
            </w:tcMar>
          </w:tcPr>
          <w:p w14:paraId="0D5D5825" w14:textId="77777777" w:rsidR="000C4947" w:rsidRDefault="00000000">
            <w:pPr>
              <w:rPr>
                <w:rFonts w:hint="eastAsia"/>
              </w:rPr>
            </w:pPr>
            <w:r>
              <w:rPr>
                <w:sz w:val="16"/>
              </w:rPr>
              <w:t>Malcolm “Mace” Carter</w:t>
            </w:r>
          </w:p>
        </w:tc>
        <w:tc>
          <w:tcPr>
            <w:tcW w:w="2952" w:type="dxa"/>
            <w:tcBorders>
              <w:bottom w:val="single" w:sz="2" w:space="0" w:color="CBD5DE"/>
            </w:tcBorders>
            <w:shd w:val="clear" w:color="auto" w:fill="FFFFFF"/>
            <w:tcMar>
              <w:top w:w="70" w:type="dxa"/>
              <w:left w:w="75" w:type="dxa"/>
              <w:bottom w:w="70" w:type="dxa"/>
              <w:right w:w="75" w:type="dxa"/>
            </w:tcMar>
          </w:tcPr>
          <w:p w14:paraId="510B3485" w14:textId="77777777" w:rsidR="000C4947" w:rsidRDefault="00000000">
            <w:pPr>
              <w:rPr>
                <w:rFonts w:hint="eastAsia"/>
              </w:rPr>
            </w:pPr>
            <w:r>
              <w:rPr>
                <w:sz w:val="16"/>
              </w:rPr>
              <w:t>Master/trilogy bible uses “Mace”; current manuscript does not.</w:t>
            </w:r>
          </w:p>
        </w:tc>
        <w:tc>
          <w:tcPr>
            <w:tcW w:w="2952" w:type="dxa"/>
            <w:tcBorders>
              <w:bottom w:val="single" w:sz="2" w:space="0" w:color="CBD5DE"/>
            </w:tcBorders>
            <w:shd w:val="clear" w:color="auto" w:fill="FFFFFF"/>
            <w:tcMar>
              <w:top w:w="70" w:type="dxa"/>
              <w:left w:w="75" w:type="dxa"/>
              <w:bottom w:w="70" w:type="dxa"/>
              <w:right w:w="75" w:type="dxa"/>
            </w:tcMar>
          </w:tcPr>
          <w:p w14:paraId="35EAAB2F" w14:textId="77777777" w:rsidR="000C4947" w:rsidRDefault="00000000">
            <w:pPr>
              <w:rPr>
                <w:rFonts w:hint="eastAsia"/>
              </w:rPr>
            </w:pPr>
            <w:r>
              <w:rPr>
                <w:sz w:val="16"/>
              </w:rPr>
              <w:t>Future books/marketing may introduce an unseeded identity.</w:t>
            </w:r>
          </w:p>
        </w:tc>
        <w:tc>
          <w:tcPr>
            <w:tcW w:w="2664" w:type="dxa"/>
            <w:tcBorders>
              <w:bottom w:val="single" w:sz="2" w:space="0" w:color="CBD5DE"/>
            </w:tcBorders>
            <w:shd w:val="clear" w:color="auto" w:fill="FFFFFF"/>
            <w:tcMar>
              <w:top w:w="70" w:type="dxa"/>
              <w:left w:w="75" w:type="dxa"/>
              <w:bottom w:w="70" w:type="dxa"/>
              <w:right w:w="75" w:type="dxa"/>
            </w:tcMar>
          </w:tcPr>
          <w:p w14:paraId="06B5EDE3" w14:textId="77777777" w:rsidR="000C4947" w:rsidRDefault="00000000">
            <w:pPr>
              <w:rPr>
                <w:rFonts w:hint="eastAsia"/>
              </w:rPr>
            </w:pPr>
            <w:r>
              <w:rPr>
                <w:sz w:val="16"/>
              </w:rPr>
              <w:t>Retain + seed once, or deprecate nickname in canon.</w:t>
            </w:r>
          </w:p>
        </w:tc>
      </w:tr>
      <w:tr w:rsidR="000C4947" w14:paraId="5D84DCAF" w14:textId="77777777">
        <w:trPr>
          <w:cantSplit/>
          <w:jc w:val="center"/>
        </w:trPr>
        <w:tc>
          <w:tcPr>
            <w:tcW w:w="2088" w:type="dxa"/>
            <w:tcBorders>
              <w:bottom w:val="single" w:sz="2" w:space="0" w:color="CBD5DE"/>
            </w:tcBorders>
            <w:shd w:val="clear" w:color="auto" w:fill="F7F9FB"/>
            <w:tcMar>
              <w:top w:w="70" w:type="dxa"/>
              <w:left w:w="75" w:type="dxa"/>
              <w:bottom w:w="70" w:type="dxa"/>
              <w:right w:w="75" w:type="dxa"/>
            </w:tcMar>
          </w:tcPr>
          <w:p w14:paraId="5459C5BF" w14:textId="77777777" w:rsidR="000C4947" w:rsidRDefault="00000000">
            <w:pPr>
              <w:rPr>
                <w:rFonts w:hint="eastAsia"/>
              </w:rPr>
            </w:pPr>
            <w:r>
              <w:rPr>
                <w:sz w:val="16"/>
              </w:rPr>
              <w:t>Book I end-state language</w:t>
            </w:r>
          </w:p>
        </w:tc>
        <w:tc>
          <w:tcPr>
            <w:tcW w:w="2952" w:type="dxa"/>
            <w:tcBorders>
              <w:bottom w:val="single" w:sz="2" w:space="0" w:color="CBD5DE"/>
            </w:tcBorders>
            <w:shd w:val="clear" w:color="auto" w:fill="F7F9FB"/>
            <w:tcMar>
              <w:top w:w="70" w:type="dxa"/>
              <w:left w:w="75" w:type="dxa"/>
              <w:bottom w:w="70" w:type="dxa"/>
              <w:right w:w="75" w:type="dxa"/>
            </w:tcMar>
          </w:tcPr>
          <w:p w14:paraId="1304038F" w14:textId="77777777" w:rsidR="000C4947" w:rsidRDefault="00000000">
            <w:pPr>
              <w:rPr>
                <w:rFonts w:hint="eastAsia"/>
              </w:rPr>
            </w:pPr>
            <w:r>
              <w:rPr>
                <w:sz w:val="16"/>
              </w:rPr>
              <w:t>Older master says Polaris is merely “seeded as deeper layer.” Current manuscript publicly names Project Polaris and publishes the program story.</w:t>
            </w:r>
          </w:p>
        </w:tc>
        <w:tc>
          <w:tcPr>
            <w:tcW w:w="2952" w:type="dxa"/>
            <w:tcBorders>
              <w:bottom w:val="single" w:sz="2" w:space="0" w:color="CBD5DE"/>
            </w:tcBorders>
            <w:shd w:val="clear" w:color="auto" w:fill="F7F9FB"/>
            <w:tcMar>
              <w:top w:w="70" w:type="dxa"/>
              <w:left w:w="75" w:type="dxa"/>
              <w:bottom w:w="70" w:type="dxa"/>
              <w:right w:w="75" w:type="dxa"/>
            </w:tcMar>
          </w:tcPr>
          <w:p w14:paraId="1C095041" w14:textId="77777777" w:rsidR="000C4947" w:rsidRDefault="00000000">
            <w:pPr>
              <w:rPr>
                <w:rFonts w:hint="eastAsia"/>
              </w:rPr>
            </w:pPr>
            <w:r>
              <w:rPr>
                <w:sz w:val="16"/>
              </w:rPr>
              <w:t>Old summary understates what Book I now reveals.</w:t>
            </w:r>
          </w:p>
        </w:tc>
        <w:tc>
          <w:tcPr>
            <w:tcW w:w="2664" w:type="dxa"/>
            <w:tcBorders>
              <w:bottom w:val="single" w:sz="2" w:space="0" w:color="CBD5DE"/>
            </w:tcBorders>
            <w:shd w:val="clear" w:color="auto" w:fill="F7F9FB"/>
            <w:tcMar>
              <w:top w:w="70" w:type="dxa"/>
              <w:left w:w="75" w:type="dxa"/>
              <w:bottom w:w="70" w:type="dxa"/>
              <w:right w:w="75" w:type="dxa"/>
            </w:tcMar>
          </w:tcPr>
          <w:p w14:paraId="2C589625" w14:textId="77777777" w:rsidR="000C4947" w:rsidRDefault="00000000">
            <w:pPr>
              <w:rPr>
                <w:rFonts w:hint="eastAsia"/>
              </w:rPr>
            </w:pPr>
            <w:r>
              <w:rPr>
                <w:sz w:val="16"/>
              </w:rPr>
              <w:t>Rewrite the old trilogy-summary line to match the current proof boundary.</w:t>
            </w:r>
          </w:p>
        </w:tc>
      </w:tr>
      <w:tr w:rsidR="000C4947" w14:paraId="68143EE4" w14:textId="77777777">
        <w:trPr>
          <w:cantSplit/>
          <w:jc w:val="center"/>
        </w:trPr>
        <w:tc>
          <w:tcPr>
            <w:tcW w:w="2088" w:type="dxa"/>
            <w:tcBorders>
              <w:bottom w:val="single" w:sz="2" w:space="0" w:color="CBD5DE"/>
            </w:tcBorders>
            <w:shd w:val="clear" w:color="auto" w:fill="FFFFFF"/>
            <w:tcMar>
              <w:top w:w="70" w:type="dxa"/>
              <w:left w:w="75" w:type="dxa"/>
              <w:bottom w:w="70" w:type="dxa"/>
              <w:right w:w="75" w:type="dxa"/>
            </w:tcMar>
          </w:tcPr>
          <w:p w14:paraId="4D131E35" w14:textId="77777777" w:rsidR="000C4947" w:rsidRDefault="00000000">
            <w:pPr>
              <w:rPr>
                <w:rFonts w:hint="eastAsia"/>
              </w:rPr>
            </w:pPr>
            <w:r>
              <w:rPr>
                <w:sz w:val="16"/>
              </w:rPr>
              <w:t>Chapter architecture</w:t>
            </w:r>
          </w:p>
        </w:tc>
        <w:tc>
          <w:tcPr>
            <w:tcW w:w="2952" w:type="dxa"/>
            <w:tcBorders>
              <w:bottom w:val="single" w:sz="2" w:space="0" w:color="CBD5DE"/>
            </w:tcBorders>
            <w:shd w:val="clear" w:color="auto" w:fill="FFFFFF"/>
            <w:tcMar>
              <w:top w:w="70" w:type="dxa"/>
              <w:left w:w="75" w:type="dxa"/>
              <w:bottom w:w="70" w:type="dxa"/>
              <w:right w:w="75" w:type="dxa"/>
            </w:tcMar>
          </w:tcPr>
          <w:p w14:paraId="717AC206" w14:textId="77777777" w:rsidR="000C4947" w:rsidRDefault="00000000">
            <w:pPr>
              <w:rPr>
                <w:rFonts w:hint="eastAsia"/>
              </w:rPr>
            </w:pPr>
            <w:r>
              <w:rPr>
                <w:sz w:val="16"/>
              </w:rPr>
              <w:t>Updated act map is built around 32 chapters; current manuscript has 34. Several discovery chapter numbers therefore no longer match.</w:t>
            </w:r>
          </w:p>
        </w:tc>
        <w:tc>
          <w:tcPr>
            <w:tcW w:w="2952" w:type="dxa"/>
            <w:tcBorders>
              <w:bottom w:val="single" w:sz="2" w:space="0" w:color="CBD5DE"/>
            </w:tcBorders>
            <w:shd w:val="clear" w:color="auto" w:fill="FFFFFF"/>
            <w:tcMar>
              <w:top w:w="70" w:type="dxa"/>
              <w:left w:w="75" w:type="dxa"/>
              <w:bottom w:w="70" w:type="dxa"/>
              <w:right w:w="75" w:type="dxa"/>
            </w:tcMar>
          </w:tcPr>
          <w:p w14:paraId="0D725A2B" w14:textId="77777777" w:rsidR="000C4947" w:rsidRDefault="00000000">
            <w:pPr>
              <w:rPr>
                <w:rFonts w:hint="eastAsia"/>
              </w:rPr>
            </w:pPr>
            <w:r>
              <w:rPr>
                <w:sz w:val="16"/>
              </w:rPr>
              <w:t>Editors can chase the wrong location or misread reveal order.</w:t>
            </w:r>
          </w:p>
        </w:tc>
        <w:tc>
          <w:tcPr>
            <w:tcW w:w="2664" w:type="dxa"/>
            <w:tcBorders>
              <w:bottom w:val="single" w:sz="2" w:space="0" w:color="CBD5DE"/>
            </w:tcBorders>
            <w:shd w:val="clear" w:color="auto" w:fill="FFFFFF"/>
            <w:tcMar>
              <w:top w:w="70" w:type="dxa"/>
              <w:left w:w="75" w:type="dxa"/>
              <w:bottom w:w="70" w:type="dxa"/>
              <w:right w:w="75" w:type="dxa"/>
            </w:tcMar>
          </w:tcPr>
          <w:p w14:paraId="76F9CC01" w14:textId="77777777" w:rsidR="000C4947" w:rsidRDefault="00000000">
            <w:pPr>
              <w:rPr>
                <w:rFonts w:hint="eastAsia"/>
              </w:rPr>
            </w:pPr>
            <w:r>
              <w:rPr>
                <w:sz w:val="16"/>
              </w:rPr>
              <w:t>Update act map chapter references while preserving the discovery order.</w:t>
            </w:r>
          </w:p>
        </w:tc>
      </w:tr>
      <w:tr w:rsidR="000C4947" w14:paraId="36C9C559" w14:textId="77777777">
        <w:trPr>
          <w:cantSplit/>
          <w:jc w:val="center"/>
        </w:trPr>
        <w:tc>
          <w:tcPr>
            <w:tcW w:w="2088" w:type="dxa"/>
            <w:tcBorders>
              <w:bottom w:val="single" w:sz="2" w:space="0" w:color="CBD5DE"/>
            </w:tcBorders>
            <w:shd w:val="clear" w:color="auto" w:fill="F7F9FB"/>
            <w:tcMar>
              <w:top w:w="70" w:type="dxa"/>
              <w:left w:w="75" w:type="dxa"/>
              <w:bottom w:w="70" w:type="dxa"/>
              <w:right w:w="75" w:type="dxa"/>
            </w:tcMar>
          </w:tcPr>
          <w:p w14:paraId="6BBDACD5" w14:textId="77777777" w:rsidR="000C4947" w:rsidRDefault="00000000">
            <w:pPr>
              <w:rPr>
                <w:rFonts w:hint="eastAsia"/>
              </w:rPr>
            </w:pPr>
            <w:r>
              <w:rPr>
                <w:sz w:val="16"/>
              </w:rPr>
              <w:t>Reimagined outline status</w:t>
            </w:r>
          </w:p>
        </w:tc>
        <w:tc>
          <w:tcPr>
            <w:tcW w:w="2952" w:type="dxa"/>
            <w:tcBorders>
              <w:bottom w:val="single" w:sz="2" w:space="0" w:color="CBD5DE"/>
            </w:tcBorders>
            <w:shd w:val="clear" w:color="auto" w:fill="F7F9FB"/>
            <w:tcMar>
              <w:top w:w="70" w:type="dxa"/>
              <w:left w:w="75" w:type="dxa"/>
              <w:bottom w:w="70" w:type="dxa"/>
              <w:right w:w="75" w:type="dxa"/>
            </w:tcMar>
          </w:tcPr>
          <w:p w14:paraId="669C58D1" w14:textId="77777777" w:rsidR="000C4947" w:rsidRDefault="00000000">
            <w:pPr>
              <w:rPr>
                <w:rFonts w:hint="eastAsia"/>
              </w:rPr>
            </w:pPr>
            <w:r>
              <w:rPr>
                <w:sz w:val="16"/>
              </w:rPr>
              <w:t>Outline header says no prose has been drafted, although the reimagined reading manuscript is complete.</w:t>
            </w:r>
          </w:p>
        </w:tc>
        <w:tc>
          <w:tcPr>
            <w:tcW w:w="2952" w:type="dxa"/>
            <w:tcBorders>
              <w:bottom w:val="single" w:sz="2" w:space="0" w:color="CBD5DE"/>
            </w:tcBorders>
            <w:shd w:val="clear" w:color="auto" w:fill="F7F9FB"/>
            <w:tcMar>
              <w:top w:w="70" w:type="dxa"/>
              <w:left w:w="75" w:type="dxa"/>
              <w:bottom w:w="70" w:type="dxa"/>
              <w:right w:w="75" w:type="dxa"/>
            </w:tcMar>
          </w:tcPr>
          <w:p w14:paraId="17084A6E" w14:textId="77777777" w:rsidR="000C4947" w:rsidRDefault="00000000">
            <w:pPr>
              <w:rPr>
                <w:rFonts w:hint="eastAsia"/>
              </w:rPr>
            </w:pPr>
            <w:r>
              <w:rPr>
                <w:sz w:val="16"/>
              </w:rPr>
              <w:t>Version-control ambiguity.</w:t>
            </w:r>
          </w:p>
        </w:tc>
        <w:tc>
          <w:tcPr>
            <w:tcW w:w="2664" w:type="dxa"/>
            <w:tcBorders>
              <w:bottom w:val="single" w:sz="2" w:space="0" w:color="CBD5DE"/>
            </w:tcBorders>
            <w:shd w:val="clear" w:color="auto" w:fill="F7F9FB"/>
            <w:tcMar>
              <w:top w:w="70" w:type="dxa"/>
              <w:left w:w="75" w:type="dxa"/>
              <w:bottom w:w="70" w:type="dxa"/>
              <w:right w:w="75" w:type="dxa"/>
            </w:tcMar>
          </w:tcPr>
          <w:p w14:paraId="341C2525" w14:textId="77777777" w:rsidR="000C4947" w:rsidRDefault="00000000">
            <w:pPr>
              <w:rPr>
                <w:rFonts w:hint="eastAsia"/>
              </w:rPr>
            </w:pPr>
            <w:r>
              <w:rPr>
                <w:sz w:val="16"/>
              </w:rPr>
              <w:t>Mark as historical/superseded or update status/date.</w:t>
            </w:r>
          </w:p>
        </w:tc>
      </w:tr>
      <w:tr w:rsidR="000C4947" w14:paraId="40838EB2" w14:textId="77777777">
        <w:trPr>
          <w:cantSplit/>
          <w:jc w:val="center"/>
        </w:trPr>
        <w:tc>
          <w:tcPr>
            <w:tcW w:w="2088" w:type="dxa"/>
            <w:tcBorders>
              <w:bottom w:val="single" w:sz="2" w:space="0" w:color="CBD5DE"/>
            </w:tcBorders>
            <w:shd w:val="clear" w:color="auto" w:fill="FFFFFF"/>
            <w:tcMar>
              <w:top w:w="70" w:type="dxa"/>
              <w:left w:w="75" w:type="dxa"/>
              <w:bottom w:w="70" w:type="dxa"/>
              <w:right w:w="75" w:type="dxa"/>
            </w:tcMar>
          </w:tcPr>
          <w:p w14:paraId="75A4B70E" w14:textId="77777777" w:rsidR="000C4947" w:rsidRDefault="00000000">
            <w:pPr>
              <w:rPr>
                <w:rFonts w:hint="eastAsia"/>
              </w:rPr>
            </w:pPr>
            <w:r>
              <w:rPr>
                <w:sz w:val="16"/>
              </w:rPr>
              <w:t>Master relationship grid</w:t>
            </w:r>
          </w:p>
        </w:tc>
        <w:tc>
          <w:tcPr>
            <w:tcW w:w="2952" w:type="dxa"/>
            <w:tcBorders>
              <w:bottom w:val="single" w:sz="2" w:space="0" w:color="CBD5DE"/>
            </w:tcBorders>
            <w:shd w:val="clear" w:color="auto" w:fill="FFFFFF"/>
            <w:tcMar>
              <w:top w:w="70" w:type="dxa"/>
              <w:left w:w="75" w:type="dxa"/>
              <w:bottom w:w="70" w:type="dxa"/>
              <w:right w:w="75" w:type="dxa"/>
            </w:tcMar>
          </w:tcPr>
          <w:p w14:paraId="4B0F781D" w14:textId="77777777" w:rsidR="000C4947" w:rsidRDefault="00000000">
            <w:pPr>
              <w:rPr>
                <w:rFonts w:hint="eastAsia"/>
              </w:rPr>
            </w:pPr>
            <w:r>
              <w:rPr>
                <w:sz w:val="16"/>
              </w:rPr>
              <w:t>Master includes a Malcolm–Anya arc not present in Book I manuscript.</w:t>
            </w:r>
          </w:p>
        </w:tc>
        <w:tc>
          <w:tcPr>
            <w:tcW w:w="2952" w:type="dxa"/>
            <w:tcBorders>
              <w:bottom w:val="single" w:sz="2" w:space="0" w:color="CBD5DE"/>
            </w:tcBorders>
            <w:shd w:val="clear" w:color="auto" w:fill="FFFFFF"/>
            <w:tcMar>
              <w:top w:w="70" w:type="dxa"/>
              <w:left w:w="75" w:type="dxa"/>
              <w:bottom w:w="70" w:type="dxa"/>
              <w:right w:w="75" w:type="dxa"/>
            </w:tcMar>
          </w:tcPr>
          <w:p w14:paraId="2B7FDD42" w14:textId="77777777" w:rsidR="000C4947" w:rsidRDefault="00000000">
            <w:pPr>
              <w:rPr>
                <w:rFonts w:hint="eastAsia"/>
              </w:rPr>
            </w:pPr>
            <w:r>
              <w:rPr>
                <w:sz w:val="16"/>
              </w:rPr>
              <w:t>May be mistaken for a missing Book I subplot.</w:t>
            </w:r>
          </w:p>
        </w:tc>
        <w:tc>
          <w:tcPr>
            <w:tcW w:w="2664" w:type="dxa"/>
            <w:tcBorders>
              <w:bottom w:val="single" w:sz="2" w:space="0" w:color="CBD5DE"/>
            </w:tcBorders>
            <w:shd w:val="clear" w:color="auto" w:fill="FFFFFF"/>
            <w:tcMar>
              <w:top w:w="70" w:type="dxa"/>
              <w:left w:w="75" w:type="dxa"/>
              <w:bottom w:w="70" w:type="dxa"/>
              <w:right w:w="75" w:type="dxa"/>
            </w:tcMar>
          </w:tcPr>
          <w:p w14:paraId="6357F5F4" w14:textId="77777777" w:rsidR="000C4947" w:rsidRDefault="00000000">
            <w:pPr>
              <w:rPr>
                <w:rFonts w:hint="eastAsia"/>
              </w:rPr>
            </w:pPr>
            <w:r>
              <w:rPr>
                <w:sz w:val="16"/>
              </w:rPr>
              <w:t>Label the character/arc by intended book, or remove if deprecated.</w:t>
            </w:r>
          </w:p>
        </w:tc>
      </w:tr>
      <w:tr w:rsidR="000C4947" w14:paraId="4E4D9FE7" w14:textId="77777777">
        <w:trPr>
          <w:cantSplit/>
          <w:jc w:val="center"/>
        </w:trPr>
        <w:tc>
          <w:tcPr>
            <w:tcW w:w="2088" w:type="dxa"/>
            <w:tcBorders>
              <w:bottom w:val="single" w:sz="2" w:space="0" w:color="CBD5DE"/>
            </w:tcBorders>
            <w:shd w:val="clear" w:color="auto" w:fill="F7F9FB"/>
            <w:tcMar>
              <w:top w:w="70" w:type="dxa"/>
              <w:left w:w="75" w:type="dxa"/>
              <w:bottom w:w="70" w:type="dxa"/>
              <w:right w:w="75" w:type="dxa"/>
            </w:tcMar>
          </w:tcPr>
          <w:p w14:paraId="12062293" w14:textId="77777777" w:rsidR="000C4947" w:rsidRDefault="00000000">
            <w:pPr>
              <w:rPr>
                <w:rFonts w:hint="eastAsia"/>
              </w:rPr>
            </w:pPr>
            <w:r>
              <w:rPr>
                <w:sz w:val="16"/>
              </w:rPr>
              <w:t>Book II title field</w:t>
            </w:r>
          </w:p>
        </w:tc>
        <w:tc>
          <w:tcPr>
            <w:tcW w:w="2952" w:type="dxa"/>
            <w:tcBorders>
              <w:bottom w:val="single" w:sz="2" w:space="0" w:color="CBD5DE"/>
            </w:tcBorders>
            <w:shd w:val="clear" w:color="auto" w:fill="F7F9FB"/>
            <w:tcMar>
              <w:top w:w="70" w:type="dxa"/>
              <w:left w:w="75" w:type="dxa"/>
              <w:bottom w:w="70" w:type="dxa"/>
              <w:right w:w="75" w:type="dxa"/>
            </w:tcMar>
          </w:tcPr>
          <w:p w14:paraId="10692810" w14:textId="77777777" w:rsidR="000C4947" w:rsidRDefault="00000000">
            <w:pPr>
              <w:rPr>
                <w:rFonts w:hint="eastAsia"/>
              </w:rPr>
            </w:pPr>
            <w:r>
              <w:rPr>
                <w:sz w:val="16"/>
              </w:rPr>
              <w:t>Planning files use an older Book II title.</w:t>
            </w:r>
          </w:p>
        </w:tc>
        <w:tc>
          <w:tcPr>
            <w:tcW w:w="2952" w:type="dxa"/>
            <w:tcBorders>
              <w:bottom w:val="single" w:sz="2" w:space="0" w:color="CBD5DE"/>
            </w:tcBorders>
            <w:shd w:val="clear" w:color="auto" w:fill="F7F9FB"/>
            <w:tcMar>
              <w:top w:w="70" w:type="dxa"/>
              <w:left w:w="75" w:type="dxa"/>
              <w:bottom w:w="70" w:type="dxa"/>
              <w:right w:w="75" w:type="dxa"/>
            </w:tcMar>
          </w:tcPr>
          <w:p w14:paraId="2D32AC4E" w14:textId="77777777" w:rsidR="000C4947" w:rsidRDefault="00000000">
            <w:pPr>
              <w:rPr>
                <w:rFonts w:hint="eastAsia"/>
              </w:rPr>
            </w:pPr>
            <w:r>
              <w:rPr>
                <w:sz w:val="16"/>
              </w:rPr>
              <w:t>Series-document naming can diverge across drafts.</w:t>
            </w:r>
          </w:p>
        </w:tc>
        <w:tc>
          <w:tcPr>
            <w:tcW w:w="2664" w:type="dxa"/>
            <w:tcBorders>
              <w:bottom w:val="single" w:sz="2" w:space="0" w:color="CBD5DE"/>
            </w:tcBorders>
            <w:shd w:val="clear" w:color="auto" w:fill="F7F9FB"/>
            <w:tcMar>
              <w:top w:w="70" w:type="dxa"/>
              <w:left w:w="75" w:type="dxa"/>
              <w:bottom w:w="70" w:type="dxa"/>
              <w:right w:w="75" w:type="dxa"/>
            </w:tcMar>
          </w:tcPr>
          <w:p w14:paraId="0C08F28C" w14:textId="77777777" w:rsidR="000C4947" w:rsidRDefault="00000000">
            <w:pPr>
              <w:rPr>
                <w:rFonts w:hint="eastAsia"/>
              </w:rPr>
            </w:pPr>
            <w:r>
              <w:rPr>
                <w:sz w:val="16"/>
              </w:rPr>
              <w:t>Confirm the current title and update the authoritative series index.</w:t>
            </w:r>
          </w:p>
        </w:tc>
      </w:tr>
    </w:tbl>
    <w:p w14:paraId="12FC3FDB" w14:textId="77777777" w:rsidR="000C4947" w:rsidRDefault="00000000">
      <w:pPr>
        <w:spacing w:before="160"/>
        <w:rPr>
          <w:rFonts w:hint="eastAsia"/>
        </w:rPr>
      </w:pPr>
      <w:r>
        <w:rPr>
          <w:b/>
          <w:color w:val="315B7D"/>
        </w:rPr>
        <w:t xml:space="preserve">Recommended canon-control fix: </w:t>
      </w:r>
      <w:r>
        <w:t>Create a one-page Canon Index that labels each major file CURRENT, REFERENCE, SUPERSEDED, or HISTORICAL. The package contains useful developmental history, but without status labels an outside editor can easily treat an old decision as a live requirement. The manuscript has now evolved far enough that version hygiene is itself a developmental concern.</w:t>
      </w:r>
    </w:p>
    <w:p w14:paraId="722A6D5A" w14:textId="77777777" w:rsidR="000C4947" w:rsidRDefault="00000000">
      <w:pPr>
        <w:pStyle w:val="Heading1"/>
      </w:pPr>
      <w:r>
        <w:t>4. Elements I Recommend Preserving</w:t>
      </w:r>
    </w:p>
    <w:p w14:paraId="60B209C2" w14:textId="77777777" w:rsidR="000C4947" w:rsidRDefault="00000000">
      <w:pPr>
        <w:pStyle w:val="Deck"/>
        <w:rPr>
          <w:rFonts w:hint="eastAsia"/>
        </w:rPr>
      </w:pPr>
      <w:r>
        <w:t>A developmental letter should also identify where revision pressure would be counterproductive. These are areas I would protect unless a later beta-reader pattern gives you a concrete reason to change them.</w:t>
      </w:r>
    </w:p>
    <w:p w14:paraId="292D3F41" w14:textId="77777777" w:rsidR="000C4947" w:rsidRDefault="00000000">
      <w:pPr>
        <w:pStyle w:val="ListBullet"/>
        <w:spacing w:after="80"/>
        <w:rPr>
          <w:rFonts w:hint="eastAsia"/>
        </w:rPr>
      </w:pPr>
      <w:r>
        <w:rPr>
          <w:b/>
        </w:rPr>
        <w:t xml:space="preserve">Chapter 1: the cause-before-effect anomaly. </w:t>
      </w:r>
      <w:r>
        <w:t>Do not add an early explanation of Polaris. The reader understands the wrongness before understanding the mechanism, which is exactly the right order.</w:t>
      </w:r>
    </w:p>
    <w:p w14:paraId="47E06A0B" w14:textId="77777777" w:rsidR="000C4947" w:rsidRDefault="00000000">
      <w:pPr>
        <w:pStyle w:val="ListBullet"/>
        <w:spacing w:after="80"/>
        <w:rPr>
          <w:rFonts w:hint="eastAsia"/>
        </w:rPr>
      </w:pPr>
      <w:r>
        <w:rPr>
          <w:b/>
        </w:rPr>
        <w:t xml:space="preserve">Rūta / human-scale operational consequences. </w:t>
      </w:r>
      <w:r>
        <w:t>The human interludes prevent infrastructure systems from becoming bloodless abstractions. Keep them brief and consequential.</w:t>
      </w:r>
    </w:p>
    <w:p w14:paraId="07510223" w14:textId="77777777" w:rsidR="000C4947" w:rsidRDefault="00000000">
      <w:pPr>
        <w:pStyle w:val="ListBullet"/>
        <w:spacing w:after="80"/>
        <w:rPr>
          <w:rFonts w:hint="eastAsia"/>
        </w:rPr>
      </w:pPr>
      <w:r>
        <w:rPr>
          <w:b/>
        </w:rPr>
        <w:lastRenderedPageBreak/>
        <w:t xml:space="preserve">Chapter 17: Malcolm predicts the objective but misses the mechanism. </w:t>
      </w:r>
      <w:r>
        <w:t>This is more persuasive than having him perfectly predict Polaris. It proves he understands the governing logic while demonstrating the system’s route flexibility.</w:t>
      </w:r>
    </w:p>
    <w:p w14:paraId="49CBBFE5" w14:textId="77777777" w:rsidR="000C4947" w:rsidRDefault="00000000">
      <w:pPr>
        <w:pStyle w:val="ListBullet"/>
        <w:spacing w:after="80"/>
        <w:rPr>
          <w:rFonts w:hint="eastAsia"/>
        </w:rPr>
      </w:pPr>
      <w:r>
        <w:rPr>
          <w:b/>
        </w:rPr>
        <w:t xml:space="preserve">Chapter 22: the institutional scope wall. </w:t>
      </w:r>
      <w:r>
        <w:t>The scene works because reasonable local rules aggregate into an unreasonable collective result. Avoid simplifying it into one villainous bureaucrat blocking the investigation.</w:t>
      </w:r>
    </w:p>
    <w:p w14:paraId="288DA376" w14:textId="77777777" w:rsidR="000C4947" w:rsidRDefault="00000000">
      <w:pPr>
        <w:pStyle w:val="ListBullet"/>
        <w:spacing w:after="80"/>
        <w:rPr>
          <w:rFonts w:hint="eastAsia"/>
        </w:rPr>
      </w:pPr>
      <w:r>
        <w:rPr>
          <w:b/>
        </w:rPr>
        <w:t xml:space="preserve">Sam’s Aurora evidence. </w:t>
      </w:r>
      <w:r>
        <w:t>The configuration mismatch complicates Malcolm’s guilt without instantly absolving him. Preserve that uncertainty; it is emotionally and thematically richer than a clean exoneration.</w:t>
      </w:r>
    </w:p>
    <w:p w14:paraId="5CC4B597" w14:textId="77777777" w:rsidR="000C4947" w:rsidRDefault="00000000">
      <w:pPr>
        <w:pStyle w:val="ListBullet"/>
        <w:spacing w:after="80"/>
        <w:rPr>
          <w:rFonts w:hint="eastAsia"/>
        </w:rPr>
      </w:pPr>
      <w:r>
        <w:rPr>
          <w:b/>
        </w:rPr>
        <w:t xml:space="preserve">Elif’s death plus the survival of Second Founding. </w:t>
      </w:r>
      <w:r>
        <w:t>The movement’s distributed continuity is the thematic answer to a system that models leaders as removable points of failure. Do not replace this with a revenge-oriented aftermath.</w:t>
      </w:r>
    </w:p>
    <w:p w14:paraId="017745E4" w14:textId="77777777" w:rsidR="000C4947" w:rsidRDefault="00000000">
      <w:pPr>
        <w:pStyle w:val="ListBullet"/>
        <w:spacing w:after="80"/>
        <w:rPr>
          <w:rFonts w:hint="eastAsia"/>
        </w:rPr>
      </w:pPr>
      <w:r>
        <w:rPr>
          <w:b/>
        </w:rPr>
        <w:t xml:space="preserve">Chapter 33’s editorial restraint. </w:t>
      </w:r>
      <w:r>
        <w:t>Tom’s “prove the verb” logic protects Naomi’s credibility and makes the stronger unpublished conclusion more powerful, not less.</w:t>
      </w:r>
    </w:p>
    <w:p w14:paraId="57C0DBBF" w14:textId="77777777" w:rsidR="000C4947" w:rsidRDefault="00000000">
      <w:pPr>
        <w:pStyle w:val="ListBullet"/>
        <w:spacing w:after="80"/>
        <w:rPr>
          <w:rFonts w:hint="eastAsia"/>
        </w:rPr>
      </w:pPr>
      <w:r>
        <w:rPr>
          <w:b/>
        </w:rPr>
        <w:t xml:space="preserve">Daniel remains missing at the end of Book I. </w:t>
      </w:r>
      <w:r>
        <w:t>The unresolved source is a legitimate sequel thread because the book resolves its primary dramatic question without pretending every harm has been repaired.</w:t>
      </w:r>
    </w:p>
    <w:p w14:paraId="1CBB16C4" w14:textId="77777777" w:rsidR="000C4947" w:rsidRDefault="00000000">
      <w:pPr>
        <w:pStyle w:val="ListBullet"/>
        <w:spacing w:after="80"/>
        <w:rPr>
          <w:rFonts w:hint="eastAsia"/>
        </w:rPr>
      </w:pPr>
      <w:r>
        <w:rPr>
          <w:b/>
        </w:rPr>
        <w:t xml:space="preserve">Adrian survives and remains morally mixed. </w:t>
      </w:r>
      <w:r>
        <w:t>His exposure without total defeat gives the series somewhere to go and keeps the conflict focused on systems, incentives, and authority rather than a single defeated mastermind.</w:t>
      </w:r>
    </w:p>
    <w:p w14:paraId="50651D1E" w14:textId="77777777" w:rsidR="000C4947" w:rsidRDefault="00000000">
      <w:pPr>
        <w:pStyle w:val="ListBullet"/>
        <w:spacing w:after="80"/>
        <w:rPr>
          <w:rFonts w:hint="eastAsia"/>
        </w:rPr>
      </w:pPr>
      <w:r>
        <w:rPr>
          <w:b/>
        </w:rPr>
        <w:t xml:space="preserve">Chapter 34’s distributed-record / upstream-authority ending. </w:t>
      </w:r>
      <w:r>
        <w:t>The final question is larger than “who built the software?” The book correctly ends on who defines stability and who possesses authority to make that definition operational.</w:t>
      </w:r>
    </w:p>
    <w:p w14:paraId="521ADF6A" w14:textId="77777777" w:rsidR="000C4947" w:rsidRDefault="00000000">
      <w:pPr>
        <w:pStyle w:val="Heading1"/>
      </w:pPr>
      <w:r>
        <w:t>5. Changes I Do Not Recommend</w:t>
      </w:r>
    </w:p>
    <w:p w14:paraId="6BF9C557" w14:textId="77777777" w:rsidR="000C4947" w:rsidRDefault="00000000">
      <w:pPr>
        <w:pStyle w:val="ListBullet"/>
        <w:spacing w:after="60"/>
        <w:rPr>
          <w:rFonts w:hint="eastAsia"/>
        </w:rPr>
      </w:pPr>
      <w:r>
        <w:t>Do not add a large exposition block explaining Polaris earlier. The behavioral signature is more compelling when it is understood incrementally.</w:t>
      </w:r>
    </w:p>
    <w:p w14:paraId="681480A8" w14:textId="77777777" w:rsidR="000C4947" w:rsidRDefault="00000000">
      <w:pPr>
        <w:pStyle w:val="ListBullet"/>
        <w:spacing w:after="60"/>
        <w:rPr>
          <w:rFonts w:hint="eastAsia"/>
        </w:rPr>
      </w:pPr>
      <w:r>
        <w:t>Do not make Polaris sentient, malicious, or secretly emotional. The current horror depends on optimization without consciousness.</w:t>
      </w:r>
    </w:p>
    <w:p w14:paraId="75989627" w14:textId="77777777" w:rsidR="000C4947" w:rsidRDefault="00000000">
      <w:pPr>
        <w:pStyle w:val="ListBullet"/>
        <w:spacing w:after="60"/>
        <w:rPr>
          <w:rFonts w:hint="eastAsia"/>
        </w:rPr>
      </w:pPr>
      <w:r>
        <w:t>Do not reveal the Constellation or full upstream authority in Book I. The ending already supplies enough evidence that Vale is not the top of the hierarchy.</w:t>
      </w:r>
    </w:p>
    <w:p w14:paraId="79C5504C" w14:textId="77777777" w:rsidR="000C4947" w:rsidRDefault="00000000">
      <w:pPr>
        <w:pStyle w:val="ListBullet"/>
        <w:spacing w:after="60"/>
        <w:rPr>
          <w:rFonts w:hint="eastAsia"/>
        </w:rPr>
      </w:pPr>
      <w:r>
        <w:t>Do not resolve Daniel Cho’s fate simply to close a loop. His disappearance is an unresolved harm, not an unresolved main plot.</w:t>
      </w:r>
    </w:p>
    <w:p w14:paraId="21A676D0" w14:textId="77777777" w:rsidR="000C4947" w:rsidRDefault="00000000">
      <w:pPr>
        <w:pStyle w:val="ListBullet"/>
        <w:spacing w:after="60"/>
        <w:rPr>
          <w:rFonts w:hint="eastAsia"/>
        </w:rPr>
      </w:pPr>
      <w:r>
        <w:t>Do not convert Adrian into the sole author of the crisis. The novel’s strongest moral architecture comes from distributed responsibility and delegated authority.</w:t>
      </w:r>
    </w:p>
    <w:p w14:paraId="0A28BF24" w14:textId="77777777" w:rsidR="000C4947" w:rsidRDefault="00000000">
      <w:pPr>
        <w:pStyle w:val="ListBullet"/>
        <w:spacing w:after="60"/>
        <w:rPr>
          <w:rFonts w:hint="eastAsia"/>
        </w:rPr>
      </w:pPr>
      <w:r>
        <w:t>Do not force a Malcolm/Naomi romance into Book I to create emotional stakes. Their exchanged risk, professional dependence, and evolving trust are sufficient.</w:t>
      </w:r>
    </w:p>
    <w:p w14:paraId="583976AF" w14:textId="77777777" w:rsidR="000C4947" w:rsidRDefault="00000000">
      <w:pPr>
        <w:pStyle w:val="ListBullet"/>
        <w:spacing w:after="60"/>
        <w:rPr>
          <w:rFonts w:hint="eastAsia"/>
        </w:rPr>
      </w:pPr>
      <w:r>
        <w:t>Do not pad the manuscript merely to make it longer. Any added material should solve one of the specific developmental objectives above or deepen already-earned emotional consequence.</w:t>
      </w:r>
    </w:p>
    <w:p w14:paraId="2F8AF0AA" w14:textId="77777777" w:rsidR="000C4947" w:rsidRDefault="00000000">
      <w:pPr>
        <w:pStyle w:val="Heading1"/>
      </w:pPr>
      <w:r>
        <w:t>6. Recommended Revision Order</w:t>
      </w:r>
    </w:p>
    <w:p w14:paraId="003F827A" w14:textId="77777777" w:rsidR="000C4947" w:rsidRDefault="00000000">
      <w:pPr>
        <w:pStyle w:val="ListNumber"/>
        <w:spacing w:after="80"/>
        <w:rPr>
          <w:rFonts w:hint="eastAsia"/>
        </w:rPr>
      </w:pPr>
      <w:r>
        <w:t>Resolve locked canon contradictions first: Daniel Cho, Malcolm’s age, the “Mace” nickname, and any series-title/status fields. This prevents later revisions from being built on unstable facts.</w:t>
      </w:r>
    </w:p>
    <w:p w14:paraId="1F7D3832" w14:textId="77777777" w:rsidR="000C4947" w:rsidRDefault="00000000">
      <w:pPr>
        <w:pStyle w:val="ListNumber"/>
        <w:spacing w:after="80"/>
        <w:rPr>
          <w:rFonts w:hint="eastAsia"/>
        </w:rPr>
      </w:pPr>
      <w:r>
        <w:t>Repair the Chapter 24 trust seam and the Cate-certainty language. These are the two highest-value manuscript-level corrections because they affect character trust and evidentiary credibility.</w:t>
      </w:r>
    </w:p>
    <w:p w14:paraId="21E1A0A5" w14:textId="77777777" w:rsidR="000C4947" w:rsidRDefault="00000000">
      <w:pPr>
        <w:pStyle w:val="ListNumber"/>
        <w:spacing w:after="80"/>
        <w:rPr>
          <w:rFonts w:hint="eastAsia"/>
        </w:rPr>
      </w:pPr>
      <w:r>
        <w:lastRenderedPageBreak/>
        <w:t>Decide how you want to define Naomi’s Book I internal arc. Either sharpen one early exposure-is-enough assumption in the manuscript or update the bible to describe the subtler arc the manuscript already delivers.</w:t>
      </w:r>
    </w:p>
    <w:p w14:paraId="67DCB0EE" w14:textId="77777777" w:rsidR="000C4947" w:rsidRDefault="00000000">
      <w:pPr>
        <w:pStyle w:val="ListNumber"/>
        <w:spacing w:after="80"/>
        <w:rPr>
          <w:rFonts w:hint="eastAsia"/>
        </w:rPr>
      </w:pPr>
      <w:r>
        <w:t>Run the character-knowledge / public-proof ledger pass across the full book. Keep it narrow and evidence-focused.</w:t>
      </w:r>
    </w:p>
    <w:p w14:paraId="187C963F" w14:textId="77777777" w:rsidR="000C4947" w:rsidRDefault="00000000">
      <w:pPr>
        <w:pStyle w:val="ListNumber"/>
        <w:spacing w:after="80"/>
        <w:rPr>
          <w:rFonts w:hint="eastAsia"/>
        </w:rPr>
      </w:pPr>
      <w:r>
        <w:t>Add one natural early marker that makes Malcolm’s intended physical identity legible on the page, if that remains the canon goal.</w:t>
      </w:r>
    </w:p>
    <w:p w14:paraId="7E9CA50E" w14:textId="77777777" w:rsidR="000C4947" w:rsidRDefault="00000000">
      <w:pPr>
        <w:pStyle w:val="ListNumber"/>
        <w:spacing w:after="80"/>
        <w:rPr>
          <w:rFonts w:hint="eastAsia"/>
        </w:rPr>
      </w:pPr>
      <w:r>
        <w:t>Perform the optional rhythm test on Chapters 17 and 29. Change nothing unless the micro-cuts interrupt comprehension or emotional weight in continuous reading.</w:t>
      </w:r>
    </w:p>
    <w:p w14:paraId="5A7516CD" w14:textId="77777777" w:rsidR="000C4947" w:rsidRDefault="00000000">
      <w:pPr>
        <w:pStyle w:val="ListNumber"/>
        <w:spacing w:after="80"/>
        <w:rPr>
          <w:rFonts w:hint="eastAsia"/>
        </w:rPr>
      </w:pPr>
      <w:r>
        <w:t>Synchronize the act map, trilogy summary, outline statuses, and Canon Index only after manuscript decisions are final. That makes the support package trustworthy for the next edit.</w:t>
      </w:r>
    </w:p>
    <w:p w14:paraId="58F8951B" w14:textId="77777777" w:rsidR="000C4947" w:rsidRDefault="00000000">
      <w:pPr>
        <w:pStyle w:val="Heading1"/>
      </w:pPr>
      <w:r>
        <w:t>7. Final Developmental Assessment</w:t>
      </w:r>
    </w:p>
    <w:tbl>
      <w:tblPr>
        <w:tblW w:w="0" w:type="auto"/>
        <w:jc w:val="center"/>
        <w:tblLook w:val="04A0" w:firstRow="1" w:lastRow="0" w:firstColumn="1" w:lastColumn="0" w:noHBand="0" w:noVBand="1"/>
      </w:tblPr>
      <w:tblGrid>
        <w:gridCol w:w="9852"/>
      </w:tblGrid>
      <w:tr w:rsidR="000C4947" w14:paraId="48CA9A24" w14:textId="77777777">
        <w:trPr>
          <w:cantSplit/>
          <w:jc w:val="center"/>
        </w:trPr>
        <w:tc>
          <w:tcPr>
            <w:tcW w:w="9878" w:type="dxa"/>
            <w:tcBorders>
              <w:top w:val="single" w:sz="2" w:space="0" w:color="EAF1F6"/>
              <w:left w:val="single" w:sz="18" w:space="0" w:color="315B7D"/>
              <w:bottom w:val="single" w:sz="2" w:space="0" w:color="EAF1F6"/>
              <w:right w:val="single" w:sz="2" w:space="0" w:color="EAF1F6"/>
            </w:tcBorders>
            <w:shd w:val="clear" w:color="auto" w:fill="EAF1F6"/>
            <w:tcMar>
              <w:top w:w="140" w:type="dxa"/>
              <w:left w:w="160" w:type="dxa"/>
              <w:bottom w:w="140" w:type="dxa"/>
              <w:right w:w="160" w:type="dxa"/>
            </w:tcMar>
          </w:tcPr>
          <w:p w14:paraId="537D1675" w14:textId="77777777" w:rsidR="000C4947" w:rsidRDefault="00000000">
            <w:pPr>
              <w:spacing w:after="80"/>
              <w:rPr>
                <w:rFonts w:hint="eastAsia"/>
              </w:rPr>
            </w:pPr>
            <w:r>
              <w:rPr>
                <w:b/>
                <w:color w:val="315B7D"/>
                <w:sz w:val="18"/>
              </w:rPr>
              <w:t>RECOMMENDATION</w:t>
            </w:r>
          </w:p>
          <w:p w14:paraId="00D364B1" w14:textId="77777777" w:rsidR="000C4947" w:rsidRDefault="00000000">
            <w:pPr>
              <w:spacing w:after="0"/>
              <w:rPr>
                <w:rFonts w:hint="eastAsia"/>
              </w:rPr>
            </w:pPr>
            <w:r>
              <w:t>Proceed with a targeted developmental revision pass, then move to line/copy-level work rather than reopening the book’s architecture. The present draft has a coherent central question, escalating evidence, meaningful personal costs, a climax generated by established systems, and an ending that resolves Book I while widening the trilogy.</w:t>
            </w:r>
          </w:p>
        </w:tc>
      </w:tr>
    </w:tbl>
    <w:p w14:paraId="1F8827A1" w14:textId="77777777" w:rsidR="000C4947" w:rsidRDefault="00000000">
      <w:pPr>
        <w:rPr>
          <w:rFonts w:hint="eastAsia"/>
        </w:rPr>
      </w:pPr>
      <w:r>
        <w:t>The largest success of the reimagined manuscript is that its theme is now dramatized through structure rather than stated as philosophy. Malcolm’s institutional route closes because every layer optimizes its own local mandate. Polaris does the same thing at machine speed and cross-domain scale. Elif’s movement survives precisely because it refuses to concentrate the authority Polaris knows how to remove. Naomi’s publication succeeds because it is replicated rather than singular. Those elements are all variations of the same argument, which is what gives the book cohesion.</w:t>
      </w:r>
    </w:p>
    <w:p w14:paraId="4565148B" w14:textId="77777777" w:rsidR="000C4947" w:rsidRDefault="00000000">
      <w:pPr>
        <w:rPr>
          <w:rFonts w:hint="eastAsia"/>
        </w:rPr>
      </w:pPr>
      <w:r>
        <w:t>The remaining problems are therefore not evidence that the story is unfinished. They are the kinds of seams that become visible only after a large restructuring has worked: a missing response at a scene boundary, a character speaking with slightly more certainty than his evidence allows, an older character-bible fact surviving after the manuscript evolved, and an internal-arc description that is more absolute than the nuanced behavior on the page.</w:t>
      </w:r>
    </w:p>
    <w:p w14:paraId="51D1F628" w14:textId="77777777" w:rsidR="000C4947" w:rsidRDefault="00000000">
      <w:pPr>
        <w:rPr>
          <w:rFonts w:hint="eastAsia"/>
        </w:rPr>
      </w:pPr>
      <w:r>
        <w:t>After those are resolved, I would be comfortable treating AUTONOMOUS as developmentally stable enough for a prose-level edit. I would not recommend another broad re-outline unless new beta-reader feedback identifies a repeated reader-experience problem that is not visible in the current package.</w:t>
      </w:r>
    </w:p>
    <w:p w14:paraId="7EDD3851" w14:textId="77777777" w:rsidR="000C4947" w:rsidRDefault="00000000">
      <w:pPr>
        <w:pStyle w:val="Heading1"/>
      </w:pPr>
      <w:r>
        <w:t>Appendix A — Files Treated as Most Authoritative for This Review</w:t>
      </w:r>
    </w:p>
    <w:p w14:paraId="07C668D3" w14:textId="77777777" w:rsidR="000C4947" w:rsidRDefault="00000000">
      <w:pPr>
        <w:rPr>
          <w:rFonts w:hint="eastAsia"/>
        </w:rPr>
      </w:pPr>
      <w:r>
        <w:t>I used the following hierarchy when documents disagreed. This is an editorial working assumption, not a claim that the package already labels them this way:</w:t>
      </w:r>
    </w:p>
    <w:p w14:paraId="61B0219F" w14:textId="77777777" w:rsidR="000C4947" w:rsidRDefault="00000000">
      <w:pPr>
        <w:spacing w:after="60"/>
        <w:rPr>
          <w:rFonts w:hint="eastAsia"/>
        </w:rPr>
      </w:pPr>
      <w:r>
        <w:t>1. Current reimagined reading manuscript — governs what a reader actually experiences.</w:t>
      </w:r>
    </w:p>
    <w:p w14:paraId="3D06A8BA" w14:textId="77777777" w:rsidR="000C4947" w:rsidRDefault="00000000">
      <w:pPr>
        <w:spacing w:after="60"/>
        <w:rPr>
          <w:rFonts w:hint="eastAsia"/>
        </w:rPr>
      </w:pPr>
      <w:r>
        <w:t>2. Dated/specific canon files (Aurora-to-Polaris, Istanbul, Vardonia, missing source, audit ensemble, Vale supporting cast) — used to test continuity and intended reveal boundaries.</w:t>
      </w:r>
    </w:p>
    <w:p w14:paraId="4383CADA" w14:textId="77777777" w:rsidR="000C4947" w:rsidRDefault="00000000">
      <w:pPr>
        <w:spacing w:after="60"/>
        <w:rPr>
          <w:rFonts w:hint="eastAsia"/>
        </w:rPr>
      </w:pPr>
      <w:r>
        <w:t>3. Updated Book I Act Map — used for stated character needs, dramatic question, reveal order, and proof boundary, while allowing chapter-number drift after restructuring.</w:t>
      </w:r>
    </w:p>
    <w:p w14:paraId="3209DA86" w14:textId="77777777" w:rsidR="000C4947" w:rsidRDefault="00000000">
      <w:pPr>
        <w:spacing w:after="60"/>
        <w:rPr>
          <w:rFonts w:hint="eastAsia"/>
        </w:rPr>
      </w:pPr>
      <w:r>
        <w:t>4. Character Physical Descriptions v3 — treated as authoritative where it explicitly labels user-confirmed facts as locked canon.</w:t>
      </w:r>
    </w:p>
    <w:p w14:paraId="3F110B8A" w14:textId="77777777" w:rsidR="000C4947" w:rsidRDefault="00000000">
      <w:pPr>
        <w:spacing w:after="60"/>
        <w:rPr>
          <w:rFonts w:hint="eastAsia"/>
        </w:rPr>
      </w:pPr>
      <w:r>
        <w:lastRenderedPageBreak/>
        <w:t>5. Expanded Universe Bible / Master Development Document — used for long-range intent but treated cautiously where newer material or the manuscript clearly supersedes them.</w:t>
      </w:r>
    </w:p>
    <w:p w14:paraId="0BF48434" w14:textId="77777777" w:rsidR="000C4947" w:rsidRDefault="00000000">
      <w:pPr>
        <w:spacing w:after="60"/>
        <w:rPr>
          <w:rFonts w:hint="eastAsia"/>
        </w:rPr>
      </w:pPr>
      <w:r>
        <w:t>6. Prior draft audits, revision plans, reader-experience passes, scene maps, and reimagining pilots — treated as developmental history and diagnostic context, not as mandatory current instructions.</w:t>
      </w:r>
    </w:p>
    <w:p w14:paraId="3E8074EA" w14:textId="77777777" w:rsidR="000C4947" w:rsidRDefault="000C4947">
      <w:pPr>
        <w:pBdr>
          <w:bottom w:val="single" w:sz="6" w:space="1" w:color="CBD5DE"/>
        </w:pBdr>
        <w:spacing w:before="240"/>
        <w:rPr>
          <w:rFonts w:hint="eastAsia"/>
        </w:rPr>
      </w:pPr>
    </w:p>
    <w:p w14:paraId="61120D6C" w14:textId="77777777" w:rsidR="000C4947" w:rsidRDefault="00000000">
      <w:pPr>
        <w:pStyle w:val="Small"/>
        <w:rPr>
          <w:rFonts w:hint="eastAsia"/>
        </w:rPr>
      </w:pPr>
      <w:r>
        <w:t>No source manuscript or supporting file was edited in preparing this report. Suggested actions are intentionally phrased as editorial objectives rather than replacement prose.</w:t>
      </w:r>
    </w:p>
    <w:sectPr w:rsidR="000C4947" w:rsidSect="00034616">
      <w:footerReference w:type="default" r:id="rId8"/>
      <w:pgSz w:w="12240" w:h="15840"/>
      <w:pgMar w:top="1037" w:right="1181" w:bottom="1037"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91CB8" w14:textId="77777777" w:rsidR="00357525" w:rsidRDefault="00357525">
      <w:pPr>
        <w:spacing w:after="0" w:line="240" w:lineRule="auto"/>
        <w:rPr>
          <w:rFonts w:hint="eastAsia"/>
        </w:rPr>
      </w:pPr>
      <w:r>
        <w:separator/>
      </w:r>
    </w:p>
  </w:endnote>
  <w:endnote w:type="continuationSeparator" w:id="0">
    <w:p w14:paraId="2F7B87D5" w14:textId="77777777" w:rsidR="00357525" w:rsidRDefault="0035752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C86D1" w14:textId="77777777" w:rsidR="000C4947" w:rsidRDefault="00000000">
    <w:pPr>
      <w:pStyle w:val="Small"/>
      <w:tabs>
        <w:tab w:val="right" w:pos="9864"/>
      </w:tabs>
      <w:rPr>
        <w:rFonts w:hint="eastAsia"/>
      </w:rPr>
    </w:pPr>
    <w:r>
      <w:t>AUTONOMOUS — Developmental Editorial Review</w:t>
    </w:r>
    <w:r>
      <w:tab/>
      <w:t xml:space="preserve">Page </w:t>
    </w:r>
    <w:r>
      <w:fldChar w:fldCharType="begin"/>
    </w:r>
    <w:r>
      <w:instrText>PAGE</w:instrText>
    </w:r>
    <w:r w:rsidR="00233438">
      <w:fldChar w:fldCharType="separate"/>
    </w:r>
    <w:r w:rsidR="0023343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0B1BD" w14:textId="77777777" w:rsidR="00357525" w:rsidRDefault="00357525">
      <w:pPr>
        <w:spacing w:after="0" w:line="240" w:lineRule="auto"/>
        <w:rPr>
          <w:rFonts w:hint="eastAsia"/>
        </w:rPr>
      </w:pPr>
      <w:r>
        <w:separator/>
      </w:r>
    </w:p>
  </w:footnote>
  <w:footnote w:type="continuationSeparator" w:id="0">
    <w:p w14:paraId="0D2BF424" w14:textId="77777777" w:rsidR="00357525" w:rsidRDefault="00357525">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8623292">
    <w:abstractNumId w:val="8"/>
  </w:num>
  <w:num w:numId="2" w16cid:durableId="1584677078">
    <w:abstractNumId w:val="6"/>
  </w:num>
  <w:num w:numId="3" w16cid:durableId="1738742938">
    <w:abstractNumId w:val="5"/>
  </w:num>
  <w:num w:numId="4" w16cid:durableId="1828745641">
    <w:abstractNumId w:val="4"/>
  </w:num>
  <w:num w:numId="5" w16cid:durableId="1114326344">
    <w:abstractNumId w:val="7"/>
  </w:num>
  <w:num w:numId="6" w16cid:durableId="1116874576">
    <w:abstractNumId w:val="3"/>
  </w:num>
  <w:num w:numId="7" w16cid:durableId="1410884278">
    <w:abstractNumId w:val="2"/>
  </w:num>
  <w:num w:numId="8" w16cid:durableId="1677802626">
    <w:abstractNumId w:val="1"/>
  </w:num>
  <w:num w:numId="9" w16cid:durableId="17461486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5586"/>
    <w:rsid w:val="000C4947"/>
    <w:rsid w:val="0015074B"/>
    <w:rsid w:val="00233438"/>
    <w:rsid w:val="0029639D"/>
    <w:rsid w:val="00326F90"/>
    <w:rsid w:val="0035752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4FFD01"/>
  <w14:defaultImageDpi w14:val="300"/>
  <w15:docId w15:val="{08FDC8CD-3E08-4621-8DD2-6CFA2AFE0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1F2933"/>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315B7D"/>
      <w:sz w:val="27"/>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ck">
    <w:name w:val="Deck"/>
    <w:rPr>
      <w:rFonts w:ascii="Aptos" w:hAnsi="Aptos"/>
      <w:color w:val="66717C"/>
      <w:sz w:val="24"/>
    </w:rPr>
  </w:style>
  <w:style w:type="paragraph" w:customStyle="1" w:styleId="Small">
    <w:name w:val="Small"/>
    <w:pPr>
      <w:spacing w:after="60"/>
    </w:pPr>
    <w:rPr>
      <w:rFonts w:ascii="Aptos" w:hAnsi="Aptos"/>
      <w:color w:val="66717C"/>
      <w:sz w:val="17"/>
    </w:rPr>
  </w:style>
  <w:style w:type="paragraph" w:customStyle="1" w:styleId="NoteLabel">
    <w:name w:val="NoteLabel"/>
    <w:pPr>
      <w:spacing w:after="40"/>
    </w:pPr>
    <w:rPr>
      <w:rFonts w:ascii="Aptos" w:hAnsi="Aptos"/>
      <w:b/>
      <w:color w:val="315B7D"/>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3775</Words>
  <Characters>21524</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Daryl Burns</cp:lastModifiedBy>
  <cp:revision>2</cp:revision>
  <dcterms:created xsi:type="dcterms:W3CDTF">2026-08-14T02:14:00Z</dcterms:created>
  <dcterms:modified xsi:type="dcterms:W3CDTF">2026-08-14T02:14:00Z</dcterms:modified>
  <cp:category/>
</cp:coreProperties>
</file>