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</w:t>
      </w:r>
    </w:p>
    <w:p>
      <w:pPr>
        <w:jc w:val="left"/>
      </w:pPr>
      <w:r>
        <w:rPr>
          <w:rFonts w:ascii="Liberation Sans" w:hAnsi="Liberation Sans"/>
          <w:b/>
          <w:color w:val="374151"/>
          <w:sz w:val="32"/>
        </w:rPr>
        <w:t>Proofreading Review</w:t>
      </w:r>
    </w:p>
    <w:p>
      <w:pPr>
        <w:pStyle w:val="Meta"/>
      </w:pPr>
      <w:r>
        <w:t>Final proof pass • thriller manuscript • 34 chapters • 68,560 words</w:t>
      </w:r>
    </w:p>
    <w:p>
      <w:pPr>
        <w:pStyle w:val="Meta"/>
      </w:pPr>
      <w:r>
        <w:t>Source reviewed: Autonomous.md  |  Manuscript left unchanged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shd w:fill="F3F4F6"/>
          </w:tcPr>
          <w:p>
            <w:pPr>
              <w:jc w:val="center"/>
            </w:pPr>
            <w:r>
              <w:rPr>
                <w:b/>
                <w:color w:val="111827"/>
                <w:sz w:val="36"/>
              </w:rPr>
              <w:t>3</w:t>
              <w:br/>
            </w:r>
            <w:r>
              <w:rPr>
                <w:color w:val="4B5563"/>
                <w:sz w:val="16"/>
              </w:rPr>
              <w:t>individual corrections</w:t>
            </w:r>
          </w:p>
        </w:tc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shd w:fill="F3F4F6"/>
          </w:tcPr>
          <w:p>
            <w:pPr>
              <w:jc w:val="center"/>
            </w:pPr>
            <w:r>
              <w:rPr>
                <w:b/>
                <w:color w:val="111827"/>
                <w:sz w:val="36"/>
              </w:rPr>
              <w:t>2</w:t>
              <w:br/>
            </w:r>
            <w:r>
              <w:rPr>
                <w:color w:val="4B5563"/>
                <w:sz w:val="16"/>
              </w:rPr>
              <w:t>underlying issues</w:t>
            </w:r>
          </w:p>
        </w:tc>
        <w:tc>
          <w:tcPr>
            <w:tcW w:type="dxa" w:w="5400"/>
            <w:tcMar>
              <w:top w:w="120" w:type="dxa"/>
              <w:start w:w="140" w:type="dxa"/>
              <w:bottom w:w="120" w:type="dxa"/>
              <w:end w:w="140" w:type="dxa"/>
            </w:tcMar>
            <w:shd w:fill="F3F4F6"/>
          </w:tcPr>
          <w:p>
            <w:pPr>
              <w:jc w:val="center"/>
            </w:pPr>
            <w:r>
              <w:rPr>
                <w:b/>
                <w:color w:val="111827"/>
                <w:sz w:val="36"/>
              </w:rPr>
              <w:t>0</w:t>
              <w:br/>
            </w:r>
            <w:r>
              <w:rPr>
                <w:color w:val="4B5563"/>
                <w:sz w:val="16"/>
              </w:rPr>
              <w:t>author queries at proof level</w:t>
            </w:r>
          </w:p>
        </w:tc>
      </w:tr>
    </w:tbl>
    <w:p>
      <w:pPr>
        <w:pStyle w:val="Heading1"/>
      </w:pPr>
      <w:r>
        <w:t>Proofreader’s assessment</w:t>
      </w:r>
    </w:p>
    <w:p>
      <w:r>
        <w:rPr>
          <w:b/>
        </w:rPr>
        <w:t xml:space="preserve">Disposition: </w:t>
      </w:r>
      <w:r>
        <w:t>Very clean final-stage manuscript. I found three individual corrections, representing two underlying issues: one dialogue-punctuation error and one character-name continuity error appearing twice. I found no systemic problem with chapter numbering, scene-break treatment, quotation marks, parentheses/brackets, code-style inserts, or the manuscript’s em-dash convention.</w:t>
      </w:r>
    </w:p>
    <w:p>
      <w:r>
        <w:rPr>
          <w:b/>
        </w:rPr>
        <w:t xml:space="preserve">Editorial threshold: </w:t>
      </w:r>
      <w:r>
        <w:t>This pass is intentionally narrower than developmental, line, or copy editing. I did not flag alternate wording, sentence rhythm, exposition choices, or stylistic preferences unless they created a clear proof-level error.</w:t>
      </w:r>
    </w:p>
    <w:p>
      <w:pPr>
        <w:pStyle w:val="Small"/>
      </w:pPr>
      <w:r>
        <w:t>Line numbers below refer to the supplied Markdown manuscript. Exact text is included so every item can also be found by search after pagination/typesetting changes.</w:t>
      </w:r>
    </w:p>
    <w:p>
      <w:pPr>
        <w:pStyle w:val="Heading2"/>
      </w:pPr>
      <w:r>
        <w:t>Priority key</w:t>
      </w:r>
    </w:p>
    <w:p>
      <w:r>
        <w:rPr>
          <w:b/>
          <w:color w:val="991B1B"/>
        </w:rPr>
        <w:t>REQUIRED</w:t>
      </w:r>
      <w:r>
        <w:t xml:space="preserve"> — clear mechanical or continuity correction that should be resolved before typesetting/final production.</w:t>
      </w:r>
    </w:p>
    <w:p>
      <w:pPr>
        <w:pStyle w:val="Heading1"/>
      </w:pPr>
      <w:r>
        <w:t>Proof corrections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8352"/>
      </w:tblGrid>
      <w:tr>
        <w:trPr>
          <w:cantSplit/>
        </w:trP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991B1B"/>
          </w:tcPr>
          <w:p>
            <w:r>
              <w:rPr>
                <w:b/>
                <w:color w:val="FFFFFF"/>
                <w:sz w:val="18"/>
              </w:rPr>
              <w:t>PE-001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9FAFB"/>
          </w:tcPr>
          <w:p>
            <w:r>
              <w:rPr>
                <w:b/>
                <w:sz w:val="19"/>
              </w:rPr>
              <w:t>Chapter 6 — Vendor Clarification • manuscript line 1524</w:t>
            </w:r>
          </w:p>
        </w:tc>
      </w:tr>
    </w:tbl>
    <w:p>
      <w:pPr>
        <w:pStyle w:val="Meta"/>
      </w:pPr>
      <w:r>
        <w:rPr>
          <w:b/>
        </w:rPr>
        <w:t>REQUIRED  •  Dialogue punctuation</w:t>
      </w:r>
    </w:p>
    <w:p>
      <w:r>
        <w:rPr>
          <w:b/>
        </w:rPr>
        <w:t>Original</w:t>
      </w:r>
    </w:p>
    <w:p>
      <w:pPr>
        <w:pStyle w:val="QuoteBox"/>
      </w:pPr>
      <w:r>
        <w:t>“Ahead of its time.” Adrian said it the way other men said nice to meet you — a fact, not a compliment.</w:t>
      </w:r>
    </w:p>
    <w:p>
      <w:r>
        <w:rPr>
          <w:b/>
        </w:rPr>
        <w:t>Suggested correction</w:t>
      </w:r>
    </w:p>
    <w:p>
      <w:pPr>
        <w:pStyle w:val="QuoteBox"/>
      </w:pPr>
      <w:r>
        <w:t>“Ahead of its time,” Adrian said it the way other men said nice to meet you — a fact, not a compliment.</w:t>
      </w:r>
    </w:p>
    <w:p>
      <w:r>
        <w:rPr>
          <w:b/>
        </w:rPr>
        <w:t>Why</w:t>
      </w:r>
      <w:r>
        <w:t xml:space="preserve">  “Adrian said it” functions as a dialogue tag identifying how the preceding words were spoken. In standard U.S. fiction punctuation, a declarative line followed by a dialogue tag takes a comma inside the closing quotation mark rather than a period.</w:t>
      </w:r>
    </w:p>
    <w:p>
      <w:pPr>
        <w:pStyle w:val="Small"/>
        <w:spacing w:after="200"/>
      </w:pPr>
      <w:r>
        <w:rPr>
          <w:b/>
        </w:rPr>
        <w:t xml:space="preserve">Verification: </w:t>
      </w:r>
      <w:r>
        <w:t>This is isolated; the manuscript’s other dialogue-tag constructions are punctuated consistently.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8352"/>
      </w:tblGrid>
      <w:tr>
        <w:trPr>
          <w:cantSplit/>
        </w:trP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991B1B"/>
          </w:tcPr>
          <w:p>
            <w:r>
              <w:rPr>
                <w:b/>
                <w:color w:val="FFFFFF"/>
                <w:sz w:val="18"/>
              </w:rPr>
              <w:t>PE-002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9FAFB"/>
          </w:tcPr>
          <w:p>
            <w:r>
              <w:rPr>
                <w:b/>
                <w:sz w:val="19"/>
              </w:rPr>
              <w:t>Chapter 31 — Unmodeled • manuscript line 9005</w:t>
            </w:r>
          </w:p>
        </w:tc>
      </w:tr>
    </w:tbl>
    <w:p>
      <w:pPr>
        <w:pStyle w:val="Meta"/>
      </w:pPr>
      <w:r>
        <w:rPr>
          <w:b/>
        </w:rPr>
        <w:t>REQUIRED  •  Character-name continuity</w:t>
      </w:r>
    </w:p>
    <w:p>
      <w:r>
        <w:rPr>
          <w:b/>
        </w:rPr>
        <w:t>Original</w:t>
      </w:r>
    </w:p>
    <w:p>
      <w:pPr>
        <w:pStyle w:val="QuoteBox"/>
      </w:pPr>
      <w:r>
        <w:t>“The credential was there for eleven seconds,” he said. “Markou, Nikolaos. Vehicle four. Then it cleared.”</w:t>
      </w:r>
    </w:p>
    <w:p>
      <w:r>
        <w:rPr>
          <w:b/>
        </w:rPr>
        <w:t>Suggested correction</w:t>
      </w:r>
    </w:p>
    <w:p>
      <w:pPr>
        <w:pStyle w:val="QuoteBox"/>
      </w:pPr>
      <w:r>
        <w:t>“The credential was there for eleven seconds,” he said. “Markou, Alexandros. Vehicle four. Then it cleared.”</w:t>
      </w:r>
    </w:p>
    <w:p>
      <w:r>
        <w:rPr>
          <w:b/>
        </w:rPr>
        <w:t>Why</w:t>
      </w:r>
      <w:r>
        <w:t xml:space="preserve">  The Greek prime minister is established elsewhere in the manuscript as Alexandros Markou, including the public schedule and later system records. “Nikolaos” appears only in the two late-book locations flagged in this report, so this reads as a residual first-name substitution rather than an intentional alias.</w:t>
      </w:r>
    </w:p>
    <w:p>
      <w:pPr>
        <w:pStyle w:val="Small"/>
        <w:spacing w:after="200"/>
      </w:pPr>
      <w:r>
        <w:rPr>
          <w:b/>
        </w:rPr>
        <w:t xml:space="preserve">Verification: </w:t>
      </w:r>
      <w:r>
        <w:t>Earlier/later internal identifiers also use MARKOU, ALEXANDROS or MARKOU, A., reinforcing Alexandros as the canonical first name.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8352"/>
      </w:tblGrid>
      <w:tr>
        <w:trPr>
          <w:cantSplit/>
        </w:trP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991B1B"/>
          </w:tcPr>
          <w:p>
            <w:r>
              <w:rPr>
                <w:b/>
                <w:color w:val="FFFFFF"/>
                <w:sz w:val="18"/>
              </w:rPr>
              <w:t>PE-003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9FAFB"/>
          </w:tcPr>
          <w:p>
            <w:r>
              <w:rPr>
                <w:b/>
                <w:sz w:val="19"/>
              </w:rPr>
              <w:t>Chapter 33 — Exposure Window • manuscript line 9757</w:t>
            </w:r>
          </w:p>
        </w:tc>
      </w:tr>
    </w:tbl>
    <w:p>
      <w:pPr>
        <w:pStyle w:val="Meta"/>
      </w:pPr>
      <w:r>
        <w:rPr>
          <w:b/>
        </w:rPr>
        <w:t>REQUIRED  •  Character-name continuity</w:t>
      </w:r>
    </w:p>
    <w:p>
      <w:r>
        <w:rPr>
          <w:b/>
        </w:rPr>
        <w:t>Original</w:t>
      </w:r>
    </w:p>
    <w:p>
      <w:pPr>
        <w:pStyle w:val="QuoteBox"/>
      </w:pPr>
      <w:r>
        <w:t>The system identified Elif Karaca as a lower-cost substitute for Nikolaos Markou.</w:t>
      </w:r>
    </w:p>
    <w:p>
      <w:r>
        <w:rPr>
          <w:b/>
        </w:rPr>
        <w:t>Suggested correction</w:t>
      </w:r>
    </w:p>
    <w:p>
      <w:pPr>
        <w:pStyle w:val="QuoteBox"/>
      </w:pPr>
      <w:r>
        <w:t>The system identified Elif Karaca as a lower-cost substitute for Alexandros Markou.</w:t>
      </w:r>
    </w:p>
    <w:p>
      <w:r>
        <w:rPr>
          <w:b/>
        </w:rPr>
        <w:t>Why</w:t>
      </w:r>
      <w:r>
        <w:t xml:space="preserve">  Same continuity issue as PE-002. This sentence refers to the same Greek prime minister previously established as Alexandros Markou. Keeping “Nikolaos” here would create two first names for one character during a critical explanatory passage.</w:t>
      </w:r>
    </w:p>
    <w:p>
      <w:pPr>
        <w:pStyle w:val="Small"/>
        <w:spacing w:after="200"/>
      </w:pPr>
      <w:r>
        <w:rPr>
          <w:b/>
        </w:rPr>
        <w:t xml:space="preserve">Verification: </w:t>
      </w:r>
      <w:r>
        <w:t>Make this change together with PE-002 so every full-name reference to Markou resolves to Alexandros.</w:t>
      </w:r>
    </w:p>
    <w:p>
      <w:pPr>
        <w:pStyle w:val="Heading1"/>
      </w:pPr>
      <w:r>
        <w:t>Protected intentional forms — do not “correct”</w:t>
      </w:r>
    </w:p>
    <w:p>
      <w:r>
        <w:t>The following items look anomalous in isolation but are explicitly supported by context. I recommend carrying them into the production proof/style sheet so a later proofreader or formatter does not normalize away plot-bearing information.</w:t>
      </w:r>
    </w:p>
    <w:p>
      <w:pPr>
        <w:pStyle w:val="Heading2"/>
      </w:pPr>
      <w:r>
        <w:t>NCP7 (no hyphen)</w:t>
      </w:r>
    </w:p>
    <w:p>
      <w:pPr>
        <w:pStyle w:val="Meta"/>
      </w:pPr>
      <w:r>
        <w:t>Chapter 19 / manuscript line 4879</w:t>
      </w:r>
    </w:p>
    <w:p>
      <w:r>
        <w:t>Intentional source-document variant. The narration explicitly contrasts the public-document form “NCP7” with Daniel’s “NCP-7.”</w:t>
      </w:r>
    </w:p>
    <w:p>
      <w:pPr>
        <w:pStyle w:val="Heading2"/>
      </w:pPr>
      <w:r>
        <w:t>RESPONSIBILE AUTHORITY</w:t>
      </w:r>
    </w:p>
    <w:p>
      <w:pPr>
        <w:pStyle w:val="Meta"/>
      </w:pPr>
      <w:r>
        <w:t>Chapter 32 / manuscript line 9303</w:t>
      </w:r>
    </w:p>
    <w:p>
      <w:r>
        <w:t>Intentional misspelling. The immediately preceding sentence identifies the field as Malcolm’s own old misspelling, and the following sentence explains its history.</w:t>
      </w:r>
    </w:p>
    <w:p>
      <w:pPr>
        <w:pStyle w:val="Heading2"/>
      </w:pPr>
      <w:r>
        <w:t>AUTHORI        MODEL</w:t>
      </w:r>
    </w:p>
    <w:p>
      <w:pPr>
        <w:pStyle w:val="Meta"/>
      </w:pPr>
      <w:r>
        <w:t>Chapter 26 / manuscript line 7007</w:t>
      </w:r>
    </w:p>
    <w:p>
      <w:r>
        <w:t>Intentional visual gap. The page is described as still bearing the clean rectangle left by a security label, so the missing letters are part of the physical-document evidence.</w:t>
      </w:r>
    </w:p>
    <w:p>
      <w:pPr>
        <w:pStyle w:val="Heading2"/>
      </w:pPr>
      <w:r>
        <w:t>Fixed-width spacing in candidate rows</w:t>
      </w:r>
    </w:p>
    <w:p>
      <w:pPr>
        <w:pStyle w:val="Meta"/>
      </w:pPr>
      <w:r>
        <w:t>Chapter 30 / manuscript lines 8454–8456</w:t>
      </w:r>
    </w:p>
    <w:p>
      <w:r>
        <w:t>Intentional code/display alignment (e.g., MARKOU_A and KARACA_E rows). Preserve multiple spaces if the manuscript is converted from Markdown to a typeset layout.</w:t>
      </w:r>
    </w:p>
    <w:p>
      <w:pPr>
        <w:pStyle w:val="Heading1"/>
        <w:pageBreakBefore/>
      </w:pPr>
      <w:r>
        <w:t>Mechanical proof checks completed</w:t>
      </w:r>
    </w:p>
    <w:p>
      <w:pPr>
        <w:ind w:left="216" w:hanging="173"/>
      </w:pPr>
      <w:r>
        <w:rPr>
          <w:b/>
        </w:rPr>
        <w:t xml:space="preserve">• </w:t>
      </w:r>
      <w:r>
        <w:t>34 chapter headings are present and sequential; all five Movement headings are present.</w:t>
      </w:r>
    </w:p>
    <w:p>
      <w:pPr>
        <w:ind w:left="216" w:hanging="173"/>
      </w:pPr>
      <w:r>
        <w:rPr>
          <w:b/>
        </w:rPr>
        <w:t xml:space="preserve">• </w:t>
      </w:r>
      <w:r>
        <w:t>Scene-break marker treatment is internally consistent.</w:t>
      </w:r>
    </w:p>
    <w:p>
      <w:pPr>
        <w:ind w:left="216" w:hanging="173"/>
      </w:pPr>
      <w:r>
        <w:rPr>
          <w:b/>
        </w:rPr>
        <w:t xml:space="preserve">• </w:t>
      </w:r>
      <w:r>
        <w:t>No unmatched straight quotation marks were found in the manuscript text.</w:t>
      </w:r>
    </w:p>
    <w:p>
      <w:pPr>
        <w:ind w:left="216" w:hanging="173"/>
      </w:pPr>
      <w:r>
        <w:rPr>
          <w:b/>
        </w:rPr>
        <w:t xml:space="preserve">• </w:t>
      </w:r>
      <w:r>
        <w:t>Parentheses and square brackets are balanced; Markdown emphasis/backtick markers are balanced in the checked text.</w:t>
      </w:r>
    </w:p>
    <w:p>
      <w:pPr>
        <w:ind w:left="216" w:hanging="173"/>
      </w:pPr>
      <w:r>
        <w:rPr>
          <w:b/>
        </w:rPr>
        <w:t xml:space="preserve">• </w:t>
      </w:r>
      <w:r>
        <w:t>No adjacent duplicated words or accidental trailing-space issues were found.</w:t>
      </w:r>
    </w:p>
    <w:p>
      <w:pPr>
        <w:ind w:left="216" w:hanging="173"/>
      </w:pPr>
      <w:r>
        <w:rPr>
          <w:b/>
        </w:rPr>
        <w:t xml:space="preserve">• </w:t>
      </w:r>
      <w:r>
        <w:t>No accidental double-space runs were found outside deliberate fixed-width artifact/code displays.</w:t>
      </w:r>
    </w:p>
    <w:p>
      <w:pPr>
        <w:ind w:left="216" w:hanging="173"/>
      </w:pPr>
      <w:r>
        <w:rPr>
          <w:b/>
        </w:rPr>
        <w:t xml:space="preserve">• </w:t>
      </w:r>
      <w:r>
        <w:t>Recurring character names and key identifiers were cross-checked for obvious variant spellings; the Markou first-name mismatch above is the only clear character-name conflict found.</w:t>
      </w:r>
    </w:p>
    <w:p>
      <w:pPr>
        <w:ind w:left="216" w:hanging="173"/>
      </w:pPr>
      <w:r>
        <w:rPr>
          <w:b/>
        </w:rPr>
        <w:t xml:space="preserve">• </w:t>
      </w:r>
      <w:r>
        <w:t>Bosphorus spelling is internally consistent in the supplied manuscript.</w:t>
      </w:r>
    </w:p>
    <w:p>
      <w:pPr>
        <w:pStyle w:val="Heading1"/>
      </w:pPr>
      <w:r>
        <w:t>Recommended disposition</w:t>
      </w:r>
    </w:p>
    <w:p>
      <w:r>
        <w:rPr>
          <w:b/>
        </w:rPr>
        <w:t xml:space="preserve">Fold in PE-001 through PE-003, preserve the intentional forms above, and then move the manuscript to layout/typesetting. </w:t>
      </w:r>
      <w:r>
        <w:t>After layout, I would still recommend a separate page-proof pass on the formatted book—not because the prose needs another editorial round, but because typesetting can introduce its own problems: widows/orphans, bad breaks, lost italics, altered fixed-width inserts, spacing around scene breaks, and other layout-specific defects that do not exist in the Markdown source.</w:t>
      </w:r>
    </w:p>
    <w:p>
      <w:pPr>
        <w:pStyle w:val="Small"/>
        <w:spacing w:before="240"/>
      </w:pPr>
      <w:r>
        <w:t>Proofreading review prepared from the supplied Autonomous.md. No changes were made to the source manuscript.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280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  <w:pBdr>
        <w:bottom w:val="single" w:sz="4" w:space="3" w:color="E5E7EB"/>
      </w:pBdr>
    </w:pPr>
    <w:r>
      <w:t>AUTONOMOUS  |  PROOFREADING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741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60"/>
    </w:pPr>
    <w:rPr>
      <w:rFonts w:ascii="Liberation Sans" w:hAnsi="Liberation Sans"/>
      <w:color w:val="4B5563"/>
      <w:sz w:val="17"/>
    </w:rPr>
  </w:style>
  <w:style w:type="paragraph" w:customStyle="1" w:styleId="QuoteBox">
    <w:name w:val="QuoteBox"/>
    <w:pPr>
      <w:spacing w:before="40" w:after="60"/>
      <w:ind w:left="259" w:right="144"/>
    </w:pPr>
    <w:rPr>
      <w:rFonts w:ascii="Liberation Mono" w:hAnsi="Liberation Mono"/>
      <w:sz w:val="17"/>
    </w:rPr>
  </w:style>
  <w:style w:type="paragraph" w:customStyle="1" w:styleId="Small">
    <w:name w:val="Small"/>
    <w:pPr>
      <w:spacing w:after="60"/>
    </w:pPr>
    <w:rPr>
      <w:rFonts w:ascii="Liberation Sans" w:hAnsi="Liberation Sans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— Proofreading Review</dc:title>
  <dc:subject>Final proofreading notes for Autonomous</dc:subject>
  <dc:creator>python-docx</dc:creator>
  <cp:keywords/>
  <dc:description>Manuscript not modified; separate editorial review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