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69EB0" w14:textId="77777777" w:rsidR="003122B4" w:rsidRPr="003122B4" w:rsidRDefault="003122B4" w:rsidP="003122B4">
      <w:pPr>
        <w:shd w:val="clear" w:color="auto" w:fill="FFFFFF"/>
        <w:spacing w:before="100" w:beforeAutospacing="1" w:after="100" w:afterAutospacing="1" w:line="240" w:lineRule="auto"/>
        <w:outlineLvl w:val="0"/>
        <w:rPr>
          <w:rFonts w:ascii="Roboto" w:eastAsia="Times New Roman" w:hAnsi="Roboto" w:cs="Times New Roman"/>
          <w:b/>
          <w:bCs/>
          <w:color w:val="212529"/>
          <w:kern w:val="36"/>
          <w:sz w:val="48"/>
          <w:szCs w:val="48"/>
          <w14:ligatures w14:val="none"/>
        </w:rPr>
      </w:pPr>
      <w:r w:rsidRPr="003122B4">
        <w:rPr>
          <w:rFonts w:ascii="Roboto" w:eastAsia="Times New Roman" w:hAnsi="Roboto" w:cs="Times New Roman"/>
          <w:b/>
          <w:bCs/>
          <w:color w:val="212529"/>
          <w:kern w:val="36"/>
          <w:sz w:val="48"/>
          <w:szCs w:val="48"/>
          <w14:ligatures w14:val="none"/>
        </w:rPr>
        <w:t>Veterans study finds virtual mental health care can significantly reduce suicide</w:t>
      </w:r>
    </w:p>
    <w:p w14:paraId="4E82931D"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A5A6B7"/>
          <w:kern w:val="0"/>
          <w:sz w:val="24"/>
          <w:szCs w:val="24"/>
          <w14:ligatures w14:val="none"/>
        </w:rPr>
      </w:pPr>
      <w:r w:rsidRPr="003122B4">
        <w:rPr>
          <w:rFonts w:ascii="Roboto" w:eastAsia="Times New Roman" w:hAnsi="Roboto" w:cs="Times New Roman"/>
          <w:color w:val="A5A6B7"/>
          <w:kern w:val="0"/>
          <w:sz w:val="24"/>
          <w:szCs w:val="24"/>
          <w14:ligatures w14:val="none"/>
        </w:rPr>
        <w:t>by Justin Jackson , Medical Xpress</w:t>
      </w:r>
    </w:p>
    <w:p w14:paraId="02529CD3" w14:textId="705D7ACB" w:rsidR="003122B4" w:rsidRPr="003122B4" w:rsidRDefault="003122B4" w:rsidP="003122B4">
      <w:pPr>
        <w:shd w:val="clear" w:color="auto" w:fill="FFFFFF"/>
        <w:spacing w:after="0"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noProof/>
          <w:color w:val="212529"/>
          <w:kern w:val="0"/>
          <w:sz w:val="24"/>
          <w:szCs w:val="24"/>
          <w14:ligatures w14:val="none"/>
        </w:rPr>
        <w:drawing>
          <wp:inline distT="0" distB="0" distL="0" distR="0" wp14:anchorId="2B5D40AB" wp14:editId="199E7E3C">
            <wp:extent cx="5943600" cy="3936365"/>
            <wp:effectExtent l="0" t="0" r="0" b="6985"/>
            <wp:docPr id="883516433" name="Picture 1" descr="ma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 onlin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36365"/>
                    </a:xfrm>
                    <a:prstGeom prst="rect">
                      <a:avLst/>
                    </a:prstGeom>
                    <a:noFill/>
                    <a:ln>
                      <a:noFill/>
                    </a:ln>
                  </pic:spPr>
                </pic:pic>
              </a:graphicData>
            </a:graphic>
          </wp:inline>
        </w:drawing>
      </w:r>
      <w:r w:rsidRPr="003122B4">
        <w:rPr>
          <w:rFonts w:ascii="Roboto" w:eastAsia="Times New Roman" w:hAnsi="Roboto" w:cs="Times New Roman"/>
          <w:color w:val="212529"/>
          <w:kern w:val="0"/>
          <w:sz w:val="24"/>
          <w:szCs w:val="24"/>
          <w14:ligatures w14:val="none"/>
        </w:rPr>
        <w:t xml:space="preserve">Credit: </w:t>
      </w:r>
      <w:proofErr w:type="spellStart"/>
      <w:r w:rsidRPr="003122B4">
        <w:rPr>
          <w:rFonts w:ascii="Roboto" w:eastAsia="Times New Roman" w:hAnsi="Roboto" w:cs="Times New Roman"/>
          <w:color w:val="212529"/>
          <w:kern w:val="0"/>
          <w:sz w:val="24"/>
          <w:szCs w:val="24"/>
          <w14:ligatures w14:val="none"/>
        </w:rPr>
        <w:t>Unsplash</w:t>
      </w:r>
      <w:proofErr w:type="spellEnd"/>
      <w:r w:rsidRPr="003122B4">
        <w:rPr>
          <w:rFonts w:ascii="Roboto" w:eastAsia="Times New Roman" w:hAnsi="Roboto" w:cs="Times New Roman"/>
          <w:color w:val="212529"/>
          <w:kern w:val="0"/>
          <w:sz w:val="24"/>
          <w:szCs w:val="24"/>
          <w14:ligatures w14:val="none"/>
        </w:rPr>
        <w:t>/CC0 Public Domain</w:t>
      </w:r>
    </w:p>
    <w:p w14:paraId="36570399"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Boston University School of Public Health research suggests that virtual mental health care may significantly reduce suicide-related events (SREs) among veterans recently released from service. For every 1% increase in virtual mental health visits, there was a 2.5% decrease in SREs.</w:t>
      </w:r>
    </w:p>
    <w:p w14:paraId="4331E039"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Mental health care has long been a critical component of veteran support, particularly given the rising rates of suicide in the United States, where suicide rates rose by 35% from 2000 to 2018. Veterans facing unique mental health challenges due to service-related stress remain especially vulnerable to suicide-related events.</w:t>
      </w:r>
    </w:p>
    <w:p w14:paraId="6B73BACE"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As telehealth expanded rapidly during the COVID-19 pandemic, mental health services also adapted, allowing providers to reach patients through virtual platforms. While research has shown that telehealth offers effectiveness comparable to in-person therapy for various psychiatric conditions, its role in preventing suicide has been largely unexplored until the current study.</w:t>
      </w:r>
    </w:p>
    <w:p w14:paraId="51D25158"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lastRenderedPageBreak/>
        <w:t>In the study, "Virtual Mental Health Care and Suicide-Related Events," </w:t>
      </w:r>
      <w:hyperlink r:id="rId5" w:tgtFrame="_blank" w:history="1">
        <w:r w:rsidRPr="003122B4">
          <w:rPr>
            <w:rFonts w:ascii="Roboto" w:eastAsia="Times New Roman" w:hAnsi="Roboto" w:cs="Times New Roman"/>
            <w:color w:val="0049B0"/>
            <w:kern w:val="0"/>
            <w:sz w:val="24"/>
            <w:szCs w:val="24"/>
            <w:u w:val="single"/>
            <w14:ligatures w14:val="none"/>
          </w:rPr>
          <w:t>published</w:t>
        </w:r>
      </w:hyperlink>
      <w:r w:rsidRPr="003122B4">
        <w:rPr>
          <w:rFonts w:ascii="Roboto" w:eastAsia="Times New Roman" w:hAnsi="Roboto" w:cs="Times New Roman"/>
          <w:color w:val="212529"/>
          <w:kern w:val="0"/>
          <w:sz w:val="24"/>
          <w:szCs w:val="24"/>
          <w14:ligatures w14:val="none"/>
        </w:rPr>
        <w:t> in </w:t>
      </w:r>
      <w:r w:rsidRPr="003122B4">
        <w:rPr>
          <w:rFonts w:ascii="Roboto" w:eastAsia="Times New Roman" w:hAnsi="Roboto" w:cs="Times New Roman"/>
          <w:i/>
          <w:iCs/>
          <w:color w:val="212529"/>
          <w:kern w:val="0"/>
          <w:sz w:val="24"/>
          <w:szCs w:val="24"/>
          <w14:ligatures w14:val="none"/>
        </w:rPr>
        <w:t>JAMA Network Open</w:t>
      </w:r>
      <w:r w:rsidRPr="003122B4">
        <w:rPr>
          <w:rFonts w:ascii="Roboto" w:eastAsia="Times New Roman" w:hAnsi="Roboto" w:cs="Times New Roman"/>
          <w:color w:val="212529"/>
          <w:kern w:val="0"/>
          <w:sz w:val="24"/>
          <w:szCs w:val="24"/>
          <w14:ligatures w14:val="none"/>
        </w:rPr>
        <w:t>, researchers conducted a </w:t>
      </w:r>
      <w:hyperlink r:id="rId6" w:history="1">
        <w:r w:rsidRPr="003122B4">
          <w:rPr>
            <w:rFonts w:ascii="Roboto" w:eastAsia="Times New Roman" w:hAnsi="Roboto" w:cs="Times New Roman"/>
            <w:color w:val="212529"/>
            <w:kern w:val="0"/>
            <w:sz w:val="24"/>
            <w:szCs w:val="24"/>
            <w:u w:val="single"/>
            <w14:ligatures w14:val="none"/>
          </w:rPr>
          <w:t>retrospective cohort study</w:t>
        </w:r>
      </w:hyperlink>
      <w:r w:rsidRPr="003122B4">
        <w:rPr>
          <w:rFonts w:ascii="Roboto" w:eastAsia="Times New Roman" w:hAnsi="Roboto" w:cs="Times New Roman"/>
          <w:color w:val="212529"/>
          <w:kern w:val="0"/>
          <w:sz w:val="24"/>
          <w:szCs w:val="24"/>
          <w14:ligatures w14:val="none"/>
        </w:rPr>
        <w:t> using data from the Veterans Health Administration, focusing on veterans returning to </w:t>
      </w:r>
      <w:hyperlink r:id="rId7" w:history="1">
        <w:r w:rsidRPr="003122B4">
          <w:rPr>
            <w:rFonts w:ascii="Roboto" w:eastAsia="Times New Roman" w:hAnsi="Roboto" w:cs="Times New Roman"/>
            <w:color w:val="212529"/>
            <w:kern w:val="0"/>
            <w:sz w:val="24"/>
            <w:szCs w:val="24"/>
            <w:u w:val="single"/>
            <w14:ligatures w14:val="none"/>
          </w:rPr>
          <w:t>civilian life</w:t>
        </w:r>
      </w:hyperlink>
      <w:r w:rsidRPr="003122B4">
        <w:rPr>
          <w:rFonts w:ascii="Roboto" w:eastAsia="Times New Roman" w:hAnsi="Roboto" w:cs="Times New Roman"/>
          <w:color w:val="212529"/>
          <w:kern w:val="0"/>
          <w:sz w:val="24"/>
          <w:szCs w:val="24"/>
          <w14:ligatures w14:val="none"/>
        </w:rPr>
        <w:t> who were diagnosed with </w:t>
      </w:r>
      <w:hyperlink r:id="rId8" w:history="1">
        <w:r w:rsidRPr="003122B4">
          <w:rPr>
            <w:rFonts w:ascii="Roboto" w:eastAsia="Times New Roman" w:hAnsi="Roboto" w:cs="Times New Roman"/>
            <w:color w:val="212529"/>
            <w:kern w:val="0"/>
            <w:sz w:val="24"/>
            <w:szCs w:val="24"/>
            <w:u w:val="single"/>
            <w14:ligatures w14:val="none"/>
          </w:rPr>
          <w:t>major depressive disorder</w:t>
        </w:r>
      </w:hyperlink>
      <w:r w:rsidRPr="003122B4">
        <w:rPr>
          <w:rFonts w:ascii="Roboto" w:eastAsia="Times New Roman" w:hAnsi="Roboto" w:cs="Times New Roman"/>
          <w:color w:val="212529"/>
          <w:kern w:val="0"/>
          <w:sz w:val="24"/>
          <w:szCs w:val="24"/>
          <w14:ligatures w14:val="none"/>
        </w:rPr>
        <w:t>, </w:t>
      </w:r>
      <w:hyperlink r:id="rId9" w:history="1">
        <w:r w:rsidRPr="003122B4">
          <w:rPr>
            <w:rFonts w:ascii="Roboto" w:eastAsia="Times New Roman" w:hAnsi="Roboto" w:cs="Times New Roman"/>
            <w:color w:val="212529"/>
            <w:kern w:val="0"/>
            <w:sz w:val="24"/>
            <w:szCs w:val="24"/>
            <w:u w:val="single"/>
            <w14:ligatures w14:val="none"/>
          </w:rPr>
          <w:t>substance use disorder</w:t>
        </w:r>
      </w:hyperlink>
      <w:r w:rsidRPr="003122B4">
        <w:rPr>
          <w:rFonts w:ascii="Roboto" w:eastAsia="Times New Roman" w:hAnsi="Roboto" w:cs="Times New Roman"/>
          <w:color w:val="212529"/>
          <w:kern w:val="0"/>
          <w:sz w:val="24"/>
          <w:szCs w:val="24"/>
          <w14:ligatures w14:val="none"/>
        </w:rPr>
        <w:t>, or posttraumatic stress disorder.</w:t>
      </w:r>
    </w:p>
    <w:p w14:paraId="0C877503"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The cohort included 16,236 </w:t>
      </w:r>
      <w:hyperlink r:id="rId10" w:history="1">
        <w:r w:rsidRPr="003122B4">
          <w:rPr>
            <w:rFonts w:ascii="Roboto" w:eastAsia="Times New Roman" w:hAnsi="Roboto" w:cs="Times New Roman"/>
            <w:color w:val="212529"/>
            <w:kern w:val="0"/>
            <w:sz w:val="24"/>
            <w:szCs w:val="24"/>
            <w:u w:val="single"/>
            <w14:ligatures w14:val="none"/>
          </w:rPr>
          <w:t>veterans</w:t>
        </w:r>
      </w:hyperlink>
      <w:r w:rsidRPr="003122B4">
        <w:rPr>
          <w:rFonts w:ascii="Roboto" w:eastAsia="Times New Roman" w:hAnsi="Roboto" w:cs="Times New Roman"/>
          <w:color w:val="212529"/>
          <w:kern w:val="0"/>
          <w:sz w:val="24"/>
          <w:szCs w:val="24"/>
          <w14:ligatures w14:val="none"/>
        </w:rPr>
        <w:t> and 66,387 observations between March 2020 and December 2021. Researchers applied a quasi-experimental instrumental variable (IV) probit model, which adjusted for confounding factors such as mental health severity and access to care.</w:t>
      </w:r>
    </w:p>
    <w:p w14:paraId="43A0B7FA"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Broadband access served as an instrumental variable, correlating with the likelihood of receiving virtual mental health services but theoretically unrelated to the outcome of SREs.</w:t>
      </w:r>
    </w:p>
    <w:p w14:paraId="07BEBB07"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Virtual mental health visits accounted for an average of 44.6% of all mental health visits in the sample. Findings indicated that a 1% increase in the probability of having a virtual mental health visit was associated with a 2.5% decrease in suicide-related events.</w:t>
      </w:r>
    </w:p>
    <w:p w14:paraId="3B19C0C7"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Veterans in rural regions, where access to </w:t>
      </w:r>
      <w:hyperlink r:id="rId11" w:history="1">
        <w:r w:rsidRPr="003122B4">
          <w:rPr>
            <w:rFonts w:ascii="Roboto" w:eastAsia="Times New Roman" w:hAnsi="Roboto" w:cs="Times New Roman"/>
            <w:color w:val="212529"/>
            <w:kern w:val="0"/>
            <w:sz w:val="24"/>
            <w:szCs w:val="24"/>
            <w:u w:val="single"/>
            <w14:ligatures w14:val="none"/>
          </w:rPr>
          <w:t>health care facilities</w:t>
        </w:r>
      </w:hyperlink>
      <w:r w:rsidRPr="003122B4">
        <w:rPr>
          <w:rFonts w:ascii="Roboto" w:eastAsia="Times New Roman" w:hAnsi="Roboto" w:cs="Times New Roman"/>
          <w:color w:val="212529"/>
          <w:kern w:val="0"/>
          <w:sz w:val="24"/>
          <w:szCs w:val="24"/>
          <w14:ligatures w14:val="none"/>
        </w:rPr>
        <w:t> remains limited, particularly benefited from virtual </w:t>
      </w:r>
      <w:hyperlink r:id="rId12" w:history="1">
        <w:r w:rsidRPr="003122B4">
          <w:rPr>
            <w:rFonts w:ascii="Roboto" w:eastAsia="Times New Roman" w:hAnsi="Roboto" w:cs="Times New Roman"/>
            <w:color w:val="212529"/>
            <w:kern w:val="0"/>
            <w:sz w:val="24"/>
            <w:szCs w:val="24"/>
            <w:u w:val="single"/>
            <w14:ligatures w14:val="none"/>
          </w:rPr>
          <w:t>mental health care</w:t>
        </w:r>
      </w:hyperlink>
      <w:r w:rsidRPr="003122B4">
        <w:rPr>
          <w:rFonts w:ascii="Roboto" w:eastAsia="Times New Roman" w:hAnsi="Roboto" w:cs="Times New Roman"/>
          <w:color w:val="212529"/>
          <w:kern w:val="0"/>
          <w:sz w:val="24"/>
          <w:szCs w:val="24"/>
          <w14:ligatures w14:val="none"/>
        </w:rPr>
        <w:t>. Researchers conclude that the VHA's increased telehealth capacity during the pandemic contributed positively to suicide prevention.</w:t>
      </w:r>
    </w:p>
    <w:p w14:paraId="660565D6"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Further research is needed to confirm these findings across veteran demographics, time since service, and beyond the unique circumstances of the pandemic.</w:t>
      </w:r>
    </w:p>
    <w:p w14:paraId="7820B0E2" w14:textId="77777777" w:rsidR="003122B4" w:rsidRPr="003122B4" w:rsidRDefault="003122B4" w:rsidP="003122B4">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3122B4">
        <w:rPr>
          <w:rFonts w:ascii="Roboto" w:eastAsia="Times New Roman" w:hAnsi="Roboto" w:cs="Times New Roman"/>
          <w:color w:val="212529"/>
          <w:kern w:val="0"/>
          <w:sz w:val="24"/>
          <w:szCs w:val="24"/>
          <w14:ligatures w14:val="none"/>
        </w:rPr>
        <w:t>The study's findings show the potential of virtual mental health services in reducing SREs, reinforcing calls for expanded mental telehealth options within the VHA, and possibly informing broader mental health policies aimed at high-risk populations.</w:t>
      </w:r>
    </w:p>
    <w:p w14:paraId="45072C8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B4"/>
    <w:rsid w:val="003122B4"/>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03D0"/>
  <w15:chartTrackingRefBased/>
  <w15:docId w15:val="{391BF3CE-A54E-43AD-89A1-A83A63EA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22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B4"/>
    <w:rPr>
      <w:rFonts w:ascii="Times New Roman" w:eastAsia="Times New Roman" w:hAnsi="Times New Roman" w:cs="Times New Roman"/>
      <w:b/>
      <w:bCs/>
      <w:kern w:val="36"/>
      <w:sz w:val="48"/>
      <w:szCs w:val="48"/>
      <w14:ligatures w14:val="none"/>
    </w:rPr>
  </w:style>
  <w:style w:type="paragraph" w:customStyle="1" w:styleId="article-byline">
    <w:name w:val="article-byline"/>
    <w:basedOn w:val="Normal"/>
    <w:rsid w:val="003122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3122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122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102717">
      <w:bodyDiv w:val="1"/>
      <w:marLeft w:val="0"/>
      <w:marRight w:val="0"/>
      <w:marTop w:val="0"/>
      <w:marBottom w:val="0"/>
      <w:divBdr>
        <w:top w:val="none" w:sz="0" w:space="0" w:color="auto"/>
        <w:left w:val="none" w:sz="0" w:space="0" w:color="auto"/>
        <w:bottom w:val="none" w:sz="0" w:space="0" w:color="auto"/>
        <w:right w:val="none" w:sz="0" w:space="0" w:color="auto"/>
      </w:divBdr>
      <w:divsChild>
        <w:div w:id="1671828197">
          <w:marLeft w:val="0"/>
          <w:marRight w:val="0"/>
          <w:marTop w:val="0"/>
          <w:marBottom w:val="0"/>
          <w:divBdr>
            <w:top w:val="none" w:sz="0" w:space="0" w:color="auto"/>
            <w:left w:val="none" w:sz="0" w:space="0" w:color="auto"/>
            <w:bottom w:val="none" w:sz="0" w:space="0" w:color="auto"/>
            <w:right w:val="none" w:sz="0" w:space="0" w:color="auto"/>
          </w:divBdr>
          <w:divsChild>
            <w:div w:id="17859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calxpress.com/tags/major+depressive+disorde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dicalxpress.com/tags/civilian+life/" TargetMode="External"/><Relationship Id="rId12" Type="http://schemas.openxmlformats.org/officeDocument/2006/relationships/hyperlink" Target="https://medicalxpress.com/tags/mental+health+care/" TargetMode="Externa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medicalxpress.com/tags/retrospective+cohort+study/" TargetMode="External"/><Relationship Id="rId11" Type="http://schemas.openxmlformats.org/officeDocument/2006/relationships/hyperlink" Target="https://medicalxpress.com/tags/health+care+facilities/" TargetMode="External"/><Relationship Id="rId5" Type="http://schemas.openxmlformats.org/officeDocument/2006/relationships/hyperlink" Target="https://jamanetwork.com/journals/jamanetworkopen/fullarticle/2825640" TargetMode="External"/><Relationship Id="rId15" Type="http://schemas.openxmlformats.org/officeDocument/2006/relationships/customXml" Target="../customXml/item1.xml"/><Relationship Id="rId10" Type="http://schemas.openxmlformats.org/officeDocument/2006/relationships/hyperlink" Target="https://medicalxpress.com/tags/veterans/" TargetMode="External"/><Relationship Id="rId4" Type="http://schemas.openxmlformats.org/officeDocument/2006/relationships/image" Target="media/image1.jpeg"/><Relationship Id="rId9" Type="http://schemas.openxmlformats.org/officeDocument/2006/relationships/hyperlink" Target="https://medicalxpress.com/tags/substance+use+disord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Mental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42F3CDF-6C7D-4DA1-9151-D46948D39410}"/>
</file>

<file path=customXml/itemProps2.xml><?xml version="1.0" encoding="utf-8"?>
<ds:datastoreItem xmlns:ds="http://schemas.openxmlformats.org/officeDocument/2006/customXml" ds:itemID="{31501193-B218-4AB7-8941-07D6FB9DC38C}"/>
</file>

<file path=customXml/itemProps3.xml><?xml version="1.0" encoding="utf-8"?>
<ds:datastoreItem xmlns:ds="http://schemas.openxmlformats.org/officeDocument/2006/customXml" ds:itemID="{303A91F4-9838-431E-A0A8-E49EFE28F41A}"/>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11-11-24 Medical Press--Veterans study finds virtual mental health care can significantly reduce suicide</dc:title>
  <dc:subject/>
  <dc:creator>Richman, Michael (VACO)</dc:creator>
  <cp:keywords/>
  <dc:description/>
  <cp:lastModifiedBy>Richman, Michael (VACO)</cp:lastModifiedBy>
  <cp:revision>1</cp:revision>
  <dcterms:created xsi:type="dcterms:W3CDTF">2024-11-13T13:40:00Z</dcterms:created>
  <dcterms:modified xsi:type="dcterms:W3CDTF">2024-11-13T13:41:00Z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