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3939D9" w14:textId="77777777" w:rsidR="00CE712C" w:rsidRPr="00CE712C" w:rsidRDefault="00CE712C" w:rsidP="00CE712C">
      <w:pPr>
        <w:spacing w:after="0" w:line="312" w:lineRule="atLeast"/>
        <w:textAlignment w:val="baseline"/>
        <w:outlineLvl w:val="0"/>
        <w:rPr>
          <w:rFonts w:ascii="Georgia" w:eastAsia="Times New Roman" w:hAnsi="Georgia" w:cs="Open Sans"/>
          <w:b/>
          <w:bCs/>
          <w:color w:val="333333"/>
          <w:kern w:val="36"/>
          <w:sz w:val="42"/>
          <w:szCs w:val="42"/>
          <w14:ligatures w14:val="none"/>
        </w:rPr>
      </w:pPr>
      <w:r w:rsidRPr="00CE712C">
        <w:rPr>
          <w:rFonts w:ascii="Georgia" w:eastAsia="Times New Roman" w:hAnsi="Georgia" w:cs="Open Sans"/>
          <w:b/>
          <w:bCs/>
          <w:color w:val="333333"/>
          <w:kern w:val="36"/>
          <w:sz w:val="42"/>
          <w:szCs w:val="42"/>
          <w14:ligatures w14:val="none"/>
        </w:rPr>
        <w:t xml:space="preserve">Chronic Ill Health Remains an Issue for Many </w:t>
      </w:r>
      <w:proofErr w:type="gramStart"/>
      <w:r w:rsidRPr="00CE712C">
        <w:rPr>
          <w:rFonts w:ascii="Georgia" w:eastAsia="Times New Roman" w:hAnsi="Georgia" w:cs="Open Sans"/>
          <w:b/>
          <w:bCs/>
          <w:color w:val="333333"/>
          <w:kern w:val="36"/>
          <w:sz w:val="42"/>
          <w:szCs w:val="42"/>
          <w14:ligatures w14:val="none"/>
        </w:rPr>
        <w:t>Gulf</w:t>
      </w:r>
      <w:proofErr w:type="gramEnd"/>
      <w:r w:rsidRPr="00CE712C">
        <w:rPr>
          <w:rFonts w:ascii="Georgia" w:eastAsia="Times New Roman" w:hAnsi="Georgia" w:cs="Open Sans"/>
          <w:b/>
          <w:bCs/>
          <w:color w:val="333333"/>
          <w:kern w:val="36"/>
          <w:sz w:val="42"/>
          <w:szCs w:val="42"/>
          <w14:ligatures w14:val="none"/>
        </w:rPr>
        <w:t xml:space="preserve"> War Veterans</w:t>
      </w:r>
    </w:p>
    <w:p w14:paraId="6E6D05A8" w14:textId="77777777" w:rsidR="00CE712C" w:rsidRPr="00CE712C" w:rsidRDefault="00CE712C" w:rsidP="00CE712C">
      <w:pPr>
        <w:spacing w:after="0" w:line="240" w:lineRule="auto"/>
        <w:textAlignment w:val="baseline"/>
        <w:rPr>
          <w:rFonts w:ascii="Open Sans" w:eastAsia="Times New Roman" w:hAnsi="Open Sans" w:cs="Open Sans"/>
          <w:color w:val="3A3A3A"/>
          <w:kern w:val="0"/>
          <w:sz w:val="18"/>
          <w:szCs w:val="18"/>
          <w14:ligatures w14:val="none"/>
        </w:rPr>
      </w:pPr>
      <w:r w:rsidRPr="00CE712C">
        <w:rPr>
          <w:rFonts w:ascii="Open Sans" w:eastAsia="Times New Roman" w:hAnsi="Open Sans" w:cs="Open Sans"/>
          <w:color w:val="3A3A3A"/>
          <w:kern w:val="0"/>
          <w:sz w:val="18"/>
          <w:szCs w:val="18"/>
          <w14:ligatures w14:val="none"/>
        </w:rPr>
        <w:t>by </w:t>
      </w:r>
      <w:hyperlink r:id="rId5" w:tooltip="Posts by LaTina Emerson" w:history="1">
        <w:r w:rsidRPr="00CE712C">
          <w:rPr>
            <w:rFonts w:ascii="Open Sans" w:eastAsia="Times New Roman" w:hAnsi="Open Sans" w:cs="Open Sans"/>
            <w:color w:val="666666"/>
            <w:kern w:val="0"/>
            <w:sz w:val="18"/>
            <w:szCs w:val="18"/>
            <w:bdr w:val="none" w:sz="0" w:space="0" w:color="auto" w:frame="1"/>
            <w14:ligatures w14:val="none"/>
          </w:rPr>
          <w:t>LaTina Emerson</w:t>
        </w:r>
      </w:hyperlink>
      <w:r w:rsidRPr="00CE712C">
        <w:rPr>
          <w:rFonts w:ascii="Open Sans" w:eastAsia="Times New Roman" w:hAnsi="Open Sans" w:cs="Open Sans"/>
          <w:color w:val="3A3A3A"/>
          <w:kern w:val="0"/>
          <w:sz w:val="18"/>
          <w:szCs w:val="18"/>
          <w14:ligatures w14:val="none"/>
        </w:rPr>
        <w:t> | </w:t>
      </w:r>
      <w:r w:rsidRPr="00CE712C">
        <w:rPr>
          <w:rFonts w:ascii="Open Sans" w:eastAsia="Times New Roman" w:hAnsi="Open Sans" w:cs="Open Sans"/>
          <w:color w:val="3A3A3A"/>
          <w:kern w:val="0"/>
          <w:sz w:val="18"/>
          <w:szCs w:val="18"/>
          <w:bdr w:val="none" w:sz="0" w:space="0" w:color="auto" w:frame="1"/>
          <w14:ligatures w14:val="none"/>
        </w:rPr>
        <w:t>Dec 10, 2024</w:t>
      </w:r>
    </w:p>
    <w:p w14:paraId="677EF757" w14:textId="77777777" w:rsidR="00CE712C" w:rsidRPr="00CE712C" w:rsidRDefault="00CE712C" w:rsidP="00CE712C">
      <w:pPr>
        <w:spacing w:after="0" w:line="312" w:lineRule="atLeast"/>
        <w:textAlignment w:val="baseline"/>
        <w:outlineLvl w:val="2"/>
        <w:rPr>
          <w:rFonts w:ascii="Georgia" w:eastAsia="Times New Roman" w:hAnsi="Georgia" w:cs="Open Sans"/>
          <w:b/>
          <w:bCs/>
          <w:color w:val="333333"/>
          <w:kern w:val="0"/>
          <w:sz w:val="33"/>
          <w:szCs w:val="33"/>
          <w14:ligatures w14:val="none"/>
        </w:rPr>
      </w:pPr>
      <w:r w:rsidRPr="00CE712C">
        <w:rPr>
          <w:rFonts w:ascii="Georgia" w:eastAsia="Times New Roman" w:hAnsi="Georgia" w:cs="Open Sans"/>
          <w:b/>
          <w:bCs/>
          <w:color w:val="333333"/>
          <w:kern w:val="0"/>
          <w:sz w:val="33"/>
          <w:szCs w:val="33"/>
          <w14:ligatures w14:val="none"/>
        </w:rPr>
        <w:t>Symptoms Linked to Specific Times, Locations, Exposures</w:t>
      </w:r>
    </w:p>
    <w:p w14:paraId="0CE3A172" w14:textId="7E2F2A03" w:rsidR="00CE712C" w:rsidRPr="00CE712C" w:rsidRDefault="00CE712C" w:rsidP="00CE712C">
      <w:pPr>
        <w:shd w:val="clear" w:color="auto" w:fill="F3F3F3"/>
        <w:spacing w:after="0" w:line="240" w:lineRule="auto"/>
        <w:jc w:val="center"/>
        <w:textAlignment w:val="baseline"/>
        <w:rPr>
          <w:rFonts w:ascii="Open Sans" w:eastAsia="Times New Roman" w:hAnsi="Open Sans" w:cs="Open Sans"/>
          <w:color w:val="3A3A3A"/>
          <w:kern w:val="0"/>
          <w:sz w:val="23"/>
          <w:szCs w:val="23"/>
          <w14:ligatures w14:val="none"/>
        </w:rPr>
      </w:pPr>
      <w:r w:rsidRPr="00CE712C">
        <w:rPr>
          <w:rFonts w:ascii="Open Sans" w:eastAsia="Times New Roman" w:hAnsi="Open Sans" w:cs="Open Sans"/>
          <w:noProof/>
          <w:color w:val="3A3A3A"/>
          <w:kern w:val="0"/>
          <w:sz w:val="23"/>
          <w:szCs w:val="23"/>
          <w14:ligatures w14:val="none"/>
        </w:rPr>
        <w:drawing>
          <wp:inline distT="0" distB="0" distL="0" distR="0" wp14:anchorId="2CE39EEA" wp14:editId="172EEC62">
            <wp:extent cx="2859405" cy="1849755"/>
            <wp:effectExtent l="0" t="0" r="0" b="0"/>
            <wp:docPr id="6643889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859405" cy="1849755"/>
                    </a:xfrm>
                    <a:prstGeom prst="rect">
                      <a:avLst/>
                    </a:prstGeom>
                    <a:noFill/>
                    <a:ln>
                      <a:noFill/>
                    </a:ln>
                  </pic:spPr>
                </pic:pic>
              </a:graphicData>
            </a:graphic>
          </wp:inline>
        </w:drawing>
      </w:r>
    </w:p>
    <w:p w14:paraId="13B547EA" w14:textId="77777777" w:rsidR="00CE712C" w:rsidRPr="00CE712C" w:rsidRDefault="00CE712C" w:rsidP="00CE712C">
      <w:pPr>
        <w:spacing w:line="240" w:lineRule="auto"/>
        <w:textAlignment w:val="baseline"/>
        <w:rPr>
          <w:rFonts w:ascii="Open Sans" w:eastAsia="Times New Roman" w:hAnsi="Open Sans" w:cs="Open Sans"/>
          <w:color w:val="3A3A3A"/>
          <w:kern w:val="0"/>
          <w:sz w:val="18"/>
          <w:szCs w:val="18"/>
          <w14:ligatures w14:val="none"/>
        </w:rPr>
      </w:pPr>
      <w:r w:rsidRPr="00CE712C">
        <w:rPr>
          <w:rFonts w:ascii="Open Sans" w:eastAsia="Times New Roman" w:hAnsi="Open Sans" w:cs="Open Sans"/>
          <w:color w:val="3A3A3A"/>
          <w:kern w:val="0"/>
          <w:sz w:val="18"/>
          <w:szCs w:val="18"/>
          <w14:ligatures w14:val="none"/>
        </w:rPr>
        <w:t xml:space="preserve">Last year, Illinois veterans </w:t>
      </w:r>
      <w:proofErr w:type="gramStart"/>
      <w:r w:rsidRPr="00CE712C">
        <w:rPr>
          <w:rFonts w:ascii="Open Sans" w:eastAsia="Times New Roman" w:hAnsi="Open Sans" w:cs="Open Sans"/>
          <w:color w:val="3A3A3A"/>
          <w:kern w:val="0"/>
          <w:sz w:val="18"/>
          <w:szCs w:val="18"/>
          <w14:ligatures w14:val="none"/>
        </w:rPr>
        <w:t>attend</w:t>
      </w:r>
      <w:proofErr w:type="gramEnd"/>
      <w:r w:rsidRPr="00CE712C">
        <w:rPr>
          <w:rFonts w:ascii="Open Sans" w:eastAsia="Times New Roman" w:hAnsi="Open Sans" w:cs="Open Sans"/>
          <w:color w:val="3A3A3A"/>
          <w:kern w:val="0"/>
          <w:sz w:val="18"/>
          <w:szCs w:val="18"/>
          <w14:ligatures w14:val="none"/>
        </w:rPr>
        <w:t xml:space="preserve"> a Desert Storm remembrance ceremony at the Illinois State Military Museum in Springfield, honoring the 18 servicemembers from the state of Illinois who passed away. Recent research indicates the Gulf War illness continues to affect a large proportion of Desert Shield/Dessert Storm veterans in patterns associated with 1990-1991 deployment and exposures. Photo by Sgt. Trenton Fouche of the Illinois National Guard Public Affairs</w:t>
      </w:r>
    </w:p>
    <w:p w14:paraId="2C94AA02" w14:textId="77777777" w:rsidR="00CE712C" w:rsidRPr="00CE712C" w:rsidRDefault="00CE712C" w:rsidP="00CE712C">
      <w:pPr>
        <w:spacing w:after="0" w:line="240" w:lineRule="auto"/>
        <w:textAlignment w:val="baseline"/>
        <w:rPr>
          <w:rFonts w:ascii="Open Sans" w:eastAsia="Times New Roman" w:hAnsi="Open Sans" w:cs="Open Sans"/>
          <w:color w:val="3A3A3A"/>
          <w:kern w:val="0"/>
          <w:sz w:val="23"/>
          <w:szCs w:val="23"/>
          <w14:ligatures w14:val="none"/>
        </w:rPr>
      </w:pPr>
      <w:r w:rsidRPr="00CE712C">
        <w:rPr>
          <w:rFonts w:ascii="Open Sans" w:eastAsia="Times New Roman" w:hAnsi="Open Sans" w:cs="Open Sans"/>
          <w:color w:val="3A3A3A"/>
          <w:kern w:val="0"/>
          <w:sz w:val="23"/>
          <w:szCs w:val="23"/>
          <w14:ligatures w14:val="none"/>
        </w:rPr>
        <w:t>HOUSTON — For many veterans who served during the 1990-1991 Gulf War era, Gulf War Illness (GWI) and chronic ill health have lasting effects nearly 30 years later, according to a recent study.</w:t>
      </w:r>
    </w:p>
    <w:p w14:paraId="5E4AEBF0" w14:textId="77777777" w:rsidR="00CE712C" w:rsidRPr="00CE712C" w:rsidRDefault="00CE712C" w:rsidP="00CE712C">
      <w:pPr>
        <w:spacing w:after="0" w:line="240" w:lineRule="auto"/>
        <w:textAlignment w:val="baseline"/>
        <w:rPr>
          <w:rFonts w:ascii="Open Sans" w:eastAsia="Times New Roman" w:hAnsi="Open Sans" w:cs="Open Sans"/>
          <w:color w:val="3A3A3A"/>
          <w:kern w:val="0"/>
          <w:sz w:val="23"/>
          <w:szCs w:val="23"/>
          <w14:ligatures w14:val="none"/>
        </w:rPr>
      </w:pPr>
      <w:r w:rsidRPr="00CE712C">
        <w:rPr>
          <w:rFonts w:ascii="Open Sans" w:eastAsia="Times New Roman" w:hAnsi="Open Sans" w:cs="Open Sans"/>
          <w:color w:val="3A3A3A"/>
          <w:kern w:val="0"/>
          <w:sz w:val="23"/>
          <w:szCs w:val="23"/>
          <w14:ligatures w14:val="none"/>
        </w:rPr>
        <w:t>The study published in the journal Environmental Health evaluated patterns of chronic ill health and GWI in the Gulf War veteran cohort of the VA Million Veteran Program (MVP), focusing on wartime exposures and key features of deployment, the researchers explained.</w:t>
      </w:r>
      <w:r w:rsidRPr="00CE712C">
        <w:rPr>
          <w:rFonts w:ascii="Open Sans" w:eastAsia="Times New Roman" w:hAnsi="Open Sans" w:cs="Open Sans"/>
          <w:color w:val="3A3A3A"/>
          <w:kern w:val="0"/>
          <w:sz w:val="18"/>
          <w:szCs w:val="18"/>
          <w:bdr w:val="none" w:sz="0" w:space="0" w:color="auto" w:frame="1"/>
          <w:vertAlign w:val="superscript"/>
          <w14:ligatures w14:val="none"/>
        </w:rPr>
        <w:t>1</w:t>
      </w:r>
    </w:p>
    <w:p w14:paraId="7B4A2E86" w14:textId="77777777" w:rsidR="00CE712C" w:rsidRPr="00CE712C" w:rsidRDefault="00CE712C" w:rsidP="00CE712C">
      <w:pPr>
        <w:spacing w:after="0" w:line="240" w:lineRule="auto"/>
        <w:textAlignment w:val="baseline"/>
        <w:rPr>
          <w:rFonts w:ascii="Open Sans" w:eastAsia="Times New Roman" w:hAnsi="Open Sans" w:cs="Open Sans"/>
          <w:color w:val="3A3A3A"/>
          <w:kern w:val="0"/>
          <w:sz w:val="23"/>
          <w:szCs w:val="23"/>
          <w14:ligatures w14:val="none"/>
        </w:rPr>
      </w:pPr>
      <w:r w:rsidRPr="00CE712C">
        <w:rPr>
          <w:rFonts w:ascii="Open Sans" w:eastAsia="Times New Roman" w:hAnsi="Open Sans" w:cs="Open Sans"/>
          <w:color w:val="3A3A3A"/>
          <w:kern w:val="0"/>
          <w:sz w:val="23"/>
          <w:szCs w:val="23"/>
          <w14:ligatures w14:val="none"/>
        </w:rPr>
        <w:t>GWI is characterized by multiple chronic symptoms, including a combination of persistent pain, fatigue and cognitive difficulties, often in combination with gastrointestinal problems, respiratory symptoms and skin abnormalities. Large studies of Gulf War veterans have determined that about one-third of the nearly 700,000 U.S. veterans who served in the Gulf War developed GWI, the study reported.</w:t>
      </w:r>
    </w:p>
    <w:p w14:paraId="67E7D0CD" w14:textId="77777777" w:rsidR="00CE712C" w:rsidRPr="00CE712C" w:rsidRDefault="00CE712C" w:rsidP="00CE712C">
      <w:pPr>
        <w:spacing w:after="0" w:line="240" w:lineRule="auto"/>
        <w:textAlignment w:val="baseline"/>
        <w:rPr>
          <w:rFonts w:ascii="Open Sans" w:eastAsia="Times New Roman" w:hAnsi="Open Sans" w:cs="Open Sans"/>
          <w:color w:val="3A3A3A"/>
          <w:kern w:val="0"/>
          <w:sz w:val="23"/>
          <w:szCs w:val="23"/>
          <w14:ligatures w14:val="none"/>
        </w:rPr>
      </w:pPr>
      <w:r w:rsidRPr="00CE712C">
        <w:rPr>
          <w:rFonts w:ascii="Open Sans" w:eastAsia="Times New Roman" w:hAnsi="Open Sans" w:cs="Open Sans"/>
          <w:color w:val="3A3A3A"/>
          <w:kern w:val="0"/>
          <w:sz w:val="23"/>
          <w:szCs w:val="23"/>
          <w14:ligatures w14:val="none"/>
        </w:rPr>
        <w:t>“GWI has been a persistent and challenging health issue for veterans of the 1990-1991 Gulf War and their healthcare providers,” Lea Steele, PhD, a professor at Baylor College of Medicine in Houston, told U.S. Medicine. “This study aimed to identify if chronic illness experienced by 1990-1991 Gulf War veterans in 2018-2020 was connected to specific Gulf War exposures or deployment factors nearly 30 years earlier.”</w:t>
      </w:r>
    </w:p>
    <w:p w14:paraId="434227B5" w14:textId="77777777" w:rsidR="00CE712C" w:rsidRPr="00CE712C" w:rsidRDefault="00CE712C" w:rsidP="00CE712C">
      <w:pPr>
        <w:spacing w:after="0" w:line="240" w:lineRule="auto"/>
        <w:textAlignment w:val="baseline"/>
        <w:rPr>
          <w:rFonts w:ascii="Open Sans" w:eastAsia="Times New Roman" w:hAnsi="Open Sans" w:cs="Open Sans"/>
          <w:color w:val="3A3A3A"/>
          <w:kern w:val="0"/>
          <w:sz w:val="23"/>
          <w:szCs w:val="23"/>
          <w14:ligatures w14:val="none"/>
        </w:rPr>
      </w:pPr>
      <w:r w:rsidRPr="00CE712C">
        <w:rPr>
          <w:rFonts w:ascii="Open Sans" w:eastAsia="Times New Roman" w:hAnsi="Open Sans" w:cs="Open Sans"/>
          <w:color w:val="3A3A3A"/>
          <w:kern w:val="0"/>
          <w:sz w:val="23"/>
          <w:szCs w:val="23"/>
          <w14:ligatures w14:val="none"/>
        </w:rPr>
        <w:t>“By assessing the large group of 1990-1991 Gulf War veterans in the VA’s Million Veteran Program, we aimed to identify any clear linkage patterns in health outcomes and exposures. These insights will help ongoing research, especially studies on gene-exposure interactions related to GWI,” Steele added.</w:t>
      </w:r>
    </w:p>
    <w:p w14:paraId="5BFA1F6C" w14:textId="77777777" w:rsidR="00CE712C" w:rsidRPr="00CE712C" w:rsidRDefault="00CE712C" w:rsidP="00CE712C">
      <w:pPr>
        <w:spacing w:after="0" w:line="240" w:lineRule="auto"/>
        <w:textAlignment w:val="baseline"/>
        <w:rPr>
          <w:rFonts w:ascii="Open Sans" w:eastAsia="Times New Roman" w:hAnsi="Open Sans" w:cs="Open Sans"/>
          <w:color w:val="3A3A3A"/>
          <w:kern w:val="0"/>
          <w:sz w:val="23"/>
          <w:szCs w:val="23"/>
          <w14:ligatures w14:val="none"/>
        </w:rPr>
      </w:pPr>
      <w:r w:rsidRPr="00CE712C">
        <w:rPr>
          <w:rFonts w:ascii="Open Sans" w:eastAsia="Times New Roman" w:hAnsi="Open Sans" w:cs="Open Sans"/>
          <w:color w:val="3A3A3A"/>
          <w:kern w:val="0"/>
          <w:sz w:val="23"/>
          <w:szCs w:val="23"/>
          <w14:ligatures w14:val="none"/>
        </w:rPr>
        <w:lastRenderedPageBreak/>
        <w:t>The study included MVP participants who completed the MVP Gulf War Era Survey from 2018 to 2020, providing details about their health, Gulf War exposures, and deployment time periods and locations. The Gulf War veteran cohort of 14,103 veterans represents the largest sample of U.S. Gulf War veterans studied to date, with similarities to the overall population of U.S. Gulf War veterans, according to the investigators. The authors performed statistical analyses to determine associations of three defined GWI/ill health outcomes with Gulf War deployment characteristics and exposures</w:t>
      </w:r>
    </w:p>
    <w:p w14:paraId="259455D1" w14:textId="77777777" w:rsidR="00CE712C" w:rsidRPr="00CE712C" w:rsidRDefault="00CE712C" w:rsidP="00CE712C">
      <w:pPr>
        <w:spacing w:after="0" w:line="240" w:lineRule="auto"/>
        <w:textAlignment w:val="baseline"/>
        <w:rPr>
          <w:rFonts w:ascii="Open Sans" w:eastAsia="Times New Roman" w:hAnsi="Open Sans" w:cs="Open Sans"/>
          <w:color w:val="3A3A3A"/>
          <w:kern w:val="0"/>
          <w:sz w:val="23"/>
          <w:szCs w:val="23"/>
          <w14:ligatures w14:val="none"/>
        </w:rPr>
      </w:pPr>
      <w:r w:rsidRPr="00CE712C">
        <w:rPr>
          <w:rFonts w:ascii="Open Sans" w:eastAsia="Times New Roman" w:hAnsi="Open Sans" w:cs="Open Sans"/>
          <w:color w:val="3A3A3A"/>
          <w:kern w:val="0"/>
          <w:sz w:val="23"/>
          <w:szCs w:val="23"/>
          <w14:ligatures w14:val="none"/>
        </w:rPr>
        <w:t>The authors concluded that GWI and chronic ill health continue to affect a large proportion of Gulf War veterans in patterns associated with 1990-1991 Gulf War deployment and exposures.</w:t>
      </w:r>
    </w:p>
    <w:p w14:paraId="46ACF5C3" w14:textId="77777777" w:rsidR="00CE712C" w:rsidRPr="00CE712C" w:rsidRDefault="00CE712C" w:rsidP="00CE712C">
      <w:pPr>
        <w:spacing w:after="0" w:line="312" w:lineRule="atLeast"/>
        <w:textAlignment w:val="baseline"/>
        <w:outlineLvl w:val="2"/>
        <w:rPr>
          <w:rFonts w:ascii="Georgia" w:eastAsia="Times New Roman" w:hAnsi="Georgia" w:cs="Open Sans"/>
          <w:b/>
          <w:bCs/>
          <w:color w:val="333333"/>
          <w:kern w:val="0"/>
          <w:sz w:val="33"/>
          <w:szCs w:val="33"/>
          <w14:ligatures w14:val="none"/>
        </w:rPr>
      </w:pPr>
      <w:r w:rsidRPr="00CE712C">
        <w:rPr>
          <w:rFonts w:ascii="Georgia" w:eastAsia="Times New Roman" w:hAnsi="Georgia" w:cs="Open Sans"/>
          <w:b/>
          <w:bCs/>
          <w:color w:val="333333"/>
          <w:kern w:val="0"/>
          <w:sz w:val="33"/>
          <w:szCs w:val="33"/>
          <w14:ligatures w14:val="none"/>
        </w:rPr>
        <w:t>30 Years Later</w:t>
      </w:r>
    </w:p>
    <w:p w14:paraId="745D1493" w14:textId="4E82D9C2" w:rsidR="00CE712C" w:rsidRPr="00CE712C" w:rsidRDefault="00CE712C" w:rsidP="00CE712C">
      <w:pPr>
        <w:shd w:val="clear" w:color="auto" w:fill="F3F3F3"/>
        <w:spacing w:after="0" w:line="240" w:lineRule="auto"/>
        <w:jc w:val="center"/>
        <w:textAlignment w:val="baseline"/>
        <w:rPr>
          <w:rFonts w:ascii="Open Sans" w:eastAsia="Times New Roman" w:hAnsi="Open Sans" w:cs="Open Sans"/>
          <w:color w:val="3A3A3A"/>
          <w:kern w:val="0"/>
          <w:sz w:val="23"/>
          <w:szCs w:val="23"/>
          <w14:ligatures w14:val="none"/>
        </w:rPr>
      </w:pPr>
      <w:r w:rsidRPr="00CE712C">
        <w:rPr>
          <w:rFonts w:ascii="Open Sans" w:eastAsia="Times New Roman" w:hAnsi="Open Sans" w:cs="Open Sans"/>
          <w:noProof/>
          <w:color w:val="003E7E"/>
          <w:kern w:val="0"/>
          <w:sz w:val="23"/>
          <w:szCs w:val="23"/>
          <w:bdr w:val="none" w:sz="0" w:space="0" w:color="auto" w:frame="1"/>
          <w14:ligatures w14:val="none"/>
        </w:rPr>
        <w:drawing>
          <wp:inline distT="0" distB="0" distL="0" distR="0" wp14:anchorId="3354331A" wp14:editId="0F33BA68">
            <wp:extent cx="3382645" cy="3435350"/>
            <wp:effectExtent l="0" t="0" r="8255" b="0"/>
            <wp:docPr id="1720545360" name="Picture 1">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a:hlinkClick r:id="rId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82645" cy="3435350"/>
                    </a:xfrm>
                    <a:prstGeom prst="rect">
                      <a:avLst/>
                    </a:prstGeom>
                    <a:noFill/>
                    <a:ln>
                      <a:noFill/>
                    </a:ln>
                  </pic:spPr>
                </pic:pic>
              </a:graphicData>
            </a:graphic>
          </wp:inline>
        </w:drawing>
      </w:r>
    </w:p>
    <w:p w14:paraId="31EB4A55" w14:textId="77777777" w:rsidR="00CE712C" w:rsidRPr="00CE712C" w:rsidRDefault="00CE712C" w:rsidP="00CE712C">
      <w:pPr>
        <w:spacing w:line="240" w:lineRule="auto"/>
        <w:textAlignment w:val="baseline"/>
        <w:rPr>
          <w:rFonts w:ascii="Open Sans" w:eastAsia="Times New Roman" w:hAnsi="Open Sans" w:cs="Open Sans"/>
          <w:color w:val="3A3A3A"/>
          <w:kern w:val="0"/>
          <w:sz w:val="18"/>
          <w:szCs w:val="18"/>
          <w14:ligatures w14:val="none"/>
        </w:rPr>
      </w:pPr>
      <w:r w:rsidRPr="00CE712C">
        <w:rPr>
          <w:rFonts w:ascii="Open Sans" w:eastAsia="Times New Roman" w:hAnsi="Open Sans" w:cs="Open Sans"/>
          <w:color w:val="3A3A3A"/>
          <w:kern w:val="0"/>
          <w:sz w:val="18"/>
          <w:szCs w:val="18"/>
          <w14:ligatures w14:val="none"/>
        </w:rPr>
        <w:t>1990–1991 Gulf War theater of operations and timeline </w:t>
      </w:r>
      <w:r w:rsidRPr="00CE712C">
        <w:rPr>
          <w:rFonts w:ascii="Open Sans" w:eastAsia="Times New Roman" w:hAnsi="Open Sans" w:cs="Open Sans"/>
          <w:i/>
          <w:iCs/>
          <w:color w:val="3A3A3A"/>
          <w:kern w:val="0"/>
          <w:sz w:val="18"/>
          <w:szCs w:val="18"/>
          <w:bdr w:val="none" w:sz="0" w:space="0" w:color="auto" w:frame="1"/>
          <w14:ligatures w14:val="none"/>
        </w:rPr>
        <w:t>Source: Environmental Health</w:t>
      </w:r>
    </w:p>
    <w:p w14:paraId="2A8F6D55" w14:textId="77777777" w:rsidR="00CE712C" w:rsidRPr="00CE712C" w:rsidRDefault="00CE712C" w:rsidP="00CE712C">
      <w:pPr>
        <w:spacing w:after="0" w:line="240" w:lineRule="auto"/>
        <w:textAlignment w:val="baseline"/>
        <w:rPr>
          <w:rFonts w:ascii="Open Sans" w:eastAsia="Times New Roman" w:hAnsi="Open Sans" w:cs="Open Sans"/>
          <w:color w:val="3A3A3A"/>
          <w:kern w:val="0"/>
          <w:sz w:val="23"/>
          <w:szCs w:val="23"/>
          <w14:ligatures w14:val="none"/>
        </w:rPr>
      </w:pPr>
      <w:r w:rsidRPr="00CE712C">
        <w:rPr>
          <w:rFonts w:ascii="Open Sans" w:eastAsia="Times New Roman" w:hAnsi="Open Sans" w:cs="Open Sans"/>
          <w:color w:val="3A3A3A"/>
          <w:kern w:val="0"/>
          <w:sz w:val="23"/>
          <w:szCs w:val="23"/>
          <w14:ligatures w14:val="none"/>
        </w:rPr>
        <w:t>“Nearly 30 years after the 1990-1991 Gulf War, many veterans still experience chronic illness associated with their service,” Steele said. “Nearly half of the 14,103 1990-1991 Gulf War veterans surveyed rated their health as fair or poor. Thirty-one percent met CDC (Centers for Disease Control and Prevention) criteria for severe GWI, and 20% had received a GWI diagnosis from a healthcare provider.”</w:t>
      </w:r>
    </w:p>
    <w:p w14:paraId="5B62102C" w14:textId="77777777" w:rsidR="00CE712C" w:rsidRPr="00CE712C" w:rsidRDefault="00CE712C" w:rsidP="00CE712C">
      <w:pPr>
        <w:spacing w:after="0" w:line="240" w:lineRule="auto"/>
        <w:textAlignment w:val="baseline"/>
        <w:rPr>
          <w:rFonts w:ascii="Open Sans" w:eastAsia="Times New Roman" w:hAnsi="Open Sans" w:cs="Open Sans"/>
          <w:color w:val="3A3A3A"/>
          <w:kern w:val="0"/>
          <w:sz w:val="23"/>
          <w:szCs w:val="23"/>
          <w14:ligatures w14:val="none"/>
        </w:rPr>
      </w:pPr>
      <w:r w:rsidRPr="00CE712C">
        <w:rPr>
          <w:rFonts w:ascii="Open Sans" w:eastAsia="Times New Roman" w:hAnsi="Open Sans" w:cs="Open Sans"/>
          <w:color w:val="3A3A3A"/>
          <w:kern w:val="0"/>
          <w:sz w:val="23"/>
          <w:szCs w:val="23"/>
          <w14:ligatures w14:val="none"/>
        </w:rPr>
        <w:t>Steele reported that rates of GWI and veteran-reported ill health were highest among Army and Marine Corps veterans, enlisted ranks, younger veterans and those deployed in certain time periods and locations.</w:t>
      </w:r>
    </w:p>
    <w:p w14:paraId="5C134DF6" w14:textId="77777777" w:rsidR="00CE712C" w:rsidRPr="00CE712C" w:rsidRDefault="00CE712C" w:rsidP="00CE712C">
      <w:pPr>
        <w:spacing w:after="0" w:line="240" w:lineRule="auto"/>
        <w:textAlignment w:val="baseline"/>
        <w:rPr>
          <w:rFonts w:ascii="Open Sans" w:eastAsia="Times New Roman" w:hAnsi="Open Sans" w:cs="Open Sans"/>
          <w:color w:val="3A3A3A"/>
          <w:kern w:val="0"/>
          <w:sz w:val="23"/>
          <w:szCs w:val="23"/>
          <w14:ligatures w14:val="none"/>
        </w:rPr>
      </w:pPr>
      <w:r w:rsidRPr="00CE712C">
        <w:rPr>
          <w:rFonts w:ascii="Open Sans" w:eastAsia="Times New Roman" w:hAnsi="Open Sans" w:cs="Open Sans"/>
          <w:color w:val="3A3A3A"/>
          <w:kern w:val="0"/>
          <w:sz w:val="23"/>
          <w:szCs w:val="23"/>
          <w14:ligatures w14:val="none"/>
        </w:rPr>
        <w:t xml:space="preserve">The analysis identified clear patterns of </w:t>
      </w:r>
      <w:proofErr w:type="gramStart"/>
      <w:r w:rsidRPr="00CE712C">
        <w:rPr>
          <w:rFonts w:ascii="Open Sans" w:eastAsia="Times New Roman" w:hAnsi="Open Sans" w:cs="Open Sans"/>
          <w:color w:val="3A3A3A"/>
          <w:kern w:val="0"/>
          <w:sz w:val="23"/>
          <w:szCs w:val="23"/>
          <w14:ligatures w14:val="none"/>
        </w:rPr>
        <w:t>GWI</w:t>
      </w:r>
      <w:proofErr w:type="gramEnd"/>
      <w:r w:rsidRPr="00CE712C">
        <w:rPr>
          <w:rFonts w:ascii="Open Sans" w:eastAsia="Times New Roman" w:hAnsi="Open Sans" w:cs="Open Sans"/>
          <w:color w:val="3A3A3A"/>
          <w:kern w:val="0"/>
          <w:sz w:val="23"/>
          <w:szCs w:val="23"/>
          <w14:ligatures w14:val="none"/>
        </w:rPr>
        <w:t xml:space="preserve"> and ill health based on veterans’ deployment locations and time periods of service during the 1990-1991 Gulf War. The </w:t>
      </w:r>
      <w:r w:rsidRPr="00CE712C">
        <w:rPr>
          <w:rFonts w:ascii="Open Sans" w:eastAsia="Times New Roman" w:hAnsi="Open Sans" w:cs="Open Sans"/>
          <w:color w:val="3A3A3A"/>
          <w:kern w:val="0"/>
          <w:sz w:val="23"/>
          <w:szCs w:val="23"/>
          <w14:ligatures w14:val="none"/>
        </w:rPr>
        <w:lastRenderedPageBreak/>
        <w:t>highest illness rates were consistently identified among Gulf War veterans who served for at least 7 days in Iraq and Kuwait, where nearly all battles had occurred, as well as among veterans who were in theater during the period of active hostilities (January to February 1991) and remained through the summer of 1991, according to the authors.</w:t>
      </w:r>
    </w:p>
    <w:p w14:paraId="6BA2B85F" w14:textId="77777777" w:rsidR="00CE712C" w:rsidRPr="00CE712C" w:rsidRDefault="00CE712C" w:rsidP="00CE712C">
      <w:pPr>
        <w:spacing w:after="0" w:line="240" w:lineRule="auto"/>
        <w:textAlignment w:val="baseline"/>
        <w:rPr>
          <w:rFonts w:ascii="Open Sans" w:eastAsia="Times New Roman" w:hAnsi="Open Sans" w:cs="Open Sans"/>
          <w:color w:val="3A3A3A"/>
          <w:kern w:val="0"/>
          <w:sz w:val="23"/>
          <w:szCs w:val="23"/>
          <w14:ligatures w14:val="none"/>
        </w:rPr>
      </w:pPr>
      <w:r w:rsidRPr="00CE712C">
        <w:rPr>
          <w:rFonts w:ascii="Open Sans" w:eastAsia="Times New Roman" w:hAnsi="Open Sans" w:cs="Open Sans"/>
          <w:color w:val="3A3A3A"/>
          <w:kern w:val="0"/>
          <w:sz w:val="23"/>
          <w:szCs w:val="23"/>
          <w14:ligatures w14:val="none"/>
        </w:rPr>
        <w:t>In addition, the study revealed that GWI had the strongest associations with three exposures during Gulf War deployment: reported exposure to chemical/biological agents, use of pyridostigmine bromide pills (to protect against nerve agents) and pesticides, Steele pointed out.</w:t>
      </w:r>
    </w:p>
    <w:p w14:paraId="5C8804D4" w14:textId="77777777" w:rsidR="00CE712C" w:rsidRPr="00CE712C" w:rsidRDefault="00CE712C" w:rsidP="00CE712C">
      <w:pPr>
        <w:spacing w:after="0" w:line="240" w:lineRule="auto"/>
        <w:textAlignment w:val="baseline"/>
        <w:rPr>
          <w:rFonts w:ascii="Open Sans" w:eastAsia="Times New Roman" w:hAnsi="Open Sans" w:cs="Open Sans"/>
          <w:color w:val="3A3A3A"/>
          <w:kern w:val="0"/>
          <w:sz w:val="23"/>
          <w:szCs w:val="23"/>
          <w14:ligatures w14:val="none"/>
        </w:rPr>
      </w:pPr>
      <w:r w:rsidRPr="00CE712C">
        <w:rPr>
          <w:rFonts w:ascii="Open Sans" w:eastAsia="Times New Roman" w:hAnsi="Open Sans" w:cs="Open Sans"/>
          <w:color w:val="3A3A3A"/>
          <w:kern w:val="0"/>
          <w:sz w:val="23"/>
          <w:szCs w:val="23"/>
          <w14:ligatures w14:val="none"/>
        </w:rPr>
        <w:t>“The study’s results show that GWI isn’t a general effect of deployment or just a result of aging,” Steele said. “Instead, it’s consistently linked to specific times and locations of deployment, as well as to certain exposures during the Gulf War.”</w:t>
      </w:r>
    </w:p>
    <w:p w14:paraId="692E1DA4" w14:textId="77777777" w:rsidR="00CE712C" w:rsidRPr="00CE712C" w:rsidRDefault="00CE712C" w:rsidP="00CE712C">
      <w:pPr>
        <w:spacing w:after="0" w:line="240" w:lineRule="auto"/>
        <w:textAlignment w:val="baseline"/>
        <w:rPr>
          <w:rFonts w:ascii="Open Sans" w:eastAsia="Times New Roman" w:hAnsi="Open Sans" w:cs="Open Sans"/>
          <w:color w:val="3A3A3A"/>
          <w:kern w:val="0"/>
          <w:sz w:val="23"/>
          <w:szCs w:val="23"/>
          <w14:ligatures w14:val="none"/>
        </w:rPr>
      </w:pPr>
      <w:r w:rsidRPr="00CE712C">
        <w:rPr>
          <w:rFonts w:ascii="Open Sans" w:eastAsia="Times New Roman" w:hAnsi="Open Sans" w:cs="Open Sans"/>
          <w:color w:val="3A3A3A"/>
          <w:kern w:val="0"/>
          <w:sz w:val="23"/>
          <w:szCs w:val="23"/>
          <w14:ligatures w14:val="none"/>
        </w:rPr>
        <w:t>It’s important for healthcare providers working with 1990-1991 Gulf War veterans who are experiencing health problems to ask questions, Drew A. Helmer, MD, MS, professor of medicine and health services research at Baylor College of Medicine, told U.S. Medicine.</w:t>
      </w:r>
    </w:p>
    <w:p w14:paraId="29341A9C" w14:textId="77777777" w:rsidR="00CE712C" w:rsidRPr="00CE712C" w:rsidRDefault="00CE712C" w:rsidP="00CE712C">
      <w:pPr>
        <w:spacing w:after="0" w:line="240" w:lineRule="auto"/>
        <w:textAlignment w:val="baseline"/>
        <w:rPr>
          <w:rFonts w:ascii="Open Sans" w:eastAsia="Times New Roman" w:hAnsi="Open Sans" w:cs="Open Sans"/>
          <w:color w:val="3A3A3A"/>
          <w:kern w:val="0"/>
          <w:sz w:val="23"/>
          <w:szCs w:val="23"/>
          <w14:ligatures w14:val="none"/>
        </w:rPr>
      </w:pPr>
      <w:r w:rsidRPr="00CE712C">
        <w:rPr>
          <w:rFonts w:ascii="Open Sans" w:eastAsia="Times New Roman" w:hAnsi="Open Sans" w:cs="Open Sans"/>
          <w:color w:val="3A3A3A"/>
          <w:kern w:val="0"/>
          <w:sz w:val="23"/>
          <w:szCs w:val="23"/>
          <w14:ligatures w14:val="none"/>
        </w:rPr>
        <w:t>“When treating deployed Gulf War veterans, ask if they have ongoing symptoms and discuss their deployment history—where and when they served and if they recall any exposures of concern,” Helmer said. “Note their answers in your progress notes, which demonstrates your attention to their concerns and validates their experiences.”</w:t>
      </w:r>
    </w:p>
    <w:p w14:paraId="4EED9A14" w14:textId="77777777" w:rsidR="00CE712C" w:rsidRPr="00CE712C" w:rsidRDefault="00CE712C" w:rsidP="00CE712C">
      <w:pPr>
        <w:spacing w:after="0" w:line="240" w:lineRule="auto"/>
        <w:textAlignment w:val="baseline"/>
        <w:rPr>
          <w:rFonts w:ascii="Open Sans" w:eastAsia="Times New Roman" w:hAnsi="Open Sans" w:cs="Open Sans"/>
          <w:color w:val="3A3A3A"/>
          <w:kern w:val="0"/>
          <w:sz w:val="23"/>
          <w:szCs w:val="23"/>
          <w14:ligatures w14:val="none"/>
        </w:rPr>
      </w:pPr>
      <w:r w:rsidRPr="00CE712C">
        <w:rPr>
          <w:rFonts w:ascii="Open Sans" w:eastAsia="Times New Roman" w:hAnsi="Open Sans" w:cs="Open Sans"/>
          <w:color w:val="3A3A3A"/>
          <w:kern w:val="0"/>
          <w:sz w:val="23"/>
          <w:szCs w:val="23"/>
          <w14:ligatures w14:val="none"/>
        </w:rPr>
        <w:t>Helmer noted that several treatment and other Gulf War information resources are available to share with patients.</w:t>
      </w:r>
    </w:p>
    <w:p w14:paraId="0C3CCF14" w14:textId="77777777" w:rsidR="00CE712C" w:rsidRPr="00CE712C" w:rsidRDefault="00CE712C" w:rsidP="00CE712C">
      <w:pPr>
        <w:spacing w:after="0" w:line="240" w:lineRule="auto"/>
        <w:textAlignment w:val="baseline"/>
        <w:rPr>
          <w:rFonts w:ascii="Open Sans" w:eastAsia="Times New Roman" w:hAnsi="Open Sans" w:cs="Open Sans"/>
          <w:color w:val="3A3A3A"/>
          <w:kern w:val="0"/>
          <w:sz w:val="23"/>
          <w:szCs w:val="23"/>
          <w14:ligatures w14:val="none"/>
        </w:rPr>
      </w:pPr>
      <w:r w:rsidRPr="00CE712C">
        <w:rPr>
          <w:rFonts w:ascii="Open Sans" w:eastAsia="Times New Roman" w:hAnsi="Open Sans" w:cs="Open Sans"/>
          <w:b/>
          <w:bCs/>
          <w:color w:val="3A3A3A"/>
          <w:kern w:val="0"/>
          <w:sz w:val="23"/>
          <w:szCs w:val="23"/>
          <w:bdr w:val="none" w:sz="0" w:space="0" w:color="auto" w:frame="1"/>
          <w14:ligatures w14:val="none"/>
        </w:rPr>
        <w:t>These include:</w:t>
      </w:r>
    </w:p>
    <w:p w14:paraId="13E0F5A1" w14:textId="77777777" w:rsidR="00CE712C" w:rsidRPr="00CE712C" w:rsidRDefault="00CE712C" w:rsidP="00CE712C">
      <w:pPr>
        <w:numPr>
          <w:ilvl w:val="0"/>
          <w:numId w:val="1"/>
        </w:numPr>
        <w:spacing w:after="0" w:line="390" w:lineRule="atLeast"/>
        <w:textAlignment w:val="baseline"/>
        <w:rPr>
          <w:rFonts w:ascii="Open Sans" w:eastAsia="Times New Roman" w:hAnsi="Open Sans" w:cs="Open Sans"/>
          <w:color w:val="3A3A3A"/>
          <w:kern w:val="0"/>
          <w:sz w:val="23"/>
          <w:szCs w:val="23"/>
          <w14:ligatures w14:val="none"/>
        </w:rPr>
      </w:pPr>
      <w:r w:rsidRPr="00CE712C">
        <w:rPr>
          <w:rFonts w:ascii="Open Sans" w:eastAsia="Times New Roman" w:hAnsi="Open Sans" w:cs="Open Sans"/>
          <w:color w:val="3A3A3A"/>
          <w:kern w:val="0"/>
          <w:sz w:val="23"/>
          <w:szCs w:val="23"/>
          <w14:ligatures w14:val="none"/>
        </w:rPr>
        <w:t xml:space="preserve">The VA/DoD Clinical Practice Guideline for the Management of Chronic </w:t>
      </w:r>
      <w:proofErr w:type="spellStart"/>
      <w:r w:rsidRPr="00CE712C">
        <w:rPr>
          <w:rFonts w:ascii="Open Sans" w:eastAsia="Times New Roman" w:hAnsi="Open Sans" w:cs="Open Sans"/>
          <w:color w:val="3A3A3A"/>
          <w:kern w:val="0"/>
          <w:sz w:val="23"/>
          <w:szCs w:val="23"/>
          <w14:ligatures w14:val="none"/>
        </w:rPr>
        <w:t>Multisymptom</w:t>
      </w:r>
      <w:proofErr w:type="spellEnd"/>
      <w:r w:rsidRPr="00CE712C">
        <w:rPr>
          <w:rFonts w:ascii="Open Sans" w:eastAsia="Times New Roman" w:hAnsi="Open Sans" w:cs="Open Sans"/>
          <w:color w:val="3A3A3A"/>
          <w:kern w:val="0"/>
          <w:sz w:val="23"/>
          <w:szCs w:val="23"/>
          <w14:ligatures w14:val="none"/>
        </w:rPr>
        <w:t xml:space="preserve"> Illness provides a thorough overview of evidence-supported treatments for chronic symptoms relevant to veterans with GWI: </w:t>
      </w:r>
      <w:hyperlink r:id="rId9" w:history="1">
        <w:r w:rsidRPr="00CE712C">
          <w:rPr>
            <w:rFonts w:ascii="Open Sans" w:eastAsia="Times New Roman" w:hAnsi="Open Sans" w:cs="Open Sans"/>
            <w:color w:val="003E7E"/>
            <w:kern w:val="0"/>
            <w:sz w:val="23"/>
            <w:szCs w:val="23"/>
            <w:bdr w:val="none" w:sz="0" w:space="0" w:color="auto" w:frame="1"/>
            <w14:ligatures w14:val="none"/>
          </w:rPr>
          <w:t>https://www.healthquality.va.gov/guidelines/mr/cmi/</w:t>
        </w:r>
      </w:hyperlink>
      <w:r w:rsidRPr="00CE712C">
        <w:rPr>
          <w:rFonts w:ascii="Open Sans" w:eastAsia="Times New Roman" w:hAnsi="Open Sans" w:cs="Open Sans"/>
          <w:color w:val="3A3A3A"/>
          <w:kern w:val="0"/>
          <w:sz w:val="23"/>
          <w:szCs w:val="23"/>
          <w14:ligatures w14:val="none"/>
        </w:rPr>
        <w:t>.</w:t>
      </w:r>
    </w:p>
    <w:p w14:paraId="383BE047" w14:textId="77777777" w:rsidR="00CE712C" w:rsidRPr="00CE712C" w:rsidRDefault="00CE712C" w:rsidP="00CE712C">
      <w:pPr>
        <w:numPr>
          <w:ilvl w:val="0"/>
          <w:numId w:val="1"/>
        </w:numPr>
        <w:spacing w:after="0" w:line="390" w:lineRule="atLeast"/>
        <w:textAlignment w:val="baseline"/>
        <w:rPr>
          <w:rFonts w:ascii="Open Sans" w:eastAsia="Times New Roman" w:hAnsi="Open Sans" w:cs="Open Sans"/>
          <w:color w:val="3A3A3A"/>
          <w:kern w:val="0"/>
          <w:sz w:val="23"/>
          <w:szCs w:val="23"/>
          <w14:ligatures w14:val="none"/>
        </w:rPr>
      </w:pPr>
      <w:r w:rsidRPr="00CE712C">
        <w:rPr>
          <w:rFonts w:ascii="Open Sans" w:eastAsia="Times New Roman" w:hAnsi="Open Sans" w:cs="Open Sans"/>
          <w:color w:val="3A3A3A"/>
          <w:kern w:val="0"/>
          <w:sz w:val="23"/>
          <w:szCs w:val="23"/>
          <w14:ligatures w14:val="none"/>
        </w:rPr>
        <w:t>The VA Health Outcomes Military Exposure Program website provides information on Gulf War exposures: </w:t>
      </w:r>
      <w:hyperlink r:id="rId10" w:history="1">
        <w:r w:rsidRPr="00CE712C">
          <w:rPr>
            <w:rFonts w:ascii="Open Sans" w:eastAsia="Times New Roman" w:hAnsi="Open Sans" w:cs="Open Sans"/>
            <w:color w:val="003E7E"/>
            <w:kern w:val="0"/>
            <w:sz w:val="23"/>
            <w:szCs w:val="23"/>
            <w:bdr w:val="none" w:sz="0" w:space="0" w:color="auto" w:frame="1"/>
            <w14:ligatures w14:val="none"/>
          </w:rPr>
          <w:t>https://www.publichealth.va.gov/exposures/gulfwar/index.asp</w:t>
        </w:r>
      </w:hyperlink>
      <w:r w:rsidRPr="00CE712C">
        <w:rPr>
          <w:rFonts w:ascii="Open Sans" w:eastAsia="Times New Roman" w:hAnsi="Open Sans" w:cs="Open Sans"/>
          <w:color w:val="3A3A3A"/>
          <w:kern w:val="0"/>
          <w:sz w:val="23"/>
          <w:szCs w:val="23"/>
          <w14:ligatures w14:val="none"/>
        </w:rPr>
        <w:t>.</w:t>
      </w:r>
    </w:p>
    <w:p w14:paraId="6C17E5DF" w14:textId="77777777" w:rsidR="00CE712C" w:rsidRPr="00CE712C" w:rsidRDefault="00CE712C" w:rsidP="00CE712C">
      <w:pPr>
        <w:numPr>
          <w:ilvl w:val="0"/>
          <w:numId w:val="1"/>
        </w:numPr>
        <w:spacing w:after="0" w:line="390" w:lineRule="atLeast"/>
        <w:textAlignment w:val="baseline"/>
        <w:rPr>
          <w:rFonts w:ascii="Open Sans" w:eastAsia="Times New Roman" w:hAnsi="Open Sans" w:cs="Open Sans"/>
          <w:color w:val="3A3A3A"/>
          <w:kern w:val="0"/>
          <w:sz w:val="23"/>
          <w:szCs w:val="23"/>
          <w14:ligatures w14:val="none"/>
        </w:rPr>
      </w:pPr>
      <w:r w:rsidRPr="00CE712C">
        <w:rPr>
          <w:rFonts w:ascii="Open Sans" w:eastAsia="Times New Roman" w:hAnsi="Open Sans" w:cs="Open Sans"/>
          <w:color w:val="3A3A3A"/>
          <w:kern w:val="0"/>
          <w:sz w:val="23"/>
          <w:szCs w:val="23"/>
          <w14:ligatures w14:val="none"/>
        </w:rPr>
        <w:t>Information on Gulf War-related research can be found at the Gulf War Veterans’ Illnesses Research Advisory Committee website: </w:t>
      </w:r>
      <w:hyperlink r:id="rId11" w:history="1">
        <w:r w:rsidRPr="00CE712C">
          <w:rPr>
            <w:rFonts w:ascii="Open Sans" w:eastAsia="Times New Roman" w:hAnsi="Open Sans" w:cs="Open Sans"/>
            <w:color w:val="003E7E"/>
            <w:kern w:val="0"/>
            <w:sz w:val="23"/>
            <w:szCs w:val="23"/>
            <w:bdr w:val="none" w:sz="0" w:space="0" w:color="auto" w:frame="1"/>
            <w14:ligatures w14:val="none"/>
          </w:rPr>
          <w:t>https://www.va.gov/RAC-GWVI/index.asp</w:t>
        </w:r>
      </w:hyperlink>
      <w:r w:rsidRPr="00CE712C">
        <w:rPr>
          <w:rFonts w:ascii="Open Sans" w:eastAsia="Times New Roman" w:hAnsi="Open Sans" w:cs="Open Sans"/>
          <w:color w:val="3A3A3A"/>
          <w:kern w:val="0"/>
          <w:sz w:val="23"/>
          <w:szCs w:val="23"/>
          <w14:ligatures w14:val="none"/>
        </w:rPr>
        <w:t>.</w:t>
      </w:r>
    </w:p>
    <w:p w14:paraId="6BDA934C" w14:textId="77777777" w:rsidR="00CE712C" w:rsidRPr="00CE712C" w:rsidRDefault="00CE712C" w:rsidP="00CE712C">
      <w:pPr>
        <w:spacing w:after="0" w:line="240" w:lineRule="auto"/>
        <w:textAlignment w:val="baseline"/>
        <w:rPr>
          <w:rFonts w:ascii="Open Sans" w:eastAsia="Times New Roman" w:hAnsi="Open Sans" w:cs="Open Sans"/>
          <w:color w:val="3A3A3A"/>
          <w:kern w:val="0"/>
          <w:sz w:val="23"/>
          <w:szCs w:val="23"/>
          <w14:ligatures w14:val="none"/>
        </w:rPr>
      </w:pPr>
      <w:r w:rsidRPr="00CE712C">
        <w:rPr>
          <w:rFonts w:ascii="Open Sans" w:eastAsia="Times New Roman" w:hAnsi="Open Sans" w:cs="Open Sans"/>
          <w:color w:val="3A3A3A"/>
          <w:kern w:val="0"/>
          <w:sz w:val="23"/>
          <w:szCs w:val="23"/>
          <w14:ligatures w14:val="none"/>
        </w:rPr>
        <w:t>“Our findings highlight the urgent need to better understand the biology behind GWI and to identify effective treatments for this condition,” Steele added. “This remains a priority as we work to improve care for 1990-1991 Gulf War veterans with long-term health challenges.”</w:t>
      </w:r>
    </w:p>
    <w:p w14:paraId="3B51AB0B" w14:textId="77777777" w:rsidR="00CE712C" w:rsidRPr="00CE712C" w:rsidRDefault="00CE712C" w:rsidP="00CE712C">
      <w:pPr>
        <w:spacing w:after="0" w:line="240" w:lineRule="auto"/>
        <w:textAlignment w:val="baseline"/>
        <w:rPr>
          <w:rFonts w:ascii="Open Sans" w:eastAsia="Times New Roman" w:hAnsi="Open Sans" w:cs="Open Sans"/>
          <w:color w:val="3A3A3A"/>
          <w:kern w:val="0"/>
          <w:sz w:val="23"/>
          <w:szCs w:val="23"/>
          <w14:ligatures w14:val="none"/>
        </w:rPr>
      </w:pPr>
      <w:r w:rsidRPr="00CE712C">
        <w:rPr>
          <w:rFonts w:ascii="Open Sans" w:eastAsia="Times New Roman" w:hAnsi="Open Sans" w:cs="Open Sans"/>
          <w:color w:val="3A3A3A"/>
          <w:kern w:val="0"/>
          <w:sz w:val="23"/>
          <w:szCs w:val="23"/>
          <w14:ligatures w14:val="none"/>
        </w:rPr>
        <w:t> </w:t>
      </w:r>
    </w:p>
    <w:p w14:paraId="471B9625" w14:textId="77777777" w:rsidR="00CE712C" w:rsidRPr="00CE712C" w:rsidRDefault="00CE712C" w:rsidP="00CE712C">
      <w:pPr>
        <w:numPr>
          <w:ilvl w:val="0"/>
          <w:numId w:val="2"/>
        </w:numPr>
        <w:spacing w:after="0" w:line="390" w:lineRule="atLeast"/>
        <w:textAlignment w:val="baseline"/>
        <w:rPr>
          <w:rFonts w:ascii="Open Sans" w:eastAsia="Times New Roman" w:hAnsi="Open Sans" w:cs="Open Sans"/>
          <w:color w:val="3A3A3A"/>
          <w:kern w:val="0"/>
          <w:sz w:val="23"/>
          <w:szCs w:val="23"/>
          <w14:ligatures w14:val="none"/>
        </w:rPr>
      </w:pPr>
      <w:r w:rsidRPr="00CE712C">
        <w:rPr>
          <w:rFonts w:ascii="Open Sans" w:eastAsia="Times New Roman" w:hAnsi="Open Sans" w:cs="Open Sans"/>
          <w:color w:val="3A3A3A"/>
          <w:kern w:val="0"/>
          <w:sz w:val="23"/>
          <w:szCs w:val="23"/>
          <w14:ligatures w14:val="none"/>
        </w:rPr>
        <w:lastRenderedPageBreak/>
        <w:t xml:space="preserve">Steele L, </w:t>
      </w:r>
      <w:proofErr w:type="spellStart"/>
      <w:r w:rsidRPr="00CE712C">
        <w:rPr>
          <w:rFonts w:ascii="Open Sans" w:eastAsia="Times New Roman" w:hAnsi="Open Sans" w:cs="Open Sans"/>
          <w:color w:val="3A3A3A"/>
          <w:kern w:val="0"/>
          <w:sz w:val="23"/>
          <w:szCs w:val="23"/>
          <w14:ligatures w14:val="none"/>
        </w:rPr>
        <w:t>Quaden</w:t>
      </w:r>
      <w:proofErr w:type="spellEnd"/>
      <w:r w:rsidRPr="00CE712C">
        <w:rPr>
          <w:rFonts w:ascii="Open Sans" w:eastAsia="Times New Roman" w:hAnsi="Open Sans" w:cs="Open Sans"/>
          <w:color w:val="3A3A3A"/>
          <w:kern w:val="0"/>
          <w:sz w:val="23"/>
          <w:szCs w:val="23"/>
          <w14:ligatures w14:val="none"/>
        </w:rPr>
        <w:t xml:space="preserve"> R, Ahmed ST, Harrington KM, et. Al. Department of Veterans Affairs Cooperative Studies Program #2006 and the VA Million Veteran Program. Association of deployment characteristics and exposures with persistent ill health among 1990-1991 Gulf War veterans in the VA Million Veteran Program. Environ Health. 2024 Oct 25;23(1):92. </w:t>
      </w:r>
      <w:proofErr w:type="spellStart"/>
      <w:r w:rsidRPr="00CE712C">
        <w:rPr>
          <w:rFonts w:ascii="Open Sans" w:eastAsia="Times New Roman" w:hAnsi="Open Sans" w:cs="Open Sans"/>
          <w:color w:val="3A3A3A"/>
          <w:kern w:val="0"/>
          <w:sz w:val="23"/>
          <w:szCs w:val="23"/>
          <w14:ligatures w14:val="none"/>
        </w:rPr>
        <w:t>doi</w:t>
      </w:r>
      <w:proofErr w:type="spellEnd"/>
      <w:r w:rsidRPr="00CE712C">
        <w:rPr>
          <w:rFonts w:ascii="Open Sans" w:eastAsia="Times New Roman" w:hAnsi="Open Sans" w:cs="Open Sans"/>
          <w:color w:val="3A3A3A"/>
          <w:kern w:val="0"/>
          <w:sz w:val="23"/>
          <w:szCs w:val="23"/>
          <w14:ligatures w14:val="none"/>
        </w:rPr>
        <w:t>: 10.1186/s12940-024-01118-7. PMID: 39456027; PMCID: PMC11520114.</w:t>
      </w:r>
    </w:p>
    <w:p w14:paraId="10F99AC2" w14:textId="77777777" w:rsidR="003273DE" w:rsidRDefault="003273DE"/>
    <w:sectPr w:rsidR="003273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Open Sans">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7D6E33"/>
    <w:multiLevelType w:val="multilevel"/>
    <w:tmpl w:val="EBEAF4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8AD4C30"/>
    <w:multiLevelType w:val="multilevel"/>
    <w:tmpl w:val="1A741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40537301">
    <w:abstractNumId w:val="1"/>
  </w:num>
  <w:num w:numId="2" w16cid:durableId="20203547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712C"/>
    <w:rsid w:val="003273DE"/>
    <w:rsid w:val="00501B7F"/>
    <w:rsid w:val="00AE0354"/>
    <w:rsid w:val="00CE712C"/>
    <w:rsid w:val="00E44F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644500"/>
  <w15:chartTrackingRefBased/>
  <w15:docId w15:val="{53B846B6-9376-476A-A617-6C14FCB005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CE712C"/>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3">
    <w:name w:val="heading 3"/>
    <w:basedOn w:val="Normal"/>
    <w:link w:val="Heading3Char"/>
    <w:uiPriority w:val="9"/>
    <w:qFormat/>
    <w:rsid w:val="00CE712C"/>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712C"/>
    <w:rPr>
      <w:rFonts w:ascii="Times New Roman" w:eastAsia="Times New Roman" w:hAnsi="Times New Roman" w:cs="Times New Roman"/>
      <w:b/>
      <w:bCs/>
      <w:kern w:val="36"/>
      <w:sz w:val="48"/>
      <w:szCs w:val="48"/>
      <w14:ligatures w14:val="none"/>
    </w:rPr>
  </w:style>
  <w:style w:type="character" w:customStyle="1" w:styleId="Heading3Char">
    <w:name w:val="Heading 3 Char"/>
    <w:basedOn w:val="DefaultParagraphFont"/>
    <w:link w:val="Heading3"/>
    <w:uiPriority w:val="9"/>
    <w:rsid w:val="00CE712C"/>
    <w:rPr>
      <w:rFonts w:ascii="Times New Roman" w:eastAsia="Times New Roman" w:hAnsi="Times New Roman" w:cs="Times New Roman"/>
      <w:b/>
      <w:bCs/>
      <w:kern w:val="0"/>
      <w:sz w:val="27"/>
      <w:szCs w:val="27"/>
      <w14:ligatures w14:val="none"/>
    </w:rPr>
  </w:style>
  <w:style w:type="paragraph" w:customStyle="1" w:styleId="post-meta">
    <w:name w:val="post-meta"/>
    <w:basedOn w:val="Normal"/>
    <w:rsid w:val="00CE712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customStyle="1" w:styleId="author">
    <w:name w:val="author"/>
    <w:basedOn w:val="DefaultParagraphFont"/>
    <w:rsid w:val="00CE712C"/>
  </w:style>
  <w:style w:type="character" w:styleId="Hyperlink">
    <w:name w:val="Hyperlink"/>
    <w:basedOn w:val="DefaultParagraphFont"/>
    <w:uiPriority w:val="99"/>
    <w:semiHidden/>
    <w:unhideWhenUsed/>
    <w:rsid w:val="00CE712C"/>
    <w:rPr>
      <w:color w:val="0000FF"/>
      <w:u w:val="single"/>
    </w:rPr>
  </w:style>
  <w:style w:type="character" w:customStyle="1" w:styleId="published">
    <w:name w:val="published"/>
    <w:basedOn w:val="DefaultParagraphFont"/>
    <w:rsid w:val="00CE712C"/>
  </w:style>
  <w:style w:type="paragraph" w:customStyle="1" w:styleId="wp-caption-text">
    <w:name w:val="wp-caption-text"/>
    <w:basedOn w:val="Normal"/>
    <w:rsid w:val="00CE712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NormalWeb">
    <w:name w:val="Normal (Web)"/>
    <w:basedOn w:val="Normal"/>
    <w:uiPriority w:val="99"/>
    <w:semiHidden/>
    <w:unhideWhenUsed/>
    <w:rsid w:val="00CE712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Emphasis">
    <w:name w:val="Emphasis"/>
    <w:basedOn w:val="DefaultParagraphFont"/>
    <w:uiPriority w:val="20"/>
    <w:qFormat/>
    <w:rsid w:val="00CE712C"/>
    <w:rPr>
      <w:i/>
      <w:iCs/>
    </w:rPr>
  </w:style>
  <w:style w:type="character" w:styleId="Strong">
    <w:name w:val="Strong"/>
    <w:basedOn w:val="DefaultParagraphFont"/>
    <w:uiPriority w:val="22"/>
    <w:qFormat/>
    <w:rsid w:val="00CE712C"/>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55952070">
      <w:bodyDiv w:val="1"/>
      <w:marLeft w:val="0"/>
      <w:marRight w:val="0"/>
      <w:marTop w:val="0"/>
      <w:marBottom w:val="0"/>
      <w:divBdr>
        <w:top w:val="none" w:sz="0" w:space="0" w:color="auto"/>
        <w:left w:val="none" w:sz="0" w:space="0" w:color="auto"/>
        <w:bottom w:val="none" w:sz="0" w:space="0" w:color="auto"/>
        <w:right w:val="none" w:sz="0" w:space="0" w:color="auto"/>
      </w:divBdr>
      <w:divsChild>
        <w:div w:id="1505588960">
          <w:marLeft w:val="0"/>
          <w:marRight w:val="0"/>
          <w:marTop w:val="0"/>
          <w:marBottom w:val="0"/>
          <w:divBdr>
            <w:top w:val="none" w:sz="0" w:space="0" w:color="auto"/>
            <w:left w:val="none" w:sz="0" w:space="0" w:color="auto"/>
            <w:bottom w:val="none" w:sz="0" w:space="0" w:color="auto"/>
            <w:right w:val="none" w:sz="0" w:space="0" w:color="auto"/>
          </w:divBdr>
        </w:div>
        <w:div w:id="721976751">
          <w:marLeft w:val="0"/>
          <w:marRight w:val="0"/>
          <w:marTop w:val="0"/>
          <w:marBottom w:val="0"/>
          <w:divBdr>
            <w:top w:val="none" w:sz="0" w:space="0" w:color="auto"/>
            <w:left w:val="none" w:sz="0" w:space="0" w:color="auto"/>
            <w:bottom w:val="none" w:sz="0" w:space="0" w:color="auto"/>
            <w:right w:val="none" w:sz="0" w:space="0" w:color="auto"/>
          </w:divBdr>
          <w:divsChild>
            <w:div w:id="531772545">
              <w:marLeft w:val="450"/>
              <w:marRight w:val="0"/>
              <w:marTop w:val="0"/>
              <w:marBottom w:val="300"/>
              <w:divBdr>
                <w:top w:val="single" w:sz="6" w:space="6" w:color="DDDDDD"/>
                <w:left w:val="single" w:sz="6" w:space="6" w:color="DDDDDD"/>
                <w:bottom w:val="single" w:sz="6" w:space="6" w:color="DDDDDD"/>
                <w:right w:val="single" w:sz="6" w:space="6" w:color="DDDDDD"/>
              </w:divBdr>
            </w:div>
            <w:div w:id="1529105436">
              <w:marLeft w:val="450"/>
              <w:marRight w:val="0"/>
              <w:marTop w:val="0"/>
              <w:marBottom w:val="300"/>
              <w:divBdr>
                <w:top w:val="single" w:sz="6" w:space="6" w:color="DDDDDD"/>
                <w:left w:val="single" w:sz="6" w:space="6" w:color="DDDDDD"/>
                <w:bottom w:val="single" w:sz="6" w:space="6" w:color="DDDDDD"/>
                <w:right w:val="single" w:sz="6" w:space="6" w:color="DDDDDD"/>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www.usmedicine.com/wp-content/uploads/2024/12/12940_2024_1118_Fig1_HTML.jpg" TargetMode="External"/><Relationship Id="rId12"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image" Target="media/image1.jpeg"/><Relationship Id="rId11" Type="http://schemas.openxmlformats.org/officeDocument/2006/relationships/hyperlink" Target="https://www.va.gov/RAC-GWVI/index.asp" TargetMode="External"/><Relationship Id="rId5" Type="http://schemas.openxmlformats.org/officeDocument/2006/relationships/hyperlink" Target="https://www.usmedicine.com/author/latina-emerson/" TargetMode="External"/><Relationship Id="rId15" Type="http://schemas.openxmlformats.org/officeDocument/2006/relationships/customXml" Target="../customXml/item2.xml"/><Relationship Id="rId10" Type="http://schemas.openxmlformats.org/officeDocument/2006/relationships/hyperlink" Target="https://www.publichealth.va.gov/exposures/gulfwar/index.asp" TargetMode="External"/><Relationship Id="rId4" Type="http://schemas.openxmlformats.org/officeDocument/2006/relationships/webSettings" Target="webSettings.xml"/><Relationship Id="rId9" Type="http://schemas.openxmlformats.org/officeDocument/2006/relationships/hyperlink" Target="https://www.healthquality.va.gov/guidelines/mr/cmi/" TargetMode="External"/><Relationship Id="rId14"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670CDE65625E449B41BBE9E2A9D6E5A" ma:contentTypeVersion="14" ma:contentTypeDescription="Create a new document." ma:contentTypeScope="" ma:versionID="8b6d79dcc5f754c7cfb59536e3674b4c">
  <xsd:schema xmlns:xsd="http://www.w3.org/2001/XMLSchema" xmlns:xs="http://www.w3.org/2001/XMLSchema" xmlns:p="http://schemas.microsoft.com/office/2006/metadata/properties" xmlns:ns2="46ade7e5-a61b-41ef-8b65-1672892065de" xmlns:ns3="6fd99b86-a2da-47ef-ab26-55e7009dfe6e" targetNamespace="http://schemas.microsoft.com/office/2006/metadata/properties" ma:root="true" ma:fieldsID="64eb71bd406154cbfd68acd3ef293514" ns2:_="" ns3:_="">
    <xsd:import namespace="46ade7e5-a61b-41ef-8b65-1672892065de"/>
    <xsd:import namespace="6fd99b86-a2da-47ef-ab26-55e7009dfe6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Topic"/>
                <xsd:element ref="ns2:DocumentType"/>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PageReferenc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6ade7e5-a61b-41ef-8b65-1672892065d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Topic" ma:index="12" ma:displayName="Topic" ma:format="Dropdown" ma:internalName="Topic">
      <xsd:simpleType>
        <xsd:restriction base="dms:Choice">
          <xsd:enumeration value="Animal Research"/>
          <xsd:enumeration value="Artificial Intelligence (AI)"/>
          <xsd:enumeration value="Budget"/>
          <xsd:enumeration value="Cannabis"/>
          <xsd:enumeration value="Centers"/>
          <xsd:enumeration value="Clinical Trials"/>
          <xsd:enumeration value="Community Care"/>
          <xsd:enumeration value="Congress"/>
          <xsd:enumeration value="COVID"/>
          <xsd:enumeration value="Enterprise Transformation"/>
          <xsd:enumeration value="General ORD"/>
          <xsd:enumeration value="Mental Health"/>
          <xsd:enumeration value="Mortality Data"/>
          <xsd:enumeration value="MVP"/>
          <xsd:enumeration value="NRAC"/>
          <xsd:enumeration value="Precision Oncology"/>
          <xsd:enumeration value="Psychedelics"/>
          <xsd:enumeration value="Rural Health"/>
          <xsd:enumeration value="Spinal Cord Injury (SCI)"/>
          <xsd:enumeration value="Suicide Prevention"/>
          <xsd:enumeration value="Traumatic Brain Injury (TBI)"/>
          <xsd:enumeration value="Technology Transfer Program"/>
          <xsd:enumeration value="Toxic Exposure - MERP"/>
          <xsd:enumeration value="VA Secretary"/>
          <xsd:enumeration value="VHA USH"/>
          <xsd:enumeration value="Women’s Health – Maternity and Infertility"/>
        </xsd:restriction>
      </xsd:simpleType>
    </xsd:element>
    <xsd:element name="DocumentType" ma:index="13" ma:displayName="Document Type" ma:format="Dropdown" ma:internalName="DocumentType">
      <xsd:simpleType>
        <xsd:restriction base="dms:Choice">
          <xsd:enumeration value="Briefing Papers - Congress"/>
          <xsd:enumeration value="Briefing Papers - VA-VHA"/>
          <xsd:enumeration value="Briefing Papers - Other"/>
          <xsd:enumeration value="Budget Justification"/>
          <xsd:enumeration value="GAO"/>
          <xsd:enumeration value="Mandated Congressional Reports"/>
          <xsd:enumeration value="News Articles"/>
          <xsd:enumeration value="Press Releases"/>
          <xsd:enumeration value="Publications-Studies"/>
          <xsd:enumeration value="RFA"/>
          <xsd:enumeration value="RFI - Congress"/>
          <xsd:enumeration value="Slide Presentations"/>
          <xsd:enumeration value="Talking Points - Congress"/>
          <xsd:enumeration value="Testimony - Congress Speeches"/>
          <xsd:enumeration value="Talking Points - VA-VHA"/>
          <xsd:enumeration value="Talking Points - Other"/>
          <xsd:enumeration value="Other-Misc Documents"/>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0ac6538-d41a-4f9a-bd67-5f7ae81a6d74"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PageReference" ma:index="21" nillable="true" ma:displayName="Page Reference" ma:description="provide a page reference for longer documents" ma:format="Dropdown" ma:internalName="PageReferenc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fd99b86-a2da-47ef-ab26-55e7009dfe6e"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3736d572-348b-4845-bc48-0c7ae7dc85c2}" ma:internalName="TaxCatchAll" ma:showField="CatchAllData" ma:web="6fd99b86-a2da-47ef-ab26-55e7009dfe6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DocumentType xmlns="46ade7e5-a61b-41ef-8b65-1672892065de">News Articles</DocumentType>
    <Topic xmlns="46ade7e5-a61b-41ef-8b65-1672892065de">Toxic Exposure - MERP</Topic>
    <TaxCatchAll xmlns="6fd99b86-a2da-47ef-ab26-55e7009dfe6e" xsi:nil="true"/>
    <lcf76f155ced4ddcb4097134ff3c332f xmlns="46ade7e5-a61b-41ef-8b65-1672892065de">
      <Terms xmlns="http://schemas.microsoft.com/office/infopath/2007/PartnerControls"/>
    </lcf76f155ced4ddcb4097134ff3c332f>
    <PageReference xmlns="46ade7e5-a61b-41ef-8b65-1672892065de" xsi:nil="true"/>
  </documentManagement>
</p:properties>
</file>

<file path=customXml/itemProps1.xml><?xml version="1.0" encoding="utf-8"?>
<ds:datastoreItem xmlns:ds="http://schemas.openxmlformats.org/officeDocument/2006/customXml" ds:itemID="{FB597ABA-9433-4C12-B2BA-016AAD7A3A7C}"/>
</file>

<file path=customXml/itemProps2.xml><?xml version="1.0" encoding="utf-8"?>
<ds:datastoreItem xmlns:ds="http://schemas.openxmlformats.org/officeDocument/2006/customXml" ds:itemID="{09D07ADB-CE34-4D96-A48E-B5423D1284CA}"/>
</file>

<file path=customXml/itemProps3.xml><?xml version="1.0" encoding="utf-8"?>
<ds:datastoreItem xmlns:ds="http://schemas.openxmlformats.org/officeDocument/2006/customXml" ds:itemID="{8F74375E-2399-4C3F-903A-BF7B920C4C0C}"/>
</file>

<file path=docProps/app.xml><?xml version="1.0" encoding="utf-8"?>
<Properties xmlns="http://schemas.openxmlformats.org/officeDocument/2006/extended-properties" xmlns:vt="http://schemas.openxmlformats.org/officeDocument/2006/docPropsVTypes">
  <Template>Normal.dotm</Template>
  <TotalTime>1</TotalTime>
  <Pages>4</Pages>
  <Words>1045</Words>
  <Characters>5957</Characters>
  <Application>Microsoft Office Word</Application>
  <DocSecurity>0</DocSecurity>
  <Lines>49</Lines>
  <Paragraphs>13</Paragraphs>
  <ScaleCrop>false</ScaleCrop>
  <Company/>
  <LinksUpToDate>false</LinksUpToDate>
  <CharactersWithSpaces>6989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 Medicine 12-10-24--Chronic Ill Health Remains an Issue for Many Gulf War Veterans</dc:title>
  <dc:subject/>
  <dc:creator>Richman, Michael (VACO)</dc:creator>
  <cp:keywords/>
  <dc:description/>
  <cp:lastModifiedBy>Richman, Michael (VACO)</cp:lastModifiedBy>
  <cp:revision>1</cp:revision>
  <dcterms:created xsi:type="dcterms:W3CDTF">2024-12-16T15:39:00Z</dcterms:created>
  <dcterms:modified xsi:type="dcterms:W3CDTF">2024-12-16T15:40:00Z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0x010100F670CDE65625E449B41BBE9E2A9D6E5A</vt:lpwstr>
  </property>
  <property fmtid="{D5CDD505-2E9C-101B-9397-08002B2CF9AE}" pid="3" name="MediaServiceImageTags">
    <vt:lpwstr/>
  </property>
</Properties>
</file>