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7-2-24 OHSU study Women veterans at higher risk for repeat suicide attempts.docx</w:t>
      </w:r>
    </w:p>
    <w:p>
      <w:pPr>
        <w:jc w:val="left"/>
      </w:pPr>
      <w:r>
        <w:rPr>
          <w:color w:val="646464"/>
          <w:sz w:val="18"/>
        </w:rPr>
        <w:t>Title: OHSU study 7-2-24--Women veterans at higher risk for repeat suicide attempts</w:t>
      </w:r>
    </w:p>
    <w:p>
      <w:pPr>
        <w:jc w:val="left"/>
      </w:pPr>
      <w:r>
        <w:rPr>
          <w:color w:val="646464"/>
          <w:sz w:val="18"/>
        </w:rPr>
        <w:t>Topic: Women’s Health – Maternity and Infertility | Type: News Articles</w:t>
      </w:r>
    </w:p>
    <w:p>
      <w:pPr>
        <w:jc w:val="left"/>
      </w:pPr>
      <w:r>
        <w:rPr>
          <w:color w:val="646464"/>
          <w:sz w:val="18"/>
        </w:rPr>
        <w:t>Created: 2024-07-05 | By: Richman, Michael (VACO)</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Women’s Health – Maternity and Infertility | Type: News Articles</w:t>
      </w:r>
    </w:p>
    <w:p>
      <w:pPr>
        <w:jc w:val="left"/>
      </w:pPr>
      <w:r>
        <w:rPr>
          <w:color w:val="646464"/>
          <w:sz w:val="18"/>
        </w:rPr>
        <w:t>Created: 2024-07-05 | By: Richman, Michael (VACO)</w:t>
      </w:r>
    </w:p>
    <w:p>
      <w:pPr>
        <w:jc w:val="left"/>
      </w:pPr>
      <w:r>
        <w:rPr>
          <w:color w:val="646464"/>
          <w:sz w:val="18"/>
        </w:rPr>
        <w:t>Modified: 2026-02-02 | By: Bartlinski, David</w:t>
      </w:r>
    </w:p>
    <w:p w14:paraId="4C28982D" w14:textId="77777777" w:rsidR="00852CC0" w:rsidRPr="00852CC0" w:rsidRDefault="00852CC0" w:rsidP="00852CC0">
      <w:pPr>
        <w:shd w:val="clear" w:color="auto" w:fill="FFFFFF"/>
        <w:spacing w:after="98" w:line="240" w:lineRule="auto"/>
        <w:jc w:val="left"/>
        <w:outlineLvl w:val="0"/>
        <w:rPr>
          <w:rFonts w:ascii="Source Sans Pro" w:eastAsia="Times New Roman" w:hAnsi="Source Sans Pro" w:cs="Times New Roman"/>
          <w:color w:val="404040"/>
          <w:kern w:val="36"/>
          <w:sz w:val="48"/>
          <w:szCs w:val="48"/>
          <w14:ligatures w14:val="none"/>
        </w:rPr>
      </w:pPr>
      <w:r>
        <w:rPr>
          <w:color w:val="C8C8C8"/>
          <w:sz w:val="16"/>
        </w:rPr>
        <w:t>────────────────────────────────────────────────────────────────────────────────</w:t>
      </w:r>
    </w:p>
    <w:p w14:paraId="4C62C7DF" w14:textId="77777777" w:rsidR="00852CC0" w:rsidRPr="00852CC0" w:rsidRDefault="00852CC0" w:rsidP="00852CC0">
      <w:pPr>
        <w:shd w:val="clear" w:color="auto" w:fill="FFFFFF"/>
        <w:spacing w:line="450" w:lineRule="atLeast"/>
        <w:rPr>
          <w:rFonts w:ascii="Source Sans Pro" w:eastAsia="Times New Roman" w:hAnsi="Source Sans Pro" w:cs="Times New Roman"/>
          <w:color w:val="555555"/>
          <w:kern w:val="0"/>
          <w:sz w:val="33"/>
          <w:szCs w:val="33"/>
          <w14:ligatures w14:val="none"/>
        </w:rPr>
      </w:pPr>
      <w:r/>
    </w:p>
    <w:p w14:paraId="049A8178" w14:textId="77777777" w:rsidR="00852CC0" w:rsidRPr="00852CC0" w:rsidRDefault="00852CC0" w:rsidP="00852CC0">
      <w:pPr>
        <w:spacing w:line="240" w:lineRule="auto"/>
        <w:rPr>
          <w:rFonts w:ascii="Times New Roman" w:eastAsia="Times New Roman" w:hAnsi="Times New Roman" w:cs="Times New Roman"/>
          <w:color w:val="777777"/>
          <w:kern w:val="0"/>
          <w:sz w:val="24"/>
          <w:szCs w:val="24"/>
          <w14:ligatures w14:val="none"/>
        </w:rPr>
      </w:pPr>
      <w:r w:rsidRPr="00852CC0">
        <w:rPr>
          <w:rFonts w:ascii="Times New Roman" w:eastAsia="Times New Roman" w:hAnsi="Times New Roman" w:cs="Times New Roman"/>
          <w:color w:val="777777"/>
          <w:kern w:val="0"/>
          <w:sz w:val="24"/>
          <w:szCs w:val="24"/>
          <w14:ligatures w14:val="none"/>
        </w:rPr>
        <w:t>By Angela Yeager  July 02, 2024  Portland, Oregon</w:t>
      </w:r>
    </w:p>
    <w:p w14:paraId="366588B3" w14:textId="0B6A8404" w:rsidR="00852CC0" w:rsidRPr="00852CC0" w:rsidRDefault="00852CC0" w:rsidP="00852CC0">
      <w:pPr>
        <w:spacing w:after="0" w:line="240" w:lineRule="auto"/>
        <w:jc w:val="center"/>
        <w:rPr>
          <w:rFonts w:ascii="Times New Roman" w:eastAsia="Times New Roman" w:hAnsi="Times New Roman" w:cs="Times New Roman"/>
          <w:i/>
          <w:iCs/>
          <w:kern w:val="0"/>
          <w14:ligatures w14:val="none"/>
        </w:rPr>
      </w:pPr>
      <w:r w:rsidRPr="00852CC0">
        <w:rPr>
          <w:rFonts w:ascii="Times New Roman" w:eastAsia="Times New Roman" w:hAnsi="Times New Roman" w:cs="Times New Roman"/>
          <w:i/>
          <w:iCs/>
          <w:noProof/>
          <w:kern w:val="0"/>
          <w14:ligatures w14:val="none"/>
        </w:rPr>
        <w:drawing>
          <wp:inline distT="0" distB="0" distL="0" distR="0" wp14:anchorId="581F8470" wp14:editId="14408CE9">
            <wp:extent cx="5943600" cy="3956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p>
    <w:p w14:paraId="703A0607" w14:textId="77777777" w:rsidR="00852CC0" w:rsidRPr="00852CC0" w:rsidRDefault="00852CC0" w:rsidP="00852CC0">
      <w:pPr>
        <w:spacing w:line="240" w:lineRule="auto"/>
        <w:rPr>
          <w:rFonts w:ascii="Times New Roman" w:eastAsia="Times New Roman" w:hAnsi="Times New Roman" w:cs="Times New Roman"/>
          <w:i/>
          <w:iCs/>
          <w:kern w:val="0"/>
          <w:sz w:val="19"/>
          <w:szCs w:val="19"/>
          <w14:ligatures w14:val="none"/>
        </w:rPr>
      </w:pPr>
      <w:r w:rsidRPr="00852CC0">
        <w:rPr>
          <w:rFonts w:ascii="Times New Roman" w:eastAsia="Times New Roman" w:hAnsi="Times New Roman" w:cs="Times New Roman"/>
          <w:i/>
          <w:iCs/>
          <w:kern w:val="0"/>
          <w:sz w:val="19"/>
          <w:szCs w:val="19"/>
          <w14:ligatures w14:val="none"/>
        </w:rPr>
        <w:t xml:space="preserve">Lauren Denneson, Ph.D., M.S., professor of psychiatry in the OHSU School of Medicine and associate director of the Center to Improve Veteran Involvement in Care at the VA Portland Health Care System, stands outside the entrance to the VA Hospital from the OHSU skybridge. According to </w:t>
      </w:r>
      <w:proofErr w:type="spellStart"/>
      <w:r w:rsidRPr="00852CC0">
        <w:rPr>
          <w:rFonts w:ascii="Times New Roman" w:eastAsia="Times New Roman" w:hAnsi="Times New Roman" w:cs="Times New Roman"/>
          <w:i/>
          <w:iCs/>
          <w:kern w:val="0"/>
          <w:sz w:val="19"/>
          <w:szCs w:val="19"/>
          <w14:ligatures w14:val="none"/>
        </w:rPr>
        <w:t>Denneson's</w:t>
      </w:r>
      <w:proofErr w:type="spellEnd"/>
      <w:r w:rsidRPr="00852CC0">
        <w:rPr>
          <w:rFonts w:ascii="Times New Roman" w:eastAsia="Times New Roman" w:hAnsi="Times New Roman" w:cs="Times New Roman"/>
          <w:i/>
          <w:iCs/>
          <w:kern w:val="0"/>
          <w:sz w:val="19"/>
          <w:szCs w:val="19"/>
          <w14:ligatures w14:val="none"/>
        </w:rPr>
        <w:t xml:space="preserve"> research, women veterans are at higher risk for repeat suicide attempts. (OHSU/Christine Torres Hicks)</w:t>
      </w:r>
    </w:p>
    <w:p w14:paraId="7D0633EC"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In a new study, Oregon Health &amp; Science University researchers find that women veterans who had recently attempted suicide were more likely than men to feel social rejection and betrayed by military institutions. They also reported feeling less independent and compassionate toward themselves.</w:t>
      </w:r>
    </w:p>
    <w:p w14:paraId="7202EED3"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The findings, </w:t>
      </w:r>
      <w:hyperlink r:id="rId5" w:history="1">
        <w:r w:rsidRPr="00852CC0">
          <w:rPr>
            <w:rFonts w:ascii="Times New Roman" w:eastAsia="Times New Roman" w:hAnsi="Times New Roman" w:cs="Times New Roman"/>
            <w:color w:val="0072FF"/>
            <w:kern w:val="0"/>
            <w:sz w:val="24"/>
            <w:szCs w:val="24"/>
            <w:u w:val="single"/>
            <w14:ligatures w14:val="none"/>
          </w:rPr>
          <w:t>recently published</w:t>
        </w:r>
      </w:hyperlink>
      <w:r w:rsidRPr="00852CC0">
        <w:rPr>
          <w:rFonts w:ascii="Times New Roman" w:eastAsia="Times New Roman" w:hAnsi="Times New Roman" w:cs="Times New Roman"/>
          <w:kern w:val="0"/>
          <w:sz w:val="24"/>
          <w:szCs w:val="24"/>
          <w14:ligatures w14:val="none"/>
        </w:rPr>
        <w:t> in the </w:t>
      </w:r>
      <w:r w:rsidRPr="00852CC0">
        <w:rPr>
          <w:rFonts w:ascii="Times New Roman" w:eastAsia="Times New Roman" w:hAnsi="Times New Roman" w:cs="Times New Roman"/>
          <w:i/>
          <w:iCs/>
          <w:kern w:val="0"/>
          <w:sz w:val="24"/>
          <w:szCs w:val="24"/>
          <w14:ligatures w14:val="none"/>
        </w:rPr>
        <w:t>Journal of Affective Disorders,</w:t>
      </w:r>
      <w:r w:rsidRPr="00852CC0">
        <w:rPr>
          <w:rFonts w:ascii="Times New Roman" w:eastAsia="Times New Roman" w:hAnsi="Times New Roman" w:cs="Times New Roman"/>
          <w:kern w:val="0"/>
          <w:sz w:val="24"/>
          <w:szCs w:val="24"/>
          <w14:ligatures w14:val="none"/>
        </w:rPr>
        <w:t> suggest that women veterans may be at higher risk of repeat suicide attempts.</w:t>
      </w:r>
    </w:p>
    <w:p w14:paraId="75910BDC"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lastRenderedPageBreak/>
        <w:t>It’s the first longitudinal — meaning following individuals over time — national study aimed at understanding how psychosocial symptoms change over time among veterans who recently attempted suicide; it’s also the first to specifically focus on differences between genders in the risk of suicidal thoughts and behaviors.</w:t>
      </w:r>
    </w:p>
    <w:p w14:paraId="5880F6D3" w14:textId="556A475A" w:rsidR="00852CC0" w:rsidRPr="00852CC0" w:rsidRDefault="00852CC0" w:rsidP="00852CC0">
      <w:pPr>
        <w:spacing w:after="150" w:line="240" w:lineRule="auto"/>
        <w:rPr>
          <w:rFonts w:ascii="Times New Roman" w:eastAsia="Times New Roman" w:hAnsi="Times New Roman" w:cs="Times New Roman"/>
          <w:i/>
          <w:iCs/>
          <w:kern w:val="0"/>
          <w:sz w:val="19"/>
          <w:szCs w:val="19"/>
          <w14:ligatures w14:val="none"/>
        </w:rPr>
      </w:pPr>
      <w:r w:rsidRPr="00852CC0">
        <w:rPr>
          <w:rFonts w:ascii="Times New Roman" w:eastAsia="Times New Roman" w:hAnsi="Times New Roman" w:cs="Times New Roman"/>
          <w:noProof/>
          <w:kern w:val="0"/>
          <w:sz w:val="24"/>
          <w:szCs w:val="24"/>
          <w14:ligatures w14:val="none"/>
        </w:rPr>
        <w:drawing>
          <wp:anchor distT="0" distB="0" distL="0" distR="0" simplePos="0" relativeHeight="251658240" behindDoc="0" locked="0" layoutInCell="1" allowOverlap="0" wp14:anchorId="76E8B2C7" wp14:editId="6FB387B6">
            <wp:simplePos x="0" y="0"/>
            <wp:positionH relativeFrom="column">
              <wp:align>right</wp:align>
            </wp:positionH>
            <wp:positionV relativeFrom="line">
              <wp:posOffset>0</wp:posOffset>
            </wp:positionV>
            <wp:extent cx="1143000" cy="1143000"/>
            <wp:effectExtent l="0" t="0" r="0" b="0"/>
            <wp:wrapSquare wrapText="bothSides"/>
            <wp:docPr id="2" name="Picture 2" descr="Lauren Denneson, Ph.D., M.S., has long strawberry blonde hair, wears eye glasses, and is wearing a bright blue sweater. She is sitting in the healing garden of the Veteran's Hospital at OH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uren Denneson, Ph.D., M.S., has long strawberry blonde hair, wears eye glasses, and is wearing a bright blue sweater. She is sitting in the healing garden of the Veteran's Hospital at OHS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2CC0">
        <w:rPr>
          <w:rFonts w:ascii="Times New Roman" w:eastAsia="Times New Roman" w:hAnsi="Times New Roman" w:cs="Times New Roman"/>
          <w:i/>
          <w:iCs/>
          <w:kern w:val="0"/>
          <w:sz w:val="19"/>
          <w:szCs w:val="19"/>
          <w14:ligatures w14:val="none"/>
        </w:rPr>
        <w:t>Lauren Denneson, Ph.D., M.S. (OHSU)</w:t>
      </w:r>
    </w:p>
    <w:p w14:paraId="6689D8E3"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“Historically, a lot of the research done on veterans in suicide prevention have enrolled samples that are predominantly men, and that's partly an artifact of the fact that the veteran population is predominantly men,” said lead author </w:t>
      </w:r>
      <w:hyperlink r:id="rId7" w:tgtFrame="_blank" w:history="1">
        <w:r w:rsidRPr="00852CC0">
          <w:rPr>
            <w:rFonts w:ascii="Times New Roman" w:eastAsia="Times New Roman" w:hAnsi="Times New Roman" w:cs="Times New Roman"/>
            <w:b/>
            <w:bCs/>
            <w:color w:val="0072FF"/>
            <w:kern w:val="0"/>
            <w:sz w:val="24"/>
            <w:szCs w:val="24"/>
            <w14:ligatures w14:val="none"/>
          </w:rPr>
          <w:t>Lauren Denneson, Ph.D., M.S.</w:t>
        </w:r>
      </w:hyperlink>
      <w:r w:rsidRPr="00852CC0">
        <w:rPr>
          <w:rFonts w:ascii="Times New Roman" w:eastAsia="Times New Roman" w:hAnsi="Times New Roman" w:cs="Times New Roman"/>
          <w:kern w:val="0"/>
          <w:sz w:val="24"/>
          <w:szCs w:val="24"/>
          <w14:ligatures w14:val="none"/>
        </w:rPr>
        <w:t>, professor of psychiatry in the OHSU School of Medicine and associate director of the </w:t>
      </w:r>
      <w:hyperlink r:id="rId8" w:tgtFrame="_blank" w:tooltip="Center to Improve Veteran Involvement in Care" w:history="1">
        <w:r w:rsidRPr="00852CC0">
          <w:rPr>
            <w:rFonts w:ascii="Times New Roman" w:eastAsia="Times New Roman" w:hAnsi="Times New Roman" w:cs="Times New Roman"/>
            <w:color w:val="0072FF"/>
            <w:kern w:val="0"/>
            <w:sz w:val="24"/>
            <w:szCs w:val="24"/>
            <w:u w:val="single"/>
            <w14:ligatures w14:val="none"/>
          </w:rPr>
          <w:t>Center to Improve Veteran Involvement in Care</w:t>
        </w:r>
      </w:hyperlink>
      <w:r w:rsidRPr="00852CC0">
        <w:rPr>
          <w:rFonts w:ascii="Times New Roman" w:eastAsia="Times New Roman" w:hAnsi="Times New Roman" w:cs="Times New Roman"/>
          <w:kern w:val="0"/>
          <w:sz w:val="24"/>
          <w:szCs w:val="24"/>
          <w14:ligatures w14:val="none"/>
        </w:rPr>
        <w:t> at the VA Portland Health Care System.</w:t>
      </w:r>
    </w:p>
    <w:p w14:paraId="51526D4E"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The research team enlisted female veterans who had a documented nonfatal suicide attempt within six months prior to the survey, along with a carefully selected group of male veterans for comparison. Surveys were administered to 968 veterans at the start of the study, after six months, and then again at 12 months. The surveys evaluated psychological factors, the severity of suicidal thoughts, and actual suicidal behavior. Administrative data from health care records tracked outcomes — including suicide attempts — over the one-year follow-up period.</w:t>
      </w:r>
    </w:p>
    <w:p w14:paraId="6238384E"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They examined suicide risk factors like psychological distress, self-compassion, perceived social rejection, well-being and institutional betrayal. Over the one-year period, women veterans consistently reported experiencing more social rejection and institutional betrayal, and lower levels of autonomy and self-compassion compared with men.</w:t>
      </w:r>
    </w:p>
    <w:p w14:paraId="21D4E28D" w14:textId="77777777" w:rsidR="00852CC0" w:rsidRPr="00852CC0" w:rsidRDefault="00852CC0" w:rsidP="00852CC0">
      <w:pPr>
        <w:shd w:val="clear" w:color="auto" w:fill="F3F3F3"/>
        <w:spacing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Learn more: </w:t>
      </w:r>
      <w:hyperlink r:id="rId9" w:history="1">
        <w:r w:rsidRPr="00852CC0">
          <w:rPr>
            <w:rFonts w:ascii="Times New Roman" w:eastAsia="Times New Roman" w:hAnsi="Times New Roman" w:cs="Times New Roman"/>
            <w:color w:val="0072FF"/>
            <w:kern w:val="0"/>
            <w:sz w:val="24"/>
            <w:szCs w:val="24"/>
            <w:u w:val="single"/>
            <w14:ligatures w14:val="none"/>
          </w:rPr>
          <w:t>Applying principles of public health to reduce gun injuries and death</w:t>
        </w:r>
      </w:hyperlink>
    </w:p>
    <w:p w14:paraId="7F04095F"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The Centers for Disease Control and Prevention reports that women in the general population attempt suicide more often than men. Although men have higher rates of suicide, the suicide rate among women increased twice as much as among men from 2021 to 2022. Denneson also noted that women are increasingly using firearms in suicide attempts, raising the risk of fatal outcomes.</w:t>
      </w:r>
    </w:p>
    <w:p w14:paraId="58E86CA8"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“A lot of what we’re seeing likely goes back to women’s experiences in society,” Denneson said. “For example, in studies of depression, women have higher rates of depression because of harmful relationship experiences and lower power in society.</w:t>
      </w:r>
    </w:p>
    <w:p w14:paraId="679D5FA4"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“In addition,” she continued, “across all our qualitative and quantitative data, women veterans did not receive as much social support as men. Men reported they had spouses, children, neighbors rallying around them in a way that women didn’t. In fact, when women tried to seek social support from a spouse, family member or friend, frequently those people were not only </w:t>
      </w:r>
      <w:r w:rsidRPr="00852CC0">
        <w:rPr>
          <w:rFonts w:ascii="Times New Roman" w:eastAsia="Times New Roman" w:hAnsi="Times New Roman" w:cs="Times New Roman"/>
          <w:i/>
          <w:iCs/>
          <w:kern w:val="0"/>
          <w:sz w:val="24"/>
          <w:szCs w:val="24"/>
          <w14:ligatures w14:val="none"/>
        </w:rPr>
        <w:t>not</w:t>
      </w:r>
      <w:r w:rsidRPr="00852CC0">
        <w:rPr>
          <w:rFonts w:ascii="Times New Roman" w:eastAsia="Times New Roman" w:hAnsi="Times New Roman" w:cs="Times New Roman"/>
          <w:kern w:val="0"/>
          <w:sz w:val="24"/>
          <w:szCs w:val="24"/>
          <w14:ligatures w14:val="none"/>
        </w:rPr>
        <w:t> supportive, but retraumatized them.”</w:t>
      </w:r>
    </w:p>
    <w:p w14:paraId="1B6B0506"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Denneson said their findings speak to the need to bolster existing therapies to improve self-compassion and address healthy relationships, as well as developing new interventions that help women veterans in these areas.</w:t>
      </w:r>
    </w:p>
    <w:p w14:paraId="73AC86FA"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lastRenderedPageBreak/>
        <w:t>“We shouldn’t limit ourselves to only current therapies,” she said. “We need creative solutions to address these concerns and support our women veterans.”</w:t>
      </w:r>
    </w:p>
    <w:p w14:paraId="3CC30FD2"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kern w:val="0"/>
          <w:sz w:val="24"/>
          <w:szCs w:val="24"/>
          <w14:ligatures w14:val="none"/>
        </w:rPr>
        <w:t>In addition to Denneson, the following authors also contributed to this study: </w:t>
      </w:r>
      <w:r w:rsidRPr="00852CC0">
        <w:rPr>
          <w:rFonts w:ascii="Times New Roman" w:eastAsia="Times New Roman" w:hAnsi="Times New Roman" w:cs="Times New Roman"/>
          <w:b/>
          <w:bCs/>
          <w:kern w:val="0"/>
          <w:sz w:val="24"/>
          <w:szCs w:val="24"/>
          <w14:ligatures w14:val="none"/>
        </w:rPr>
        <w:t xml:space="preserve">Derek J. </w:t>
      </w:r>
      <w:proofErr w:type="spellStart"/>
      <w:r w:rsidRPr="00852CC0">
        <w:rPr>
          <w:rFonts w:ascii="Times New Roman" w:eastAsia="Times New Roman" w:hAnsi="Times New Roman" w:cs="Times New Roman"/>
          <w:b/>
          <w:bCs/>
          <w:kern w:val="0"/>
          <w:sz w:val="24"/>
          <w:szCs w:val="24"/>
          <w14:ligatures w14:val="none"/>
        </w:rPr>
        <w:t>Smolenski</w:t>
      </w:r>
      <w:proofErr w:type="spellEnd"/>
      <w:r w:rsidRPr="00852CC0">
        <w:rPr>
          <w:rFonts w:ascii="Times New Roman" w:eastAsia="Times New Roman" w:hAnsi="Times New Roman" w:cs="Times New Roman"/>
          <w:b/>
          <w:bCs/>
          <w:kern w:val="0"/>
          <w:sz w:val="24"/>
          <w:szCs w:val="24"/>
          <w14:ligatures w14:val="none"/>
        </w:rPr>
        <w:t>, Ph.D., M.P.H.,</w:t>
      </w:r>
      <w:r w:rsidRPr="00852CC0">
        <w:rPr>
          <w:rFonts w:ascii="Times New Roman" w:eastAsia="Times New Roman" w:hAnsi="Times New Roman" w:cs="Times New Roman"/>
          <w:kern w:val="0"/>
          <w:sz w:val="24"/>
          <w:szCs w:val="24"/>
          <w14:ligatures w14:val="none"/>
        </w:rPr>
        <w:t> Psychological Health Center of Excellence, Defense Health Agency; </w:t>
      </w:r>
      <w:r w:rsidRPr="00852CC0">
        <w:rPr>
          <w:rFonts w:ascii="Times New Roman" w:eastAsia="Times New Roman" w:hAnsi="Times New Roman" w:cs="Times New Roman"/>
          <w:b/>
          <w:bCs/>
          <w:kern w:val="0"/>
          <w:sz w:val="24"/>
          <w:szCs w:val="24"/>
          <w14:ligatures w14:val="none"/>
        </w:rPr>
        <w:t>Katie L. McDonald, B.S.</w:t>
      </w:r>
      <w:r w:rsidRPr="00852CC0">
        <w:rPr>
          <w:rFonts w:ascii="Times New Roman" w:eastAsia="Times New Roman" w:hAnsi="Times New Roman" w:cs="Times New Roman"/>
          <w:kern w:val="0"/>
          <w:sz w:val="24"/>
          <w:szCs w:val="24"/>
          <w14:ligatures w14:val="none"/>
        </w:rPr>
        <w:t> and </w:t>
      </w:r>
      <w:r w:rsidRPr="00852CC0">
        <w:rPr>
          <w:rFonts w:ascii="Times New Roman" w:eastAsia="Times New Roman" w:hAnsi="Times New Roman" w:cs="Times New Roman"/>
          <w:b/>
          <w:bCs/>
          <w:kern w:val="0"/>
          <w:sz w:val="24"/>
          <w:szCs w:val="24"/>
          <w14:ligatures w14:val="none"/>
        </w:rPr>
        <w:t>Sarah Shull, Ph.D.,</w:t>
      </w:r>
      <w:r w:rsidRPr="00852CC0">
        <w:rPr>
          <w:rFonts w:ascii="Times New Roman" w:eastAsia="Times New Roman" w:hAnsi="Times New Roman" w:cs="Times New Roman"/>
          <w:kern w:val="0"/>
          <w:sz w:val="24"/>
          <w:szCs w:val="24"/>
          <w14:ligatures w14:val="none"/>
        </w:rPr>
        <w:t> Center to Improve Veteran Involvement in Care; </w:t>
      </w:r>
      <w:r w:rsidRPr="00852CC0">
        <w:rPr>
          <w:rFonts w:ascii="Times New Roman" w:eastAsia="Times New Roman" w:hAnsi="Times New Roman" w:cs="Times New Roman"/>
          <w:b/>
          <w:bCs/>
          <w:kern w:val="0"/>
          <w:sz w:val="24"/>
          <w:szCs w:val="24"/>
          <w14:ligatures w14:val="none"/>
        </w:rPr>
        <w:t xml:space="preserve">Claire A. </w:t>
      </w:r>
      <w:proofErr w:type="spellStart"/>
      <w:r w:rsidRPr="00852CC0">
        <w:rPr>
          <w:rFonts w:ascii="Times New Roman" w:eastAsia="Times New Roman" w:hAnsi="Times New Roman" w:cs="Times New Roman"/>
          <w:b/>
          <w:bCs/>
          <w:kern w:val="0"/>
          <w:sz w:val="24"/>
          <w:szCs w:val="24"/>
          <w14:ligatures w14:val="none"/>
        </w:rPr>
        <w:t>Hoffmire</w:t>
      </w:r>
      <w:proofErr w:type="spellEnd"/>
      <w:r w:rsidRPr="00852CC0">
        <w:rPr>
          <w:rFonts w:ascii="Times New Roman" w:eastAsia="Times New Roman" w:hAnsi="Times New Roman" w:cs="Times New Roman"/>
          <w:b/>
          <w:bCs/>
          <w:kern w:val="0"/>
          <w:sz w:val="24"/>
          <w:szCs w:val="24"/>
          <w14:ligatures w14:val="none"/>
        </w:rPr>
        <w:t>, Ph.D.,</w:t>
      </w:r>
      <w:r w:rsidRPr="00852CC0">
        <w:rPr>
          <w:rFonts w:ascii="Times New Roman" w:eastAsia="Times New Roman" w:hAnsi="Times New Roman" w:cs="Times New Roman"/>
          <w:kern w:val="0"/>
          <w:sz w:val="24"/>
          <w:szCs w:val="24"/>
          <w14:ligatures w14:val="none"/>
        </w:rPr>
        <w:t> Department of Veterans Affairs, Rocky Mountain MIRECC; </w:t>
      </w:r>
      <w:r w:rsidRPr="00852CC0">
        <w:rPr>
          <w:rFonts w:ascii="Times New Roman" w:eastAsia="Times New Roman" w:hAnsi="Times New Roman" w:cs="Times New Roman"/>
          <w:b/>
          <w:bCs/>
          <w:kern w:val="0"/>
          <w:sz w:val="24"/>
          <w:szCs w:val="24"/>
          <w14:ligatures w14:val="none"/>
        </w:rPr>
        <w:t>Peter C. Britton, Ph.D.,</w:t>
      </w:r>
      <w:r w:rsidRPr="00852CC0">
        <w:rPr>
          <w:rFonts w:ascii="Times New Roman" w:eastAsia="Times New Roman" w:hAnsi="Times New Roman" w:cs="Times New Roman"/>
          <w:kern w:val="0"/>
          <w:sz w:val="24"/>
          <w:szCs w:val="24"/>
          <w14:ligatures w14:val="none"/>
        </w:rPr>
        <w:t> Department of Veteran Affairs, Canandaigua, NY, and </w:t>
      </w:r>
      <w:r w:rsidRPr="00852CC0">
        <w:rPr>
          <w:rFonts w:ascii="Times New Roman" w:eastAsia="Times New Roman" w:hAnsi="Times New Roman" w:cs="Times New Roman"/>
          <w:b/>
          <w:bCs/>
          <w:kern w:val="0"/>
          <w:sz w:val="24"/>
          <w:szCs w:val="24"/>
          <w14:ligatures w14:val="none"/>
        </w:rPr>
        <w:t>Kathleen F. Carlson, Ph.D.,</w:t>
      </w:r>
      <w:r w:rsidRPr="00852CC0">
        <w:rPr>
          <w:rFonts w:ascii="Times New Roman" w:eastAsia="Times New Roman" w:hAnsi="Times New Roman" w:cs="Times New Roman"/>
          <w:kern w:val="0"/>
          <w:sz w:val="24"/>
          <w:szCs w:val="24"/>
          <w14:ligatures w14:val="none"/>
        </w:rPr>
        <w:t> </w:t>
      </w:r>
      <w:r w:rsidRPr="00852CC0">
        <w:rPr>
          <w:rFonts w:ascii="Times New Roman" w:eastAsia="Times New Roman" w:hAnsi="Times New Roman" w:cs="Times New Roman"/>
          <w:b/>
          <w:bCs/>
          <w:kern w:val="0"/>
          <w:sz w:val="24"/>
          <w:szCs w:val="24"/>
          <w14:ligatures w14:val="none"/>
        </w:rPr>
        <w:t>M.S., </w:t>
      </w:r>
      <w:r w:rsidRPr="00852CC0">
        <w:rPr>
          <w:rFonts w:ascii="Times New Roman" w:eastAsia="Times New Roman" w:hAnsi="Times New Roman" w:cs="Times New Roman"/>
          <w:kern w:val="0"/>
          <w:sz w:val="24"/>
          <w:szCs w:val="24"/>
          <w14:ligatures w14:val="none"/>
        </w:rPr>
        <w:t>and </w:t>
      </w:r>
      <w:r w:rsidRPr="00852CC0">
        <w:rPr>
          <w:rFonts w:ascii="Times New Roman" w:eastAsia="Times New Roman" w:hAnsi="Times New Roman" w:cs="Times New Roman"/>
          <w:b/>
          <w:bCs/>
          <w:kern w:val="0"/>
          <w:sz w:val="24"/>
          <w:szCs w:val="24"/>
          <w14:ligatures w14:val="none"/>
        </w:rPr>
        <w:t>Steven K. Dobscha,</w:t>
      </w:r>
      <w:r w:rsidRPr="00852CC0">
        <w:rPr>
          <w:rFonts w:ascii="Times New Roman" w:eastAsia="Times New Roman" w:hAnsi="Times New Roman" w:cs="Times New Roman"/>
          <w:kern w:val="0"/>
          <w:sz w:val="24"/>
          <w:szCs w:val="24"/>
          <w14:ligatures w14:val="none"/>
        </w:rPr>
        <w:t> </w:t>
      </w:r>
      <w:r w:rsidRPr="00852CC0">
        <w:rPr>
          <w:rFonts w:ascii="Times New Roman" w:eastAsia="Times New Roman" w:hAnsi="Times New Roman" w:cs="Times New Roman"/>
          <w:b/>
          <w:bCs/>
          <w:kern w:val="0"/>
          <w:sz w:val="24"/>
          <w:szCs w:val="24"/>
          <w14:ligatures w14:val="none"/>
        </w:rPr>
        <w:t>M.D.,</w:t>
      </w:r>
      <w:r w:rsidRPr="00852CC0">
        <w:rPr>
          <w:rFonts w:ascii="Times New Roman" w:eastAsia="Times New Roman" w:hAnsi="Times New Roman" w:cs="Times New Roman"/>
          <w:kern w:val="0"/>
          <w:sz w:val="24"/>
          <w:szCs w:val="24"/>
          <w14:ligatures w14:val="none"/>
        </w:rPr>
        <w:t> both with OHSU.</w:t>
      </w:r>
    </w:p>
    <w:p w14:paraId="2242AD74" w14:textId="77777777" w:rsidR="00852CC0" w:rsidRPr="00852CC0" w:rsidRDefault="00852CC0" w:rsidP="00852CC0">
      <w:pPr>
        <w:spacing w:before="240" w:after="240" w:line="240" w:lineRule="auto"/>
        <w:rPr>
          <w:rFonts w:ascii="Times New Roman" w:eastAsia="Times New Roman" w:hAnsi="Times New Roman" w:cs="Times New Roman"/>
          <w:kern w:val="0"/>
          <w:sz w:val="24"/>
          <w:szCs w:val="24"/>
          <w14:ligatures w14:val="none"/>
        </w:rPr>
      </w:pPr>
      <w:r w:rsidRPr="00852CC0">
        <w:rPr>
          <w:rFonts w:ascii="Times New Roman" w:eastAsia="Times New Roman" w:hAnsi="Times New Roman" w:cs="Times New Roman"/>
          <w:i/>
          <w:iCs/>
          <w:kern w:val="0"/>
          <w:sz w:val="24"/>
          <w:szCs w:val="24"/>
          <w14:ligatures w14:val="none"/>
        </w:rPr>
        <w:t>This research was supported by the United States Department of Veterans Affairs, Veterans Health Administration, and VA Health Services Research &amp; Development project </w:t>
      </w:r>
      <w:hyperlink r:id="rId10" w:anchor="gts0005" w:history="1">
        <w:r w:rsidRPr="00852CC0">
          <w:rPr>
            <w:rFonts w:ascii="Times New Roman" w:eastAsia="Times New Roman" w:hAnsi="Times New Roman" w:cs="Times New Roman"/>
            <w:i/>
            <w:iCs/>
            <w:color w:val="0072FF"/>
            <w:kern w:val="0"/>
            <w:sz w:val="24"/>
            <w:szCs w:val="24"/>
            <w14:ligatures w14:val="none"/>
          </w:rPr>
          <w:t>IIR17-131</w:t>
        </w:r>
      </w:hyperlink>
      <w:r w:rsidRPr="00852CC0">
        <w:rPr>
          <w:rFonts w:ascii="Times New Roman" w:eastAsia="Times New Roman" w:hAnsi="Times New Roman" w:cs="Times New Roman"/>
          <w:i/>
          <w:iCs/>
          <w:kern w:val="0"/>
          <w:sz w:val="24"/>
          <w:szCs w:val="24"/>
          <w14:ligatures w14:val="none"/>
        </w:rPr>
        <w:t>. The content is solely the responsibility of the authors and does not necessarily represent the official views of the Department of Veterans Affairs.</w:t>
      </w:r>
    </w:p>
    <w:p w14:paraId="7D5E9331"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C0"/>
    <w:rsid w:val="003273DE"/>
    <w:rsid w:val="00501B7F"/>
    <w:rsid w:val="00852CC0"/>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BD03FA"/>
  <w15:chartTrackingRefBased/>
  <w15:docId w15:val="{6800CAD9-76DB-4C09-AE8F-AA147959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2CC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CC0"/>
    <w:rPr>
      <w:rFonts w:ascii="Times New Roman" w:eastAsia="Times New Roman" w:hAnsi="Times New Roman" w:cs="Times New Roman"/>
      <w:b/>
      <w:bCs/>
      <w:kern w:val="36"/>
      <w:sz w:val="48"/>
      <w:szCs w:val="48"/>
      <w14:ligatures w14:val="none"/>
    </w:rPr>
  </w:style>
  <w:style w:type="character" w:customStyle="1" w:styleId="article-info-item">
    <w:name w:val="article-info-item"/>
    <w:basedOn w:val="DefaultParagraphFont"/>
    <w:rsid w:val="00852CC0"/>
  </w:style>
  <w:style w:type="paragraph" w:styleId="NormalWeb">
    <w:name w:val="Normal (Web)"/>
    <w:basedOn w:val="Normal"/>
    <w:uiPriority w:val="99"/>
    <w:semiHidden/>
    <w:unhideWhenUsed/>
    <w:rsid w:val="00852CC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52CC0"/>
    <w:rPr>
      <w:color w:val="0000FF"/>
      <w:u w:val="single"/>
    </w:rPr>
  </w:style>
  <w:style w:type="character" w:styleId="Emphasis">
    <w:name w:val="Emphasis"/>
    <w:basedOn w:val="DefaultParagraphFont"/>
    <w:uiPriority w:val="20"/>
    <w:qFormat/>
    <w:rsid w:val="00852CC0"/>
    <w:rPr>
      <w:i/>
      <w:iCs/>
    </w:rPr>
  </w:style>
  <w:style w:type="character" w:styleId="Strong">
    <w:name w:val="Strong"/>
    <w:basedOn w:val="DefaultParagraphFont"/>
    <w:uiPriority w:val="22"/>
    <w:qFormat/>
    <w:rsid w:val="00852C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031482">
      <w:bodyDiv w:val="1"/>
      <w:marLeft w:val="0"/>
      <w:marRight w:val="0"/>
      <w:marTop w:val="0"/>
      <w:marBottom w:val="0"/>
      <w:divBdr>
        <w:top w:val="none" w:sz="0" w:space="0" w:color="auto"/>
        <w:left w:val="none" w:sz="0" w:space="0" w:color="auto"/>
        <w:bottom w:val="none" w:sz="0" w:space="0" w:color="auto"/>
        <w:right w:val="none" w:sz="0" w:space="0" w:color="auto"/>
      </w:divBdr>
      <w:divsChild>
        <w:div w:id="800921218">
          <w:marLeft w:val="0"/>
          <w:marRight w:val="0"/>
          <w:marTop w:val="0"/>
          <w:marBottom w:val="225"/>
          <w:divBdr>
            <w:top w:val="none" w:sz="0" w:space="0" w:color="auto"/>
            <w:left w:val="none" w:sz="0" w:space="0" w:color="auto"/>
            <w:bottom w:val="none" w:sz="0" w:space="0" w:color="auto"/>
            <w:right w:val="none" w:sz="0" w:space="0" w:color="auto"/>
          </w:divBdr>
        </w:div>
        <w:div w:id="2135444345">
          <w:marLeft w:val="0"/>
          <w:marRight w:val="0"/>
          <w:marTop w:val="0"/>
          <w:marBottom w:val="225"/>
          <w:divBdr>
            <w:top w:val="none" w:sz="0" w:space="0" w:color="auto"/>
            <w:left w:val="none" w:sz="0" w:space="0" w:color="auto"/>
            <w:bottom w:val="none" w:sz="0" w:space="0" w:color="auto"/>
            <w:right w:val="none" w:sz="0" w:space="0" w:color="auto"/>
          </w:divBdr>
        </w:div>
        <w:div w:id="1704600098">
          <w:marLeft w:val="0"/>
          <w:marRight w:val="0"/>
          <w:marTop w:val="0"/>
          <w:marBottom w:val="0"/>
          <w:divBdr>
            <w:top w:val="none" w:sz="0" w:space="0" w:color="auto"/>
            <w:left w:val="none" w:sz="0" w:space="0" w:color="auto"/>
            <w:bottom w:val="none" w:sz="0" w:space="0" w:color="auto"/>
            <w:right w:val="none" w:sz="0" w:space="0" w:color="auto"/>
          </w:divBdr>
          <w:divsChild>
            <w:div w:id="1878620321">
              <w:marLeft w:val="0"/>
              <w:marRight w:val="0"/>
              <w:marTop w:val="0"/>
              <w:marBottom w:val="300"/>
              <w:divBdr>
                <w:top w:val="none" w:sz="0" w:space="0" w:color="auto"/>
                <w:left w:val="none" w:sz="0" w:space="0" w:color="auto"/>
                <w:bottom w:val="none" w:sz="0" w:space="0" w:color="auto"/>
                <w:right w:val="none" w:sz="0" w:space="0" w:color="auto"/>
              </w:divBdr>
            </w:div>
            <w:div w:id="1587806444">
              <w:marLeft w:val="150"/>
              <w:marRight w:val="150"/>
              <w:marTop w:val="150"/>
              <w:marBottom w:val="150"/>
              <w:divBdr>
                <w:top w:val="none" w:sz="0" w:space="0" w:color="auto"/>
                <w:left w:val="none" w:sz="0" w:space="0" w:color="auto"/>
                <w:bottom w:val="none" w:sz="0" w:space="0" w:color="auto"/>
                <w:right w:val="none" w:sz="0" w:space="0" w:color="auto"/>
              </w:divBdr>
            </w:div>
            <w:div w:id="812605186">
              <w:marLeft w:val="450"/>
              <w:marRight w:val="0"/>
              <w:marTop w:val="0"/>
              <w:marBottom w:val="450"/>
              <w:divBdr>
                <w:top w:val="none" w:sz="0" w:space="0" w:color="auto"/>
                <w:left w:val="none" w:sz="0" w:space="0" w:color="auto"/>
                <w:bottom w:val="none" w:sz="0" w:space="0" w:color="auto"/>
                <w:right w:val="none" w:sz="0" w:space="0" w:color="auto"/>
              </w:divBdr>
              <w:divsChild>
                <w:div w:id="16027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rtlandcoin.research.va.gov/"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www.ohsu.edu/people/lauren-m-denneson-ms-phd"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hyperlink" Target="https://www.sciencedirect.com/science/article/pii/S0165032724008784?via%3Dihub" TargetMode="External"/><Relationship Id="rId15" Type="http://schemas.openxmlformats.org/officeDocument/2006/relationships/customXml" Target="../customXml/item3.xml"/><Relationship Id="rId10" Type="http://schemas.openxmlformats.org/officeDocument/2006/relationships/hyperlink" Target="https://www.sciencedirect.com/science/article/pii/S0165032724008784" TargetMode="External"/><Relationship Id="rId4" Type="http://schemas.openxmlformats.org/officeDocument/2006/relationships/image" Target="media/image1.jpeg"/><Relationship Id="rId9" Type="http://schemas.openxmlformats.org/officeDocument/2006/relationships/hyperlink" Target="https://news.ohsu.edu/news-media/applying-principles-of-public-health-to-reduce-gun-injuries-and-death"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704CE4A-9D72-425F-8239-C09C1A0CCF9D}"/>
</file>

<file path=customXml/itemProps2.xml><?xml version="1.0" encoding="utf-8"?>
<ds:datastoreItem xmlns:ds="http://schemas.openxmlformats.org/officeDocument/2006/customXml" ds:itemID="{B2CC2901-2596-47EC-8A68-B0FD4A4A5D22}"/>
</file>

<file path=customXml/itemProps3.xml><?xml version="1.0" encoding="utf-8"?>
<ds:datastoreItem xmlns:ds="http://schemas.openxmlformats.org/officeDocument/2006/customXml" ds:itemID="{6251B67C-8A40-4DFC-925C-960F3DE85479}"/>
</file>

<file path=docProps/app.xml><?xml version="1.0" encoding="utf-8"?>
<Properties xmlns="http://schemas.openxmlformats.org/officeDocument/2006/extended-properties" xmlns:vt="http://schemas.openxmlformats.org/officeDocument/2006/docPropsVTypes">
  <Template>Normal.dotm</Template>
  <TotalTime>1</TotalTime>
  <Pages>3</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OHSU study 7-2-24--Women veterans at higher risk for repeat suicide attempts</dc:title>
  <dc:subject/>
  <dc:creator>Richman, Michael (VACO)</dc:creator>
  <cp:keywords/>
  <dc:description/>
  <cp:lastModifiedBy>Richman, Michael (VACO)</cp:lastModifiedBy>
  <cp:revision>2</cp:revision>
  <dcterms:created xsi:type="dcterms:W3CDTF">2024-07-03T12:04:00Z</dcterms:created>
  <dcterms:modified xsi:type="dcterms:W3CDTF">2024-07-03T12:04:00Z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