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Response to TBI questions from Rep. McGarvey-Van Orden-Deluzio Letter to SECVA07242024-v2.docx</w:t>
      </w:r>
    </w:p>
    <w:p>
      <w:pPr>
        <w:jc w:val="left"/>
      </w:pPr>
      <w:r>
        <w:rPr>
          <w:color w:val="646464"/>
          <w:sz w:val="18"/>
        </w:rPr>
        <w:t>Title: Response to TBI questions from Representatives McGarvey-Van Orden-Deluzio (Letter to VA secretary, 7-24-24)</w:t>
      </w:r>
    </w:p>
    <w:p>
      <w:pPr>
        <w:jc w:val="left"/>
      </w:pPr>
      <w:r>
        <w:rPr>
          <w:color w:val="646464"/>
          <w:sz w:val="18"/>
        </w:rPr>
        <w:t>Topic: Traumatic Brain Injury (TBI) | Type: Briefing Papers and Congressional Responses</w:t>
      </w:r>
    </w:p>
    <w:p>
      <w:pPr>
        <w:jc w:val="left"/>
      </w:pPr>
      <w:r>
        <w:rPr>
          <w:color w:val="646464"/>
          <w:sz w:val="18"/>
        </w:rPr>
        <w:t>Created: 2024-07-24 | By: Richman, Michael (VACO)</w:t>
      </w:r>
    </w:p>
    <w:p>
      <w:pPr>
        <w:jc w:val="left"/>
      </w:pPr>
      <w:r>
        <w:rPr>
          <w:color w:val="646464"/>
          <w:sz w:val="18"/>
        </w:rPr>
        <w:t>Modified: 2024-07-24 | By: Richman, Michael (VACO)</w:t>
      </w:r>
    </w:p>
    <w:p>
      <w:pPr>
        <w:jc w:val="left"/>
      </w:pPr>
      <w:r>
        <w:rPr>
          <w:color w:val="C8C8C8"/>
          <w:sz w:val="16"/>
        </w:rPr>
        <w:t>────────────────────────────────────────────────────────────────────────────────</w:t>
      </w:r>
    </w:p>
    <w:p>
      <w:pPr>
        <w:jc w:val="left"/>
      </w:pPr>
      <w:r/>
    </w:p>
    <w:p>
      <w:pPr>
        <w:jc w:val="left"/>
      </w:pPr>
      <w:r>
        <w:rPr>
          <w:color w:val="646464"/>
          <w:sz w:val="18"/>
        </w:rPr>
        <w:t>Topic: Traumatic Brain Injury (TBI) | Type: Briefing Papers and Congressional Responses</w:t>
      </w:r>
    </w:p>
    <w:p>
      <w:pPr>
        <w:jc w:val="left"/>
      </w:pPr>
      <w:r>
        <w:rPr>
          <w:color w:val="646464"/>
          <w:sz w:val="18"/>
        </w:rPr>
        <w:t>Created: 2024-07-24 | By: Richman, Michael (VACO)</w:t>
      </w:r>
    </w:p>
    <w:p>
      <w:pPr>
        <w:jc w:val="left"/>
      </w:pPr>
      <w:r>
        <w:rPr>
          <w:color w:val="646464"/>
          <w:sz w:val="18"/>
        </w:rPr>
        <w:t>Modified: 2024-07-24 | By: Richman, Michael (VACO)</w:t>
      </w:r>
    </w:p>
    <w:p w14:paraId="0F9F2611" w14:textId="77777777" w:rsidR="00B45411" w:rsidRPr="00DE43C9" w:rsidRDefault="00B45411" w:rsidP="00B45411">
      <w:pPr>
        <w:pStyle w:val="Default"/>
        <w:jc w:val="left"/>
        <w:rPr>
          <w:rFonts w:ascii="Calibri" w:hAnsi="Calibri" w:cs="Calibri"/>
          <w:b/>
          <w:bCs/>
        </w:rPr>
      </w:pPr>
      <w:r>
        <w:rPr>
          <w:color w:val="C8C8C8"/>
          <w:sz w:val="16"/>
        </w:rPr>
        <w:t>────────────────────────────────────────────────────────────────────────────────</w:t>
      </w:r>
    </w:p>
    <w:p w14:paraId="6784178A" w14:textId="12624531" w:rsidR="00B45411" w:rsidRPr="00DE43C9" w:rsidRDefault="00B45411" w:rsidP="00B45411">
      <w:pPr>
        <w:pStyle w:val="Default"/>
        <w:numPr>
          <w:ilvl w:val="0"/>
          <w:numId w:val="1"/>
        </w:numPr>
        <w:rPr>
          <w:rFonts w:ascii="Calibri" w:eastAsia="Times New Roman" w:hAnsi="Calibri" w:cs="Calibri"/>
          <w:b/>
          <w:bCs/>
        </w:rPr>
      </w:pPr>
      <w:r/>
    </w:p>
    <w:p w14:paraId="15B37B5E" w14:textId="77777777" w:rsidR="009B7C33" w:rsidRPr="00DE43C9" w:rsidRDefault="009B7C33" w:rsidP="009B7C33">
      <w:pPr>
        <w:pStyle w:val="ListParagraph"/>
        <w:jc w:val="both"/>
        <w:rPr>
          <w:color w:val="000000"/>
          <w:bdr w:val="none" w:sz="0" w:space="0" w:color="auto" w:frame="1"/>
        </w:rPr>
      </w:pPr>
    </w:p>
    <w:p w14:paraId="416C6FAA" w14:textId="77777777" w:rsidR="0044027E" w:rsidRPr="00CF2C16" w:rsidRDefault="009B7C33" w:rsidP="00CF2C16">
      <w:pPr>
        <w:pStyle w:val="ListParagraph"/>
        <w:numPr>
          <w:ilvl w:val="0"/>
          <w:numId w:val="12"/>
        </w:numPr>
        <w:jc w:val="both"/>
        <w:rPr>
          <w:color w:val="000000"/>
          <w:bdr w:val="none" w:sz="0" w:space="0" w:color="auto" w:frame="1"/>
        </w:rPr>
      </w:pPr>
      <w:r w:rsidRPr="00CF2C16">
        <w:rPr>
          <w:color w:val="000000"/>
          <w:bdr w:val="none" w:sz="0" w:space="0" w:color="auto" w:frame="1"/>
        </w:rPr>
        <w:t xml:space="preserve">VA has two active, prospective longitudinal research cohorts of &gt;4,000 active duty and veteran service members with combat exposures in the Iraq and Afghan Wars using data from the VA/DoD-funded Long-term Impact of Military-relevant Brain Injury Consortium (LIMBIC) and the VA-funded Translational Research Center for TBI and Stress Disorders (TRACTS) that includes a high percentage (&gt;60%) of participants who have had repeated exposures to blast waves along with combat-exposed controls (i.e., participants without blast exposures). </w:t>
      </w:r>
    </w:p>
    <w:p w14:paraId="630B2930" w14:textId="77777777" w:rsidR="0044027E" w:rsidRPr="00CF2C16" w:rsidRDefault="009B7C33" w:rsidP="00CF2C16">
      <w:pPr>
        <w:pStyle w:val="ListParagraph"/>
        <w:numPr>
          <w:ilvl w:val="0"/>
          <w:numId w:val="12"/>
        </w:numPr>
        <w:jc w:val="both"/>
        <w:rPr>
          <w:color w:val="000000"/>
          <w:bdr w:val="none" w:sz="0" w:space="0" w:color="auto" w:frame="1"/>
        </w:rPr>
      </w:pPr>
      <w:r w:rsidRPr="00CF2C16">
        <w:rPr>
          <w:color w:val="000000"/>
          <w:bdr w:val="none" w:sz="0" w:space="0" w:color="auto" w:frame="1"/>
        </w:rPr>
        <w:t xml:space="preserve">Researchers from both LIMBIC and TRACTS are actively studying the effects of these repeated blast exposures. </w:t>
      </w:r>
    </w:p>
    <w:p w14:paraId="405B3D16" w14:textId="171DDECD" w:rsidR="00CF2C16" w:rsidRPr="00CF2C16" w:rsidRDefault="0044027E" w:rsidP="00CF2C16">
      <w:pPr>
        <w:pStyle w:val="ListParagraph"/>
        <w:numPr>
          <w:ilvl w:val="0"/>
          <w:numId w:val="12"/>
        </w:numPr>
        <w:jc w:val="both"/>
        <w:rPr>
          <w:color w:val="000000"/>
          <w:bdr w:val="none" w:sz="0" w:space="0" w:color="auto" w:frame="1"/>
        </w:rPr>
      </w:pPr>
      <w:r w:rsidRPr="00CF2C16">
        <w:rPr>
          <w:color w:val="000000"/>
          <w:bdr w:val="none" w:sz="0" w:space="0" w:color="auto" w:frame="1"/>
        </w:rPr>
        <w:t>To meet the requirements of the Commander John Scott Hannon Act (Public Law 116-171), Section 305, the VA has funded an initiative</w:t>
      </w:r>
      <w:r w:rsidR="00CF2C16" w:rsidRPr="00CF2C16">
        <w:rPr>
          <w:color w:val="000000"/>
          <w:bdr w:val="none" w:sz="0" w:space="0" w:color="auto" w:frame="1"/>
        </w:rPr>
        <w:t>, Total Brain Diagnostics</w:t>
      </w:r>
      <w:r w:rsidR="008255EA">
        <w:rPr>
          <w:color w:val="000000"/>
          <w:bdr w:val="none" w:sz="0" w:space="0" w:color="auto" w:frame="1"/>
        </w:rPr>
        <w:t xml:space="preserve"> (TBD)</w:t>
      </w:r>
      <w:r w:rsidR="00CF2C16" w:rsidRPr="00CF2C16">
        <w:rPr>
          <w:color w:val="000000"/>
          <w:bdr w:val="none" w:sz="0" w:space="0" w:color="auto" w:frame="1"/>
        </w:rPr>
        <w:t>,</w:t>
      </w:r>
      <w:r w:rsidRPr="00CF2C16">
        <w:rPr>
          <w:color w:val="000000"/>
          <w:bdr w:val="none" w:sz="0" w:space="0" w:color="auto" w:frame="1"/>
        </w:rPr>
        <w:t xml:space="preserve"> to identify, validate, and integrate </w:t>
      </w:r>
      <w:r w:rsidR="00CF2C16" w:rsidRPr="00CF2C16">
        <w:rPr>
          <w:color w:val="000000"/>
          <w:bdr w:val="none" w:sz="0" w:space="0" w:color="auto" w:frame="1"/>
        </w:rPr>
        <w:t xml:space="preserve">(through machine learning algorithms) </w:t>
      </w:r>
      <w:r w:rsidRPr="00CF2C16">
        <w:rPr>
          <w:color w:val="000000"/>
          <w:bdr w:val="none" w:sz="0" w:space="0" w:color="auto" w:frame="1"/>
        </w:rPr>
        <w:t xml:space="preserve">brain and mental health biomarkers among veterans, with specific consideration for depression, anxiety, post-traumatic stress disorder, bipolar disorder, traumatic brain injury, </w:t>
      </w:r>
      <w:r w:rsidR="008255EA">
        <w:rPr>
          <w:color w:val="000000"/>
          <w:bdr w:val="none" w:sz="0" w:space="0" w:color="auto" w:frame="1"/>
        </w:rPr>
        <w:t xml:space="preserve">suicide, and </w:t>
      </w:r>
      <w:r w:rsidRPr="00CF2C16">
        <w:rPr>
          <w:color w:val="000000"/>
          <w:bdr w:val="none" w:sz="0" w:space="0" w:color="auto" w:frame="1"/>
        </w:rPr>
        <w:t xml:space="preserve">other mental health conditions. </w:t>
      </w:r>
    </w:p>
    <w:p w14:paraId="4DA8D58D" w14:textId="6FF928CD" w:rsidR="0044027E" w:rsidRPr="00CF2C16" w:rsidRDefault="0044027E" w:rsidP="00CF2C16">
      <w:pPr>
        <w:pStyle w:val="ListParagraph"/>
        <w:numPr>
          <w:ilvl w:val="0"/>
          <w:numId w:val="12"/>
        </w:numPr>
        <w:jc w:val="both"/>
        <w:rPr>
          <w:rFonts w:eastAsia="Times New Roman"/>
        </w:rPr>
      </w:pPr>
      <w:r w:rsidRPr="00CF2C16">
        <w:rPr>
          <w:color w:val="000000"/>
          <w:bdr w:val="none" w:sz="0" w:space="0" w:color="auto" w:frame="1"/>
        </w:rPr>
        <w:t xml:space="preserve">The studies will include brain structure and function measurements, such as functional magnetic resonance imaging and electroencephalogram, and will coordinate with ongoing clinical research efforts such as </w:t>
      </w:r>
      <w:r w:rsidR="008255EA">
        <w:rPr>
          <w:color w:val="000000"/>
          <w:bdr w:val="none" w:sz="0" w:space="0" w:color="auto" w:frame="1"/>
        </w:rPr>
        <w:t xml:space="preserve">the </w:t>
      </w:r>
      <w:r w:rsidRPr="00CF2C16">
        <w:rPr>
          <w:color w:val="000000"/>
          <w:bdr w:val="none" w:sz="0" w:space="0" w:color="auto" w:frame="1"/>
        </w:rPr>
        <w:t>Long-term Impact of Military-relevant Brain Injury Consortium-Chronic Effects of Neurotrauma Consortium (LIMBIC-CENC)</w:t>
      </w:r>
      <w:r w:rsidR="008255EA">
        <w:rPr>
          <w:color w:val="000000"/>
          <w:bdr w:val="none" w:sz="0" w:space="0" w:color="auto" w:frame="1"/>
        </w:rPr>
        <w:t xml:space="preserve"> and</w:t>
      </w:r>
      <w:r w:rsidRPr="00CF2C16">
        <w:rPr>
          <w:color w:val="000000"/>
          <w:bdr w:val="none" w:sz="0" w:space="0" w:color="auto" w:frame="1"/>
        </w:rPr>
        <w:t xml:space="preserve"> </w:t>
      </w:r>
      <w:r w:rsidR="00CF2C16" w:rsidRPr="00CF2C16">
        <w:rPr>
          <w:color w:val="000000"/>
          <w:bdr w:val="none" w:sz="0" w:space="0" w:color="auto" w:frame="1"/>
        </w:rPr>
        <w:t>t</w:t>
      </w:r>
      <w:r w:rsidRPr="00CF2C16">
        <w:rPr>
          <w:color w:val="000000"/>
          <w:bdr w:val="none" w:sz="0" w:space="0" w:color="auto" w:frame="1"/>
        </w:rPr>
        <w:t>he Translational Research Center for TBI and Stress Disorders (TRACTS)</w:t>
      </w:r>
      <w:r w:rsidR="00CF2C16" w:rsidRPr="00CF2C16">
        <w:rPr>
          <w:color w:val="000000"/>
          <w:bdr w:val="none" w:sz="0" w:space="0" w:color="auto" w:frame="1"/>
        </w:rPr>
        <w:t>.</w:t>
      </w:r>
    </w:p>
    <w:p w14:paraId="064426D8" w14:textId="30EEEFE1" w:rsidR="0044027E" w:rsidRPr="00CF2C16" w:rsidRDefault="009B7C33" w:rsidP="00CF2C16">
      <w:pPr>
        <w:pStyle w:val="ListParagraph"/>
        <w:numPr>
          <w:ilvl w:val="0"/>
          <w:numId w:val="12"/>
        </w:numPr>
        <w:jc w:val="both"/>
        <w:rPr>
          <w:rFonts w:eastAsia="Times New Roman"/>
        </w:rPr>
      </w:pPr>
      <w:r w:rsidRPr="00CF2C16">
        <w:rPr>
          <w:rFonts w:eastAsia="Times New Roman"/>
        </w:rPr>
        <w:t xml:space="preserve">LIMBIC’s Prospective Longitudinal Study (PLS) is an 11-year, </w:t>
      </w:r>
      <w:r w:rsidR="0080670D">
        <w:rPr>
          <w:rFonts w:eastAsia="Times New Roman"/>
        </w:rPr>
        <w:t>41</w:t>
      </w:r>
      <w:r w:rsidRPr="00CF2C16">
        <w:rPr>
          <w:rFonts w:eastAsia="Times New Roman"/>
        </w:rPr>
        <w:t>-site cohort of &gt;3,</w:t>
      </w:r>
      <w:r w:rsidR="00776E36">
        <w:rPr>
          <w:rFonts w:eastAsia="Times New Roman"/>
        </w:rPr>
        <w:t>10</w:t>
      </w:r>
      <w:r w:rsidRPr="00CF2C16">
        <w:rPr>
          <w:rFonts w:eastAsia="Times New Roman"/>
        </w:rPr>
        <w:t xml:space="preserve">0 service members and </w:t>
      </w:r>
      <w:r w:rsidR="008255EA">
        <w:rPr>
          <w:rFonts w:eastAsia="Times New Roman"/>
        </w:rPr>
        <w:t>V</w:t>
      </w:r>
      <w:r w:rsidRPr="00CF2C16">
        <w:rPr>
          <w:rFonts w:eastAsia="Times New Roman"/>
        </w:rPr>
        <w:t>eteran participants with combat-exposure who are well-characterized initially and then have annual reassessments since recruitment, and TRACT</w:t>
      </w:r>
      <w:r w:rsidR="008255EA">
        <w:rPr>
          <w:rFonts w:eastAsia="Times New Roman"/>
        </w:rPr>
        <w:t>S</w:t>
      </w:r>
      <w:r w:rsidRPr="00CF2C16">
        <w:rPr>
          <w:rFonts w:eastAsia="Times New Roman"/>
        </w:rPr>
        <w:t xml:space="preserve"> is a 15-year, 2-site longitudinal cohort of &gt;950 </w:t>
      </w:r>
      <w:r w:rsidR="008255EA">
        <w:rPr>
          <w:rFonts w:eastAsia="Times New Roman"/>
        </w:rPr>
        <w:t>Ve</w:t>
      </w:r>
      <w:r w:rsidRPr="00CF2C16">
        <w:rPr>
          <w:rFonts w:eastAsia="Times New Roman"/>
        </w:rPr>
        <w:t>terans with combat-exposure who are deeply characterized initially and then undergo comprehensive reassessment at 2, 5</w:t>
      </w:r>
      <w:r w:rsidR="008255EA">
        <w:rPr>
          <w:rFonts w:eastAsia="Times New Roman"/>
        </w:rPr>
        <w:t>,</w:t>
      </w:r>
      <w:r w:rsidRPr="00CF2C16">
        <w:rPr>
          <w:rFonts w:eastAsia="Times New Roman"/>
        </w:rPr>
        <w:t xml:space="preserve"> and 10 years. </w:t>
      </w:r>
    </w:p>
    <w:p w14:paraId="73926AE0" w14:textId="77777777" w:rsidR="00CF2C16" w:rsidRPr="00CF2C16" w:rsidRDefault="009B7C33" w:rsidP="00CF2C16">
      <w:pPr>
        <w:pStyle w:val="ListParagraph"/>
        <w:numPr>
          <w:ilvl w:val="0"/>
          <w:numId w:val="12"/>
        </w:numPr>
        <w:jc w:val="both"/>
        <w:rPr>
          <w:rFonts w:eastAsia="Times New Roman"/>
        </w:rPr>
      </w:pPr>
      <w:r w:rsidRPr="00CF2C16">
        <w:rPr>
          <w:rFonts w:eastAsia="Times New Roman"/>
        </w:rPr>
        <w:t xml:space="preserve">The TBD team is working to: </w:t>
      </w:r>
    </w:p>
    <w:p w14:paraId="4FF35023" w14:textId="638839BF" w:rsidR="00CF2C16" w:rsidRPr="00CF2C16" w:rsidRDefault="00CF2C16" w:rsidP="00CF2C16">
      <w:pPr>
        <w:pStyle w:val="ListParagraph"/>
        <w:numPr>
          <w:ilvl w:val="1"/>
          <w:numId w:val="12"/>
        </w:numPr>
        <w:jc w:val="both"/>
        <w:rPr>
          <w:rFonts w:eastAsia="Times New Roman"/>
        </w:rPr>
      </w:pPr>
      <w:r w:rsidRPr="00CF2C16">
        <w:rPr>
          <w:rFonts w:eastAsia="Times New Roman"/>
        </w:rPr>
        <w:t xml:space="preserve">Define </w:t>
      </w:r>
      <w:r w:rsidR="009B7C33" w:rsidRPr="00CF2C16">
        <w:rPr>
          <w:rFonts w:eastAsia="Times New Roman"/>
        </w:rPr>
        <w:t xml:space="preserve">a standardized approach and create a crosswalk for the modalities and domains of LIMBIC and TRACTS longitudinal cohort to create a unified assessment profile, </w:t>
      </w:r>
    </w:p>
    <w:p w14:paraId="4EEDDC49" w14:textId="62A17C29" w:rsidR="00CF2C16" w:rsidRPr="00CF2C16" w:rsidRDefault="00CF2C16" w:rsidP="00CF2C16">
      <w:pPr>
        <w:pStyle w:val="ListParagraph"/>
        <w:numPr>
          <w:ilvl w:val="1"/>
          <w:numId w:val="12"/>
        </w:numPr>
        <w:jc w:val="both"/>
        <w:rPr>
          <w:rFonts w:eastAsia="Times New Roman"/>
        </w:rPr>
      </w:pPr>
      <w:r w:rsidRPr="00CF2C16">
        <w:rPr>
          <w:rFonts w:eastAsia="Times New Roman"/>
        </w:rPr>
        <w:t xml:space="preserve">Identify </w:t>
      </w:r>
      <w:r w:rsidR="009B7C33" w:rsidRPr="00CF2C16">
        <w:rPr>
          <w:rFonts w:eastAsia="Times New Roman"/>
        </w:rPr>
        <w:t xml:space="preserve">a rigorous harmonization approach to allow for overall data analyses using the unified data set, </w:t>
      </w:r>
    </w:p>
    <w:p w14:paraId="339DD0F3" w14:textId="3947DB10" w:rsidR="00CF2C16" w:rsidRPr="00CF2C16" w:rsidRDefault="00CF2C16" w:rsidP="00CF2C16">
      <w:pPr>
        <w:pStyle w:val="ListParagraph"/>
        <w:numPr>
          <w:ilvl w:val="1"/>
          <w:numId w:val="12"/>
        </w:numPr>
        <w:jc w:val="both"/>
        <w:rPr>
          <w:rFonts w:eastAsia="Times New Roman"/>
        </w:rPr>
      </w:pPr>
      <w:r w:rsidRPr="00CF2C16">
        <w:rPr>
          <w:rFonts w:eastAsia="Times New Roman"/>
        </w:rPr>
        <w:t>Identify a</w:t>
      </w:r>
      <w:r w:rsidR="009B7C33" w:rsidRPr="00CF2C16">
        <w:rPr>
          <w:rFonts w:eastAsia="Times New Roman"/>
        </w:rPr>
        <w:t xml:space="preserve"> multi-modal, analytic approach for the harmonized data set, </w:t>
      </w:r>
    </w:p>
    <w:p w14:paraId="010C682D" w14:textId="61D322EE" w:rsidR="00CF2C16" w:rsidRPr="00CF2C16" w:rsidRDefault="00CF2C16" w:rsidP="00CF2C16">
      <w:pPr>
        <w:pStyle w:val="ListParagraph"/>
        <w:numPr>
          <w:ilvl w:val="1"/>
          <w:numId w:val="12"/>
        </w:numPr>
        <w:jc w:val="both"/>
        <w:rPr>
          <w:rFonts w:eastAsia="Times New Roman"/>
        </w:rPr>
      </w:pPr>
      <w:r w:rsidRPr="00CF2C16">
        <w:rPr>
          <w:rFonts w:eastAsia="Times New Roman"/>
        </w:rPr>
        <w:t xml:space="preserve">Explore </w:t>
      </w:r>
      <w:r w:rsidR="009B7C33" w:rsidRPr="00CF2C16">
        <w:rPr>
          <w:rFonts w:eastAsia="Times New Roman"/>
        </w:rPr>
        <w:t xml:space="preserve">the use of a VA-supported machine-learning approach as a possible </w:t>
      </w:r>
      <w:r w:rsidRPr="00CF2C16">
        <w:rPr>
          <w:rFonts w:eastAsia="Times New Roman"/>
        </w:rPr>
        <w:t>toolset</w:t>
      </w:r>
      <w:r w:rsidR="009B7C33" w:rsidRPr="00CF2C16">
        <w:rPr>
          <w:rFonts w:eastAsia="Times New Roman"/>
        </w:rPr>
        <w:t xml:space="preserve"> in identifying multimodal patterns relevant to predicting post-blast brain health, </w:t>
      </w:r>
    </w:p>
    <w:p w14:paraId="66AACF48" w14:textId="447AFBB4" w:rsidR="00CF2C16" w:rsidRPr="00CF2C16" w:rsidRDefault="00CF2C16" w:rsidP="00CF2C16">
      <w:pPr>
        <w:pStyle w:val="ListParagraph"/>
        <w:numPr>
          <w:ilvl w:val="1"/>
          <w:numId w:val="12"/>
        </w:numPr>
        <w:jc w:val="both"/>
        <w:rPr>
          <w:rFonts w:eastAsia="Times New Roman"/>
        </w:rPr>
      </w:pPr>
      <w:r w:rsidRPr="00CF2C16">
        <w:rPr>
          <w:rFonts w:eastAsia="Times New Roman"/>
        </w:rPr>
        <w:t xml:space="preserve">Develop </w:t>
      </w:r>
      <w:r w:rsidR="009B7C33" w:rsidRPr="00CF2C16">
        <w:rPr>
          <w:rFonts w:eastAsia="Times New Roman"/>
        </w:rPr>
        <w:t>and propose a research program to standardize, harmonize and analyze the prospective, longitudinal dataset to identify risk factors associated with the impact of repeated blasts on brain disorders and recovery and</w:t>
      </w:r>
      <w:r w:rsidR="008255EA">
        <w:rPr>
          <w:rFonts w:eastAsia="Times New Roman"/>
        </w:rPr>
        <w:t>,</w:t>
      </w:r>
      <w:r w:rsidR="009B7C33" w:rsidRPr="00CF2C16">
        <w:rPr>
          <w:rFonts w:eastAsia="Times New Roman"/>
        </w:rPr>
        <w:t xml:space="preserve"> </w:t>
      </w:r>
    </w:p>
    <w:p w14:paraId="438D0291" w14:textId="0B80F131" w:rsidR="009B7C33" w:rsidRPr="00CF2C16" w:rsidRDefault="00CF2C16" w:rsidP="00CF2C16">
      <w:pPr>
        <w:pStyle w:val="ListParagraph"/>
        <w:numPr>
          <w:ilvl w:val="1"/>
          <w:numId w:val="12"/>
        </w:numPr>
        <w:jc w:val="both"/>
        <w:rPr>
          <w:b/>
          <w:bCs/>
          <w:color w:val="000000"/>
          <w:bdr w:val="none" w:sz="0" w:space="0" w:color="auto" w:frame="1"/>
        </w:rPr>
      </w:pPr>
      <w:r w:rsidRPr="00CF2C16">
        <w:rPr>
          <w:rFonts w:eastAsia="Times New Roman"/>
        </w:rPr>
        <w:t>Develop</w:t>
      </w:r>
      <w:r w:rsidR="009B7C33" w:rsidRPr="00CF2C16">
        <w:rPr>
          <w:rFonts w:eastAsia="Times New Roman"/>
        </w:rPr>
        <w:t>, pilot test, and propose follow-up FAIR data methods to apply the systems developed in this proposal to incorporate additional, large</w:t>
      </w:r>
      <w:r w:rsidR="008255EA">
        <w:rPr>
          <w:rFonts w:eastAsia="Times New Roman"/>
        </w:rPr>
        <w:t xml:space="preserve"> </w:t>
      </w:r>
      <w:r w:rsidR="009B7C33" w:rsidRPr="00CF2C16">
        <w:rPr>
          <w:rFonts w:eastAsia="Times New Roman"/>
        </w:rPr>
        <w:t xml:space="preserve">scale, longitudinal military data to this robust data resource. </w:t>
      </w:r>
    </w:p>
    <w:p w14:paraId="2816EBD6" w14:textId="07F8434B" w:rsidR="00B45411" w:rsidRPr="00DE43C9" w:rsidRDefault="00B45411" w:rsidP="00B45411">
      <w:pPr>
        <w:spacing w:after="160" w:line="259" w:lineRule="auto"/>
        <w:rPr>
          <w:rFonts w:eastAsia="Times New Roman"/>
          <w:b/>
          <w:bCs/>
          <w:color w:val="000000"/>
          <w:sz w:val="24"/>
          <w:szCs w:val="24"/>
          <w14:ligatures w14:val="none"/>
        </w:rPr>
      </w:pPr>
    </w:p>
    <w:p w14:paraId="01D93184" w14:textId="77777777" w:rsidR="00776E36" w:rsidRDefault="00776E36" w:rsidP="00B45411">
      <w:pPr>
        <w:pStyle w:val="Default"/>
        <w:rPr>
          <w:rFonts w:ascii="Calibri" w:hAnsi="Calibri" w:cs="Calibri"/>
          <w:b/>
          <w:bCs/>
        </w:rPr>
      </w:pPr>
    </w:p>
    <w:p w14:paraId="23F494BB" w14:textId="77777777" w:rsidR="00776E36" w:rsidRPr="00DE43C9" w:rsidRDefault="00776E36" w:rsidP="00B45411">
      <w:pPr>
        <w:pStyle w:val="Default"/>
        <w:rPr>
          <w:rFonts w:ascii="Calibri" w:hAnsi="Calibri" w:cs="Calibri"/>
          <w:b/>
          <w:bCs/>
        </w:rPr>
      </w:pPr>
    </w:p>
    <w:p w14:paraId="697F298F" w14:textId="3AA39BAF" w:rsidR="00B45411" w:rsidRPr="00DE43C9" w:rsidRDefault="00B45411" w:rsidP="00B45411">
      <w:pPr>
        <w:pStyle w:val="Default"/>
        <w:numPr>
          <w:ilvl w:val="0"/>
          <w:numId w:val="1"/>
        </w:numPr>
        <w:rPr>
          <w:rFonts w:ascii="Calibri" w:eastAsia="Times New Roman" w:hAnsi="Calibri" w:cs="Calibri"/>
          <w:b/>
          <w:bCs/>
        </w:rPr>
      </w:pPr>
      <w:r w:rsidRPr="00DE43C9">
        <w:rPr>
          <w:rFonts w:ascii="Calibri" w:eastAsia="Times New Roman" w:hAnsi="Calibri" w:cs="Calibri"/>
          <w:b/>
          <w:bCs/>
        </w:rPr>
        <w:lastRenderedPageBreak/>
        <w:t xml:space="preserve">Congressionally Directed Medical Research Programs like the Traumatic Brain Injury and Psychological Health Research Program (TBIPHRP) are funded to study brain injury of all kinds. This particular research program gathers data on veterans and service members to include lab work, brain scans, tests of eye movement, functional movement evaluations, memory and cognitive evaluations, psychological evaluations, and more. How is that data being used and analyzed and what insights have been published? </w:t>
      </w:r>
    </w:p>
    <w:p w14:paraId="2BFCBAAF" w14:textId="77777777" w:rsidR="009B7C33" w:rsidRPr="00DE43C9" w:rsidRDefault="009B7C33" w:rsidP="009B7C33">
      <w:pPr>
        <w:spacing w:after="120"/>
        <w:jc w:val="both"/>
        <w:rPr>
          <w:i/>
          <w:iCs/>
        </w:rPr>
      </w:pPr>
    </w:p>
    <w:p w14:paraId="7BBB0A7D" w14:textId="1B6C0DA4" w:rsidR="00D242F4" w:rsidRDefault="00D242F4" w:rsidP="009B7C33">
      <w:pPr>
        <w:spacing w:after="120"/>
        <w:jc w:val="both"/>
      </w:pPr>
      <w:r>
        <w:t>This response is in two parts</w:t>
      </w:r>
      <w:r w:rsidR="008255EA">
        <w:t>.</w:t>
      </w:r>
      <w:r>
        <w:t xml:space="preserve"> </w:t>
      </w:r>
      <w:r w:rsidR="008255EA">
        <w:t>T</w:t>
      </w:r>
      <w:r>
        <w:t>he first part of the response is general information about TBIPHRP. The second part of the response highlights the joint funding of consortium that is focused on military-relevant brain injury.</w:t>
      </w:r>
    </w:p>
    <w:p w14:paraId="06954938" w14:textId="3EFB943A" w:rsidR="00D242F4" w:rsidRPr="00D242F4" w:rsidRDefault="00D242F4" w:rsidP="009B7C33">
      <w:pPr>
        <w:spacing w:after="120"/>
        <w:jc w:val="both"/>
        <w:rPr>
          <w:b/>
          <w:bCs/>
        </w:rPr>
      </w:pPr>
      <w:r w:rsidRPr="00D242F4">
        <w:rPr>
          <w:b/>
          <w:bCs/>
        </w:rPr>
        <w:t>Part 1. TBIPHRP</w:t>
      </w:r>
    </w:p>
    <w:p w14:paraId="11375C8A" w14:textId="77777777" w:rsidR="00D242F4" w:rsidRPr="00D242F4" w:rsidRDefault="00D242F4" w:rsidP="00D242F4">
      <w:pPr>
        <w:pStyle w:val="xdefault"/>
        <w:rPr>
          <w:rFonts w:asciiTheme="minorHAnsi" w:eastAsia="Times New Roman" w:hAnsiTheme="minorHAnsi" w:cstheme="minorHAnsi"/>
          <w:sz w:val="22"/>
          <w:szCs w:val="22"/>
          <w:u w:val="single"/>
        </w:rPr>
      </w:pPr>
      <w:r w:rsidRPr="00D242F4">
        <w:rPr>
          <w:rFonts w:asciiTheme="minorHAnsi" w:eastAsia="Times New Roman" w:hAnsiTheme="minorHAnsi" w:cstheme="minorHAnsi"/>
          <w:sz w:val="22"/>
          <w:szCs w:val="22"/>
          <w:u w:val="single"/>
        </w:rPr>
        <w:t xml:space="preserve">Congressionally Directed Medical Research Programs (CDMRP) Overview </w:t>
      </w:r>
    </w:p>
    <w:p w14:paraId="13E5D3C1" w14:textId="007BEBCC" w:rsidR="00D242F4" w:rsidRPr="00D242F4" w:rsidRDefault="00D242F4" w:rsidP="00D242F4">
      <w:pPr>
        <w:pStyle w:val="xdefault"/>
        <w:numPr>
          <w:ilvl w:val="0"/>
          <w:numId w:val="19"/>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 xml:space="preserve">CDMRP originated in 1992 and manages Congressional appropriations for medical research programs designated by Congress. The CDMRP vision is to transform health care through innovative and impactful research. CDMRP’s mission is to responsibly manage collaborative research that discovers, develops, and delivers health care solutions for Service Members, Veterans, their Families, and the American public. </w:t>
      </w:r>
    </w:p>
    <w:p w14:paraId="64011364" w14:textId="77777777" w:rsidR="00D242F4" w:rsidRPr="00D242F4" w:rsidRDefault="00D242F4" w:rsidP="00D242F4">
      <w:pPr>
        <w:pStyle w:val="xdefault"/>
        <w:numPr>
          <w:ilvl w:val="0"/>
          <w:numId w:val="19"/>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The CDMRP utilizes a two-tier scientific and programmatic review process to invest in research across the full spectrum of research and development, including basic, translational, and clinical research. CDMRP-funded research benefits not only military members, military retirees, and family members, but the civilian population as well.</w:t>
      </w:r>
    </w:p>
    <w:p w14:paraId="1851D05A" w14:textId="77777777" w:rsidR="00D242F4" w:rsidRPr="00D242F4" w:rsidRDefault="00D242F4" w:rsidP="00D242F4">
      <w:pPr>
        <w:pStyle w:val="xdefault"/>
        <w:rPr>
          <w:rFonts w:asciiTheme="minorHAnsi" w:eastAsia="Times New Roman" w:hAnsiTheme="minorHAnsi" w:cstheme="minorHAnsi"/>
          <w:sz w:val="22"/>
          <w:szCs w:val="22"/>
        </w:rPr>
      </w:pPr>
    </w:p>
    <w:p w14:paraId="15B2CB30" w14:textId="77777777" w:rsidR="00D242F4" w:rsidRPr="00D242F4" w:rsidRDefault="00D242F4" w:rsidP="00D242F4">
      <w:pPr>
        <w:pStyle w:val="xdefault"/>
        <w:rPr>
          <w:rFonts w:asciiTheme="minorHAnsi" w:eastAsia="Times New Roman" w:hAnsiTheme="minorHAnsi" w:cstheme="minorHAnsi"/>
          <w:sz w:val="22"/>
          <w:szCs w:val="22"/>
          <w:u w:val="single"/>
        </w:rPr>
      </w:pPr>
      <w:r w:rsidRPr="00D242F4">
        <w:rPr>
          <w:rFonts w:asciiTheme="minorHAnsi" w:eastAsia="Times New Roman" w:hAnsiTheme="minorHAnsi" w:cstheme="minorHAnsi"/>
          <w:sz w:val="22"/>
          <w:szCs w:val="22"/>
          <w:u w:val="single"/>
        </w:rPr>
        <w:t xml:space="preserve">Traumatic Brain Injury and Psychological Health Research Program (TBIPHRP) Overview </w:t>
      </w:r>
    </w:p>
    <w:p w14:paraId="6650B959" w14:textId="2D119EBE" w:rsidR="00D242F4" w:rsidRPr="00D242F4" w:rsidRDefault="00D242F4" w:rsidP="00D45DA8">
      <w:pPr>
        <w:pStyle w:val="xdefault"/>
        <w:numPr>
          <w:ilvl w:val="0"/>
          <w:numId w:val="20"/>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 xml:space="preserve">In fiscal year 2007 (FY07), Congress appropriated funds for traumatic brain injury (TBI) and psychological health research in response to the TBIs sustained and psychological health issues experienced by our deployed forces in Iraq and Afghanistan. From FY07 to FY20, the appropriations were executed as the Psychological Health and Traumatic Brain Injury Research Program (PH/TBIRP).  </w:t>
      </w:r>
    </w:p>
    <w:p w14:paraId="4C7091DD" w14:textId="1803AA41" w:rsidR="00D242F4" w:rsidRPr="00D242F4" w:rsidRDefault="00D242F4" w:rsidP="008E12A0">
      <w:pPr>
        <w:pStyle w:val="xdefault"/>
        <w:numPr>
          <w:ilvl w:val="0"/>
          <w:numId w:val="20"/>
        </w:numPr>
        <w:rPr>
          <w:rFonts w:asciiTheme="minorHAnsi" w:eastAsia="Times New Roman" w:hAnsiTheme="minorHAnsi" w:cstheme="minorHAnsi"/>
          <w:strike/>
          <w:sz w:val="22"/>
          <w:szCs w:val="22"/>
        </w:rPr>
      </w:pPr>
      <w:r w:rsidRPr="00D242F4">
        <w:rPr>
          <w:rFonts w:asciiTheme="minorHAnsi" w:eastAsia="Times New Roman" w:hAnsiTheme="minorHAnsi" w:cstheme="minorHAnsi"/>
          <w:sz w:val="22"/>
          <w:szCs w:val="22"/>
        </w:rPr>
        <w:t>In FY21, the program was renamed to the TBIPHRP. Since FY21, the CDMRP manages the TBIPHRP.</w:t>
      </w:r>
    </w:p>
    <w:p w14:paraId="159898FD" w14:textId="30356EDD" w:rsidR="00D242F4" w:rsidRPr="00D242F4" w:rsidRDefault="00D242F4" w:rsidP="00D242F4">
      <w:pPr>
        <w:pStyle w:val="xdefault"/>
        <w:numPr>
          <w:ilvl w:val="0"/>
          <w:numId w:val="20"/>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The vision of the TBIPHRP is to optimize the prevention, assessment, and treatment of psychological health conditions and/or traumatic brain injuries. The TBIPHRP aims to achieve its vision though its mission of funding research to understand, prevent and treat psychological health conditions and/or traumatic brain injuries. This effort accelerates the development of solutions to improve the health and healthcare of Service Members, their Families, Veterans, and the American public.</w:t>
      </w:r>
    </w:p>
    <w:p w14:paraId="13891A43" w14:textId="00E973AA" w:rsidR="00D242F4" w:rsidRPr="00D242F4" w:rsidRDefault="00D242F4" w:rsidP="00D242F4">
      <w:pPr>
        <w:pStyle w:val="xdefault"/>
        <w:numPr>
          <w:ilvl w:val="0"/>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The TBIPHRP has supported the development of five FDA cleared devices</w:t>
      </w:r>
      <w:r w:rsidR="00461630">
        <w:rPr>
          <w:rFonts w:asciiTheme="minorHAnsi" w:eastAsia="Times New Roman" w:hAnsiTheme="minorHAnsi" w:cstheme="minorHAnsi"/>
          <w:sz w:val="22"/>
          <w:szCs w:val="22"/>
        </w:rPr>
        <w:t>.</w:t>
      </w:r>
      <w:r w:rsidR="0060685D">
        <w:rPr>
          <w:rFonts w:asciiTheme="minorHAnsi" w:eastAsia="Times New Roman" w:hAnsiTheme="minorHAnsi" w:cstheme="minorHAnsi"/>
          <w:sz w:val="22"/>
          <w:szCs w:val="22"/>
        </w:rPr>
        <w:t xml:space="preserve"> </w:t>
      </w:r>
      <w:r w:rsidRPr="00D242F4">
        <w:rPr>
          <w:rFonts w:asciiTheme="minorHAnsi" w:eastAsia="Times New Roman" w:hAnsiTheme="minorHAnsi" w:cstheme="minorHAnsi"/>
          <w:sz w:val="22"/>
          <w:szCs w:val="22"/>
        </w:rPr>
        <w:t>The device’s name, company, and FDA reference are provided below:</w:t>
      </w:r>
    </w:p>
    <w:p w14:paraId="0DC148D8" w14:textId="77777777" w:rsidR="00D242F4" w:rsidRPr="00D242F4" w:rsidRDefault="00D242F4" w:rsidP="00D242F4">
      <w:pPr>
        <w:pStyle w:val="xdefault"/>
        <w:numPr>
          <w:ilvl w:val="1"/>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EYE-SYNC (</w:t>
      </w:r>
      <w:proofErr w:type="spellStart"/>
      <w:r w:rsidRPr="00D242F4">
        <w:rPr>
          <w:rFonts w:asciiTheme="minorHAnsi" w:hAnsiTheme="minorHAnsi" w:cstheme="minorHAnsi"/>
          <w:sz w:val="22"/>
          <w:szCs w:val="22"/>
        </w:rPr>
        <w:t>SyncThink</w:t>
      </w:r>
      <w:proofErr w:type="spellEnd"/>
      <w:r w:rsidRPr="00D242F4">
        <w:rPr>
          <w:rFonts w:asciiTheme="minorHAnsi" w:hAnsiTheme="minorHAnsi" w:cstheme="minorHAnsi"/>
          <w:sz w:val="22"/>
          <w:szCs w:val="22"/>
        </w:rPr>
        <w:t>, Inc)</w:t>
      </w:r>
    </w:p>
    <w:p w14:paraId="4B144B67" w14:textId="77777777" w:rsidR="00D242F4" w:rsidRPr="00D242F4" w:rsidRDefault="00D242F4" w:rsidP="00D242F4">
      <w:pPr>
        <w:pStyle w:val="xdefault"/>
        <w:numPr>
          <w:ilvl w:val="2"/>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 xml:space="preserve">Device is intended for recording, viewing, and analyzing eye movements in support of identifying visual tracking impairment in human subjects. </w:t>
      </w:r>
    </w:p>
    <w:p w14:paraId="649D8C73" w14:textId="77777777" w:rsidR="00D242F4" w:rsidRPr="00D242F4" w:rsidRDefault="00566A87" w:rsidP="00D242F4">
      <w:pPr>
        <w:pStyle w:val="xdefault"/>
        <w:numPr>
          <w:ilvl w:val="2"/>
          <w:numId w:val="21"/>
        </w:numPr>
        <w:rPr>
          <w:rFonts w:asciiTheme="minorHAnsi" w:eastAsia="Times New Roman" w:hAnsiTheme="minorHAnsi" w:cstheme="minorHAnsi"/>
          <w:sz w:val="22"/>
          <w:szCs w:val="22"/>
        </w:rPr>
      </w:pPr>
      <w:hyperlink r:id="rId5" w:history="1">
        <w:r w:rsidR="00D242F4" w:rsidRPr="00D242F4">
          <w:rPr>
            <w:rStyle w:val="Hyperlink"/>
            <w:rFonts w:asciiTheme="minorHAnsi" w:hAnsiTheme="minorHAnsi" w:cstheme="minorHAnsi"/>
            <w:sz w:val="22"/>
            <w:szCs w:val="22"/>
          </w:rPr>
          <w:t>https://www.accessdata.fda.gov/cdrh_docs/pdf15/K152915.pdf</w:t>
        </w:r>
      </w:hyperlink>
      <w:r w:rsidR="00D242F4" w:rsidRPr="00D242F4">
        <w:rPr>
          <w:rFonts w:asciiTheme="minorHAnsi" w:hAnsiTheme="minorHAnsi" w:cstheme="minorHAnsi"/>
          <w:sz w:val="22"/>
          <w:szCs w:val="22"/>
        </w:rPr>
        <w:t xml:space="preserve"> </w:t>
      </w:r>
    </w:p>
    <w:p w14:paraId="35C26C92" w14:textId="77777777" w:rsidR="00D242F4" w:rsidRPr="00D242F4" w:rsidRDefault="00D242F4" w:rsidP="00D242F4">
      <w:pPr>
        <w:pStyle w:val="xdefault"/>
        <w:numPr>
          <w:ilvl w:val="1"/>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Ahead 200 (</w:t>
      </w:r>
      <w:proofErr w:type="spellStart"/>
      <w:r w:rsidRPr="00D242F4">
        <w:rPr>
          <w:rFonts w:asciiTheme="minorHAnsi" w:hAnsiTheme="minorHAnsi" w:cstheme="minorHAnsi"/>
          <w:sz w:val="22"/>
          <w:szCs w:val="22"/>
        </w:rPr>
        <w:t>BrainScope</w:t>
      </w:r>
      <w:proofErr w:type="spellEnd"/>
      <w:r w:rsidRPr="00D242F4">
        <w:rPr>
          <w:rFonts w:asciiTheme="minorHAnsi" w:hAnsiTheme="minorHAnsi" w:cstheme="minorHAnsi"/>
          <w:sz w:val="22"/>
          <w:szCs w:val="22"/>
        </w:rPr>
        <w:t xml:space="preserve"> Company, Inc)</w:t>
      </w:r>
    </w:p>
    <w:p w14:paraId="7ECC003E" w14:textId="17E149D0" w:rsidR="00D242F4" w:rsidRPr="00D242F4" w:rsidRDefault="00D242F4" w:rsidP="00D242F4">
      <w:pPr>
        <w:pStyle w:val="xdefault"/>
        <w:numPr>
          <w:ilvl w:val="2"/>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lastRenderedPageBreak/>
        <w:t xml:space="preserve">The device is used as an adjunct to standard clinical practice to assist in the evaluation of patients who are being considered for a head computed tomography (CT) scan after a suspected </w:t>
      </w:r>
      <w:r w:rsidR="00CC06F9">
        <w:rPr>
          <w:rFonts w:asciiTheme="minorHAnsi" w:eastAsia="Times New Roman" w:hAnsiTheme="minorHAnsi" w:cstheme="minorHAnsi"/>
          <w:sz w:val="22"/>
          <w:szCs w:val="22"/>
        </w:rPr>
        <w:t xml:space="preserve">acute </w:t>
      </w:r>
      <w:r w:rsidRPr="00D242F4">
        <w:rPr>
          <w:rFonts w:asciiTheme="minorHAnsi" w:eastAsia="Times New Roman" w:hAnsiTheme="minorHAnsi" w:cstheme="minorHAnsi"/>
          <w:sz w:val="22"/>
          <w:szCs w:val="22"/>
        </w:rPr>
        <w:t>mild traumatic brain injury.</w:t>
      </w:r>
    </w:p>
    <w:p w14:paraId="7332373E" w14:textId="77777777" w:rsidR="00D242F4" w:rsidRPr="00D242F4" w:rsidRDefault="00566A87" w:rsidP="00D242F4">
      <w:pPr>
        <w:pStyle w:val="xdefault"/>
        <w:numPr>
          <w:ilvl w:val="2"/>
          <w:numId w:val="21"/>
        </w:numPr>
        <w:rPr>
          <w:rFonts w:asciiTheme="minorHAnsi" w:eastAsia="Times New Roman" w:hAnsiTheme="minorHAnsi" w:cstheme="minorHAnsi"/>
          <w:sz w:val="22"/>
          <w:szCs w:val="22"/>
        </w:rPr>
      </w:pPr>
      <w:hyperlink r:id="rId6" w:history="1">
        <w:r w:rsidR="00D242F4" w:rsidRPr="00D242F4">
          <w:rPr>
            <w:rStyle w:val="Hyperlink"/>
            <w:rFonts w:asciiTheme="minorHAnsi" w:hAnsiTheme="minorHAnsi" w:cstheme="minorHAnsi"/>
            <w:sz w:val="22"/>
            <w:szCs w:val="22"/>
          </w:rPr>
          <w:t>https://www.accessdata.fda.gov/cdrh_docs/pdf14/K143643.pdf</w:t>
        </w:r>
      </w:hyperlink>
      <w:r w:rsidR="00D242F4" w:rsidRPr="00D242F4">
        <w:rPr>
          <w:rFonts w:asciiTheme="minorHAnsi" w:hAnsiTheme="minorHAnsi" w:cstheme="minorHAnsi"/>
          <w:sz w:val="22"/>
          <w:szCs w:val="22"/>
        </w:rPr>
        <w:t xml:space="preserve"> </w:t>
      </w:r>
      <w:r w:rsidR="00D242F4" w:rsidRPr="00D242F4">
        <w:rPr>
          <w:rFonts w:asciiTheme="minorHAnsi" w:eastAsia="Times New Roman" w:hAnsiTheme="minorHAnsi" w:cstheme="minorHAnsi"/>
          <w:sz w:val="22"/>
          <w:szCs w:val="22"/>
        </w:rPr>
        <w:t xml:space="preserve">  </w:t>
      </w:r>
    </w:p>
    <w:p w14:paraId="4CC1DF49" w14:textId="77777777" w:rsidR="00D242F4" w:rsidRPr="00D242F4" w:rsidRDefault="00D242F4" w:rsidP="00D242F4">
      <w:pPr>
        <w:pStyle w:val="xdefault"/>
        <w:numPr>
          <w:ilvl w:val="1"/>
          <w:numId w:val="21"/>
        </w:numPr>
        <w:rPr>
          <w:rFonts w:asciiTheme="minorHAnsi" w:eastAsia="Times New Roman" w:hAnsiTheme="minorHAnsi" w:cstheme="minorHAnsi"/>
          <w:sz w:val="22"/>
          <w:szCs w:val="22"/>
        </w:rPr>
      </w:pPr>
      <w:proofErr w:type="spellStart"/>
      <w:r w:rsidRPr="00D242F4">
        <w:rPr>
          <w:rFonts w:asciiTheme="minorHAnsi" w:eastAsia="Times New Roman" w:hAnsiTheme="minorHAnsi" w:cstheme="minorHAnsi"/>
          <w:sz w:val="22"/>
          <w:szCs w:val="22"/>
        </w:rPr>
        <w:t>BrainPort</w:t>
      </w:r>
      <w:proofErr w:type="spellEnd"/>
      <w:r w:rsidRPr="00D242F4">
        <w:rPr>
          <w:rFonts w:asciiTheme="minorHAnsi" w:eastAsia="Times New Roman" w:hAnsiTheme="minorHAnsi" w:cstheme="minorHAnsi"/>
          <w:sz w:val="22"/>
          <w:szCs w:val="22"/>
        </w:rPr>
        <w:t xml:space="preserve"> V100 (</w:t>
      </w:r>
      <w:proofErr w:type="spellStart"/>
      <w:r w:rsidRPr="00D242F4">
        <w:rPr>
          <w:rFonts w:asciiTheme="minorHAnsi" w:eastAsia="Times New Roman" w:hAnsiTheme="minorHAnsi" w:cstheme="minorHAnsi"/>
          <w:sz w:val="22"/>
          <w:szCs w:val="22"/>
        </w:rPr>
        <w:t>Wicab</w:t>
      </w:r>
      <w:proofErr w:type="spellEnd"/>
      <w:r w:rsidRPr="00D242F4">
        <w:rPr>
          <w:rFonts w:asciiTheme="minorHAnsi" w:eastAsia="Times New Roman" w:hAnsiTheme="minorHAnsi" w:cstheme="minorHAnsi"/>
          <w:sz w:val="22"/>
          <w:szCs w:val="22"/>
        </w:rPr>
        <w:t>, Inc)</w:t>
      </w:r>
    </w:p>
    <w:p w14:paraId="449FD646" w14:textId="77777777" w:rsidR="00D242F4" w:rsidRPr="00D242F4" w:rsidRDefault="00D242F4" w:rsidP="00D242F4">
      <w:pPr>
        <w:pStyle w:val="xdefault"/>
        <w:numPr>
          <w:ilvl w:val="2"/>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An oral electronic vision aid that provides electro-tactile stimulation to aid profoundly blind patients in orientation, mobility, and object recognition as an adjunctive device to other assistive methods such as the white cane or a guide dog.</w:t>
      </w:r>
    </w:p>
    <w:p w14:paraId="42EC24B4" w14:textId="77777777" w:rsidR="00D242F4" w:rsidRPr="00D242F4" w:rsidRDefault="00566A87" w:rsidP="00D242F4">
      <w:pPr>
        <w:pStyle w:val="xdefault"/>
        <w:numPr>
          <w:ilvl w:val="2"/>
          <w:numId w:val="21"/>
        </w:numPr>
        <w:rPr>
          <w:rFonts w:asciiTheme="minorHAnsi" w:eastAsia="Times New Roman" w:hAnsiTheme="minorHAnsi" w:cstheme="minorHAnsi"/>
          <w:sz w:val="22"/>
          <w:szCs w:val="22"/>
        </w:rPr>
      </w:pPr>
      <w:hyperlink r:id="rId7" w:history="1">
        <w:r w:rsidR="00D242F4" w:rsidRPr="00D242F4">
          <w:rPr>
            <w:rStyle w:val="Hyperlink"/>
            <w:rFonts w:asciiTheme="minorHAnsi" w:eastAsia="Times New Roman" w:hAnsiTheme="minorHAnsi" w:cstheme="minorHAnsi"/>
            <w:sz w:val="22"/>
            <w:szCs w:val="22"/>
          </w:rPr>
          <w:t>https://www.accessdata.fda.gov/cdrh_docs/reviews/DEN130039.pdf</w:t>
        </w:r>
      </w:hyperlink>
      <w:r w:rsidR="00D242F4" w:rsidRPr="00D242F4">
        <w:rPr>
          <w:rFonts w:asciiTheme="minorHAnsi" w:eastAsia="Times New Roman" w:hAnsiTheme="minorHAnsi" w:cstheme="minorHAnsi"/>
          <w:sz w:val="22"/>
          <w:szCs w:val="22"/>
        </w:rPr>
        <w:t xml:space="preserve"> </w:t>
      </w:r>
    </w:p>
    <w:p w14:paraId="21096687" w14:textId="77777777" w:rsidR="00D242F4" w:rsidRPr="00D242F4" w:rsidRDefault="00D242F4" w:rsidP="00D242F4">
      <w:pPr>
        <w:pStyle w:val="xdefault"/>
        <w:numPr>
          <w:ilvl w:val="1"/>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i-Stat TBI (</w:t>
      </w:r>
      <w:r w:rsidRPr="00D242F4">
        <w:rPr>
          <w:rFonts w:asciiTheme="minorHAnsi" w:hAnsiTheme="minorHAnsi" w:cstheme="minorHAnsi"/>
          <w:sz w:val="22"/>
          <w:szCs w:val="22"/>
        </w:rPr>
        <w:t>Abbott Point of Care)</w:t>
      </w:r>
    </w:p>
    <w:p w14:paraId="00AF17CC" w14:textId="59589AB5" w:rsidR="00D242F4" w:rsidRPr="00D242F4" w:rsidRDefault="00D242F4" w:rsidP="00D242F4">
      <w:pPr>
        <w:pStyle w:val="xdefault"/>
        <w:numPr>
          <w:ilvl w:val="2"/>
          <w:numId w:val="21"/>
        </w:numPr>
        <w:rPr>
          <w:rFonts w:asciiTheme="minorHAnsi" w:eastAsia="Times New Roman" w:hAnsiTheme="minorHAnsi" w:cstheme="minorHAnsi"/>
          <w:sz w:val="22"/>
          <w:szCs w:val="22"/>
        </w:rPr>
      </w:pPr>
      <w:r w:rsidRPr="00D242F4">
        <w:rPr>
          <w:rFonts w:asciiTheme="minorHAnsi" w:eastAsia="Times New Roman" w:hAnsiTheme="minorHAnsi" w:cstheme="minorHAnsi"/>
          <w:i/>
          <w:iCs/>
          <w:sz w:val="22"/>
          <w:szCs w:val="22"/>
        </w:rPr>
        <w:t>In vitro</w:t>
      </w:r>
      <w:r w:rsidRPr="00D242F4">
        <w:rPr>
          <w:rFonts w:asciiTheme="minorHAnsi" w:eastAsia="Times New Roman" w:hAnsiTheme="minorHAnsi" w:cstheme="minorHAnsi"/>
          <w:sz w:val="22"/>
          <w:szCs w:val="22"/>
        </w:rPr>
        <w:t xml:space="preserve"> diagnostic immunoassays for the quantitative measurements of glial fibrillary acidic protein (GFAP) and ubiquitin carboxyl-terminal hydrolase L1 (UCH-L1) in whole blood.  Assay results assist in determining the need for a head CT (computed tomography) scan for individuals with a suspected </w:t>
      </w:r>
      <w:r w:rsidR="00CC06F9">
        <w:rPr>
          <w:rFonts w:asciiTheme="minorHAnsi" w:eastAsia="Times New Roman" w:hAnsiTheme="minorHAnsi" w:cstheme="minorHAnsi"/>
          <w:sz w:val="22"/>
          <w:szCs w:val="22"/>
        </w:rPr>
        <w:t xml:space="preserve">acute </w:t>
      </w:r>
      <w:r w:rsidRPr="00D242F4">
        <w:rPr>
          <w:rFonts w:asciiTheme="minorHAnsi" w:eastAsia="Times New Roman" w:hAnsiTheme="minorHAnsi" w:cstheme="minorHAnsi"/>
          <w:sz w:val="22"/>
          <w:szCs w:val="22"/>
        </w:rPr>
        <w:t>mild traumatic brain injury.</w:t>
      </w:r>
    </w:p>
    <w:p w14:paraId="58309CEA" w14:textId="77777777" w:rsidR="00D242F4" w:rsidRPr="00D242F4" w:rsidRDefault="00566A87" w:rsidP="00D242F4">
      <w:pPr>
        <w:pStyle w:val="xdefault"/>
        <w:numPr>
          <w:ilvl w:val="2"/>
          <w:numId w:val="21"/>
        </w:numPr>
        <w:rPr>
          <w:rFonts w:asciiTheme="minorHAnsi" w:eastAsia="Times New Roman" w:hAnsiTheme="minorHAnsi" w:cstheme="minorHAnsi"/>
          <w:sz w:val="22"/>
          <w:szCs w:val="22"/>
        </w:rPr>
      </w:pPr>
      <w:hyperlink r:id="rId8" w:history="1">
        <w:r w:rsidR="00D242F4" w:rsidRPr="00D242F4">
          <w:rPr>
            <w:rStyle w:val="Hyperlink"/>
            <w:rFonts w:asciiTheme="minorHAnsi" w:eastAsia="Times New Roman" w:hAnsiTheme="minorHAnsi" w:cstheme="minorHAnsi"/>
            <w:sz w:val="22"/>
            <w:szCs w:val="22"/>
          </w:rPr>
          <w:t>https://www.accessdata.fda.gov/cdrh_docs/pdf23/K234143.pdf</w:t>
        </w:r>
      </w:hyperlink>
      <w:r w:rsidR="00D242F4" w:rsidRPr="00D242F4">
        <w:rPr>
          <w:rFonts w:asciiTheme="minorHAnsi" w:eastAsia="Times New Roman" w:hAnsiTheme="minorHAnsi" w:cstheme="minorHAnsi"/>
          <w:sz w:val="22"/>
          <w:szCs w:val="22"/>
        </w:rPr>
        <w:t xml:space="preserve"> </w:t>
      </w:r>
    </w:p>
    <w:p w14:paraId="1D012779" w14:textId="106B1C29" w:rsidR="00D242F4" w:rsidRPr="00D242F4" w:rsidRDefault="00D242F4" w:rsidP="00D242F4">
      <w:pPr>
        <w:pStyle w:val="xdefault"/>
        <w:numPr>
          <w:ilvl w:val="1"/>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Swoop Portable MR Imaging System (</w:t>
      </w:r>
      <w:r w:rsidR="0060685D" w:rsidRPr="00D242F4">
        <w:rPr>
          <w:rFonts w:asciiTheme="minorHAnsi" w:eastAsia="Times New Roman" w:hAnsiTheme="minorHAnsi" w:cstheme="minorHAnsi"/>
          <w:sz w:val="22"/>
          <w:szCs w:val="22"/>
        </w:rPr>
        <w:t>Hyperfine, Inc</w:t>
      </w:r>
      <w:r w:rsidRPr="00D242F4">
        <w:rPr>
          <w:rFonts w:asciiTheme="minorHAnsi" w:eastAsia="Times New Roman" w:hAnsiTheme="minorHAnsi" w:cstheme="minorHAnsi"/>
          <w:sz w:val="22"/>
          <w:szCs w:val="22"/>
        </w:rPr>
        <w:t>.)</w:t>
      </w:r>
    </w:p>
    <w:p w14:paraId="348BDD8D" w14:textId="77777777" w:rsidR="00D242F4" w:rsidRDefault="00D242F4" w:rsidP="00D242F4">
      <w:pPr>
        <w:pStyle w:val="xdefault"/>
        <w:numPr>
          <w:ilvl w:val="2"/>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The device is a bedside magnetic resonance imaging device for producing images that display the internal structure of the head where full diagnostic examination is not clinically practical.</w:t>
      </w:r>
    </w:p>
    <w:p w14:paraId="76A24673" w14:textId="2B6FEDA0" w:rsidR="00D242F4" w:rsidRDefault="00566A87" w:rsidP="00D242F4">
      <w:pPr>
        <w:pStyle w:val="xdefault"/>
        <w:numPr>
          <w:ilvl w:val="2"/>
          <w:numId w:val="21"/>
        </w:numPr>
        <w:rPr>
          <w:rFonts w:asciiTheme="minorHAnsi" w:eastAsia="Times New Roman" w:hAnsiTheme="minorHAnsi" w:cstheme="minorHAnsi"/>
          <w:sz w:val="22"/>
          <w:szCs w:val="22"/>
        </w:rPr>
      </w:pPr>
      <w:hyperlink r:id="rId9" w:history="1">
        <w:r w:rsidR="00D242F4" w:rsidRPr="000A39A4">
          <w:rPr>
            <w:rStyle w:val="Hyperlink"/>
            <w:rFonts w:asciiTheme="minorHAnsi" w:eastAsia="Times New Roman" w:hAnsiTheme="minorHAnsi" w:cstheme="minorHAnsi"/>
            <w:sz w:val="22"/>
            <w:szCs w:val="22"/>
          </w:rPr>
          <w:t>https://www.accessdata.fda.gov/cdrh_docs/pdf23/K230208.pdf</w:t>
        </w:r>
      </w:hyperlink>
    </w:p>
    <w:p w14:paraId="6F5C8062" w14:textId="77777777" w:rsidR="00D242F4" w:rsidRPr="00D242F4" w:rsidRDefault="00D242F4" w:rsidP="00D242F4">
      <w:pPr>
        <w:pStyle w:val="xdefault"/>
        <w:rPr>
          <w:rFonts w:asciiTheme="minorHAnsi" w:eastAsia="Times New Roman" w:hAnsiTheme="minorHAnsi" w:cstheme="minorHAnsi"/>
          <w:b/>
          <w:bCs/>
          <w:sz w:val="22"/>
          <w:szCs w:val="22"/>
          <w:u w:val="single"/>
        </w:rPr>
      </w:pPr>
      <w:r w:rsidRPr="00D242F4">
        <w:rPr>
          <w:rFonts w:asciiTheme="minorHAnsi" w:eastAsia="Times New Roman" w:hAnsiTheme="minorHAnsi" w:cstheme="minorHAnsi"/>
          <w:b/>
          <w:bCs/>
          <w:sz w:val="22"/>
          <w:szCs w:val="22"/>
          <w:u w:val="single"/>
        </w:rPr>
        <w:t>Department of Veterans Affairs-relevant TBIPHRP Research Outcomes</w:t>
      </w:r>
    </w:p>
    <w:p w14:paraId="4AB62158" w14:textId="1D9588D0" w:rsidR="00D242F4" w:rsidRPr="00D242F4" w:rsidRDefault="00D242F4" w:rsidP="00D242F4">
      <w:pPr>
        <w:pStyle w:val="xdefault"/>
        <w:numPr>
          <w:ilvl w:val="0"/>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Since FY07 to present, TBIPHRP investigators have published 1</w:t>
      </w:r>
      <w:r w:rsidR="008255EA">
        <w:rPr>
          <w:rFonts w:asciiTheme="minorHAnsi" w:eastAsia="Times New Roman" w:hAnsiTheme="minorHAnsi" w:cstheme="minorHAnsi"/>
          <w:sz w:val="22"/>
          <w:szCs w:val="22"/>
        </w:rPr>
        <w:t>,</w:t>
      </w:r>
      <w:r w:rsidRPr="00D242F4">
        <w:rPr>
          <w:rFonts w:asciiTheme="minorHAnsi" w:eastAsia="Times New Roman" w:hAnsiTheme="minorHAnsi" w:cstheme="minorHAnsi"/>
          <w:sz w:val="22"/>
          <w:szCs w:val="22"/>
        </w:rPr>
        <w:t>566 research articles in peer-reviewed publications. Findings from those publications are referenced in four Department of Defense and Department of Veterans Affairs Clinical Practice Guidelines listed below:</w:t>
      </w:r>
    </w:p>
    <w:p w14:paraId="4829FC9E" w14:textId="77777777" w:rsidR="00D242F4" w:rsidRPr="00D242F4" w:rsidRDefault="00D242F4" w:rsidP="00D242F4">
      <w:pPr>
        <w:pStyle w:val="xdefault"/>
        <w:numPr>
          <w:ilvl w:val="1"/>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 xml:space="preserve">Cognitive Rehabilitation for Service Members and Veterans Following Mild to Moderate Traumatic Brain Injury  </w:t>
      </w:r>
      <w:hyperlink r:id="rId10" w:history="1">
        <w:r w:rsidRPr="00D242F4">
          <w:rPr>
            <w:rStyle w:val="Hyperlink"/>
            <w:rFonts w:asciiTheme="minorHAnsi" w:eastAsia="Times New Roman" w:hAnsiTheme="minorHAnsi" w:cstheme="minorHAnsi"/>
            <w:sz w:val="22"/>
            <w:szCs w:val="22"/>
          </w:rPr>
          <w:t>https://www.health.mil/Reference-Center/Publications/2020/07/30/Cognitive-Rehabilitation-for-Following-Mild-to-Moderate-TBI-Clinical-Recommendation-Full</w:t>
        </w:r>
      </w:hyperlink>
      <w:r w:rsidRPr="00D242F4">
        <w:rPr>
          <w:rFonts w:asciiTheme="minorHAnsi" w:eastAsia="Times New Roman" w:hAnsiTheme="minorHAnsi" w:cstheme="minorHAnsi"/>
          <w:sz w:val="22"/>
          <w:szCs w:val="22"/>
        </w:rPr>
        <w:t xml:space="preserve"> </w:t>
      </w:r>
    </w:p>
    <w:p w14:paraId="0FE37746" w14:textId="77777777" w:rsidR="00D242F4" w:rsidRPr="00D242F4" w:rsidRDefault="00D242F4" w:rsidP="00D242F4">
      <w:pPr>
        <w:pStyle w:val="xdefault"/>
        <w:numPr>
          <w:ilvl w:val="1"/>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 xml:space="preserve">VA/DoD Clinical Practice Guideline for Assessment and Management of Patients at Risk for Suicide </w:t>
      </w:r>
      <w:hyperlink r:id="rId11" w:history="1">
        <w:r w:rsidRPr="00D242F4">
          <w:rPr>
            <w:rStyle w:val="Hyperlink"/>
            <w:rFonts w:asciiTheme="minorHAnsi" w:eastAsia="Times New Roman" w:hAnsiTheme="minorHAnsi" w:cstheme="minorHAnsi"/>
            <w:sz w:val="22"/>
            <w:szCs w:val="22"/>
          </w:rPr>
          <w:t>https://www.healthquality.va.gov/guidelines/MH/srb/VADoD-CPG-Suicide-Risk-Full-CPG-2024_Final_508.pdf</w:t>
        </w:r>
      </w:hyperlink>
      <w:r w:rsidRPr="00D242F4">
        <w:rPr>
          <w:rFonts w:asciiTheme="minorHAnsi" w:eastAsia="Times New Roman" w:hAnsiTheme="minorHAnsi" w:cstheme="minorHAnsi"/>
          <w:sz w:val="22"/>
          <w:szCs w:val="22"/>
        </w:rPr>
        <w:t xml:space="preserve"> </w:t>
      </w:r>
    </w:p>
    <w:p w14:paraId="174EBC83" w14:textId="77777777" w:rsidR="00D242F4" w:rsidRPr="00D242F4" w:rsidRDefault="00D242F4" w:rsidP="00D242F4">
      <w:pPr>
        <w:pStyle w:val="xdefault"/>
        <w:numPr>
          <w:ilvl w:val="1"/>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 xml:space="preserve">VA/DOD Clinical Practice Guideline for Management of Posttraumatic Stress Disorder and Acute Stress Disorder </w:t>
      </w:r>
      <w:hyperlink r:id="rId12" w:history="1">
        <w:r w:rsidRPr="00D242F4">
          <w:rPr>
            <w:rStyle w:val="Hyperlink"/>
            <w:rFonts w:asciiTheme="minorHAnsi" w:eastAsia="Times New Roman" w:hAnsiTheme="minorHAnsi" w:cstheme="minorHAnsi"/>
            <w:sz w:val="22"/>
            <w:szCs w:val="22"/>
          </w:rPr>
          <w:t>https://www.healthquality.va.gov/guidelines/MH/ptsd/VA-DoD-CPG-PTSD-Full-CPGAug242023.pdf</w:t>
        </w:r>
      </w:hyperlink>
      <w:r w:rsidRPr="00D242F4">
        <w:rPr>
          <w:rFonts w:asciiTheme="minorHAnsi" w:eastAsia="Times New Roman" w:hAnsiTheme="minorHAnsi" w:cstheme="minorHAnsi"/>
          <w:sz w:val="22"/>
          <w:szCs w:val="22"/>
        </w:rPr>
        <w:t xml:space="preserve"> </w:t>
      </w:r>
    </w:p>
    <w:p w14:paraId="77FACD73" w14:textId="77777777" w:rsidR="00D242F4" w:rsidRPr="00D242F4" w:rsidRDefault="00D242F4" w:rsidP="00D242F4">
      <w:pPr>
        <w:pStyle w:val="xdefault"/>
        <w:numPr>
          <w:ilvl w:val="1"/>
          <w:numId w:val="21"/>
        </w:numPr>
        <w:rPr>
          <w:rFonts w:asciiTheme="minorHAnsi" w:eastAsia="Times New Roman" w:hAnsiTheme="minorHAnsi" w:cstheme="minorHAnsi"/>
          <w:sz w:val="22"/>
          <w:szCs w:val="22"/>
        </w:rPr>
      </w:pPr>
      <w:r w:rsidRPr="00D242F4">
        <w:rPr>
          <w:rFonts w:asciiTheme="minorHAnsi" w:eastAsia="Times New Roman" w:hAnsiTheme="minorHAnsi" w:cstheme="minorHAnsi"/>
          <w:sz w:val="22"/>
          <w:szCs w:val="22"/>
        </w:rPr>
        <w:t xml:space="preserve">VA/DOD Clinical Practice Guideline for the Management and Rehabilitation of Post-Acute Mild Traumatic Brain Injury </w:t>
      </w:r>
      <w:hyperlink r:id="rId13" w:history="1">
        <w:r w:rsidRPr="00D242F4">
          <w:rPr>
            <w:rStyle w:val="Hyperlink"/>
            <w:rFonts w:asciiTheme="minorHAnsi" w:hAnsiTheme="minorHAnsi" w:cstheme="minorHAnsi"/>
            <w:sz w:val="22"/>
            <w:szCs w:val="22"/>
          </w:rPr>
          <w:t>https://www.healthquality.va.gov/guidelines/Rehab/mtbi/VADoDmTBICPGFinal508.pdf</w:t>
        </w:r>
      </w:hyperlink>
    </w:p>
    <w:p w14:paraId="072108AA" w14:textId="77777777" w:rsidR="00D242F4" w:rsidRDefault="00D242F4" w:rsidP="00D242F4">
      <w:pPr>
        <w:pStyle w:val="xdefault"/>
        <w:rPr>
          <w:rFonts w:asciiTheme="minorHAnsi" w:eastAsia="Times New Roman" w:hAnsiTheme="minorHAnsi" w:cstheme="minorHAnsi"/>
          <w:sz w:val="22"/>
          <w:szCs w:val="22"/>
        </w:rPr>
      </w:pPr>
    </w:p>
    <w:p w14:paraId="43D4A01A" w14:textId="25D0287B" w:rsidR="00D242F4" w:rsidRPr="00D242F4" w:rsidRDefault="00D242F4" w:rsidP="00D242F4">
      <w:pPr>
        <w:pStyle w:val="xdefault"/>
        <w:rPr>
          <w:rFonts w:asciiTheme="minorHAnsi" w:eastAsia="Times New Roman" w:hAnsiTheme="minorHAnsi" w:cstheme="minorHAnsi"/>
          <w:b/>
          <w:bCs/>
          <w:sz w:val="22"/>
          <w:szCs w:val="22"/>
        </w:rPr>
      </w:pPr>
      <w:r w:rsidRPr="00D242F4">
        <w:rPr>
          <w:rFonts w:asciiTheme="minorHAnsi" w:eastAsia="Times New Roman" w:hAnsiTheme="minorHAnsi" w:cstheme="minorHAnsi"/>
          <w:b/>
          <w:bCs/>
          <w:sz w:val="22"/>
          <w:szCs w:val="22"/>
        </w:rPr>
        <w:t>Part 2. Consortium Joint Funding</w:t>
      </w:r>
    </w:p>
    <w:p w14:paraId="2972C660" w14:textId="05758C67" w:rsidR="009B7C33" w:rsidRPr="00DE43C9" w:rsidRDefault="009B7C33" w:rsidP="009B7C33">
      <w:pPr>
        <w:spacing w:after="120"/>
        <w:jc w:val="both"/>
      </w:pPr>
      <w:r w:rsidRPr="00DE43C9">
        <w:rPr>
          <w:i/>
          <w:iCs/>
        </w:rPr>
        <w:t xml:space="preserve">Background: </w:t>
      </w:r>
      <w:r w:rsidRPr="00DE43C9">
        <w:t xml:space="preserve">The DoD-VA jointly funded Long-term Impact of Military Relevant Brain Injury Consortium (LIMBIC-CENC; </w:t>
      </w:r>
      <w:hyperlink r:id="rId14" w:history="1">
        <w:r w:rsidRPr="00DE43C9">
          <w:rPr>
            <w:rStyle w:val="Hyperlink"/>
          </w:rPr>
          <w:t>www.limbic-cenc.org</w:t>
        </w:r>
      </w:hyperlink>
      <w:r w:rsidRPr="00DE43C9">
        <w:t>)</w:t>
      </w:r>
      <w:r w:rsidR="00776E36">
        <w:rPr>
          <w:vertAlign w:val="superscript"/>
        </w:rPr>
        <w:t>1</w:t>
      </w:r>
      <w:r w:rsidRPr="00DE43C9">
        <w:t xml:space="preserve"> has recruited and continues to follow</w:t>
      </w:r>
      <w:r w:rsidR="008255EA">
        <w:t>,</w:t>
      </w:r>
      <w:r w:rsidRPr="00DE43C9">
        <w:t xml:space="preserve"> annually</w:t>
      </w:r>
      <w:r w:rsidR="008255EA">
        <w:t>,</w:t>
      </w:r>
      <w:r w:rsidRPr="00DE43C9">
        <w:t xml:space="preserve"> more than 3,</w:t>
      </w:r>
      <w:r w:rsidR="00776E36">
        <w:t>1</w:t>
      </w:r>
      <w:r w:rsidRPr="00DE43C9">
        <w:t xml:space="preserve">00 service members and </w:t>
      </w:r>
      <w:r w:rsidR="008255EA">
        <w:t>V</w:t>
      </w:r>
      <w:r w:rsidRPr="00DE43C9">
        <w:t xml:space="preserve">eterans, &gt;60% with repeated blast exposures, to discover brain health risk factors—medical, physiological, behavioral, social, and psychological—related to combat- and repetitive, blast-exposure, and cumulative </w:t>
      </w:r>
      <w:proofErr w:type="spellStart"/>
      <w:r w:rsidRPr="00DE43C9">
        <w:t>mTBI</w:t>
      </w:r>
      <w:proofErr w:type="spellEnd"/>
      <w:r w:rsidRPr="00DE43C9">
        <w:t xml:space="preserve"> history. With recruitment and testing across </w:t>
      </w:r>
      <w:r w:rsidR="0080670D" w:rsidRPr="00DE43C9">
        <w:t>1</w:t>
      </w:r>
      <w:r w:rsidR="0080670D">
        <w:t>8</w:t>
      </w:r>
      <w:r w:rsidR="0080670D" w:rsidRPr="00DE43C9">
        <w:t xml:space="preserve"> </w:t>
      </w:r>
      <w:r w:rsidRPr="00DE43C9">
        <w:t xml:space="preserve">VAMCs and </w:t>
      </w:r>
      <w:r w:rsidR="0080670D">
        <w:t>10</w:t>
      </w:r>
      <w:r w:rsidR="0080670D" w:rsidRPr="00DE43C9">
        <w:t xml:space="preserve"> </w:t>
      </w:r>
      <w:r w:rsidRPr="00DE43C9">
        <w:t>Military Treatment Facilities</w:t>
      </w:r>
      <w:r w:rsidR="0080670D">
        <w:t xml:space="preserve"> (along with resource contributions from 13 academic institutions)</w:t>
      </w:r>
      <w:r w:rsidRPr="00DE43C9">
        <w:t xml:space="preserve">, the participants are initially evaluated and then re-assessed annually with comprehensive, state-of-the </w:t>
      </w:r>
      <w:r w:rsidRPr="00DE43C9">
        <w:lastRenderedPageBreak/>
        <w:t xml:space="preserve">science, baseline assessments include imaging, fluid biomarkers, genomics, electrophysiology, computerized evaluations, neuropsychological testing and validated behavioral questionnaires. The core LIMBIC </w:t>
      </w:r>
      <w:r w:rsidR="008255EA">
        <w:t>P</w:t>
      </w:r>
      <w:r w:rsidRPr="00DE43C9">
        <w:t xml:space="preserve">rospective </w:t>
      </w:r>
      <w:r w:rsidR="008255EA">
        <w:t>L</w:t>
      </w:r>
      <w:r w:rsidRPr="00DE43C9">
        <w:t xml:space="preserve">ongitudinal </w:t>
      </w:r>
      <w:r w:rsidR="008255EA">
        <w:t>S</w:t>
      </w:r>
      <w:r w:rsidRPr="00DE43C9">
        <w:t xml:space="preserve">tudy (PLS) has paid early dividends by generating clinically impactful findings on the differential effects of </w:t>
      </w:r>
      <w:proofErr w:type="spellStart"/>
      <w:r w:rsidRPr="00DE43C9">
        <w:t>mTBI</w:t>
      </w:r>
      <w:proofErr w:type="spellEnd"/>
      <w:r w:rsidRPr="00DE43C9">
        <w:t xml:space="preserve">, PTSD, depression and pain on service members’ and veterans’ cognitive, </w:t>
      </w:r>
      <w:r w:rsidR="00736255" w:rsidRPr="00DE43C9">
        <w:t>physical,</w:t>
      </w:r>
      <w:r w:rsidRPr="00DE43C9">
        <w:t xml:space="preserve"> and psychological health outcomes. With 20% of participants in active-duty status, the LIMBIC PLS capturing valuable information about health and well-being among individuals as they transition from active duty to </w:t>
      </w:r>
      <w:r w:rsidR="008255EA">
        <w:t>V</w:t>
      </w:r>
      <w:r w:rsidRPr="00DE43C9">
        <w:t xml:space="preserve">eteran status, including information that may inform the allocation of resources to assist these and future participants as they make these transitions. LIMBIC has also curated the world’s largest mega-administrative dataset of </w:t>
      </w:r>
      <w:r w:rsidR="008255EA">
        <w:t>S</w:t>
      </w:r>
      <w:r w:rsidRPr="00DE43C9">
        <w:t xml:space="preserve">ervice </w:t>
      </w:r>
      <w:r w:rsidR="008255EA">
        <w:t>M</w:t>
      </w:r>
      <w:r w:rsidRPr="00DE43C9">
        <w:t xml:space="preserve">embers and </w:t>
      </w:r>
      <w:r w:rsidR="008255EA">
        <w:t>Ve</w:t>
      </w:r>
      <w:r w:rsidRPr="00DE43C9">
        <w:t xml:space="preserve">terans with </w:t>
      </w:r>
      <w:r w:rsidR="008255EA">
        <w:t>TBI</w:t>
      </w:r>
      <w:r w:rsidRPr="00DE43C9">
        <w:t xml:space="preserve"> and combat-related co-morbid conditions (PTSD, Pain, Depression, Anxiety). Nine existing VA, DoD and CMS datasets (including VINCI and </w:t>
      </w:r>
      <w:proofErr w:type="spellStart"/>
      <w:r w:rsidRPr="00DE43C9">
        <w:t>DaVINCI</w:t>
      </w:r>
      <w:proofErr w:type="spellEnd"/>
      <w:r w:rsidRPr="00DE43C9">
        <w:t>) covering the years 2000-2022 have consolidated data on &gt;2.5 million unique service members and veterans. Importantly, the LIMBIC team developed a process that links the administrative data to the individual study participants in the PLS, offering a rare opportunity to study the confluence of prospective research data with curated, longitudinal clinical administrative and electronic health record data. The LIMBIC large data study—that has created the world’s largest mega-dataset of service members’ and veterans’ brain health risk factors and outcomes—has used artificial intelligence and machine learning techniques to identify recovery and outcome trajectories, empower epidemiologic investigations, identify novel research pathways and generate health system wide understandings of symptom and disorder trajectories</w:t>
      </w:r>
      <w:r w:rsidR="000C55B2" w:rsidRPr="00DE43C9">
        <w:t>.</w:t>
      </w:r>
    </w:p>
    <w:p w14:paraId="7DA410B4" w14:textId="10A004DA" w:rsidR="000C55B2" w:rsidRPr="00DE43C9" w:rsidRDefault="000C55B2" w:rsidP="009B7C33">
      <w:pPr>
        <w:spacing w:after="120"/>
        <w:jc w:val="both"/>
      </w:pPr>
      <w:r w:rsidRPr="00DE43C9">
        <w:t xml:space="preserve">LIMBIC is currently the largest submitter of clinical research data on TBI to the Federal Interagency TBI Research Informatics System (FITBIR; </w:t>
      </w:r>
      <w:hyperlink r:id="rId15" w:history="1">
        <w:r w:rsidRPr="00DE43C9">
          <w:rPr>
            <w:rStyle w:val="Hyperlink"/>
          </w:rPr>
          <w:t>https://fitbir.nih.gov/</w:t>
        </w:r>
      </w:hyperlink>
      <w:r w:rsidRPr="00DE43C9">
        <w:t>). Both VA and TBIPHRP financially contribute to this NIH/NINDS maintained system that is dedicated to the sharing valuable clinical research data on TBI with other researchers in the field.</w:t>
      </w:r>
    </w:p>
    <w:p w14:paraId="333119EE" w14:textId="0E5A051B" w:rsidR="009B7C33" w:rsidRPr="00DE43C9" w:rsidRDefault="009B7C33" w:rsidP="009B7C33">
      <w:pPr>
        <w:spacing w:after="120"/>
        <w:jc w:val="both"/>
      </w:pPr>
      <w:r w:rsidRPr="00DE43C9">
        <w:rPr>
          <w:i/>
          <w:iCs/>
        </w:rPr>
        <w:t xml:space="preserve">Collaborative Analyses: </w:t>
      </w:r>
      <w:r w:rsidRPr="00DE43C9">
        <w:t>The LIMBIC team has established active research partnerships with the DoD TBI-Center of Excellence (TBI-</w:t>
      </w:r>
      <w:proofErr w:type="spellStart"/>
      <w:r w:rsidRPr="00DE43C9">
        <w:t>CoE</w:t>
      </w:r>
      <w:proofErr w:type="spellEnd"/>
      <w:r w:rsidRPr="00DE43C9">
        <w:t>), DoD Millennium Cohort Study, VA Million Veteran Program (MVP), TBI Model Systems, and VA Translational Research Centers for TBI and Stress Disorders (TRACTS), to name a few. The LIMBIC network has secured 18 additional grants of more than $125 million to expand research to on Long-COVID, seizures, lifestyle choices, health disparities, suicide risks, mental health factors, repetitive, low-level (artillery) blasts, electrophysiology and advanced neuroimaging. By 2025, LIMBIC’s 3,</w:t>
      </w:r>
      <w:r w:rsidR="00776E36">
        <w:t>1</w:t>
      </w:r>
      <w:r w:rsidRPr="00DE43C9">
        <w:t>00+ prospective cohort will be cross-walked and integrated with VA-TRACTS 1,000+ prospective cohort to further expand the world’s largest active longitudinal dataset (&gt;4,000), as part of the Total Brain Diagnostics (TBD) research program that has a sweeping mission to build collaboration/partnerships across research silos, recruit and collect prospective longitudinal data over decades of time, consolidate meaningful datasets across the military and veteran clinical and research systems, and importantly generate knowledge to help improve the lives of service members and veterans.</w:t>
      </w:r>
    </w:p>
    <w:p w14:paraId="7DBC9D1E" w14:textId="77777777" w:rsidR="009B7C33" w:rsidRPr="00DE43C9" w:rsidRDefault="009B7C33" w:rsidP="009B7C33">
      <w:pPr>
        <w:jc w:val="both"/>
      </w:pPr>
      <w:r w:rsidRPr="00DE43C9">
        <w:rPr>
          <w:i/>
          <w:iCs/>
        </w:rPr>
        <w:t xml:space="preserve">Findings and Insights to Date: </w:t>
      </w:r>
      <w:r w:rsidRPr="00DE43C9">
        <w:t xml:space="preserve">LIMBIC knowledge has been disseminated to military and VHA clinicians, service members, veterans and family members, and administrators to raise awareness of brain health risk factors and recommend prevention strategies and treatments. Continued funding for this high priority initiative is warranted and required to fully realize the vision of understanding the longitudinal biopsychosocial impacts of TBI and its associated health conditions on health outcomes, including dementia, and developing personalized interventions to improve our service members’ and veterans’ lives in both the short-and long-term. Below are examples of LIMBIC-CENC research findings and their potential impacts to improve short- and long-term healthcare delivery. This information can be used to promote targeted education of primary care providers, veterans and family members to these risks and the need for both 1) regular surveillance, lifestyle modifications (primary care management, weight management, exercise, diet, stress management, sleep hygiene) and 2) </w:t>
      </w:r>
      <w:r w:rsidRPr="00DE43C9">
        <w:rPr>
          <w:u w:val="single"/>
        </w:rPr>
        <w:t xml:space="preserve">targeted symptom and disorder-related </w:t>
      </w:r>
      <w:r w:rsidRPr="00DE43C9">
        <w:rPr>
          <w:u w:val="single"/>
        </w:rPr>
        <w:lastRenderedPageBreak/>
        <w:t>management interventions</w:t>
      </w:r>
      <w:r w:rsidRPr="00DE43C9">
        <w:t xml:space="preserve"> that can prevent and/or mediate their development, reduce fears or promote a holistic and active approach to lifelong care.</w:t>
      </w:r>
    </w:p>
    <w:p w14:paraId="7A4BCE91" w14:textId="40051AC0" w:rsidR="00E0180F" w:rsidRDefault="00E0180F" w:rsidP="00E0180F">
      <w:pPr>
        <w:pStyle w:val="ListParagraph"/>
        <w:numPr>
          <w:ilvl w:val="0"/>
          <w:numId w:val="2"/>
        </w:numPr>
        <w:jc w:val="both"/>
        <w:rPr>
          <w:rFonts w:ascii="Times New Roman" w:hAnsi="Times New Roman" w:cs="Times New Roman"/>
          <w14:ligatures w14:val="none"/>
        </w:rPr>
      </w:pPr>
      <w:r>
        <w:t xml:space="preserve">Veterans with </w:t>
      </w:r>
      <w:proofErr w:type="spellStart"/>
      <w:r>
        <w:t>mTBI</w:t>
      </w:r>
      <w:proofErr w:type="spellEnd"/>
      <w:r>
        <w:t xml:space="preserve"> had ~2.5-fold increase in dementia risk. Veterans with moderate-severe TBI approached ~4-fold increase in dementia risk.</w:t>
      </w:r>
      <w:r>
        <w:rPr>
          <w:vertAlign w:val="superscript"/>
        </w:rPr>
        <w:t xml:space="preserve"> </w:t>
      </w:r>
      <w:r>
        <w:t xml:space="preserve">All cause-dementia for Veterans with TBI occurred 1-2 years earlier than for Veterans without TBI. </w:t>
      </w:r>
      <w:r>
        <w:rPr>
          <w:iCs/>
        </w:rPr>
        <w:t>Veteran’s risk of dementia due to TBI is twice that of the general U.S. population, and three times that of U.S. women.</w:t>
      </w:r>
      <w:r w:rsidR="00776E36">
        <w:rPr>
          <w:iCs/>
          <w:vertAlign w:val="superscript"/>
        </w:rPr>
        <w:t>2-4</w:t>
      </w:r>
      <w:r>
        <w:rPr>
          <w:iCs/>
        </w:rPr>
        <w:t xml:space="preserve"> </w:t>
      </w:r>
    </w:p>
    <w:p w14:paraId="4940911A" w14:textId="65725072" w:rsidR="00E0180F" w:rsidRDefault="00E0180F" w:rsidP="00E0180F">
      <w:pPr>
        <w:pStyle w:val="ListParagraph"/>
        <w:numPr>
          <w:ilvl w:val="0"/>
          <w:numId w:val="2"/>
        </w:numPr>
        <w:jc w:val="both"/>
      </w:pPr>
      <w:proofErr w:type="spellStart"/>
      <w:r>
        <w:t>Exosomal</w:t>
      </w:r>
      <w:proofErr w:type="spellEnd"/>
      <w:r>
        <w:t xml:space="preserve"> protein research have identified 1) </w:t>
      </w:r>
      <w:proofErr w:type="spellStart"/>
      <w:r>
        <w:t>NfL</w:t>
      </w:r>
      <w:proofErr w:type="spellEnd"/>
      <w:r>
        <w:t xml:space="preserve"> was elevated</w:t>
      </w:r>
      <w:r>
        <w:rPr>
          <w:rFonts w:eastAsia="Calibri"/>
        </w:rPr>
        <w:t xml:space="preserve"> with </w:t>
      </w:r>
      <w:proofErr w:type="spellStart"/>
      <w:r>
        <w:rPr>
          <w:rFonts w:eastAsia="Calibri"/>
        </w:rPr>
        <w:t>mTBI</w:t>
      </w:r>
      <w:proofErr w:type="spellEnd"/>
      <w:r>
        <w:rPr>
          <w:rFonts w:eastAsia="Calibri"/>
        </w:rPr>
        <w:t xml:space="preserve"> compared to those without TBI, </w:t>
      </w:r>
      <w:r>
        <w:t xml:space="preserve">with 3 or more </w:t>
      </w:r>
      <w:proofErr w:type="spellStart"/>
      <w:r>
        <w:t>mTBIs</w:t>
      </w:r>
      <w:proofErr w:type="spellEnd"/>
      <w:r>
        <w:t xml:space="preserve">, chronic neurobehavioral symptoms, cognitive impairment, and poor sleep/obstructive sleep apnea; 2) tau was elevated in chronic neurobehavioral symptoms and poor sleep/obstructive sleep apnea, and 3) p-tau, IL-6 and IL-10 are elevated in </w:t>
      </w:r>
      <w:proofErr w:type="spellStart"/>
      <w:r>
        <w:t>mTBI</w:t>
      </w:r>
      <w:proofErr w:type="spellEnd"/>
      <w:r>
        <w:t xml:space="preserve"> and chronic neurobehavioral symptoms.</w:t>
      </w:r>
      <w:r w:rsidR="00776E36">
        <w:rPr>
          <w:vertAlign w:val="superscript"/>
        </w:rPr>
        <w:t>5-12</w:t>
      </w:r>
    </w:p>
    <w:p w14:paraId="4D0B792C" w14:textId="6405C252" w:rsidR="00E0180F" w:rsidRDefault="00E0180F" w:rsidP="00E0180F">
      <w:pPr>
        <w:pStyle w:val="ListParagraph"/>
        <w:numPr>
          <w:ilvl w:val="0"/>
          <w:numId w:val="2"/>
        </w:numPr>
        <w:jc w:val="both"/>
      </w:pPr>
      <w:r>
        <w:t xml:space="preserve">Microsomal RNA research has shown dysregulation </w:t>
      </w:r>
      <w:r>
        <w:rPr>
          <w:rFonts w:eastAsia="Calibri"/>
        </w:rPr>
        <w:t xml:space="preserve">with 1) </w:t>
      </w:r>
      <w:r>
        <w:t xml:space="preserve">3 or more </w:t>
      </w:r>
      <w:proofErr w:type="spellStart"/>
      <w:r>
        <w:t>mTBIs</w:t>
      </w:r>
      <w:proofErr w:type="spellEnd"/>
      <w:r>
        <w:t xml:space="preserve"> and 1-2 </w:t>
      </w:r>
      <w:proofErr w:type="spellStart"/>
      <w:r>
        <w:t>mTBI</w:t>
      </w:r>
      <w:proofErr w:type="spellEnd"/>
      <w:r>
        <w:t xml:space="preserve"> compared to no TBI,</w:t>
      </w:r>
      <w:r>
        <w:rPr>
          <w:vertAlign w:val="superscript"/>
        </w:rPr>
        <w:t xml:space="preserve"> </w:t>
      </w:r>
      <w:r>
        <w:t xml:space="preserve">2) </w:t>
      </w:r>
      <w:r>
        <w:rPr>
          <w:rFonts w:eastAsia="Calibri"/>
        </w:rPr>
        <w:t xml:space="preserve">chronic neurobehavioral symptoms, and 3) </w:t>
      </w:r>
      <w:proofErr w:type="spellStart"/>
      <w:r>
        <w:rPr>
          <w:rFonts w:eastAsia="Calibri"/>
        </w:rPr>
        <w:t>mTBI</w:t>
      </w:r>
      <w:proofErr w:type="spellEnd"/>
      <w:r>
        <w:rPr>
          <w:rFonts w:eastAsia="Calibri"/>
        </w:rPr>
        <w:t xml:space="preserve"> </w:t>
      </w:r>
      <w:r>
        <w:t>blast exposure group, which correlated with inflammatory, neurodegenerative, and androgen receptor pathways.</w:t>
      </w:r>
      <w:r w:rsidR="00776E36">
        <w:rPr>
          <w:vertAlign w:val="superscript"/>
        </w:rPr>
        <w:t>5-12</w:t>
      </w:r>
    </w:p>
    <w:p w14:paraId="4C3467F2" w14:textId="396DEAAA" w:rsidR="00E0180F" w:rsidRDefault="00E0180F" w:rsidP="00E0180F">
      <w:pPr>
        <w:pStyle w:val="ListParagraph"/>
        <w:numPr>
          <w:ilvl w:val="0"/>
          <w:numId w:val="2"/>
        </w:numPr>
        <w:jc w:val="both"/>
      </w:pPr>
      <w:r>
        <w:rPr>
          <w:rFonts w:eastAsia="Calibri"/>
        </w:rPr>
        <w:t xml:space="preserve">Brain age, based on MRI data, was associated with history of deployment-related </w:t>
      </w:r>
      <w:proofErr w:type="spellStart"/>
      <w:r>
        <w:rPr>
          <w:rFonts w:eastAsia="Calibri"/>
        </w:rPr>
        <w:t>mTBI</w:t>
      </w:r>
      <w:proofErr w:type="spellEnd"/>
      <w:r>
        <w:rPr>
          <w:rFonts w:eastAsia="Calibri"/>
        </w:rPr>
        <w:t>, depression, PTSD, and alcohol misuse.</w:t>
      </w:r>
      <w:r>
        <w:rPr>
          <w:rFonts w:eastAsia="Calibri"/>
          <w:vertAlign w:val="superscript"/>
        </w:rPr>
        <w:t>1</w:t>
      </w:r>
      <w:r w:rsidR="00776E36">
        <w:rPr>
          <w:rFonts w:eastAsia="Calibri"/>
          <w:vertAlign w:val="superscript"/>
        </w:rPr>
        <w:t>3</w:t>
      </w:r>
    </w:p>
    <w:p w14:paraId="11849C63" w14:textId="17C418C8" w:rsidR="00E0180F" w:rsidRDefault="00E0180F" w:rsidP="00E0180F">
      <w:pPr>
        <w:pStyle w:val="ListParagraph"/>
        <w:numPr>
          <w:ilvl w:val="0"/>
          <w:numId w:val="2"/>
        </w:numPr>
        <w:jc w:val="both"/>
      </w:pPr>
      <w:r>
        <w:t xml:space="preserve">Three or more lifetime </w:t>
      </w:r>
      <w:proofErr w:type="spellStart"/>
      <w:r>
        <w:t>mTBIs</w:t>
      </w:r>
      <w:proofErr w:type="spellEnd"/>
      <w:r>
        <w:t xml:space="preserve"> is associated with greater risk of having chronic headaches; blast-related </w:t>
      </w:r>
      <w:proofErr w:type="spellStart"/>
      <w:r>
        <w:t>mTBI</w:t>
      </w:r>
      <w:proofErr w:type="spellEnd"/>
      <w:r>
        <w:t xml:space="preserve"> in particular is associated with increased risk for greater headache severity and functional impact.</w:t>
      </w:r>
      <w:r w:rsidR="00776E36">
        <w:rPr>
          <w:vertAlign w:val="superscript"/>
        </w:rPr>
        <w:t>14-15</w:t>
      </w:r>
    </w:p>
    <w:p w14:paraId="277043E7" w14:textId="51941036" w:rsidR="00E0180F" w:rsidRDefault="00E0180F" w:rsidP="00E0180F">
      <w:pPr>
        <w:pStyle w:val="ListParagraph"/>
        <w:numPr>
          <w:ilvl w:val="0"/>
          <w:numId w:val="2"/>
        </w:numPr>
        <w:jc w:val="both"/>
      </w:pPr>
      <w:r>
        <w:t>Increasing and converging biologic (biomarker) and epidemiological (symptoms, pain related disability) evidence from multiple LIMBIC-CENC analyses supports that repetitive (</w:t>
      </w:r>
      <w:r>
        <w:rPr>
          <w:u w:val="single"/>
        </w:rPr>
        <w:t>&gt;</w:t>
      </w:r>
      <w:r>
        <w:t xml:space="preserve">3) </w:t>
      </w:r>
      <w:proofErr w:type="spellStart"/>
      <w:r>
        <w:t>mTBIs</w:t>
      </w:r>
      <w:proofErr w:type="spellEnd"/>
      <w:r>
        <w:t xml:space="preserve"> are associated with elevated neurodegeneration risks.</w:t>
      </w:r>
      <w:r w:rsidR="00776E36">
        <w:rPr>
          <w:vertAlign w:val="superscript"/>
        </w:rPr>
        <w:t>5</w:t>
      </w:r>
      <w:r>
        <w:rPr>
          <w:vertAlign w:val="superscript"/>
        </w:rPr>
        <w:t>,</w:t>
      </w:r>
      <w:r w:rsidR="00776E36">
        <w:rPr>
          <w:vertAlign w:val="superscript"/>
        </w:rPr>
        <w:t>9-11</w:t>
      </w:r>
      <w:r>
        <w:rPr>
          <w:vertAlign w:val="superscript"/>
        </w:rPr>
        <w:t>,1</w:t>
      </w:r>
      <w:r w:rsidR="00776E36">
        <w:rPr>
          <w:vertAlign w:val="superscript"/>
        </w:rPr>
        <w:t>6</w:t>
      </w:r>
      <w:r>
        <w:rPr>
          <w:vertAlign w:val="superscript"/>
        </w:rPr>
        <w:t>-1</w:t>
      </w:r>
      <w:r w:rsidR="00776E36">
        <w:rPr>
          <w:vertAlign w:val="superscript"/>
        </w:rPr>
        <w:t>7</w:t>
      </w:r>
    </w:p>
    <w:p w14:paraId="18E9C8C4" w14:textId="646289BE" w:rsidR="00E0180F" w:rsidRDefault="00E0180F" w:rsidP="00E0180F">
      <w:pPr>
        <w:pStyle w:val="ListParagraph"/>
        <w:numPr>
          <w:ilvl w:val="0"/>
          <w:numId w:val="2"/>
        </w:numPr>
        <w:jc w:val="both"/>
      </w:pPr>
      <w:r>
        <w:t xml:space="preserve">In combat-exposed individuals, a history of PTSD is the greatest risk factor for the development of depression, chronic pain and poor sleep, and individuals with PTSD and </w:t>
      </w:r>
      <w:proofErr w:type="spellStart"/>
      <w:r>
        <w:t>mTBI</w:t>
      </w:r>
      <w:proofErr w:type="spellEnd"/>
      <w:r>
        <w:t xml:space="preserve"> have even higher risks.</w:t>
      </w:r>
      <w:r>
        <w:rPr>
          <w:vertAlign w:val="superscript"/>
        </w:rPr>
        <w:t>1</w:t>
      </w:r>
      <w:r w:rsidR="00776E36">
        <w:rPr>
          <w:vertAlign w:val="superscript"/>
        </w:rPr>
        <w:t>8</w:t>
      </w:r>
      <w:r>
        <w:rPr>
          <w:vertAlign w:val="superscript"/>
        </w:rPr>
        <w:t>-2</w:t>
      </w:r>
      <w:r w:rsidR="00776E36">
        <w:rPr>
          <w:vertAlign w:val="superscript"/>
        </w:rPr>
        <w:t>1</w:t>
      </w:r>
      <w:r>
        <w:t xml:space="preserve"> </w:t>
      </w:r>
    </w:p>
    <w:p w14:paraId="5BC7C47E" w14:textId="31448D2B" w:rsidR="00E0180F" w:rsidRDefault="00E0180F" w:rsidP="00E0180F">
      <w:pPr>
        <w:pStyle w:val="ListParagraph"/>
        <w:numPr>
          <w:ilvl w:val="0"/>
          <w:numId w:val="2"/>
        </w:numPr>
        <w:jc w:val="both"/>
      </w:pPr>
      <w:r>
        <w:t>In combat-exposed individuals, a decline in auditory acuity has been linked with depression and anxiety, and thus may be at higher long-term risk for cognitive decline.</w:t>
      </w:r>
      <w:r>
        <w:rPr>
          <w:vertAlign w:val="superscript"/>
        </w:rPr>
        <w:t>2</w:t>
      </w:r>
      <w:r w:rsidR="00776E36">
        <w:rPr>
          <w:vertAlign w:val="superscript"/>
        </w:rPr>
        <w:t>2</w:t>
      </w:r>
      <w:r>
        <w:rPr>
          <w:vertAlign w:val="superscript"/>
        </w:rPr>
        <w:t>-2</w:t>
      </w:r>
      <w:r w:rsidR="00776E36">
        <w:rPr>
          <w:vertAlign w:val="superscript"/>
        </w:rPr>
        <w:t>4</w:t>
      </w:r>
      <w:r>
        <w:t xml:space="preserve"> </w:t>
      </w:r>
    </w:p>
    <w:p w14:paraId="19CA05F2" w14:textId="6308B894" w:rsidR="00E0180F" w:rsidRDefault="00E0180F" w:rsidP="00E0180F">
      <w:pPr>
        <w:pStyle w:val="ListParagraph"/>
        <w:numPr>
          <w:ilvl w:val="0"/>
          <w:numId w:val="2"/>
        </w:numPr>
        <w:jc w:val="both"/>
      </w:pPr>
      <w:r>
        <w:t xml:space="preserve">Veterans with a </w:t>
      </w:r>
      <w:proofErr w:type="spellStart"/>
      <w:r>
        <w:t>mTBI</w:t>
      </w:r>
      <w:proofErr w:type="spellEnd"/>
      <w:r>
        <w:t xml:space="preserve"> history were ~40% more likely to develop a sleep disorder including sleep apnea, insomnia, hypersomnia, and sleep-related movement disorders, unrelated to PTSD. </w:t>
      </w:r>
      <w:r>
        <w:rPr>
          <w:rFonts w:eastAsia="Calibri"/>
        </w:rPr>
        <w:t xml:space="preserve">Poor sleep is associated with sequelae of TBI including executive dysfunction and with </w:t>
      </w:r>
      <w:proofErr w:type="spellStart"/>
      <w:r>
        <w:rPr>
          <w:rFonts w:eastAsia="Calibri"/>
        </w:rPr>
        <w:t>exosomal</w:t>
      </w:r>
      <w:proofErr w:type="spellEnd"/>
      <w:r>
        <w:rPr>
          <w:rFonts w:eastAsia="Calibri"/>
        </w:rPr>
        <w:t xml:space="preserve"> microRNA differences previously implicated in psychiatric disorders, progressive neurodegeneration, and vascular physiology.</w:t>
      </w:r>
      <w:r w:rsidR="00776E36">
        <w:rPr>
          <w:rFonts w:eastAsia="Calibri"/>
          <w:vertAlign w:val="superscript"/>
        </w:rPr>
        <w:t>9</w:t>
      </w:r>
      <w:r>
        <w:rPr>
          <w:rFonts w:eastAsia="Calibri"/>
          <w:vertAlign w:val="superscript"/>
        </w:rPr>
        <w:t>,1</w:t>
      </w:r>
      <w:r w:rsidR="00776E36">
        <w:rPr>
          <w:rFonts w:eastAsia="Calibri"/>
          <w:vertAlign w:val="superscript"/>
        </w:rPr>
        <w:t>8</w:t>
      </w:r>
      <w:r>
        <w:rPr>
          <w:rFonts w:eastAsia="Calibri"/>
          <w:vertAlign w:val="superscript"/>
        </w:rPr>
        <w:t>-1</w:t>
      </w:r>
      <w:r w:rsidR="00776E36">
        <w:rPr>
          <w:rFonts w:eastAsia="Calibri"/>
          <w:vertAlign w:val="superscript"/>
        </w:rPr>
        <w:t>9</w:t>
      </w:r>
      <w:r>
        <w:rPr>
          <w:rFonts w:eastAsia="Calibri"/>
          <w:vertAlign w:val="superscript"/>
        </w:rPr>
        <w:t>,2</w:t>
      </w:r>
      <w:r w:rsidR="00776E36">
        <w:rPr>
          <w:rFonts w:eastAsia="Calibri"/>
          <w:vertAlign w:val="superscript"/>
        </w:rPr>
        <w:t>1</w:t>
      </w:r>
      <w:r>
        <w:rPr>
          <w:rFonts w:eastAsia="Calibri"/>
          <w:vertAlign w:val="superscript"/>
        </w:rPr>
        <w:t>,2</w:t>
      </w:r>
      <w:r w:rsidR="00776E36">
        <w:rPr>
          <w:rFonts w:eastAsia="Calibri"/>
          <w:vertAlign w:val="superscript"/>
        </w:rPr>
        <w:t>6</w:t>
      </w:r>
    </w:p>
    <w:p w14:paraId="7652C52A" w14:textId="7995EE70" w:rsidR="00E0180F" w:rsidRDefault="00E0180F" w:rsidP="00E0180F">
      <w:pPr>
        <w:pStyle w:val="ListParagraph"/>
        <w:numPr>
          <w:ilvl w:val="0"/>
          <w:numId w:val="2"/>
        </w:numPr>
        <w:jc w:val="both"/>
      </w:pPr>
      <w:r>
        <w:t xml:space="preserve">Risk of early death is higher for Veterans with TBI than those with no TBI and varies by TBI severity and time since exposure, with the highest rates for Veterans with moderate-severe TBI followed by </w:t>
      </w:r>
      <w:proofErr w:type="spellStart"/>
      <w:r>
        <w:t>mTBI</w:t>
      </w:r>
      <w:proofErr w:type="spellEnd"/>
      <w:r>
        <w:t xml:space="preserve"> and then no TBI. For moderate to severe TBI, mortality risk is highest within 6 months of injury and decreases over time. For mild TBI, risk for mortality is elevated and remains constant over time.</w:t>
      </w:r>
      <w:r>
        <w:rPr>
          <w:vertAlign w:val="superscript"/>
        </w:rPr>
        <w:t>2</w:t>
      </w:r>
      <w:r w:rsidR="00776E36">
        <w:rPr>
          <w:vertAlign w:val="superscript"/>
        </w:rPr>
        <w:t>7</w:t>
      </w:r>
      <w:r>
        <w:rPr>
          <w:vertAlign w:val="superscript"/>
        </w:rPr>
        <w:t>-2</w:t>
      </w:r>
      <w:r w:rsidR="00776E36">
        <w:rPr>
          <w:vertAlign w:val="superscript"/>
        </w:rPr>
        <w:t>9</w:t>
      </w:r>
    </w:p>
    <w:p w14:paraId="6062DB8F" w14:textId="1DC00892" w:rsidR="00E0180F" w:rsidRDefault="00E0180F" w:rsidP="00E0180F">
      <w:pPr>
        <w:pStyle w:val="ListParagraph"/>
        <w:numPr>
          <w:ilvl w:val="0"/>
          <w:numId w:val="2"/>
        </w:numPr>
        <w:jc w:val="both"/>
      </w:pPr>
      <w:r>
        <w:t xml:space="preserve">~40% of Service Members and Veterans with </w:t>
      </w:r>
      <w:proofErr w:type="spellStart"/>
      <w:r>
        <w:t>mTBI</w:t>
      </w:r>
      <w:proofErr w:type="spellEnd"/>
      <w:r>
        <w:t xml:space="preserve"> screened positive for PTSD compared to ~25% without </w:t>
      </w:r>
      <w:proofErr w:type="spellStart"/>
      <w:r>
        <w:t>mTBI</w:t>
      </w:r>
      <w:proofErr w:type="spellEnd"/>
      <w:r>
        <w:t>, and those with this dual diagnosis</w:t>
      </w:r>
      <w:r>
        <w:rPr>
          <w:rFonts w:eastAsia="Calibri"/>
          <w:vertAlign w:val="superscript"/>
        </w:rPr>
        <w:t xml:space="preserve"> </w:t>
      </w:r>
      <w:r>
        <w:rPr>
          <w:rFonts w:eastAsia="Calibri"/>
        </w:rPr>
        <w:t>have the highest rates of depression symptoms, pain, and sleep apnea risk relative to those without either condition. Veterans who receive cognitive processing therapy for trauma, worse baseline sleep quality was associated with less improvement in PTSD and cognitive symptoms.</w:t>
      </w:r>
      <w:r>
        <w:rPr>
          <w:rFonts w:eastAsia="Calibri"/>
          <w:vertAlign w:val="superscript"/>
        </w:rPr>
        <w:t>1</w:t>
      </w:r>
      <w:r w:rsidR="00776E36">
        <w:rPr>
          <w:rFonts w:eastAsia="Calibri"/>
          <w:vertAlign w:val="superscript"/>
        </w:rPr>
        <w:t>9</w:t>
      </w:r>
      <w:r>
        <w:rPr>
          <w:rFonts w:eastAsia="Calibri"/>
          <w:vertAlign w:val="superscript"/>
        </w:rPr>
        <w:t>,2</w:t>
      </w:r>
      <w:r w:rsidR="00776E36">
        <w:rPr>
          <w:rFonts w:eastAsia="Calibri"/>
          <w:vertAlign w:val="superscript"/>
        </w:rPr>
        <w:t>1</w:t>
      </w:r>
      <w:r>
        <w:rPr>
          <w:rFonts w:eastAsia="Calibri"/>
          <w:vertAlign w:val="superscript"/>
        </w:rPr>
        <w:t>,</w:t>
      </w:r>
      <w:r w:rsidR="00776E36">
        <w:rPr>
          <w:rFonts w:eastAsia="Calibri"/>
          <w:vertAlign w:val="superscript"/>
        </w:rPr>
        <w:t>30</w:t>
      </w:r>
    </w:p>
    <w:p w14:paraId="4B8DEE2A" w14:textId="6640EE6D" w:rsidR="00E0180F" w:rsidRDefault="00E0180F" w:rsidP="00E0180F">
      <w:pPr>
        <w:pStyle w:val="ListParagraph"/>
        <w:numPr>
          <w:ilvl w:val="0"/>
          <w:numId w:val="2"/>
        </w:numPr>
        <w:jc w:val="both"/>
      </w:pPr>
      <w:r>
        <w:rPr>
          <w:rFonts w:eastAsia="MS PGothic"/>
        </w:rPr>
        <w:t xml:space="preserve">Veterans with a history of </w:t>
      </w:r>
      <w:proofErr w:type="spellStart"/>
      <w:r>
        <w:rPr>
          <w:rFonts w:eastAsia="MS PGothic"/>
        </w:rPr>
        <w:t>mTBI</w:t>
      </w:r>
      <w:proofErr w:type="spellEnd"/>
      <w:r>
        <w:t xml:space="preserve"> </w:t>
      </w:r>
      <w:r>
        <w:rPr>
          <w:rFonts w:eastAsia="MS PGothic"/>
        </w:rPr>
        <w:t xml:space="preserve">are more likely to develop </w:t>
      </w:r>
      <w:r>
        <w:t>heart disease</w:t>
      </w:r>
      <w:r>
        <w:rPr>
          <w:rFonts w:eastAsia="MS PGothic"/>
        </w:rPr>
        <w:t xml:space="preserve"> and stroke</w:t>
      </w:r>
      <w:r>
        <w:t>.</w:t>
      </w:r>
      <w:r>
        <w:rPr>
          <w:vertAlign w:val="superscript"/>
        </w:rPr>
        <w:t>2</w:t>
      </w:r>
      <w:r w:rsidR="00776E36">
        <w:rPr>
          <w:vertAlign w:val="superscript"/>
        </w:rPr>
        <w:t>5,</w:t>
      </w:r>
      <w:r>
        <w:rPr>
          <w:vertAlign w:val="superscript"/>
        </w:rPr>
        <w:t>,2</w:t>
      </w:r>
      <w:r w:rsidR="00776E36">
        <w:rPr>
          <w:vertAlign w:val="superscript"/>
        </w:rPr>
        <w:t>7</w:t>
      </w:r>
      <w:r>
        <w:rPr>
          <w:vertAlign w:val="superscript"/>
        </w:rPr>
        <w:t>,3</w:t>
      </w:r>
      <w:r w:rsidR="00776E36">
        <w:rPr>
          <w:vertAlign w:val="superscript"/>
        </w:rPr>
        <w:t>1</w:t>
      </w:r>
      <w:r>
        <w:rPr>
          <w:vertAlign w:val="superscript"/>
        </w:rPr>
        <w:t>-3</w:t>
      </w:r>
      <w:r w:rsidR="00776E36">
        <w:rPr>
          <w:vertAlign w:val="superscript"/>
        </w:rPr>
        <w:t>3</w:t>
      </w:r>
      <w:r>
        <w:t xml:space="preserve"> </w:t>
      </w:r>
    </w:p>
    <w:p w14:paraId="1EF6ACB5" w14:textId="6BE8FEEF" w:rsidR="00E0180F" w:rsidRDefault="00E0180F" w:rsidP="00E0180F">
      <w:pPr>
        <w:pStyle w:val="ListParagraph"/>
        <w:numPr>
          <w:ilvl w:val="0"/>
          <w:numId w:val="2"/>
        </w:numPr>
        <w:jc w:val="both"/>
      </w:pPr>
      <w:r>
        <w:t>Veterans with mild and moderate-to-severe TBI are at increased risk of death by drug overdose and firearms; overdose risk is heightened in middle-aged and older adults.</w:t>
      </w:r>
      <w:r>
        <w:rPr>
          <w:vertAlign w:val="superscript"/>
        </w:rPr>
        <w:t>2</w:t>
      </w:r>
      <w:r w:rsidR="00776E36">
        <w:rPr>
          <w:vertAlign w:val="superscript"/>
        </w:rPr>
        <w:t>7</w:t>
      </w:r>
      <w:r>
        <w:rPr>
          <w:vertAlign w:val="superscript"/>
        </w:rPr>
        <w:t>,2</w:t>
      </w:r>
      <w:r w:rsidR="00776E36">
        <w:rPr>
          <w:vertAlign w:val="superscript"/>
        </w:rPr>
        <w:t>9</w:t>
      </w:r>
    </w:p>
    <w:p w14:paraId="784C615C" w14:textId="77261D3D" w:rsidR="00E0180F" w:rsidRDefault="00E0180F" w:rsidP="00E0180F">
      <w:pPr>
        <w:pStyle w:val="ListParagraph"/>
        <w:numPr>
          <w:ilvl w:val="0"/>
          <w:numId w:val="2"/>
        </w:numPr>
        <w:jc w:val="both"/>
      </w:pPr>
      <w:r>
        <w:t xml:space="preserve">Decreased olfaction after combat </w:t>
      </w:r>
      <w:proofErr w:type="spellStart"/>
      <w:r>
        <w:t>mTBI</w:t>
      </w:r>
      <w:proofErr w:type="spellEnd"/>
      <w:r>
        <w:t xml:space="preserve"> is associated with anxiety and PTSD but not mTBI.</w:t>
      </w:r>
      <w:r>
        <w:rPr>
          <w:vertAlign w:val="superscript"/>
        </w:rPr>
        <w:t>3</w:t>
      </w:r>
      <w:r w:rsidR="00776E36">
        <w:rPr>
          <w:vertAlign w:val="superscript"/>
        </w:rPr>
        <w:t>4</w:t>
      </w:r>
      <w:r>
        <w:t xml:space="preserve"> </w:t>
      </w:r>
    </w:p>
    <w:p w14:paraId="319855AD" w14:textId="7728610D" w:rsidR="00B45411" w:rsidRPr="00776E36" w:rsidRDefault="00E0180F" w:rsidP="00776E36">
      <w:pPr>
        <w:pStyle w:val="ListParagraph"/>
        <w:numPr>
          <w:ilvl w:val="0"/>
          <w:numId w:val="2"/>
        </w:numPr>
        <w:jc w:val="both"/>
      </w:pPr>
      <w:r>
        <w:t>~11% of LIMBIC participants had COVID-19 and longitudinal monitoring for Long COVID is underway.</w:t>
      </w:r>
      <w:r>
        <w:rPr>
          <w:vertAlign w:val="superscript"/>
        </w:rPr>
        <w:t>3</w:t>
      </w:r>
      <w:r w:rsidR="00776E36">
        <w:rPr>
          <w:vertAlign w:val="superscript"/>
        </w:rPr>
        <w:t>5</w:t>
      </w:r>
    </w:p>
    <w:p w14:paraId="5FF0B1BE" w14:textId="77777777" w:rsidR="00B45411" w:rsidRPr="00DE43C9" w:rsidRDefault="00B45411" w:rsidP="00B45411">
      <w:pPr>
        <w:pStyle w:val="Default"/>
        <w:numPr>
          <w:ilvl w:val="0"/>
          <w:numId w:val="1"/>
        </w:numPr>
        <w:rPr>
          <w:rFonts w:ascii="Calibri" w:eastAsia="Times New Roman" w:hAnsi="Calibri" w:cs="Calibri"/>
          <w:b/>
          <w:bCs/>
        </w:rPr>
      </w:pPr>
      <w:r w:rsidRPr="00DE43C9">
        <w:rPr>
          <w:rFonts w:ascii="Calibri" w:eastAsia="Times New Roman" w:hAnsi="Calibri" w:cs="Calibri"/>
          <w:b/>
          <w:bCs/>
        </w:rPr>
        <w:lastRenderedPageBreak/>
        <w:t xml:space="preserve">Are data from TBIPHRP available for learning beyond the dedicated research teams capturing this information? </w:t>
      </w:r>
    </w:p>
    <w:p w14:paraId="5CCB694B" w14:textId="77777777" w:rsidR="00DE43C9" w:rsidRPr="00DE43C9" w:rsidRDefault="00DE43C9" w:rsidP="00DE43C9">
      <w:pPr>
        <w:pStyle w:val="xdefault"/>
        <w:ind w:left="360"/>
        <w:rPr>
          <w:rFonts w:ascii="Calibri" w:eastAsia="Times New Roman" w:hAnsi="Calibri" w:cs="Calibri"/>
        </w:rPr>
      </w:pPr>
      <w:r w:rsidRPr="00DE43C9">
        <w:rPr>
          <w:rFonts w:ascii="Calibri" w:eastAsia="Times New Roman" w:hAnsi="Calibri" w:cs="Calibri"/>
        </w:rPr>
        <w:t>All CDMRP programs, including the TBIPHRP, intend that information, data, and research resources generated under funding opportunities are made available to the research community (including both the scientific and consumer advocacy communities) and the public at large.  In partnership with the National Institutes of Health, the TBIPHRP requires that prospective human subject data be shared with the following data repositories:</w:t>
      </w:r>
    </w:p>
    <w:p w14:paraId="02933952" w14:textId="77777777" w:rsidR="00DE43C9" w:rsidRPr="00DE43C9" w:rsidRDefault="00DE43C9" w:rsidP="00DE43C9">
      <w:pPr>
        <w:pStyle w:val="xdefault"/>
        <w:numPr>
          <w:ilvl w:val="2"/>
          <w:numId w:val="7"/>
        </w:numPr>
        <w:ind w:left="648"/>
        <w:rPr>
          <w:rFonts w:ascii="Calibri" w:eastAsia="Times New Roman" w:hAnsi="Calibri" w:cs="Calibri"/>
        </w:rPr>
      </w:pPr>
      <w:r w:rsidRPr="00DE43C9">
        <w:rPr>
          <w:rFonts w:ascii="Calibri" w:eastAsia="Times New Roman" w:hAnsi="Calibri" w:cs="Calibri"/>
        </w:rPr>
        <w:t>TBIPHRP-funded TBI clinical research studies prospectively enrolling 50 or more participants are required to share their research data with the Federal Interagency TBI Research Information System (</w:t>
      </w:r>
      <w:hyperlink r:id="rId16" w:history="1">
        <w:r w:rsidRPr="00DE43C9">
          <w:rPr>
            <w:rStyle w:val="Hyperlink"/>
            <w:rFonts w:ascii="Calibri" w:eastAsia="Times New Roman" w:hAnsi="Calibri" w:cs="Calibri"/>
          </w:rPr>
          <w:t>https://fitbir.nih.gov</w:t>
        </w:r>
      </w:hyperlink>
      <w:r w:rsidRPr="00DE43C9">
        <w:rPr>
          <w:rFonts w:ascii="Calibri" w:eastAsia="Times New Roman" w:hAnsi="Calibri" w:cs="Calibri"/>
        </w:rPr>
        <w:t xml:space="preserve">).  </w:t>
      </w:r>
    </w:p>
    <w:p w14:paraId="650AA573" w14:textId="77777777" w:rsidR="00DE43C9" w:rsidRPr="00DE43C9" w:rsidRDefault="00DE43C9" w:rsidP="00DE43C9">
      <w:pPr>
        <w:pStyle w:val="xdefault"/>
        <w:numPr>
          <w:ilvl w:val="2"/>
          <w:numId w:val="7"/>
        </w:numPr>
        <w:ind w:left="648"/>
        <w:rPr>
          <w:rFonts w:ascii="Calibri" w:hAnsi="Calibri" w:cs="Calibri"/>
        </w:rPr>
      </w:pPr>
      <w:r w:rsidRPr="00DE43C9">
        <w:rPr>
          <w:rFonts w:ascii="Calibri" w:eastAsia="Times New Roman" w:hAnsi="Calibri" w:cs="Calibri"/>
        </w:rPr>
        <w:t xml:space="preserve">TBIPHRP-funded psychological health clinical research studies prospectively enrolling 50 or more participants are required to share their research data with the </w:t>
      </w:r>
      <w:r w:rsidRPr="00DE43C9">
        <w:rPr>
          <w:rFonts w:ascii="Calibri" w:hAnsi="Calibri" w:cs="Calibri"/>
        </w:rPr>
        <w:t>National Institute of Mental Health (NIMH) Data Archive (</w:t>
      </w:r>
      <w:hyperlink r:id="rId17" w:history="1">
        <w:r w:rsidRPr="00DE43C9">
          <w:rPr>
            <w:rStyle w:val="Hyperlink"/>
            <w:rFonts w:ascii="Calibri" w:hAnsi="Calibri" w:cs="Calibri"/>
          </w:rPr>
          <w:t>https://nda.nih.gov/</w:t>
        </w:r>
      </w:hyperlink>
      <w:r w:rsidRPr="00DE43C9">
        <w:rPr>
          <w:rFonts w:ascii="Calibri" w:hAnsi="Calibri" w:cs="Calibri"/>
        </w:rPr>
        <w:t xml:space="preserve">). </w:t>
      </w:r>
    </w:p>
    <w:p w14:paraId="647A227D" w14:textId="77777777" w:rsidR="00DE43C9" w:rsidRPr="00DE43C9" w:rsidRDefault="00DE43C9" w:rsidP="00DE43C9">
      <w:pPr>
        <w:pStyle w:val="xdefault"/>
        <w:numPr>
          <w:ilvl w:val="2"/>
          <w:numId w:val="7"/>
        </w:numPr>
        <w:ind w:left="648"/>
        <w:rPr>
          <w:rFonts w:ascii="Calibri" w:hAnsi="Calibri" w:cs="Calibri"/>
        </w:rPr>
      </w:pPr>
      <w:r w:rsidRPr="00DE43C9">
        <w:rPr>
          <w:rFonts w:ascii="Calibri" w:hAnsi="Calibri" w:cs="Calibri"/>
        </w:rPr>
        <w:t>Studies enrolling populations and researching TBI and psychological health outcomes may utilize one or both data sharing platforms as appropriate.</w:t>
      </w:r>
    </w:p>
    <w:p w14:paraId="3C8A13F7" w14:textId="77777777" w:rsidR="00DE43C9" w:rsidRPr="00DE43C9" w:rsidRDefault="00DE43C9" w:rsidP="00DE43C9">
      <w:pPr>
        <w:pStyle w:val="xdefault"/>
        <w:numPr>
          <w:ilvl w:val="2"/>
          <w:numId w:val="7"/>
        </w:numPr>
        <w:ind w:left="648"/>
        <w:rPr>
          <w:rFonts w:ascii="Calibri" w:hAnsi="Calibri" w:cs="Calibri"/>
        </w:rPr>
      </w:pPr>
      <w:r w:rsidRPr="00DE43C9">
        <w:rPr>
          <w:rFonts w:ascii="Calibri" w:hAnsi="Calibri" w:cs="Calibri"/>
        </w:rPr>
        <w:t>Funded investigators may use other data sharing repositories if an appropriate justification is provided.</w:t>
      </w:r>
    </w:p>
    <w:p w14:paraId="2FDFBC43" w14:textId="77777777" w:rsidR="00B45411" w:rsidRPr="00DE43C9" w:rsidRDefault="00B45411" w:rsidP="00B45411">
      <w:pPr>
        <w:pStyle w:val="Default"/>
        <w:rPr>
          <w:rFonts w:ascii="Calibri" w:hAnsi="Calibri" w:cs="Calibri"/>
        </w:rPr>
      </w:pPr>
    </w:p>
    <w:p w14:paraId="0B75C2B1" w14:textId="77777777" w:rsidR="00B45411" w:rsidRPr="00DE43C9" w:rsidRDefault="00B45411">
      <w:pPr>
        <w:spacing w:after="160" w:line="259" w:lineRule="auto"/>
        <w:rPr>
          <w:rFonts w:eastAsia="Times New Roman"/>
          <w:b/>
          <w:bCs/>
          <w:color w:val="000000"/>
          <w:sz w:val="24"/>
          <w:szCs w:val="24"/>
          <w14:ligatures w14:val="none"/>
        </w:rPr>
      </w:pPr>
      <w:r w:rsidRPr="00DE43C9">
        <w:rPr>
          <w:rFonts w:eastAsia="Times New Roman"/>
          <w:b/>
          <w:bCs/>
        </w:rPr>
        <w:br w:type="page"/>
      </w:r>
    </w:p>
    <w:p w14:paraId="354621F2" w14:textId="3C1BA42A" w:rsidR="00B45411" w:rsidRPr="00DE43C9" w:rsidRDefault="00B45411" w:rsidP="00B45411">
      <w:pPr>
        <w:pStyle w:val="Default"/>
        <w:numPr>
          <w:ilvl w:val="0"/>
          <w:numId w:val="1"/>
        </w:numPr>
        <w:rPr>
          <w:rFonts w:ascii="Calibri" w:eastAsia="Times New Roman" w:hAnsi="Calibri" w:cs="Calibri"/>
          <w:b/>
          <w:bCs/>
        </w:rPr>
      </w:pPr>
      <w:r w:rsidRPr="00DE43C9">
        <w:rPr>
          <w:rFonts w:ascii="Calibri" w:eastAsia="Times New Roman" w:hAnsi="Calibri" w:cs="Calibri"/>
          <w:b/>
          <w:bCs/>
        </w:rPr>
        <w:lastRenderedPageBreak/>
        <w:t xml:space="preserve">Are the data and/or insights from TBIPHRP being shared in a systematic way with VA and DoD executive leaders to inform decisions on policy, practice, training, research, or clinical decisions? </w:t>
      </w:r>
    </w:p>
    <w:p w14:paraId="081F6E8D" w14:textId="7F6C9BBA" w:rsidR="00DE43C9" w:rsidRPr="00D242F4" w:rsidRDefault="00DE43C9" w:rsidP="00EF79F6">
      <w:pPr>
        <w:pStyle w:val="xdefault"/>
        <w:numPr>
          <w:ilvl w:val="0"/>
          <w:numId w:val="9"/>
        </w:numPr>
        <w:ind w:left="1440"/>
        <w:rPr>
          <w:rFonts w:ascii="Calibri" w:eastAsia="Times New Roman" w:hAnsi="Calibri" w:cs="Calibri"/>
        </w:rPr>
      </w:pPr>
      <w:r w:rsidRPr="00D242F4">
        <w:rPr>
          <w:rFonts w:ascii="Calibri" w:eastAsia="Times New Roman" w:hAnsi="Calibri" w:cs="Calibri"/>
        </w:rPr>
        <w:t>The TBIPHRP includes VA and DOD representatives on its programmatic panel.  The TBIPHRP, and all programs within the CDMRP, utilizes a programmatic panel of scientists, clinicians, and consumers to assist in the development of the program’s strategic plan and yearly investment strategy and provide funding recommendations.</w:t>
      </w:r>
    </w:p>
    <w:p w14:paraId="38E0B9B1" w14:textId="77777777" w:rsidR="00DE43C9" w:rsidRPr="00DE43C9" w:rsidRDefault="00DE43C9" w:rsidP="00DE43C9">
      <w:pPr>
        <w:pStyle w:val="xdefault"/>
        <w:numPr>
          <w:ilvl w:val="0"/>
          <w:numId w:val="9"/>
        </w:numPr>
        <w:ind w:left="1080"/>
        <w:rPr>
          <w:rFonts w:ascii="Calibri" w:eastAsia="Times New Roman" w:hAnsi="Calibri" w:cs="Calibri"/>
        </w:rPr>
      </w:pPr>
      <w:r w:rsidRPr="00DE43C9">
        <w:rPr>
          <w:rFonts w:ascii="Calibri" w:eastAsia="Times New Roman" w:hAnsi="Calibri" w:cs="Calibri"/>
        </w:rPr>
        <w:t xml:space="preserve">The TBIPHRP provides yearly briefings DOD and VA on program status and accomplishments.  These briefings increase VA awareness of the TBIPHRP research and current and emerging outcomes.    </w:t>
      </w:r>
    </w:p>
    <w:p w14:paraId="6616F53C" w14:textId="77777777" w:rsidR="00DE43C9" w:rsidRPr="00DE43C9" w:rsidRDefault="00DE43C9" w:rsidP="00DE43C9">
      <w:pPr>
        <w:pStyle w:val="xdefault"/>
        <w:numPr>
          <w:ilvl w:val="0"/>
          <w:numId w:val="9"/>
        </w:numPr>
        <w:ind w:left="1080"/>
        <w:rPr>
          <w:rFonts w:ascii="Calibri" w:eastAsia="Times New Roman" w:hAnsi="Calibri" w:cs="Calibri"/>
        </w:rPr>
      </w:pPr>
      <w:r w:rsidRPr="00DE43C9">
        <w:rPr>
          <w:rFonts w:ascii="Calibri" w:eastAsia="Times New Roman" w:hAnsi="Calibri" w:cs="Calibri"/>
        </w:rPr>
        <w:t>The current TBIPHRP research portfolio contains 16 awards totaling $39.03M to investigators or collaborators with VA-appointments.</w:t>
      </w:r>
    </w:p>
    <w:p w14:paraId="18A8D713" w14:textId="77777777" w:rsidR="00DE43C9" w:rsidRPr="00DE43C9" w:rsidRDefault="00DE43C9" w:rsidP="00DE43C9">
      <w:pPr>
        <w:pStyle w:val="xdefault"/>
        <w:numPr>
          <w:ilvl w:val="0"/>
          <w:numId w:val="9"/>
        </w:numPr>
        <w:ind w:left="1080"/>
        <w:rPr>
          <w:rFonts w:ascii="Calibri" w:eastAsia="Times New Roman" w:hAnsi="Calibri" w:cs="Calibri"/>
        </w:rPr>
      </w:pPr>
      <w:r w:rsidRPr="00DE43C9">
        <w:rPr>
          <w:rFonts w:ascii="Calibri" w:eastAsia="Times New Roman" w:hAnsi="Calibri" w:cs="Calibri"/>
        </w:rPr>
        <w:t xml:space="preserve">The CDMRP provides award management support on the behalf of the Combat Casualty Care Research Program for the PH/TBIRP-funded Long-Term Impact of Military-Relevant Brain Injury Consortium (LIMBIC) Award ($24.91M) </w:t>
      </w:r>
    </w:p>
    <w:p w14:paraId="204FBCF6" w14:textId="77777777" w:rsidR="00DE43C9" w:rsidRPr="00DE43C9" w:rsidRDefault="00DE43C9" w:rsidP="00DE43C9">
      <w:pPr>
        <w:pStyle w:val="xdefault"/>
        <w:numPr>
          <w:ilvl w:val="1"/>
          <w:numId w:val="9"/>
        </w:numPr>
        <w:ind w:left="1800"/>
        <w:rPr>
          <w:rFonts w:ascii="Calibri" w:eastAsia="Times New Roman" w:hAnsi="Calibri" w:cs="Calibri"/>
        </w:rPr>
      </w:pPr>
      <w:r w:rsidRPr="00DE43C9">
        <w:rPr>
          <w:rFonts w:ascii="Calibri" w:eastAsia="Times New Roman" w:hAnsi="Calibri" w:cs="Calibri"/>
        </w:rPr>
        <w:t xml:space="preserve">The joint DOD/VA LIMBIC effort is recruiting and characterizing a cohort of Veterans with TBI to determine factors, risks, and long term-impacts of military brain injury. </w:t>
      </w:r>
    </w:p>
    <w:p w14:paraId="2E10E0AA" w14:textId="77777777" w:rsidR="00DE43C9" w:rsidRPr="00DE43C9" w:rsidRDefault="00DE43C9" w:rsidP="00DE43C9">
      <w:pPr>
        <w:pStyle w:val="xdefault"/>
        <w:numPr>
          <w:ilvl w:val="1"/>
          <w:numId w:val="9"/>
        </w:numPr>
        <w:ind w:left="1800"/>
        <w:rPr>
          <w:rFonts w:ascii="Calibri" w:eastAsia="Times New Roman" w:hAnsi="Calibri" w:cs="Calibri"/>
        </w:rPr>
      </w:pPr>
      <w:r w:rsidRPr="00DE43C9">
        <w:rPr>
          <w:rFonts w:ascii="Calibri" w:eastAsia="Times New Roman" w:hAnsi="Calibri" w:cs="Calibri"/>
        </w:rPr>
        <w:t>The $24.91M PH/TBIRP investment is supplemented with an additional $25M from the VA Office of Research and Development.</w:t>
      </w:r>
    </w:p>
    <w:p w14:paraId="5887B58B" w14:textId="77777777" w:rsidR="00DE43C9" w:rsidRPr="00DE43C9" w:rsidRDefault="00DE43C9" w:rsidP="00DE43C9">
      <w:pPr>
        <w:pStyle w:val="xdefault"/>
        <w:numPr>
          <w:ilvl w:val="1"/>
          <w:numId w:val="9"/>
        </w:numPr>
        <w:ind w:left="1800"/>
        <w:rPr>
          <w:rFonts w:ascii="Calibri" w:eastAsia="Times New Roman" w:hAnsi="Calibri" w:cs="Calibri"/>
        </w:rPr>
      </w:pPr>
      <w:r w:rsidRPr="00DE43C9">
        <w:rPr>
          <w:rFonts w:ascii="Calibri" w:eastAsia="Times New Roman" w:hAnsi="Calibri" w:cs="Calibri"/>
        </w:rPr>
        <w:t xml:space="preserve">The Defense Health Agency Research and Engineering Directorate and VA Office of Research and Development have representation on the Government Steering Committee (GSC).  The GSC provides feedback and recommendations on research progress. </w:t>
      </w:r>
    </w:p>
    <w:p w14:paraId="694C82E4" w14:textId="77777777" w:rsidR="00DE43C9" w:rsidRPr="00DE43C9" w:rsidRDefault="00DE43C9" w:rsidP="00DE43C9">
      <w:pPr>
        <w:pStyle w:val="xdefault"/>
        <w:numPr>
          <w:ilvl w:val="1"/>
          <w:numId w:val="9"/>
        </w:numPr>
        <w:ind w:left="1800"/>
        <w:rPr>
          <w:rFonts w:ascii="Calibri" w:eastAsia="Times New Roman" w:hAnsi="Calibri" w:cs="Calibri"/>
        </w:rPr>
      </w:pPr>
      <w:r w:rsidRPr="00DE43C9">
        <w:rPr>
          <w:rFonts w:ascii="Calibri" w:eastAsia="Times New Roman" w:hAnsi="Calibri" w:cs="Calibri"/>
        </w:rPr>
        <w:t>The CDMRP provides the Director Medical Research and Development (Office of the Assistant Secretary of Defense [Health Affairs]) and Chief Research and Development Officer (VA Office of Research and Development) twice-yearly updates on research progress.</w:t>
      </w:r>
    </w:p>
    <w:p w14:paraId="1DFE6ADD" w14:textId="77777777" w:rsidR="00DE43C9" w:rsidRPr="00DE43C9" w:rsidRDefault="00DE43C9" w:rsidP="00DE43C9">
      <w:pPr>
        <w:pStyle w:val="xdefault"/>
        <w:numPr>
          <w:ilvl w:val="0"/>
          <w:numId w:val="9"/>
        </w:numPr>
        <w:ind w:left="1080"/>
        <w:rPr>
          <w:rFonts w:ascii="Calibri" w:eastAsia="Times New Roman" w:hAnsi="Calibri" w:cs="Calibri"/>
        </w:rPr>
      </w:pPr>
      <w:r w:rsidRPr="00DE43C9">
        <w:rPr>
          <w:rFonts w:ascii="Calibri" w:eastAsia="Times New Roman" w:hAnsi="Calibri" w:cs="Calibri"/>
        </w:rPr>
        <w:t xml:space="preserve">The CDMRP provides award management support on the behalf of the Combat Casualty Care Research Program for the PH/TBIRP-funded Concussion Assessment, Research and Education-Service Academy Longitudinal </w:t>
      </w:r>
      <w:proofErr w:type="spellStart"/>
      <w:r w:rsidRPr="00DE43C9">
        <w:rPr>
          <w:rFonts w:ascii="Calibri" w:eastAsia="Times New Roman" w:hAnsi="Calibri" w:cs="Calibri"/>
        </w:rPr>
        <w:t>mTBI</w:t>
      </w:r>
      <w:proofErr w:type="spellEnd"/>
      <w:r w:rsidRPr="00DE43C9">
        <w:rPr>
          <w:rFonts w:ascii="Calibri" w:eastAsia="Times New Roman" w:hAnsi="Calibri" w:cs="Calibri"/>
        </w:rPr>
        <w:t xml:space="preserve"> Outcomes Study (SALTOS) Integrated consortium ($25.25M).  </w:t>
      </w:r>
    </w:p>
    <w:p w14:paraId="44565D34" w14:textId="77777777" w:rsidR="00DE43C9" w:rsidRPr="00DE43C9" w:rsidRDefault="00DE43C9" w:rsidP="00DE43C9">
      <w:pPr>
        <w:pStyle w:val="xdefault"/>
        <w:numPr>
          <w:ilvl w:val="1"/>
          <w:numId w:val="9"/>
        </w:numPr>
        <w:ind w:left="1800"/>
        <w:rPr>
          <w:rFonts w:ascii="Calibri" w:eastAsia="Times New Roman" w:hAnsi="Calibri" w:cs="Calibri"/>
        </w:rPr>
      </w:pPr>
      <w:r w:rsidRPr="00DE43C9">
        <w:rPr>
          <w:rFonts w:ascii="Calibri" w:eastAsia="Times New Roman" w:hAnsi="Calibri" w:cs="Calibri"/>
        </w:rPr>
        <w:t xml:space="preserve">The CARE-SALTOS Integrated Study is the current phase of the NCAA-DOD Grand Alliance, which has enrolled more than 53,000 military and civilian student-athletes, and will investigate the long-term effects of head impact exposure and </w:t>
      </w:r>
      <w:proofErr w:type="spellStart"/>
      <w:r w:rsidRPr="00DE43C9">
        <w:rPr>
          <w:rFonts w:ascii="Calibri" w:eastAsia="Times New Roman" w:hAnsi="Calibri" w:cs="Calibri"/>
        </w:rPr>
        <w:t>mTBI</w:t>
      </w:r>
      <w:proofErr w:type="spellEnd"/>
      <w:r w:rsidRPr="00DE43C9">
        <w:rPr>
          <w:rFonts w:ascii="Calibri" w:eastAsia="Times New Roman" w:hAnsi="Calibri" w:cs="Calibri"/>
        </w:rPr>
        <w:t xml:space="preserve">. </w:t>
      </w:r>
    </w:p>
    <w:p w14:paraId="40426138" w14:textId="77777777" w:rsidR="00DE43C9" w:rsidRPr="00DE43C9" w:rsidRDefault="00DE43C9" w:rsidP="00DE43C9">
      <w:pPr>
        <w:pStyle w:val="xdefault"/>
        <w:numPr>
          <w:ilvl w:val="1"/>
          <w:numId w:val="9"/>
        </w:numPr>
        <w:ind w:left="1800"/>
        <w:rPr>
          <w:rFonts w:ascii="Calibri" w:eastAsia="Times New Roman" w:hAnsi="Calibri" w:cs="Calibri"/>
        </w:rPr>
      </w:pPr>
      <w:r w:rsidRPr="00DE43C9">
        <w:rPr>
          <w:rFonts w:ascii="Calibri" w:eastAsia="Times New Roman" w:hAnsi="Calibri" w:cs="Calibri"/>
        </w:rPr>
        <w:t>The $25.25M PH/TBIRP investment is supplemented with an additional $10M from the NCAA and $7.65M from the Defense Health Agency.</w:t>
      </w:r>
    </w:p>
    <w:p w14:paraId="0A1AB4DE" w14:textId="77777777" w:rsidR="00DE43C9" w:rsidRPr="00DE43C9" w:rsidRDefault="00DE43C9" w:rsidP="00DE43C9">
      <w:pPr>
        <w:pStyle w:val="xdefault"/>
        <w:numPr>
          <w:ilvl w:val="1"/>
          <w:numId w:val="9"/>
        </w:numPr>
        <w:ind w:left="1800"/>
        <w:rPr>
          <w:rFonts w:ascii="Calibri" w:eastAsia="Times New Roman" w:hAnsi="Calibri" w:cs="Calibri"/>
        </w:rPr>
      </w:pPr>
      <w:r w:rsidRPr="00DE43C9">
        <w:rPr>
          <w:rFonts w:ascii="Calibri" w:eastAsia="Times New Roman" w:hAnsi="Calibri" w:cs="Calibri"/>
        </w:rPr>
        <w:t xml:space="preserve">The Defense Health Agency Research and Engineering Directorate and VA Office of Research and Development have representation on the Government &amp; Stakeholder Steering Committee (GSSC).  The GSSC provides feedback and recommendations on research progress. </w:t>
      </w:r>
    </w:p>
    <w:p w14:paraId="5E90FEF4" w14:textId="7595ACFF" w:rsidR="00B45411" w:rsidRPr="00DE43C9" w:rsidRDefault="00DE43C9" w:rsidP="00DE43C9">
      <w:pPr>
        <w:pStyle w:val="xdefault"/>
        <w:numPr>
          <w:ilvl w:val="1"/>
          <w:numId w:val="9"/>
        </w:numPr>
        <w:ind w:left="1800"/>
        <w:rPr>
          <w:rFonts w:ascii="Calibri" w:eastAsia="Times New Roman" w:hAnsi="Calibri" w:cs="Calibri"/>
        </w:rPr>
      </w:pPr>
      <w:r w:rsidRPr="00DE43C9">
        <w:rPr>
          <w:rFonts w:ascii="Calibri" w:eastAsia="Times New Roman" w:hAnsi="Calibri" w:cs="Calibri"/>
        </w:rPr>
        <w:lastRenderedPageBreak/>
        <w:t>The CDMRP provides the Director Medical Research and Development (Office of the Assistant Secretary of Defense [Health Affairs]) and Chief Research and Development Officer (VA Office of Research and Development) twice-yearly updates on research progress.</w:t>
      </w:r>
    </w:p>
    <w:p w14:paraId="78C64881" w14:textId="77777777" w:rsidR="00B45411" w:rsidRPr="00DE43C9" w:rsidRDefault="00B45411">
      <w:pPr>
        <w:spacing w:after="160" w:line="259" w:lineRule="auto"/>
        <w:rPr>
          <w:rFonts w:eastAsia="Times New Roman"/>
          <w:b/>
          <w:bCs/>
          <w:color w:val="000000"/>
          <w:sz w:val="24"/>
          <w:szCs w:val="24"/>
          <w14:ligatures w14:val="none"/>
        </w:rPr>
      </w:pPr>
      <w:r w:rsidRPr="00DE43C9">
        <w:rPr>
          <w:rFonts w:eastAsia="Times New Roman"/>
          <w:b/>
          <w:bCs/>
        </w:rPr>
        <w:br w:type="page"/>
      </w:r>
    </w:p>
    <w:p w14:paraId="7B91BFC3" w14:textId="3FBAB533" w:rsidR="00B45411" w:rsidRDefault="00B45411" w:rsidP="00B45411">
      <w:pPr>
        <w:pStyle w:val="Default"/>
        <w:numPr>
          <w:ilvl w:val="0"/>
          <w:numId w:val="1"/>
        </w:numPr>
        <w:rPr>
          <w:rFonts w:ascii="Calibri" w:eastAsia="Times New Roman" w:hAnsi="Calibri" w:cs="Calibri"/>
          <w:b/>
          <w:bCs/>
        </w:rPr>
      </w:pPr>
      <w:r w:rsidRPr="00DE43C9">
        <w:rPr>
          <w:rFonts w:ascii="Calibri" w:eastAsia="Times New Roman" w:hAnsi="Calibri" w:cs="Calibri"/>
          <w:b/>
          <w:bCs/>
        </w:rPr>
        <w:lastRenderedPageBreak/>
        <w:t xml:space="preserve">What are the outstanding research questions that exist with respect to this particular type of brain injury? </w:t>
      </w:r>
    </w:p>
    <w:p w14:paraId="56CA625D" w14:textId="77777777" w:rsidR="00776E36" w:rsidRPr="00DE43C9" w:rsidRDefault="00776E36" w:rsidP="00776E36">
      <w:pPr>
        <w:pStyle w:val="Default"/>
        <w:ind w:left="720"/>
        <w:rPr>
          <w:rFonts w:ascii="Calibri" w:eastAsia="Times New Roman" w:hAnsi="Calibri" w:cs="Calibri"/>
          <w:b/>
          <w:bCs/>
        </w:rPr>
      </w:pPr>
    </w:p>
    <w:p w14:paraId="0F3B9072" w14:textId="77777777" w:rsidR="00551133" w:rsidRDefault="007E612E" w:rsidP="00776E36">
      <w:pPr>
        <w:pStyle w:val="Default"/>
        <w:ind w:left="360"/>
        <w:rPr>
          <w:rFonts w:ascii="Calibri" w:hAnsi="Calibri" w:cs="Calibri"/>
        </w:rPr>
      </w:pPr>
      <w:r w:rsidRPr="007E612E">
        <w:rPr>
          <w:rFonts w:ascii="Calibri" w:hAnsi="Calibri" w:cs="Calibri"/>
        </w:rPr>
        <w:t>Key questions regarding repeated blast-related TBI include specifics surrounding</w:t>
      </w:r>
      <w:r w:rsidR="00551133">
        <w:rPr>
          <w:rFonts w:ascii="Calibri" w:hAnsi="Calibri" w:cs="Calibri"/>
        </w:rPr>
        <w:t>:</w:t>
      </w:r>
      <w:r w:rsidRPr="007E612E">
        <w:rPr>
          <w:rFonts w:ascii="Calibri" w:hAnsi="Calibri" w:cs="Calibri"/>
        </w:rPr>
        <w:t xml:space="preserve"> </w:t>
      </w:r>
    </w:p>
    <w:p w14:paraId="7B8E4DD5" w14:textId="712A9044" w:rsidR="00551133" w:rsidRDefault="00551133" w:rsidP="00776E36">
      <w:pPr>
        <w:pStyle w:val="Default"/>
        <w:numPr>
          <w:ilvl w:val="0"/>
          <w:numId w:val="25"/>
        </w:numPr>
        <w:rPr>
          <w:rFonts w:ascii="Calibri" w:hAnsi="Calibri" w:cs="Calibri"/>
        </w:rPr>
      </w:pPr>
      <w:r>
        <w:rPr>
          <w:rFonts w:ascii="Calibri" w:hAnsi="Calibri" w:cs="Calibri"/>
        </w:rPr>
        <w:t>Energies, other than overpressure, that are generated by various weapon systems, which can be measured and quantified</w:t>
      </w:r>
      <w:r w:rsidR="00CF591D">
        <w:rPr>
          <w:rFonts w:ascii="Calibri" w:hAnsi="Calibri" w:cs="Calibri"/>
        </w:rPr>
        <w:t>,</w:t>
      </w:r>
    </w:p>
    <w:p w14:paraId="42CFB174" w14:textId="3A12BAA0" w:rsidR="00551133" w:rsidRDefault="00551133" w:rsidP="00776E36">
      <w:pPr>
        <w:pStyle w:val="Default"/>
        <w:numPr>
          <w:ilvl w:val="0"/>
          <w:numId w:val="25"/>
        </w:numPr>
        <w:rPr>
          <w:rFonts w:ascii="Calibri" w:hAnsi="Calibri" w:cs="Calibri"/>
        </w:rPr>
      </w:pPr>
      <w:r w:rsidRPr="007E612E">
        <w:rPr>
          <w:rFonts w:ascii="Calibri" w:hAnsi="Calibri" w:cs="Calibri"/>
        </w:rPr>
        <w:t xml:space="preserve">Clinically-relevant single blast thresholds, </w:t>
      </w:r>
    </w:p>
    <w:p w14:paraId="4AFC9EE0" w14:textId="7166CB9A" w:rsidR="00551133" w:rsidRDefault="00551133" w:rsidP="00776E36">
      <w:pPr>
        <w:pStyle w:val="Default"/>
        <w:numPr>
          <w:ilvl w:val="0"/>
          <w:numId w:val="25"/>
        </w:numPr>
        <w:rPr>
          <w:rFonts w:ascii="Calibri" w:hAnsi="Calibri" w:cs="Calibri"/>
        </w:rPr>
      </w:pPr>
      <w:r w:rsidRPr="007E612E">
        <w:rPr>
          <w:rFonts w:ascii="Calibri" w:hAnsi="Calibri" w:cs="Calibri"/>
        </w:rPr>
        <w:t xml:space="preserve">Clinically-relevant cumulative blast thresholds, </w:t>
      </w:r>
    </w:p>
    <w:p w14:paraId="1FCC93EF" w14:textId="3366F9D0" w:rsidR="00551133" w:rsidRDefault="00551133" w:rsidP="00776E36">
      <w:pPr>
        <w:pStyle w:val="Default"/>
        <w:numPr>
          <w:ilvl w:val="0"/>
          <w:numId w:val="25"/>
        </w:numPr>
        <w:rPr>
          <w:rFonts w:ascii="Calibri" w:hAnsi="Calibri" w:cs="Calibri"/>
        </w:rPr>
      </w:pPr>
      <w:r w:rsidRPr="007E612E">
        <w:rPr>
          <w:rFonts w:ascii="Calibri" w:hAnsi="Calibri" w:cs="Calibri"/>
        </w:rPr>
        <w:t>Protective and deleterious e</w:t>
      </w:r>
      <w:r w:rsidR="007E612E" w:rsidRPr="007E612E">
        <w:rPr>
          <w:rFonts w:ascii="Calibri" w:hAnsi="Calibri" w:cs="Calibri"/>
        </w:rPr>
        <w:t xml:space="preserve">ffects of military vehicles, combat gear, and environmental elements, </w:t>
      </w:r>
    </w:p>
    <w:p w14:paraId="5E53E52D" w14:textId="49D1D932" w:rsidR="00551133" w:rsidRDefault="00551133" w:rsidP="00776E36">
      <w:pPr>
        <w:pStyle w:val="Default"/>
        <w:numPr>
          <w:ilvl w:val="0"/>
          <w:numId w:val="25"/>
        </w:numPr>
        <w:rPr>
          <w:rFonts w:ascii="Calibri" w:hAnsi="Calibri" w:cs="Calibri"/>
        </w:rPr>
      </w:pPr>
      <w:r w:rsidRPr="007E612E">
        <w:rPr>
          <w:rFonts w:ascii="Calibri" w:hAnsi="Calibri" w:cs="Calibri"/>
        </w:rPr>
        <w:t>Deleterious effects of secondary exposures (environment, toxin, burn pits, radiation, other)</w:t>
      </w:r>
      <w:r>
        <w:rPr>
          <w:rFonts w:ascii="Calibri" w:hAnsi="Calibri" w:cs="Calibri"/>
        </w:rPr>
        <w:t xml:space="preserve"> when combined with repetitive occupational blast exposure</w:t>
      </w:r>
      <w:r w:rsidRPr="007E612E">
        <w:rPr>
          <w:rFonts w:ascii="Calibri" w:hAnsi="Calibri" w:cs="Calibri"/>
        </w:rPr>
        <w:t xml:space="preserve">, </w:t>
      </w:r>
    </w:p>
    <w:p w14:paraId="3597FDC4" w14:textId="045F4DF5" w:rsidR="00551133" w:rsidRDefault="00551133" w:rsidP="00776E36">
      <w:pPr>
        <w:pStyle w:val="Default"/>
        <w:numPr>
          <w:ilvl w:val="0"/>
          <w:numId w:val="25"/>
        </w:numPr>
        <w:rPr>
          <w:rFonts w:ascii="Calibri" w:hAnsi="Calibri" w:cs="Calibri"/>
        </w:rPr>
      </w:pPr>
      <w:r w:rsidRPr="007E612E">
        <w:rPr>
          <w:rFonts w:ascii="Calibri" w:hAnsi="Calibri" w:cs="Calibri"/>
        </w:rPr>
        <w:t xml:space="preserve">Short and long-term effects and recovery trajectories of clinically-relevant repeated </w:t>
      </w:r>
      <w:r w:rsidR="007E612E" w:rsidRPr="007E612E">
        <w:rPr>
          <w:rFonts w:ascii="Calibri" w:hAnsi="Calibri" w:cs="Calibri"/>
        </w:rPr>
        <w:t>blasts</w:t>
      </w:r>
      <w:r>
        <w:rPr>
          <w:rFonts w:ascii="Calibri" w:hAnsi="Calibri" w:cs="Calibri"/>
        </w:rPr>
        <w:t xml:space="preserve"> on brain and mental health</w:t>
      </w:r>
      <w:r w:rsidR="007E612E" w:rsidRPr="007E612E">
        <w:rPr>
          <w:rFonts w:ascii="Calibri" w:hAnsi="Calibri" w:cs="Calibri"/>
        </w:rPr>
        <w:t xml:space="preserve">, </w:t>
      </w:r>
    </w:p>
    <w:p w14:paraId="477EB9C2" w14:textId="60E644C0" w:rsidR="00551133" w:rsidRDefault="00551133" w:rsidP="00776E36">
      <w:pPr>
        <w:pStyle w:val="Default"/>
        <w:numPr>
          <w:ilvl w:val="0"/>
          <w:numId w:val="25"/>
        </w:numPr>
        <w:rPr>
          <w:rFonts w:ascii="Calibri" w:hAnsi="Calibri" w:cs="Calibri"/>
        </w:rPr>
      </w:pPr>
      <w:r w:rsidRPr="007E612E">
        <w:rPr>
          <w:rFonts w:ascii="Calibri" w:hAnsi="Calibri" w:cs="Calibri"/>
        </w:rPr>
        <w:t xml:space="preserve">Protective and deleterious effects of co-occurring pre-exposure and post-exposure health, physical, medical, and psychological factors, </w:t>
      </w:r>
    </w:p>
    <w:p w14:paraId="6C195EF4" w14:textId="2FE4A92F" w:rsidR="00551133" w:rsidRDefault="00551133" w:rsidP="00776E36">
      <w:pPr>
        <w:pStyle w:val="Default"/>
        <w:numPr>
          <w:ilvl w:val="0"/>
          <w:numId w:val="25"/>
        </w:numPr>
        <w:rPr>
          <w:rFonts w:ascii="Calibri" w:hAnsi="Calibri" w:cs="Calibri"/>
        </w:rPr>
      </w:pPr>
      <w:r w:rsidRPr="007E612E">
        <w:rPr>
          <w:rFonts w:ascii="Calibri" w:hAnsi="Calibri" w:cs="Calibri"/>
        </w:rPr>
        <w:t>Efficacy of existing TBI symptom and injury management and treatment approaches, and</w:t>
      </w:r>
      <w:r w:rsidR="00CF591D">
        <w:rPr>
          <w:rFonts w:ascii="Calibri" w:hAnsi="Calibri" w:cs="Calibri"/>
        </w:rPr>
        <w:t>,</w:t>
      </w:r>
      <w:r w:rsidRPr="007E612E">
        <w:rPr>
          <w:rFonts w:ascii="Calibri" w:hAnsi="Calibri" w:cs="Calibri"/>
        </w:rPr>
        <w:t xml:space="preserve"> </w:t>
      </w:r>
    </w:p>
    <w:p w14:paraId="217695FA" w14:textId="337DAFEA" w:rsidR="00B45411" w:rsidRPr="007E612E" w:rsidRDefault="00551133" w:rsidP="00776E36">
      <w:pPr>
        <w:pStyle w:val="Default"/>
        <w:numPr>
          <w:ilvl w:val="0"/>
          <w:numId w:val="25"/>
        </w:numPr>
        <w:rPr>
          <w:rFonts w:ascii="Calibri" w:hAnsi="Calibri" w:cs="Calibri"/>
        </w:rPr>
      </w:pPr>
      <w:r w:rsidRPr="007E612E">
        <w:rPr>
          <w:rFonts w:ascii="Calibri" w:hAnsi="Calibri" w:cs="Calibri"/>
        </w:rPr>
        <w:t>Efficacy of novel, innovative targeted management and treatment approaches for blast-related TBI effects.</w:t>
      </w:r>
    </w:p>
    <w:p w14:paraId="30F52A57" w14:textId="77777777" w:rsidR="00B45411" w:rsidRPr="00DE43C9" w:rsidRDefault="00B45411">
      <w:pPr>
        <w:spacing w:after="160" w:line="259" w:lineRule="auto"/>
        <w:rPr>
          <w:rFonts w:eastAsia="Times New Roman"/>
          <w:b/>
          <w:bCs/>
          <w:color w:val="000000"/>
          <w:sz w:val="24"/>
          <w:szCs w:val="24"/>
          <w14:ligatures w14:val="none"/>
        </w:rPr>
      </w:pPr>
      <w:r w:rsidRPr="00DE43C9">
        <w:rPr>
          <w:rFonts w:eastAsia="Times New Roman"/>
          <w:b/>
          <w:bCs/>
        </w:rPr>
        <w:br w:type="page"/>
      </w:r>
    </w:p>
    <w:p w14:paraId="5D644E4B" w14:textId="69D87B0A" w:rsidR="00B45411" w:rsidRDefault="00B45411" w:rsidP="00B45411">
      <w:pPr>
        <w:pStyle w:val="Default"/>
        <w:numPr>
          <w:ilvl w:val="0"/>
          <w:numId w:val="1"/>
        </w:numPr>
        <w:rPr>
          <w:rFonts w:ascii="Calibri" w:eastAsia="Times New Roman" w:hAnsi="Calibri" w:cs="Calibri"/>
          <w:b/>
          <w:bCs/>
        </w:rPr>
      </w:pPr>
      <w:r w:rsidRPr="00DE43C9">
        <w:rPr>
          <w:rFonts w:ascii="Calibri" w:eastAsia="Times New Roman" w:hAnsi="Calibri" w:cs="Calibri"/>
          <w:b/>
          <w:bCs/>
        </w:rPr>
        <w:lastRenderedPageBreak/>
        <w:t xml:space="preserve">Are clinical interventions being developed and tested that could protect against this particular damage and/or treat its effects? </w:t>
      </w:r>
    </w:p>
    <w:p w14:paraId="645B95DE" w14:textId="77777777" w:rsidR="00776E36" w:rsidRPr="00DE43C9" w:rsidRDefault="00776E36" w:rsidP="00776E36">
      <w:pPr>
        <w:pStyle w:val="Default"/>
        <w:ind w:left="720"/>
        <w:rPr>
          <w:rFonts w:ascii="Calibri" w:eastAsia="Times New Roman" w:hAnsi="Calibri" w:cs="Calibri"/>
          <w:b/>
          <w:bCs/>
        </w:rPr>
      </w:pPr>
    </w:p>
    <w:p w14:paraId="51EB5A48" w14:textId="77777777" w:rsidR="00551133" w:rsidRDefault="007E612E" w:rsidP="00551133">
      <w:pPr>
        <w:pStyle w:val="Default"/>
        <w:numPr>
          <w:ilvl w:val="0"/>
          <w:numId w:val="24"/>
        </w:numPr>
        <w:rPr>
          <w:rFonts w:ascii="Calibri" w:hAnsi="Calibri" w:cs="Calibri"/>
        </w:rPr>
      </w:pPr>
      <w:r w:rsidRPr="007E612E">
        <w:rPr>
          <w:rFonts w:ascii="Calibri" w:hAnsi="Calibri" w:cs="Calibri"/>
        </w:rPr>
        <w:t xml:space="preserve">An array of established and novel targeted symptom and injury management and treatment approaches are being explored across VA clinical and research centers including brain wellness approaches, comprehensive symptom management, nutritional, activity/exercise, psychological, medication and complementary. </w:t>
      </w:r>
    </w:p>
    <w:p w14:paraId="11137F76" w14:textId="10C0B67E" w:rsidR="00B45411" w:rsidRPr="00DE43C9" w:rsidRDefault="007E612E" w:rsidP="00551133">
      <w:pPr>
        <w:pStyle w:val="Default"/>
        <w:numPr>
          <w:ilvl w:val="0"/>
          <w:numId w:val="24"/>
        </w:numPr>
        <w:rPr>
          <w:rFonts w:ascii="Calibri" w:eastAsia="Times New Roman" w:hAnsi="Calibri" w:cs="Calibri"/>
          <w:b/>
          <w:bCs/>
        </w:rPr>
      </w:pPr>
      <w:r w:rsidRPr="007E612E">
        <w:rPr>
          <w:rFonts w:ascii="Calibri" w:hAnsi="Calibri" w:cs="Calibri"/>
        </w:rPr>
        <w:t>Of note, all of these 4,000+ highly characterized, nationwide participants from the LIMBIC and TRACTS research programs have agreed to and are available to consent in prospective intervention</w:t>
      </w:r>
      <w:r w:rsidR="00393B7C">
        <w:rPr>
          <w:rFonts w:ascii="Calibri" w:hAnsi="Calibri" w:cs="Calibri"/>
        </w:rPr>
        <w:t>al</w:t>
      </w:r>
      <w:r w:rsidRPr="007E612E">
        <w:rPr>
          <w:rFonts w:ascii="Calibri" w:hAnsi="Calibri" w:cs="Calibri"/>
        </w:rPr>
        <w:t xml:space="preserve"> trials</w:t>
      </w:r>
      <w:r w:rsidR="00393B7C">
        <w:rPr>
          <w:rFonts w:ascii="Calibri" w:hAnsi="Calibri" w:cs="Calibri"/>
        </w:rPr>
        <w:t xml:space="preserve"> when peer-reviewed candidate behavioral or pharmaceutical therapies become available</w:t>
      </w:r>
      <w:r w:rsidRPr="007E612E">
        <w:rPr>
          <w:rFonts w:ascii="Calibri" w:hAnsi="Calibri" w:cs="Calibri"/>
        </w:rPr>
        <w:t>.</w:t>
      </w:r>
      <w:r w:rsidR="00B45411" w:rsidRPr="00DE43C9">
        <w:rPr>
          <w:rFonts w:ascii="Calibri" w:eastAsia="Times New Roman" w:hAnsi="Calibri" w:cs="Calibri"/>
          <w:b/>
          <w:bCs/>
        </w:rPr>
        <w:br w:type="page"/>
      </w:r>
    </w:p>
    <w:p w14:paraId="19DF532D" w14:textId="4866212C" w:rsidR="00B45411" w:rsidRPr="00DE43C9" w:rsidRDefault="00B45411" w:rsidP="00B45411">
      <w:pPr>
        <w:pStyle w:val="Default"/>
        <w:numPr>
          <w:ilvl w:val="0"/>
          <w:numId w:val="1"/>
        </w:numPr>
        <w:rPr>
          <w:rFonts w:ascii="Calibri" w:eastAsia="Times New Roman" w:hAnsi="Calibri" w:cs="Calibri"/>
          <w:b/>
          <w:bCs/>
        </w:rPr>
      </w:pPr>
      <w:r w:rsidRPr="00DE43C9">
        <w:rPr>
          <w:rFonts w:ascii="Calibri" w:eastAsia="Times New Roman" w:hAnsi="Calibri" w:cs="Calibri"/>
          <w:b/>
          <w:bCs/>
        </w:rPr>
        <w:lastRenderedPageBreak/>
        <w:t xml:space="preserve">Are diagnostic tools being developed that could effectively identify indicators that this type of brain damage has occurred? </w:t>
      </w:r>
    </w:p>
    <w:p w14:paraId="559FAED2" w14:textId="1A7BE608" w:rsidR="00026F9C" w:rsidRDefault="00E0180F" w:rsidP="00026F9C">
      <w:pPr>
        <w:pStyle w:val="xxxxdefault"/>
        <w:numPr>
          <w:ilvl w:val="0"/>
          <w:numId w:val="15"/>
        </w:numPr>
        <w:spacing w:before="0" w:after="0" w:afterAutospacing="0"/>
        <w:rPr>
          <w:rFonts w:asciiTheme="minorHAnsi" w:hAnsiTheme="minorHAnsi" w:cstheme="minorHAnsi"/>
          <w:color w:val="000000"/>
          <w:bdr w:val="none" w:sz="0" w:space="0" w:color="auto" w:frame="1"/>
        </w:rPr>
      </w:pPr>
      <w:r>
        <w:rPr>
          <w:rFonts w:asciiTheme="minorHAnsi" w:hAnsiTheme="minorHAnsi" w:cstheme="minorHAnsi"/>
          <w:color w:val="000000"/>
          <w:bdr w:val="none" w:sz="0" w:space="0" w:color="auto" w:frame="1"/>
        </w:rPr>
        <w:t>As described above in response to question</w:t>
      </w:r>
      <w:r w:rsidR="008D6F0A">
        <w:rPr>
          <w:rFonts w:asciiTheme="minorHAnsi" w:hAnsiTheme="minorHAnsi" w:cstheme="minorHAnsi"/>
          <w:color w:val="000000"/>
          <w:bdr w:val="none" w:sz="0" w:space="0" w:color="auto" w:frame="1"/>
        </w:rPr>
        <w:t xml:space="preserve"> #1</w:t>
      </w:r>
      <w:r w:rsidR="00776E36">
        <w:rPr>
          <w:rFonts w:asciiTheme="minorHAnsi" w:hAnsiTheme="minorHAnsi" w:cstheme="minorHAnsi"/>
          <w:color w:val="000000"/>
          <w:bdr w:val="none" w:sz="0" w:space="0" w:color="auto" w:frame="1"/>
        </w:rPr>
        <w:t>,</w:t>
      </w:r>
      <w:r>
        <w:rPr>
          <w:rFonts w:asciiTheme="minorHAnsi" w:hAnsiTheme="minorHAnsi" w:cstheme="minorHAnsi"/>
          <w:color w:val="000000"/>
          <w:bdr w:val="none" w:sz="0" w:space="0" w:color="auto" w:frame="1"/>
        </w:rPr>
        <w:t xml:space="preserve"> </w:t>
      </w:r>
      <w:r w:rsidR="00776E36">
        <w:rPr>
          <w:rFonts w:asciiTheme="minorHAnsi" w:hAnsiTheme="minorHAnsi" w:cstheme="minorHAnsi"/>
          <w:color w:val="000000"/>
          <w:bdr w:val="none" w:sz="0" w:space="0" w:color="auto" w:frame="1"/>
        </w:rPr>
        <w:t>t</w:t>
      </w:r>
      <w:r w:rsidRPr="00E0180F">
        <w:rPr>
          <w:rFonts w:asciiTheme="minorHAnsi" w:hAnsiTheme="minorHAnsi" w:cstheme="minorHAnsi"/>
          <w:color w:val="000000"/>
          <w:bdr w:val="none" w:sz="0" w:space="0" w:color="auto" w:frame="1"/>
        </w:rPr>
        <w:t xml:space="preserve">he LIMBIC and TRACTS research programs are collaborating to develop and test a range of diagnostic tools to identify individuals with </w:t>
      </w:r>
      <w:proofErr w:type="gramStart"/>
      <w:r w:rsidRPr="00E0180F">
        <w:rPr>
          <w:rFonts w:asciiTheme="minorHAnsi" w:hAnsiTheme="minorHAnsi" w:cstheme="minorHAnsi"/>
          <w:color w:val="000000"/>
          <w:bdr w:val="none" w:sz="0" w:space="0" w:color="auto" w:frame="1"/>
        </w:rPr>
        <w:t>blast-related</w:t>
      </w:r>
      <w:proofErr w:type="gramEnd"/>
      <w:r w:rsidRPr="00E0180F">
        <w:rPr>
          <w:rFonts w:asciiTheme="minorHAnsi" w:hAnsiTheme="minorHAnsi" w:cstheme="minorHAnsi"/>
          <w:color w:val="000000"/>
          <w:bdr w:val="none" w:sz="0" w:space="0" w:color="auto" w:frame="1"/>
        </w:rPr>
        <w:t xml:space="preserve"> TBI effects and monitor the trajectory of recovery and response to treatments. </w:t>
      </w:r>
    </w:p>
    <w:p w14:paraId="01FE7FB2" w14:textId="77777777" w:rsidR="00026F9C" w:rsidRDefault="00E0180F" w:rsidP="00026F9C">
      <w:pPr>
        <w:pStyle w:val="xxxxdefault"/>
        <w:numPr>
          <w:ilvl w:val="0"/>
          <w:numId w:val="15"/>
        </w:numPr>
        <w:spacing w:before="0" w:after="0" w:afterAutospacing="0"/>
        <w:rPr>
          <w:rFonts w:asciiTheme="minorHAnsi" w:hAnsiTheme="minorHAnsi" w:cstheme="minorHAnsi"/>
          <w:color w:val="000000"/>
          <w:bdr w:val="none" w:sz="0" w:space="0" w:color="auto" w:frame="1"/>
        </w:rPr>
      </w:pPr>
      <w:r w:rsidRPr="00E0180F">
        <w:rPr>
          <w:rFonts w:asciiTheme="minorHAnsi" w:hAnsiTheme="minorHAnsi" w:cstheme="minorHAnsi"/>
          <w:color w:val="000000"/>
          <w:bdr w:val="none" w:sz="0" w:space="0" w:color="auto" w:frame="1"/>
        </w:rPr>
        <w:t xml:space="preserve">These diagnostic and monitoring tools include a multi-modal approach incorporating advanced neuroimaging, fluid biomarkers, electrophysiology, clinical </w:t>
      </w:r>
      <w:r w:rsidR="00736255" w:rsidRPr="00E0180F">
        <w:rPr>
          <w:rFonts w:asciiTheme="minorHAnsi" w:hAnsiTheme="minorHAnsi" w:cstheme="minorHAnsi"/>
          <w:color w:val="000000"/>
          <w:bdr w:val="none" w:sz="0" w:space="0" w:color="auto" w:frame="1"/>
        </w:rPr>
        <w:t>assessment,</w:t>
      </w:r>
      <w:r w:rsidRPr="00E0180F">
        <w:rPr>
          <w:rFonts w:asciiTheme="minorHAnsi" w:hAnsiTheme="minorHAnsi" w:cstheme="minorHAnsi"/>
          <w:color w:val="000000"/>
          <w:bdr w:val="none" w:sz="0" w:space="0" w:color="auto" w:frame="1"/>
        </w:rPr>
        <w:t xml:space="preserve"> and symptom questionnaires.</w:t>
      </w:r>
      <w:r w:rsidR="00026F9C">
        <w:rPr>
          <w:rFonts w:asciiTheme="minorHAnsi" w:hAnsiTheme="minorHAnsi" w:cstheme="minorHAnsi"/>
          <w:color w:val="000000"/>
          <w:bdr w:val="none" w:sz="0" w:space="0" w:color="auto" w:frame="1"/>
        </w:rPr>
        <w:t xml:space="preserve"> </w:t>
      </w:r>
    </w:p>
    <w:p w14:paraId="1989B48F" w14:textId="6A02A19A" w:rsidR="00E0180F" w:rsidRPr="00E0180F" w:rsidRDefault="00026F9C" w:rsidP="00026F9C">
      <w:pPr>
        <w:pStyle w:val="xxxxdefault"/>
        <w:numPr>
          <w:ilvl w:val="0"/>
          <w:numId w:val="15"/>
        </w:numPr>
        <w:spacing w:before="0" w:after="0" w:afterAutospacing="0"/>
        <w:rPr>
          <w:rFonts w:asciiTheme="minorHAnsi" w:hAnsiTheme="minorHAnsi" w:cstheme="minorHAnsi"/>
          <w:color w:val="000000"/>
          <w:bdr w:val="none" w:sz="0" w:space="0" w:color="auto" w:frame="1"/>
        </w:rPr>
      </w:pPr>
      <w:r>
        <w:rPr>
          <w:rFonts w:asciiTheme="minorHAnsi" w:hAnsiTheme="minorHAnsi" w:cstheme="minorHAnsi"/>
          <w:color w:val="000000"/>
          <w:bdr w:val="none" w:sz="0" w:space="0" w:color="auto" w:frame="1"/>
        </w:rPr>
        <w:t>This wide-range of assessments are being integrated by using the longitudinal data to create and train machine learning algorithms to develop a composite diagnostic that would assist the provider to identify key brain and mental health conditions resulting from blast exposure during their military service.</w:t>
      </w:r>
    </w:p>
    <w:p w14:paraId="27869C46" w14:textId="77777777" w:rsidR="00B45411" w:rsidRPr="00DE43C9" w:rsidRDefault="00B45411" w:rsidP="00B45411">
      <w:pPr>
        <w:pStyle w:val="Default"/>
        <w:rPr>
          <w:rFonts w:ascii="Calibri" w:hAnsi="Calibri" w:cs="Calibri"/>
          <w:b/>
          <w:bCs/>
        </w:rPr>
      </w:pPr>
    </w:p>
    <w:p w14:paraId="06652B46" w14:textId="77777777" w:rsidR="00B45411" w:rsidRPr="00DE43C9" w:rsidRDefault="00B45411">
      <w:pPr>
        <w:spacing w:after="160" w:line="259" w:lineRule="auto"/>
        <w:rPr>
          <w:rFonts w:eastAsia="Times New Roman"/>
          <w:b/>
          <w:bCs/>
          <w:color w:val="000000"/>
          <w:sz w:val="24"/>
          <w:szCs w:val="24"/>
          <w14:ligatures w14:val="none"/>
        </w:rPr>
      </w:pPr>
      <w:r w:rsidRPr="00DE43C9">
        <w:rPr>
          <w:rFonts w:eastAsia="Times New Roman"/>
          <w:b/>
          <w:bCs/>
        </w:rPr>
        <w:br w:type="page"/>
      </w:r>
    </w:p>
    <w:p w14:paraId="7225E25F" w14:textId="340D899D" w:rsidR="00B45411" w:rsidRPr="00DE43C9" w:rsidRDefault="00B45411" w:rsidP="00B45411">
      <w:pPr>
        <w:pStyle w:val="Default"/>
        <w:numPr>
          <w:ilvl w:val="0"/>
          <w:numId w:val="1"/>
        </w:numPr>
        <w:rPr>
          <w:rFonts w:ascii="Calibri" w:eastAsia="Times New Roman" w:hAnsi="Calibri" w:cs="Calibri"/>
          <w:b/>
          <w:bCs/>
        </w:rPr>
      </w:pPr>
      <w:r w:rsidRPr="00DE43C9">
        <w:rPr>
          <w:rFonts w:ascii="Calibri" w:eastAsia="Times New Roman" w:hAnsi="Calibri" w:cs="Calibri"/>
          <w:b/>
          <w:bCs/>
        </w:rPr>
        <w:lastRenderedPageBreak/>
        <w:t xml:space="preserve">For veterans who are currently being treated for PTSD, will there be an effort to provide medical education that there may be physical brain damage at the root of their symptoms? </w:t>
      </w:r>
    </w:p>
    <w:p w14:paraId="326A5883" w14:textId="77777777" w:rsidR="00B45411" w:rsidRPr="00DE43C9" w:rsidRDefault="00B45411" w:rsidP="00B45411">
      <w:pPr>
        <w:pStyle w:val="Default"/>
        <w:rPr>
          <w:rFonts w:ascii="Calibri" w:hAnsi="Calibri" w:cs="Calibri"/>
          <w:b/>
          <w:bCs/>
        </w:rPr>
      </w:pPr>
    </w:p>
    <w:p w14:paraId="35C86991" w14:textId="17D17FBD" w:rsidR="008A06B0" w:rsidRPr="008A06B0" w:rsidRDefault="00DF5AF3" w:rsidP="008A06B0">
      <w:pPr>
        <w:pStyle w:val="ListParagraph"/>
        <w:numPr>
          <w:ilvl w:val="0"/>
          <w:numId w:val="16"/>
        </w:numPr>
        <w:spacing w:after="160" w:line="259" w:lineRule="auto"/>
        <w:rPr>
          <w:rFonts w:eastAsia="Times New Roman"/>
          <w:color w:val="000000"/>
          <w:sz w:val="24"/>
          <w:szCs w:val="24"/>
          <w14:ligatures w14:val="none"/>
        </w:rPr>
      </w:pPr>
      <w:r w:rsidRPr="008A06B0">
        <w:rPr>
          <w:rFonts w:eastAsia="Times New Roman"/>
          <w:color w:val="000000"/>
          <w:sz w:val="24"/>
          <w:szCs w:val="24"/>
          <w14:ligatures w14:val="none"/>
        </w:rPr>
        <w:t xml:space="preserve">Whereas both TBI and PTSD are brain-based conditions, PTSD diagnostic criteria does not include an injury to the brain; however, having one or more TBIs dramatically increases the risk for developing symptoms of PTSD and other mental health conditions. </w:t>
      </w:r>
    </w:p>
    <w:p w14:paraId="1E99395D" w14:textId="5917B3F3" w:rsidR="008A06B0" w:rsidRPr="00566A87" w:rsidRDefault="00DF5AF3" w:rsidP="00566A87">
      <w:pPr>
        <w:pStyle w:val="ListParagraph"/>
        <w:numPr>
          <w:ilvl w:val="0"/>
          <w:numId w:val="16"/>
        </w:numPr>
        <w:spacing w:after="160" w:line="259" w:lineRule="auto"/>
        <w:rPr>
          <w:rFonts w:eastAsia="Times New Roman"/>
          <w:color w:val="000000"/>
          <w:sz w:val="24"/>
          <w:szCs w:val="24"/>
          <w14:ligatures w14:val="none"/>
        </w:rPr>
      </w:pPr>
      <w:r w:rsidRPr="008A06B0">
        <w:rPr>
          <w:rFonts w:eastAsia="Times New Roman"/>
          <w:color w:val="000000"/>
          <w:sz w:val="24"/>
          <w:szCs w:val="24"/>
          <w14:ligatures w14:val="none"/>
        </w:rPr>
        <w:t xml:space="preserve">Within VHA, we are committed to </w:t>
      </w:r>
      <w:r w:rsidR="00566A87">
        <w:t xml:space="preserve">incorporating the evidence </w:t>
      </w:r>
      <w:r w:rsidR="00566A87">
        <w:t>that</w:t>
      </w:r>
      <w:r w:rsidR="00566A87">
        <w:t xml:space="preserve"> links brain injury and </w:t>
      </w:r>
      <w:r w:rsidR="00566A87">
        <w:t xml:space="preserve">the risks of developing </w:t>
      </w:r>
      <w:r w:rsidR="00566A87">
        <w:t xml:space="preserve">PTSD into educational materials for </w:t>
      </w:r>
      <w:r w:rsidR="00566A87">
        <w:t xml:space="preserve">both </w:t>
      </w:r>
      <w:r w:rsidR="00566A87">
        <w:t>Veterans with PTSD</w:t>
      </w:r>
      <w:r w:rsidR="00566A87">
        <w:t xml:space="preserve"> and their healthcare providers</w:t>
      </w:r>
      <w:r w:rsidR="00566A87">
        <w:t>.</w:t>
      </w:r>
    </w:p>
    <w:p w14:paraId="2E2371E1" w14:textId="6486B34B" w:rsidR="00B45411" w:rsidRDefault="00DF5AF3" w:rsidP="008A06B0">
      <w:pPr>
        <w:pStyle w:val="ListParagraph"/>
        <w:numPr>
          <w:ilvl w:val="0"/>
          <w:numId w:val="16"/>
        </w:numPr>
        <w:spacing w:after="160" w:line="259" w:lineRule="auto"/>
        <w:rPr>
          <w:rFonts w:eastAsia="Times New Roman"/>
          <w:color w:val="000000"/>
          <w:sz w:val="24"/>
          <w:szCs w:val="24"/>
          <w14:ligatures w14:val="none"/>
        </w:rPr>
      </w:pPr>
      <w:r w:rsidRPr="008A06B0">
        <w:rPr>
          <w:rFonts w:eastAsia="Times New Roman"/>
          <w:color w:val="000000"/>
          <w:sz w:val="24"/>
          <w:szCs w:val="24"/>
          <w14:ligatures w14:val="none"/>
        </w:rPr>
        <w:t>Towards this end, ongoing education is provided regarding strategies to maintain Brain Health over the course of a lifetime.</w:t>
      </w:r>
    </w:p>
    <w:p w14:paraId="399B127E" w14:textId="77777777" w:rsidR="00776E36" w:rsidRDefault="00776E36" w:rsidP="00776E36">
      <w:pPr>
        <w:pStyle w:val="ListParagraph"/>
        <w:spacing w:after="160" w:line="259" w:lineRule="auto"/>
        <w:rPr>
          <w:rFonts w:eastAsia="Times New Roman"/>
          <w:color w:val="000000"/>
          <w:sz w:val="24"/>
          <w:szCs w:val="24"/>
          <w14:ligatures w14:val="none"/>
        </w:rPr>
      </w:pPr>
    </w:p>
    <w:p w14:paraId="4E9B3F2D" w14:textId="77777777" w:rsidR="00776E36" w:rsidRDefault="00776E36" w:rsidP="00776E36">
      <w:pPr>
        <w:pStyle w:val="ListParagraph"/>
        <w:spacing w:after="160" w:line="259" w:lineRule="auto"/>
        <w:rPr>
          <w:rFonts w:eastAsia="Times New Roman"/>
          <w:color w:val="000000"/>
          <w:sz w:val="24"/>
          <w:szCs w:val="24"/>
          <w14:ligatures w14:val="none"/>
        </w:rPr>
      </w:pPr>
    </w:p>
    <w:p w14:paraId="2F213E02" w14:textId="77777777" w:rsidR="00776E36" w:rsidRDefault="00776E36" w:rsidP="00776E36">
      <w:pPr>
        <w:pStyle w:val="ListParagraph"/>
        <w:spacing w:after="160" w:line="259" w:lineRule="auto"/>
        <w:rPr>
          <w:rFonts w:eastAsia="Times New Roman"/>
          <w:color w:val="000000"/>
          <w:sz w:val="24"/>
          <w:szCs w:val="24"/>
          <w14:ligatures w14:val="none"/>
        </w:rPr>
      </w:pPr>
    </w:p>
    <w:p w14:paraId="74DEE943" w14:textId="77777777" w:rsidR="00776E36" w:rsidRDefault="00776E36" w:rsidP="00776E36">
      <w:pPr>
        <w:pStyle w:val="ListParagraph"/>
        <w:spacing w:after="160" w:line="259" w:lineRule="auto"/>
        <w:rPr>
          <w:rFonts w:eastAsia="Times New Roman"/>
          <w:color w:val="000000"/>
          <w:sz w:val="24"/>
          <w:szCs w:val="24"/>
          <w14:ligatures w14:val="none"/>
        </w:rPr>
      </w:pPr>
    </w:p>
    <w:p w14:paraId="0AE0AF6B" w14:textId="77777777" w:rsidR="00776E36" w:rsidRDefault="00776E36" w:rsidP="00776E36">
      <w:pPr>
        <w:pStyle w:val="ListParagraph"/>
        <w:spacing w:after="160" w:line="259" w:lineRule="auto"/>
        <w:rPr>
          <w:rFonts w:eastAsia="Times New Roman"/>
          <w:color w:val="000000"/>
          <w:sz w:val="24"/>
          <w:szCs w:val="24"/>
          <w14:ligatures w14:val="none"/>
        </w:rPr>
      </w:pPr>
    </w:p>
    <w:p w14:paraId="35177A9E" w14:textId="77777777" w:rsidR="00776E36" w:rsidRDefault="00776E36" w:rsidP="00776E36">
      <w:pPr>
        <w:pStyle w:val="ListParagraph"/>
        <w:spacing w:after="160" w:line="259" w:lineRule="auto"/>
        <w:rPr>
          <w:rFonts w:eastAsia="Times New Roman"/>
          <w:color w:val="000000"/>
          <w:sz w:val="24"/>
          <w:szCs w:val="24"/>
          <w14:ligatures w14:val="none"/>
        </w:rPr>
      </w:pPr>
    </w:p>
    <w:p w14:paraId="6BFA40F2" w14:textId="77777777" w:rsidR="00776E36" w:rsidRDefault="00776E36" w:rsidP="00776E36">
      <w:pPr>
        <w:pStyle w:val="ListParagraph"/>
        <w:spacing w:after="160" w:line="259" w:lineRule="auto"/>
        <w:rPr>
          <w:rFonts w:eastAsia="Times New Roman"/>
          <w:color w:val="000000"/>
          <w:sz w:val="24"/>
          <w:szCs w:val="24"/>
          <w14:ligatures w14:val="none"/>
        </w:rPr>
      </w:pPr>
    </w:p>
    <w:p w14:paraId="11198F1F" w14:textId="77777777" w:rsidR="00776E36" w:rsidRDefault="00776E36" w:rsidP="00776E36">
      <w:pPr>
        <w:pStyle w:val="ListParagraph"/>
        <w:spacing w:after="160" w:line="259" w:lineRule="auto"/>
        <w:rPr>
          <w:rFonts w:eastAsia="Times New Roman"/>
          <w:color w:val="000000"/>
          <w:sz w:val="24"/>
          <w:szCs w:val="24"/>
          <w14:ligatures w14:val="none"/>
        </w:rPr>
      </w:pPr>
    </w:p>
    <w:p w14:paraId="02130D5A" w14:textId="77777777" w:rsidR="00776E36" w:rsidRDefault="00776E36" w:rsidP="00776E36">
      <w:pPr>
        <w:pStyle w:val="ListParagraph"/>
        <w:spacing w:after="160" w:line="259" w:lineRule="auto"/>
        <w:rPr>
          <w:rFonts w:eastAsia="Times New Roman"/>
          <w:color w:val="000000"/>
          <w:sz w:val="24"/>
          <w:szCs w:val="24"/>
          <w14:ligatures w14:val="none"/>
        </w:rPr>
      </w:pPr>
    </w:p>
    <w:p w14:paraId="39B2A0C4" w14:textId="77777777" w:rsidR="00776E36" w:rsidRDefault="00776E36" w:rsidP="00776E36">
      <w:pPr>
        <w:pStyle w:val="ListParagraph"/>
        <w:spacing w:after="160" w:line="259" w:lineRule="auto"/>
        <w:rPr>
          <w:rFonts w:eastAsia="Times New Roman"/>
          <w:color w:val="000000"/>
          <w:sz w:val="24"/>
          <w:szCs w:val="24"/>
          <w14:ligatures w14:val="none"/>
        </w:rPr>
      </w:pPr>
    </w:p>
    <w:p w14:paraId="4915C55E" w14:textId="77777777" w:rsidR="00776E36" w:rsidRDefault="00776E36" w:rsidP="00776E36">
      <w:pPr>
        <w:pStyle w:val="ListParagraph"/>
        <w:spacing w:after="160" w:line="259" w:lineRule="auto"/>
        <w:rPr>
          <w:rFonts w:eastAsia="Times New Roman"/>
          <w:color w:val="000000"/>
          <w:sz w:val="24"/>
          <w:szCs w:val="24"/>
          <w14:ligatures w14:val="none"/>
        </w:rPr>
      </w:pPr>
    </w:p>
    <w:p w14:paraId="65E6BA16" w14:textId="77777777" w:rsidR="00776E36" w:rsidRDefault="00776E36" w:rsidP="00776E36">
      <w:pPr>
        <w:pStyle w:val="ListParagraph"/>
        <w:spacing w:after="160" w:line="259" w:lineRule="auto"/>
        <w:rPr>
          <w:rFonts w:eastAsia="Times New Roman"/>
          <w:color w:val="000000"/>
          <w:sz w:val="24"/>
          <w:szCs w:val="24"/>
          <w14:ligatures w14:val="none"/>
        </w:rPr>
      </w:pPr>
    </w:p>
    <w:p w14:paraId="75F68D0E" w14:textId="77777777" w:rsidR="00776E36" w:rsidRDefault="00776E36" w:rsidP="00776E36">
      <w:pPr>
        <w:pStyle w:val="ListParagraph"/>
        <w:spacing w:after="160" w:line="259" w:lineRule="auto"/>
        <w:rPr>
          <w:rFonts w:eastAsia="Times New Roman"/>
          <w:color w:val="000000"/>
          <w:sz w:val="24"/>
          <w:szCs w:val="24"/>
          <w14:ligatures w14:val="none"/>
        </w:rPr>
      </w:pPr>
    </w:p>
    <w:p w14:paraId="0425DC00" w14:textId="77777777" w:rsidR="00776E36" w:rsidRDefault="00776E36" w:rsidP="00776E36">
      <w:pPr>
        <w:pStyle w:val="ListParagraph"/>
        <w:spacing w:after="160" w:line="259" w:lineRule="auto"/>
        <w:rPr>
          <w:rFonts w:eastAsia="Times New Roman"/>
          <w:color w:val="000000"/>
          <w:sz w:val="24"/>
          <w:szCs w:val="24"/>
          <w14:ligatures w14:val="none"/>
        </w:rPr>
      </w:pPr>
    </w:p>
    <w:p w14:paraId="2979C83F" w14:textId="77777777" w:rsidR="00776E36" w:rsidRDefault="00776E36" w:rsidP="00776E36">
      <w:pPr>
        <w:pStyle w:val="ListParagraph"/>
        <w:spacing w:after="160" w:line="259" w:lineRule="auto"/>
        <w:rPr>
          <w:rFonts w:eastAsia="Times New Roman"/>
          <w:color w:val="000000"/>
          <w:sz w:val="24"/>
          <w:szCs w:val="24"/>
          <w14:ligatures w14:val="none"/>
        </w:rPr>
      </w:pPr>
    </w:p>
    <w:p w14:paraId="6EAF6757" w14:textId="77777777" w:rsidR="00776E36" w:rsidRDefault="00776E36" w:rsidP="00776E36">
      <w:pPr>
        <w:pStyle w:val="ListParagraph"/>
        <w:spacing w:after="160" w:line="259" w:lineRule="auto"/>
        <w:rPr>
          <w:rFonts w:eastAsia="Times New Roman"/>
          <w:color w:val="000000"/>
          <w:sz w:val="24"/>
          <w:szCs w:val="24"/>
          <w14:ligatures w14:val="none"/>
        </w:rPr>
      </w:pPr>
    </w:p>
    <w:p w14:paraId="0E897418" w14:textId="77777777" w:rsidR="00776E36" w:rsidRDefault="00776E36" w:rsidP="00776E36">
      <w:pPr>
        <w:pStyle w:val="ListParagraph"/>
        <w:spacing w:after="160" w:line="259" w:lineRule="auto"/>
        <w:rPr>
          <w:rFonts w:eastAsia="Times New Roman"/>
          <w:color w:val="000000"/>
          <w:sz w:val="24"/>
          <w:szCs w:val="24"/>
          <w14:ligatures w14:val="none"/>
        </w:rPr>
      </w:pPr>
    </w:p>
    <w:p w14:paraId="4B79241A" w14:textId="77777777" w:rsidR="00776E36" w:rsidRDefault="00776E36" w:rsidP="00776E36">
      <w:pPr>
        <w:pStyle w:val="ListParagraph"/>
        <w:spacing w:after="160" w:line="259" w:lineRule="auto"/>
        <w:rPr>
          <w:rFonts w:eastAsia="Times New Roman"/>
          <w:color w:val="000000"/>
          <w:sz w:val="24"/>
          <w:szCs w:val="24"/>
          <w14:ligatures w14:val="none"/>
        </w:rPr>
      </w:pPr>
    </w:p>
    <w:p w14:paraId="7D4925E2" w14:textId="77777777" w:rsidR="00776E36" w:rsidRDefault="00776E36" w:rsidP="00776E36">
      <w:pPr>
        <w:pStyle w:val="ListParagraph"/>
        <w:spacing w:after="160" w:line="259" w:lineRule="auto"/>
        <w:rPr>
          <w:rFonts w:eastAsia="Times New Roman"/>
          <w:color w:val="000000"/>
          <w:sz w:val="24"/>
          <w:szCs w:val="24"/>
          <w14:ligatures w14:val="none"/>
        </w:rPr>
      </w:pPr>
    </w:p>
    <w:p w14:paraId="67E0F6EB" w14:textId="77777777" w:rsidR="00776E36" w:rsidRDefault="00776E36" w:rsidP="00776E36">
      <w:pPr>
        <w:pStyle w:val="ListParagraph"/>
        <w:spacing w:after="160" w:line="259" w:lineRule="auto"/>
        <w:rPr>
          <w:rFonts w:eastAsia="Times New Roman"/>
          <w:color w:val="000000"/>
          <w:sz w:val="24"/>
          <w:szCs w:val="24"/>
          <w14:ligatures w14:val="none"/>
        </w:rPr>
      </w:pPr>
    </w:p>
    <w:p w14:paraId="50751814" w14:textId="77777777" w:rsidR="00776E36" w:rsidRDefault="00776E36" w:rsidP="00776E36">
      <w:pPr>
        <w:pStyle w:val="ListParagraph"/>
        <w:spacing w:after="160" w:line="259" w:lineRule="auto"/>
        <w:rPr>
          <w:rFonts w:eastAsia="Times New Roman"/>
          <w:color w:val="000000"/>
          <w:sz w:val="24"/>
          <w:szCs w:val="24"/>
          <w14:ligatures w14:val="none"/>
        </w:rPr>
      </w:pPr>
    </w:p>
    <w:p w14:paraId="502C506E" w14:textId="77777777" w:rsidR="00776E36" w:rsidRDefault="00776E36" w:rsidP="00776E36">
      <w:pPr>
        <w:pStyle w:val="ListParagraph"/>
        <w:spacing w:after="160" w:line="259" w:lineRule="auto"/>
        <w:rPr>
          <w:rFonts w:eastAsia="Times New Roman"/>
          <w:color w:val="000000"/>
          <w:sz w:val="24"/>
          <w:szCs w:val="24"/>
          <w14:ligatures w14:val="none"/>
        </w:rPr>
      </w:pPr>
    </w:p>
    <w:p w14:paraId="28E4BFCD" w14:textId="77777777" w:rsidR="00776E36" w:rsidRDefault="00776E36" w:rsidP="00776E36">
      <w:pPr>
        <w:pStyle w:val="ListParagraph"/>
        <w:spacing w:after="160" w:line="259" w:lineRule="auto"/>
        <w:rPr>
          <w:rFonts w:eastAsia="Times New Roman"/>
          <w:color w:val="000000"/>
          <w:sz w:val="24"/>
          <w:szCs w:val="24"/>
          <w14:ligatures w14:val="none"/>
        </w:rPr>
      </w:pPr>
    </w:p>
    <w:p w14:paraId="6E61194D" w14:textId="77777777" w:rsidR="00776E36" w:rsidRDefault="00776E36" w:rsidP="00776E36">
      <w:pPr>
        <w:pStyle w:val="ListParagraph"/>
        <w:spacing w:after="160" w:line="259" w:lineRule="auto"/>
        <w:rPr>
          <w:rFonts w:eastAsia="Times New Roman"/>
          <w:color w:val="000000"/>
          <w:sz w:val="24"/>
          <w:szCs w:val="24"/>
          <w14:ligatures w14:val="none"/>
        </w:rPr>
      </w:pPr>
    </w:p>
    <w:p w14:paraId="17CF573C" w14:textId="77777777" w:rsidR="00776E36" w:rsidRDefault="00776E36" w:rsidP="00776E36">
      <w:pPr>
        <w:pStyle w:val="ListParagraph"/>
        <w:spacing w:after="160" w:line="259" w:lineRule="auto"/>
        <w:rPr>
          <w:rFonts w:eastAsia="Times New Roman"/>
          <w:color w:val="000000"/>
          <w:sz w:val="24"/>
          <w:szCs w:val="24"/>
          <w14:ligatures w14:val="none"/>
        </w:rPr>
      </w:pPr>
    </w:p>
    <w:p w14:paraId="5BC2E2E1" w14:textId="77777777" w:rsidR="00776E36" w:rsidRDefault="00776E36" w:rsidP="00776E36">
      <w:pPr>
        <w:pStyle w:val="ListParagraph"/>
        <w:spacing w:after="160" w:line="259" w:lineRule="auto"/>
        <w:rPr>
          <w:rFonts w:eastAsia="Times New Roman"/>
          <w:color w:val="000000"/>
          <w:sz w:val="24"/>
          <w:szCs w:val="24"/>
          <w14:ligatures w14:val="none"/>
        </w:rPr>
      </w:pPr>
    </w:p>
    <w:p w14:paraId="72C6D806" w14:textId="77777777" w:rsidR="00776E36" w:rsidRDefault="00776E36" w:rsidP="00776E36">
      <w:pPr>
        <w:pStyle w:val="ListParagraph"/>
        <w:spacing w:after="160" w:line="259" w:lineRule="auto"/>
        <w:rPr>
          <w:rFonts w:eastAsia="Times New Roman"/>
          <w:color w:val="000000"/>
          <w:sz w:val="24"/>
          <w:szCs w:val="24"/>
          <w14:ligatures w14:val="none"/>
        </w:rPr>
      </w:pPr>
    </w:p>
    <w:p w14:paraId="135F41B7" w14:textId="77777777" w:rsidR="00776E36" w:rsidRDefault="00776E36" w:rsidP="00776E36">
      <w:pPr>
        <w:pStyle w:val="ListParagraph"/>
        <w:spacing w:after="160" w:line="259" w:lineRule="auto"/>
        <w:rPr>
          <w:rFonts w:eastAsia="Times New Roman"/>
          <w:color w:val="000000"/>
          <w:sz w:val="24"/>
          <w:szCs w:val="24"/>
          <w14:ligatures w14:val="none"/>
        </w:rPr>
      </w:pPr>
    </w:p>
    <w:p w14:paraId="2FAF50E2" w14:textId="77777777" w:rsidR="00776E36" w:rsidRPr="008A06B0" w:rsidRDefault="00776E36" w:rsidP="00776E36">
      <w:pPr>
        <w:pStyle w:val="ListParagraph"/>
        <w:spacing w:after="160" w:line="259" w:lineRule="auto"/>
        <w:rPr>
          <w:rFonts w:eastAsia="Times New Roman"/>
          <w:color w:val="000000"/>
          <w:sz w:val="24"/>
          <w:szCs w:val="24"/>
          <w14:ligatures w14:val="none"/>
        </w:rPr>
      </w:pPr>
    </w:p>
    <w:p w14:paraId="34D27920" w14:textId="7239CABC" w:rsidR="00B45411" w:rsidRDefault="00B45411" w:rsidP="00B45411">
      <w:pPr>
        <w:pStyle w:val="Default"/>
        <w:numPr>
          <w:ilvl w:val="0"/>
          <w:numId w:val="1"/>
        </w:numPr>
        <w:rPr>
          <w:rFonts w:ascii="Calibri" w:eastAsia="Times New Roman" w:hAnsi="Calibri" w:cs="Calibri"/>
          <w:b/>
          <w:bCs/>
        </w:rPr>
      </w:pPr>
      <w:r w:rsidRPr="00DE43C9">
        <w:rPr>
          <w:rFonts w:ascii="Calibri" w:eastAsia="Times New Roman" w:hAnsi="Calibri" w:cs="Calibri"/>
          <w:b/>
          <w:bCs/>
        </w:rPr>
        <w:lastRenderedPageBreak/>
        <w:t xml:space="preserve">What actions are being taken to coordinate with DoD on these efforts? </w:t>
      </w:r>
    </w:p>
    <w:p w14:paraId="03C7BB9A" w14:textId="77777777" w:rsidR="00776E36" w:rsidRDefault="00776E36" w:rsidP="00776E36">
      <w:pPr>
        <w:pStyle w:val="Default"/>
        <w:ind w:left="720"/>
        <w:rPr>
          <w:rFonts w:ascii="Calibri" w:eastAsia="Times New Roman" w:hAnsi="Calibri" w:cs="Calibri"/>
          <w:b/>
          <w:bCs/>
        </w:rPr>
      </w:pPr>
    </w:p>
    <w:p w14:paraId="5842F356" w14:textId="34BD2B70" w:rsidR="008A06B0" w:rsidRDefault="008A06B0" w:rsidP="00D242F4">
      <w:pPr>
        <w:pStyle w:val="Default"/>
        <w:numPr>
          <w:ilvl w:val="0"/>
          <w:numId w:val="17"/>
        </w:numPr>
        <w:rPr>
          <w:rFonts w:ascii="Calibri" w:eastAsia="Times New Roman" w:hAnsi="Calibri" w:cs="Calibri"/>
        </w:rPr>
      </w:pPr>
      <w:r>
        <w:rPr>
          <w:rFonts w:ascii="Calibri" w:eastAsia="Times New Roman" w:hAnsi="Calibri" w:cs="Calibri"/>
        </w:rPr>
        <w:t xml:space="preserve">The VA stood up a Working Group on Occupational Blast Exposure (OBEWG) in </w:t>
      </w:r>
      <w:r w:rsidR="00D242F4">
        <w:rPr>
          <w:rFonts w:ascii="Calibri" w:eastAsia="Times New Roman" w:hAnsi="Calibri" w:cs="Calibri"/>
        </w:rPr>
        <w:t>mid-November</w:t>
      </w:r>
      <w:r>
        <w:rPr>
          <w:rFonts w:ascii="Calibri" w:eastAsia="Times New Roman" w:hAnsi="Calibri" w:cs="Calibri"/>
        </w:rPr>
        <w:t xml:space="preserve"> of 2023. This working group not only included VA researchers, clinicians, and representatives from Veterans Benefits Administration, it also included individuals from the Defense Health Agency. The DoD participants are full members of the OBEWG and have contributed information vital to understanding this </w:t>
      </w:r>
      <w:r w:rsidR="00551133">
        <w:rPr>
          <w:rFonts w:ascii="Calibri" w:eastAsia="Times New Roman" w:hAnsi="Calibri" w:cs="Calibri"/>
        </w:rPr>
        <w:t>at-risk</w:t>
      </w:r>
      <w:r>
        <w:rPr>
          <w:rFonts w:ascii="Calibri" w:eastAsia="Times New Roman" w:hAnsi="Calibri" w:cs="Calibri"/>
        </w:rPr>
        <w:t xml:space="preserve"> population. </w:t>
      </w:r>
    </w:p>
    <w:p w14:paraId="011705AF" w14:textId="700FB483" w:rsidR="00D242F4" w:rsidRDefault="00D242F4" w:rsidP="00D242F4">
      <w:pPr>
        <w:pStyle w:val="Default"/>
        <w:numPr>
          <w:ilvl w:val="0"/>
          <w:numId w:val="17"/>
        </w:numPr>
        <w:rPr>
          <w:rFonts w:ascii="Calibri" w:eastAsia="Times New Roman" w:hAnsi="Calibri" w:cs="Calibri"/>
        </w:rPr>
      </w:pPr>
      <w:r>
        <w:rPr>
          <w:rFonts w:ascii="Calibri" w:eastAsia="Times New Roman" w:hAnsi="Calibri" w:cs="Calibri"/>
        </w:rPr>
        <w:t xml:space="preserve">Due to this OBEWG collaboration, the VHA chair of the WG was invited to the </w:t>
      </w:r>
      <w:r w:rsidR="00551133">
        <w:rPr>
          <w:rFonts w:ascii="Calibri" w:eastAsia="Times New Roman" w:hAnsi="Calibri" w:cs="Calibri"/>
        </w:rPr>
        <w:t>3-day</w:t>
      </w:r>
      <w:r>
        <w:rPr>
          <w:rFonts w:ascii="Calibri" w:eastAsia="Times New Roman" w:hAnsi="Calibri" w:cs="Calibri"/>
        </w:rPr>
        <w:t xml:space="preserve"> 4</w:t>
      </w:r>
      <w:r w:rsidRPr="00D242F4">
        <w:rPr>
          <w:rFonts w:ascii="Calibri" w:eastAsia="Times New Roman" w:hAnsi="Calibri" w:cs="Calibri"/>
          <w:vertAlign w:val="superscript"/>
        </w:rPr>
        <w:t>th</w:t>
      </w:r>
      <w:r>
        <w:rPr>
          <w:rFonts w:ascii="Calibri" w:eastAsia="Times New Roman" w:hAnsi="Calibri" w:cs="Calibri"/>
        </w:rPr>
        <w:t xml:space="preserve"> Annual DoD Blast Summit at the Portsmouth Naval Base where the preliminary findings of the OBEWG were presented to a mostly DoD audience of clinician, researchers, and those tasked with developing DoD policy</w:t>
      </w:r>
      <w:r w:rsidR="00551133">
        <w:rPr>
          <w:rFonts w:ascii="Calibri" w:eastAsia="Times New Roman" w:hAnsi="Calibri" w:cs="Calibri"/>
        </w:rPr>
        <w:t>.</w:t>
      </w:r>
    </w:p>
    <w:p w14:paraId="39985EED" w14:textId="22E2C0EB" w:rsidR="00D242F4" w:rsidRDefault="008A06B0" w:rsidP="00D242F4">
      <w:pPr>
        <w:pStyle w:val="Default"/>
        <w:numPr>
          <w:ilvl w:val="0"/>
          <w:numId w:val="17"/>
        </w:numPr>
        <w:rPr>
          <w:rFonts w:ascii="Calibri" w:eastAsia="Times New Roman" w:hAnsi="Calibri" w:cs="Calibri"/>
        </w:rPr>
      </w:pPr>
      <w:r>
        <w:rPr>
          <w:rFonts w:ascii="Calibri" w:eastAsia="Times New Roman" w:hAnsi="Calibri" w:cs="Calibri"/>
        </w:rPr>
        <w:t xml:space="preserve">Additionally, members of the OBEWG from VA were connected by the DoD members to the CONQUER Study Research Team and the combined team have </w:t>
      </w:r>
      <w:r w:rsidR="00551133">
        <w:rPr>
          <w:rFonts w:ascii="Calibri" w:eastAsia="Times New Roman" w:hAnsi="Calibri" w:cs="Calibri"/>
        </w:rPr>
        <w:t>applied</w:t>
      </w:r>
      <w:r>
        <w:rPr>
          <w:rFonts w:ascii="Calibri" w:eastAsia="Times New Roman" w:hAnsi="Calibri" w:cs="Calibri"/>
        </w:rPr>
        <w:t xml:space="preserve"> for additional funding to further analyzed data from </w:t>
      </w:r>
      <w:r w:rsidR="00D242F4">
        <w:rPr>
          <w:rFonts w:ascii="Calibri" w:eastAsia="Times New Roman" w:hAnsi="Calibri" w:cs="Calibri"/>
        </w:rPr>
        <w:t>CONQUER</w:t>
      </w:r>
      <w:r>
        <w:rPr>
          <w:rFonts w:ascii="Calibri" w:eastAsia="Times New Roman" w:hAnsi="Calibri" w:cs="Calibri"/>
        </w:rPr>
        <w:t xml:space="preserve"> that was </w:t>
      </w:r>
      <w:r w:rsidR="00D242F4">
        <w:rPr>
          <w:rFonts w:ascii="Calibri" w:eastAsia="Times New Roman" w:hAnsi="Calibri" w:cs="Calibri"/>
        </w:rPr>
        <w:t xml:space="preserve">not </w:t>
      </w:r>
      <w:r>
        <w:rPr>
          <w:rFonts w:ascii="Calibri" w:eastAsia="Times New Roman" w:hAnsi="Calibri" w:cs="Calibri"/>
        </w:rPr>
        <w:t xml:space="preserve">previously </w:t>
      </w:r>
      <w:r w:rsidR="00D242F4">
        <w:rPr>
          <w:rFonts w:ascii="Calibri" w:eastAsia="Times New Roman" w:hAnsi="Calibri" w:cs="Calibri"/>
        </w:rPr>
        <w:t>studied.</w:t>
      </w:r>
    </w:p>
    <w:p w14:paraId="27EF8B6D" w14:textId="123C97CD" w:rsidR="008A06B0" w:rsidRPr="008A06B0" w:rsidRDefault="008A06B0" w:rsidP="008A06B0">
      <w:pPr>
        <w:pStyle w:val="Default"/>
        <w:ind w:left="360"/>
        <w:rPr>
          <w:rFonts w:ascii="Calibri" w:eastAsia="Times New Roman" w:hAnsi="Calibri" w:cs="Calibri"/>
        </w:rPr>
      </w:pPr>
      <w:r>
        <w:rPr>
          <w:rFonts w:ascii="Calibri" w:eastAsia="Times New Roman" w:hAnsi="Calibri" w:cs="Calibri"/>
        </w:rPr>
        <w:t xml:space="preserve">  </w:t>
      </w:r>
    </w:p>
    <w:p w14:paraId="097D8ACF" w14:textId="77777777" w:rsidR="00B45411" w:rsidRPr="00DE43C9" w:rsidRDefault="00B45411" w:rsidP="00B45411">
      <w:pPr>
        <w:rPr>
          <w:b/>
          <w:bCs/>
          <w:sz w:val="24"/>
          <w:szCs w:val="24"/>
        </w:rPr>
      </w:pPr>
    </w:p>
    <w:p w14:paraId="19EAFB46" w14:textId="3D4A12E9" w:rsidR="00E0180F" w:rsidRDefault="00E0180F">
      <w:pPr>
        <w:spacing w:after="160" w:line="259" w:lineRule="auto"/>
      </w:pPr>
      <w:r>
        <w:br w:type="page"/>
      </w:r>
    </w:p>
    <w:p w14:paraId="7D5FDBA4" w14:textId="77777777" w:rsidR="00E0180F" w:rsidRDefault="00E0180F" w:rsidP="00E0180F">
      <w:pPr>
        <w:rPr>
          <w:rFonts w:ascii="Times New Roman" w:hAnsi="Times New Roman" w:cs="Times New Roman"/>
        </w:rPr>
      </w:pPr>
      <w:r>
        <w:rPr>
          <w:rFonts w:ascii="Times New Roman" w:hAnsi="Times New Roman" w:cs="Times New Roman"/>
          <w:b/>
        </w:rPr>
        <w:lastRenderedPageBreak/>
        <w:t>References</w:t>
      </w:r>
      <w:r>
        <w:rPr>
          <w:rFonts w:ascii="Times New Roman" w:hAnsi="Times New Roman" w:cs="Times New Roman"/>
        </w:rPr>
        <w:t>:</w:t>
      </w:r>
    </w:p>
    <w:p w14:paraId="079FAE87" w14:textId="61E8DE19" w:rsidR="00776E36" w:rsidRPr="00776E36" w:rsidRDefault="00776E36" w:rsidP="00776E36">
      <w:pPr>
        <w:pStyle w:val="ListParagraph"/>
        <w:numPr>
          <w:ilvl w:val="0"/>
          <w:numId w:val="13"/>
        </w:numPr>
        <w:ind w:left="450" w:hanging="450"/>
        <w:jc w:val="both"/>
        <w:rPr>
          <w:color w:val="212121"/>
        </w:rPr>
      </w:pPr>
      <w:r w:rsidRPr="00776E36">
        <w:rPr>
          <w:color w:val="212121"/>
        </w:rPr>
        <w:t xml:space="preserve">Cifu DX: Clinical research findings from the long-term impact of military-relevant brain injury consortium-Chronic Effects of Neurotrauma Consortium (LIMBIC-CENC) 2013-2021, Brain </w:t>
      </w:r>
      <w:proofErr w:type="spellStart"/>
      <w:r w:rsidRPr="00776E36">
        <w:rPr>
          <w:color w:val="212121"/>
        </w:rPr>
        <w:t>Inj</w:t>
      </w:r>
      <w:proofErr w:type="spellEnd"/>
      <w:r w:rsidRPr="00776E36">
        <w:rPr>
          <w:color w:val="212121"/>
        </w:rPr>
        <w:t xml:space="preserve"> 2022,36:5;587-597. </w:t>
      </w:r>
    </w:p>
    <w:p w14:paraId="617A222E" w14:textId="7F269E9B" w:rsidR="00E0180F" w:rsidRDefault="00E0180F" w:rsidP="00E0180F">
      <w:pPr>
        <w:pStyle w:val="ListParagraph"/>
        <w:numPr>
          <w:ilvl w:val="0"/>
          <w:numId w:val="13"/>
        </w:numPr>
        <w:ind w:left="450" w:hanging="450"/>
        <w:jc w:val="both"/>
        <w:rPr>
          <w:rFonts w:ascii="Times New Roman" w:hAnsi="Times New Roman" w:cs="Times New Roman"/>
          <w:color w:val="212121"/>
        </w:rPr>
      </w:pPr>
      <w:r>
        <w:rPr>
          <w:color w:val="212121"/>
        </w:rPr>
        <w:t xml:space="preserve">Barnes DE, Byers AL, Gardner RC, Seal KH, </w:t>
      </w:r>
      <w:proofErr w:type="spellStart"/>
      <w:r>
        <w:rPr>
          <w:color w:val="212121"/>
        </w:rPr>
        <w:t>Boscardin</w:t>
      </w:r>
      <w:proofErr w:type="spellEnd"/>
      <w:r>
        <w:rPr>
          <w:color w:val="212121"/>
        </w:rPr>
        <w:t xml:space="preserve"> WJ, Yaffe K: Association of Mild Traumatic Brain Injury With and Without Loss of Consciousness With Dementia in US Military Veterans. JAMA Neurol 2018;75(9):1055-1061. </w:t>
      </w:r>
      <w:proofErr w:type="spellStart"/>
      <w:r>
        <w:rPr>
          <w:color w:val="212121"/>
        </w:rPr>
        <w:t>doi</w:t>
      </w:r>
      <w:proofErr w:type="spellEnd"/>
      <w:r>
        <w:rPr>
          <w:color w:val="212121"/>
        </w:rPr>
        <w:t>: 10.1001/jamaneurol.2018.0815. PMID: 29801145</w:t>
      </w:r>
    </w:p>
    <w:p w14:paraId="257E30FB" w14:textId="77777777" w:rsidR="00E0180F" w:rsidRDefault="00E0180F" w:rsidP="00E0180F">
      <w:pPr>
        <w:pStyle w:val="ListParagraph"/>
        <w:numPr>
          <w:ilvl w:val="0"/>
          <w:numId w:val="13"/>
        </w:numPr>
        <w:ind w:left="450" w:hanging="450"/>
        <w:jc w:val="both"/>
        <w:rPr>
          <w:color w:val="212121"/>
        </w:rPr>
      </w:pPr>
      <w:r>
        <w:rPr>
          <w:color w:val="212121"/>
        </w:rPr>
        <w:t xml:space="preserve">Gardner RC, Byers AL, Barnes DE, Li Y, </w:t>
      </w:r>
      <w:proofErr w:type="spellStart"/>
      <w:r>
        <w:rPr>
          <w:color w:val="212121"/>
        </w:rPr>
        <w:t>Boscardin</w:t>
      </w:r>
      <w:proofErr w:type="spellEnd"/>
      <w:r>
        <w:rPr>
          <w:color w:val="212121"/>
        </w:rPr>
        <w:t xml:space="preserve"> J, Yaffe K: Mild TBI and risk of Parkinson disease: A Chronic Effects of Neurotrauma Consortium Study. Neurology. 2018;90(20):e1771-e1779. </w:t>
      </w:r>
      <w:proofErr w:type="spellStart"/>
      <w:r>
        <w:rPr>
          <w:color w:val="212121"/>
        </w:rPr>
        <w:t>doi</w:t>
      </w:r>
      <w:proofErr w:type="spellEnd"/>
      <w:r>
        <w:rPr>
          <w:color w:val="212121"/>
        </w:rPr>
        <w:t>: 10.1212/WNL.0000000000005522. PMID: 29669907</w:t>
      </w:r>
    </w:p>
    <w:p w14:paraId="7529C0BB" w14:textId="77777777" w:rsidR="00E0180F" w:rsidRDefault="00E0180F" w:rsidP="00E0180F">
      <w:pPr>
        <w:pStyle w:val="ListParagraph"/>
        <w:numPr>
          <w:ilvl w:val="0"/>
          <w:numId w:val="13"/>
        </w:numPr>
        <w:ind w:left="450" w:hanging="450"/>
        <w:jc w:val="both"/>
        <w:rPr>
          <w:color w:val="212121"/>
        </w:rPr>
      </w:pPr>
      <w:r>
        <w:rPr>
          <w:color w:val="212121"/>
        </w:rPr>
        <w:t xml:space="preserve">Gardner RC, </w:t>
      </w:r>
      <w:proofErr w:type="spellStart"/>
      <w:r>
        <w:rPr>
          <w:color w:val="212121"/>
        </w:rPr>
        <w:t>Bahorik</w:t>
      </w:r>
      <w:proofErr w:type="spellEnd"/>
      <w:r>
        <w:rPr>
          <w:color w:val="212121"/>
        </w:rPr>
        <w:t xml:space="preserve"> A, </w:t>
      </w:r>
      <w:proofErr w:type="spellStart"/>
      <w:r>
        <w:rPr>
          <w:color w:val="212121"/>
        </w:rPr>
        <w:t>Kornblith</w:t>
      </w:r>
      <w:proofErr w:type="spellEnd"/>
      <w:r>
        <w:rPr>
          <w:color w:val="212121"/>
        </w:rPr>
        <w:t xml:space="preserve"> ES, Allen IE, </w:t>
      </w:r>
      <w:proofErr w:type="spellStart"/>
      <w:r>
        <w:rPr>
          <w:color w:val="212121"/>
        </w:rPr>
        <w:t>Plassman</w:t>
      </w:r>
      <w:proofErr w:type="spellEnd"/>
      <w:r>
        <w:rPr>
          <w:color w:val="212121"/>
        </w:rPr>
        <w:t xml:space="preserve"> BL, Yaffe K. Systematic Review, Meta-Analysis, and Population Attributable Risk of Dementia Associated with Traumatic Brain Injury in Civilians and Veterans. J Neurotrauma. 2022;40(7-8):620-634. </w:t>
      </w:r>
      <w:proofErr w:type="spellStart"/>
      <w:r>
        <w:rPr>
          <w:color w:val="212121"/>
        </w:rPr>
        <w:t>doi</w:t>
      </w:r>
      <w:proofErr w:type="spellEnd"/>
      <w:r>
        <w:rPr>
          <w:color w:val="212121"/>
        </w:rPr>
        <w:t>: 10.1089/neu.2022.0041. PMID: 36305374.</w:t>
      </w:r>
    </w:p>
    <w:p w14:paraId="5DD3C4F0" w14:textId="77777777" w:rsidR="00E0180F" w:rsidRDefault="00E0180F" w:rsidP="00E0180F">
      <w:pPr>
        <w:pStyle w:val="ListParagraph"/>
        <w:numPr>
          <w:ilvl w:val="0"/>
          <w:numId w:val="13"/>
        </w:numPr>
        <w:ind w:left="450" w:hanging="450"/>
        <w:jc w:val="both"/>
        <w:rPr>
          <w:color w:val="212121"/>
        </w:rPr>
      </w:pPr>
      <w:r>
        <w:rPr>
          <w:color w:val="212121"/>
        </w:rPr>
        <w:t xml:space="preserve">Kenney K, Qu BX, Lai C, </w:t>
      </w:r>
      <w:proofErr w:type="spellStart"/>
      <w:r>
        <w:rPr>
          <w:color w:val="212121"/>
        </w:rPr>
        <w:t>Devoto</w:t>
      </w:r>
      <w:proofErr w:type="spellEnd"/>
      <w:r>
        <w:rPr>
          <w:color w:val="212121"/>
        </w:rPr>
        <w:t xml:space="preserve"> C, </w:t>
      </w:r>
      <w:proofErr w:type="spellStart"/>
      <w:r>
        <w:rPr>
          <w:color w:val="212121"/>
        </w:rPr>
        <w:t>Motamedi</w:t>
      </w:r>
      <w:proofErr w:type="spellEnd"/>
      <w:r>
        <w:rPr>
          <w:color w:val="212121"/>
        </w:rPr>
        <w:t xml:space="preserve"> V, Walker WC, Levin HS, Nolen T, Wilde EA, Diaz-Arrastia R, Gill J; CENC Multisite Observational Study Investigators. Higher </w:t>
      </w:r>
      <w:proofErr w:type="spellStart"/>
      <w:r>
        <w:rPr>
          <w:color w:val="212121"/>
        </w:rPr>
        <w:t>exosomal</w:t>
      </w:r>
      <w:proofErr w:type="spellEnd"/>
      <w:r>
        <w:rPr>
          <w:color w:val="212121"/>
        </w:rPr>
        <w:t xml:space="preserve"> phosphorylated tau and total tau among veterans with combat-related repetitive chronic mild traumatic brain injury. Brain </w:t>
      </w:r>
      <w:proofErr w:type="spellStart"/>
      <w:r>
        <w:rPr>
          <w:color w:val="212121"/>
        </w:rPr>
        <w:t>Inj</w:t>
      </w:r>
      <w:proofErr w:type="spellEnd"/>
      <w:r>
        <w:rPr>
          <w:color w:val="212121"/>
        </w:rPr>
        <w:t xml:space="preserve"> 2018;32(10):1276-1284. </w:t>
      </w:r>
      <w:proofErr w:type="spellStart"/>
      <w:r>
        <w:rPr>
          <w:color w:val="212121"/>
        </w:rPr>
        <w:t>doi</w:t>
      </w:r>
      <w:proofErr w:type="spellEnd"/>
      <w:r>
        <w:rPr>
          <w:color w:val="212121"/>
        </w:rPr>
        <w:t>: 10.1080/02699052.2018.1483530. PMID: 29889559.</w:t>
      </w:r>
    </w:p>
    <w:p w14:paraId="20370088" w14:textId="77777777" w:rsidR="00E0180F" w:rsidRDefault="00E0180F" w:rsidP="00E0180F">
      <w:pPr>
        <w:pStyle w:val="ListParagraph"/>
        <w:numPr>
          <w:ilvl w:val="0"/>
          <w:numId w:val="13"/>
        </w:numPr>
        <w:ind w:left="450" w:hanging="450"/>
        <w:jc w:val="both"/>
        <w:rPr>
          <w:color w:val="212121"/>
        </w:rPr>
      </w:pPr>
      <w:r>
        <w:rPr>
          <w:color w:val="212121"/>
        </w:rPr>
        <w:t xml:space="preserve">Guedes VA, Kenney K, </w:t>
      </w:r>
      <w:proofErr w:type="spellStart"/>
      <w:r>
        <w:rPr>
          <w:color w:val="212121"/>
        </w:rPr>
        <w:t>Shahim</w:t>
      </w:r>
      <w:proofErr w:type="spellEnd"/>
      <w:r>
        <w:rPr>
          <w:color w:val="212121"/>
        </w:rPr>
        <w:t xml:space="preserve"> P, Qu B-X, Lai C, </w:t>
      </w:r>
      <w:proofErr w:type="spellStart"/>
      <w:r>
        <w:rPr>
          <w:color w:val="212121"/>
        </w:rPr>
        <w:t>Devoto</w:t>
      </w:r>
      <w:proofErr w:type="spellEnd"/>
      <w:r>
        <w:rPr>
          <w:color w:val="212121"/>
        </w:rPr>
        <w:t xml:space="preserve"> C, Walker WC, Nolen T, Diaz-Arrastia R, Gill JM.  </w:t>
      </w:r>
      <w:proofErr w:type="spellStart"/>
      <w:r>
        <w:rPr>
          <w:color w:val="212121"/>
        </w:rPr>
        <w:t>Exosomal</w:t>
      </w:r>
      <w:proofErr w:type="spellEnd"/>
      <w:r>
        <w:rPr>
          <w:color w:val="212121"/>
        </w:rPr>
        <w:t xml:space="preserve"> NFL, a prognostic biomarker for remote symptoms after mild traumatic brain injury? Neurology 2020;94(24):2412-2423. </w:t>
      </w:r>
      <w:proofErr w:type="spellStart"/>
      <w:r>
        <w:rPr>
          <w:color w:val="212121"/>
        </w:rPr>
        <w:t>doi</w:t>
      </w:r>
      <w:proofErr w:type="spellEnd"/>
      <w:r>
        <w:rPr>
          <w:color w:val="212121"/>
        </w:rPr>
        <w:t>: 10.1212/WNL.0000000000009577. PMID: 32461282.</w:t>
      </w:r>
    </w:p>
    <w:p w14:paraId="791C36F9" w14:textId="77777777" w:rsidR="00E0180F" w:rsidRDefault="00E0180F" w:rsidP="00E0180F">
      <w:pPr>
        <w:pStyle w:val="ListParagraph"/>
        <w:numPr>
          <w:ilvl w:val="0"/>
          <w:numId w:val="13"/>
        </w:numPr>
        <w:ind w:left="450" w:hanging="450"/>
        <w:jc w:val="both"/>
        <w:rPr>
          <w:color w:val="212121"/>
        </w:rPr>
      </w:pPr>
      <w:r>
        <w:rPr>
          <w:color w:val="212121"/>
        </w:rPr>
        <w:t xml:space="preserve">Pattinson CL, </w:t>
      </w:r>
      <w:proofErr w:type="spellStart"/>
      <w:r>
        <w:rPr>
          <w:color w:val="212121"/>
        </w:rPr>
        <w:t>Shahim</w:t>
      </w:r>
      <w:proofErr w:type="spellEnd"/>
      <w:r>
        <w:rPr>
          <w:color w:val="212121"/>
        </w:rPr>
        <w:t xml:space="preserve"> P, Taylor P, Dunbar K, Guedes VA, </w:t>
      </w:r>
      <w:proofErr w:type="spellStart"/>
      <w:r>
        <w:rPr>
          <w:color w:val="212121"/>
        </w:rPr>
        <w:t>Motamedi</w:t>
      </w:r>
      <w:proofErr w:type="spellEnd"/>
      <w:r>
        <w:rPr>
          <w:color w:val="212121"/>
        </w:rPr>
        <w:t xml:space="preserve"> V, Lai C, </w:t>
      </w:r>
      <w:proofErr w:type="spellStart"/>
      <w:r>
        <w:rPr>
          <w:color w:val="212121"/>
        </w:rPr>
        <w:t>Devoto</w:t>
      </w:r>
      <w:proofErr w:type="spellEnd"/>
      <w:r>
        <w:rPr>
          <w:color w:val="212121"/>
        </w:rPr>
        <w:t xml:space="preserve"> C, Peyer J, Roy MJ, Gill JM: Elevated tau in military personnel relates to chronic symptoms following traumatic brain injury. J Head Trauma </w:t>
      </w:r>
      <w:proofErr w:type="spellStart"/>
      <w:r>
        <w:rPr>
          <w:color w:val="212121"/>
        </w:rPr>
        <w:t>Rehabil</w:t>
      </w:r>
      <w:proofErr w:type="spellEnd"/>
      <w:r>
        <w:rPr>
          <w:color w:val="212121"/>
        </w:rPr>
        <w:t xml:space="preserve"> 2020;35(1): 66-73. doi:10.1097/htr.0000000000000485</w:t>
      </w:r>
    </w:p>
    <w:p w14:paraId="4A75D8EE" w14:textId="77777777" w:rsidR="00E0180F" w:rsidRDefault="00E0180F" w:rsidP="00E0180F">
      <w:pPr>
        <w:pStyle w:val="ListParagraph"/>
        <w:numPr>
          <w:ilvl w:val="0"/>
          <w:numId w:val="13"/>
        </w:numPr>
        <w:ind w:left="450" w:hanging="450"/>
        <w:jc w:val="both"/>
        <w:rPr>
          <w:color w:val="212121"/>
        </w:rPr>
      </w:pPr>
      <w:r>
        <w:rPr>
          <w:color w:val="212121"/>
        </w:rPr>
        <w:t>Peltz C, Kenney K, Gill J, Diaz-Arrastia R, Gardner RC, Yaffe K.  Blood-based biomarkers of traumatic brain injury-associated with cognitive impairment in older veterans. Neurology 2020:95(9):1126-1133. DOI: 10.1212/WNL.0000000000010087. PMID: 32571850</w:t>
      </w:r>
    </w:p>
    <w:p w14:paraId="261000A6" w14:textId="77777777" w:rsidR="00E0180F" w:rsidRDefault="00E0180F" w:rsidP="00E0180F">
      <w:pPr>
        <w:pStyle w:val="ListParagraph"/>
        <w:numPr>
          <w:ilvl w:val="0"/>
          <w:numId w:val="13"/>
        </w:numPr>
        <w:ind w:left="450" w:hanging="450"/>
        <w:jc w:val="both"/>
        <w:rPr>
          <w:color w:val="212121"/>
        </w:rPr>
      </w:pPr>
      <w:r>
        <w:rPr>
          <w:color w:val="212121"/>
        </w:rPr>
        <w:t xml:space="preserve">Werner JK, </w:t>
      </w:r>
      <w:proofErr w:type="spellStart"/>
      <w:r>
        <w:rPr>
          <w:color w:val="212121"/>
        </w:rPr>
        <w:t>Shahim</w:t>
      </w:r>
      <w:proofErr w:type="spellEnd"/>
      <w:r>
        <w:rPr>
          <w:color w:val="212121"/>
        </w:rPr>
        <w:t xml:space="preserve"> P, Pucci JU, Lai C, </w:t>
      </w:r>
      <w:proofErr w:type="spellStart"/>
      <w:r>
        <w:rPr>
          <w:color w:val="212121"/>
        </w:rPr>
        <w:t>Raiciulescu</w:t>
      </w:r>
      <w:proofErr w:type="spellEnd"/>
      <w:r>
        <w:rPr>
          <w:color w:val="212121"/>
        </w:rPr>
        <w:t xml:space="preserve"> S, Gill JM, Nakase-Richardson R, Diaz-Arrastia R, Kenney K. Poor sleep correlates with biomarkers of neurodegeneration in mild traumatic brain injury patients: a CENC study. Sleep. 2021;44(6):zsaa272. </w:t>
      </w:r>
      <w:proofErr w:type="spellStart"/>
      <w:r>
        <w:rPr>
          <w:color w:val="212121"/>
        </w:rPr>
        <w:t>doi</w:t>
      </w:r>
      <w:proofErr w:type="spellEnd"/>
      <w:r>
        <w:rPr>
          <w:color w:val="212121"/>
        </w:rPr>
        <w:t>: 10.1093/sleep/zsaa272. PMID: 33280032; PMCID: PMC8343591.</w:t>
      </w:r>
    </w:p>
    <w:p w14:paraId="4EF5A025" w14:textId="77777777" w:rsidR="00E0180F" w:rsidRDefault="00E0180F" w:rsidP="00E0180F">
      <w:pPr>
        <w:pStyle w:val="ListParagraph"/>
        <w:numPr>
          <w:ilvl w:val="0"/>
          <w:numId w:val="13"/>
        </w:numPr>
        <w:ind w:left="450" w:hanging="450"/>
        <w:jc w:val="both"/>
        <w:rPr>
          <w:color w:val="212121"/>
        </w:rPr>
      </w:pPr>
      <w:proofErr w:type="spellStart"/>
      <w:r>
        <w:rPr>
          <w:color w:val="212121"/>
        </w:rPr>
        <w:t>Devoto</w:t>
      </w:r>
      <w:proofErr w:type="spellEnd"/>
      <w:r>
        <w:rPr>
          <w:color w:val="212121"/>
        </w:rPr>
        <w:t xml:space="preserve"> C, Lai C, Qu B-X, Guedes V, Wilde E, Walker WC, Diaz-Arrastia R, Kenney K, Gill JM. </w:t>
      </w:r>
      <w:proofErr w:type="spellStart"/>
      <w:r>
        <w:rPr>
          <w:color w:val="212121"/>
        </w:rPr>
        <w:t>Exosomal</w:t>
      </w:r>
      <w:proofErr w:type="spellEnd"/>
      <w:r>
        <w:rPr>
          <w:color w:val="212121"/>
        </w:rPr>
        <w:t xml:space="preserve"> MicroRNAs in Veterans with Mild Traumatic Brain Injury: Preliminary Results from a Chronic Effects of Neurotrauma Consortium (CENC) Biomarker Discovery Project.  J Neurotrauma 2020;37(23):2482-2492.  </w:t>
      </w:r>
      <w:proofErr w:type="spellStart"/>
      <w:r>
        <w:rPr>
          <w:color w:val="212121"/>
        </w:rPr>
        <w:t>doi</w:t>
      </w:r>
      <w:proofErr w:type="spellEnd"/>
      <w:r>
        <w:rPr>
          <w:color w:val="212121"/>
        </w:rPr>
        <w:t>: 10.1089/neu.2019.6933 PMID: 32458732.</w:t>
      </w:r>
    </w:p>
    <w:p w14:paraId="400D7BFD" w14:textId="77777777" w:rsidR="00E0180F" w:rsidRDefault="00E0180F" w:rsidP="00E0180F">
      <w:pPr>
        <w:pStyle w:val="ListParagraph"/>
        <w:numPr>
          <w:ilvl w:val="0"/>
          <w:numId w:val="13"/>
        </w:numPr>
        <w:ind w:left="450" w:hanging="450"/>
        <w:jc w:val="both"/>
        <w:rPr>
          <w:color w:val="212121"/>
        </w:rPr>
      </w:pPr>
      <w:proofErr w:type="spellStart"/>
      <w:r>
        <w:rPr>
          <w:color w:val="212121"/>
        </w:rPr>
        <w:t>Devoto</w:t>
      </w:r>
      <w:proofErr w:type="spellEnd"/>
      <w:r>
        <w:rPr>
          <w:color w:val="212121"/>
        </w:rPr>
        <w:t xml:space="preserve"> C, Guedes VA, Lai C, </w:t>
      </w:r>
      <w:proofErr w:type="spellStart"/>
      <w:r>
        <w:rPr>
          <w:color w:val="212121"/>
        </w:rPr>
        <w:t>Leete</w:t>
      </w:r>
      <w:proofErr w:type="spellEnd"/>
      <w:r>
        <w:rPr>
          <w:color w:val="212121"/>
        </w:rPr>
        <w:t xml:space="preserve"> JJ, </w:t>
      </w:r>
      <w:proofErr w:type="spellStart"/>
      <w:r>
        <w:rPr>
          <w:color w:val="212121"/>
        </w:rPr>
        <w:t>Mithani</w:t>
      </w:r>
      <w:proofErr w:type="spellEnd"/>
      <w:r>
        <w:rPr>
          <w:color w:val="212121"/>
        </w:rPr>
        <w:t xml:space="preserve"> S, Edwards K, </w:t>
      </w:r>
      <w:proofErr w:type="spellStart"/>
      <w:r>
        <w:rPr>
          <w:color w:val="212121"/>
        </w:rPr>
        <w:t>Vorn</w:t>
      </w:r>
      <w:proofErr w:type="spellEnd"/>
      <w:r>
        <w:rPr>
          <w:color w:val="212121"/>
        </w:rPr>
        <w:t xml:space="preserve"> R, Qu BX, Wilde EA, Walker WC, Diaz-Arrastia R, Werner JK, Kenney K, Gill JM. Remote blast-related mild traumatic brain injury is associated with differential expression of </w:t>
      </w:r>
      <w:proofErr w:type="spellStart"/>
      <w:r>
        <w:rPr>
          <w:color w:val="212121"/>
        </w:rPr>
        <w:t>exosomal</w:t>
      </w:r>
      <w:proofErr w:type="spellEnd"/>
      <w:r>
        <w:rPr>
          <w:color w:val="212121"/>
        </w:rPr>
        <w:t xml:space="preserve"> microRNAs identified in neurodegenerative and immunological processes. Brain </w:t>
      </w:r>
      <w:proofErr w:type="spellStart"/>
      <w:r>
        <w:rPr>
          <w:color w:val="212121"/>
        </w:rPr>
        <w:t>Inj</w:t>
      </w:r>
      <w:proofErr w:type="spellEnd"/>
      <w:r>
        <w:rPr>
          <w:color w:val="212121"/>
        </w:rPr>
        <w:t xml:space="preserve"> 2022:16;36(5):652-661. </w:t>
      </w:r>
      <w:proofErr w:type="spellStart"/>
      <w:r>
        <w:rPr>
          <w:color w:val="212121"/>
        </w:rPr>
        <w:t>doi</w:t>
      </w:r>
      <w:proofErr w:type="spellEnd"/>
      <w:r>
        <w:rPr>
          <w:color w:val="212121"/>
        </w:rPr>
        <w:t>: 10.1080/02699052.2022.2042854. PMID: 35322723.</w:t>
      </w:r>
    </w:p>
    <w:p w14:paraId="605A7CDD" w14:textId="77777777" w:rsidR="00E0180F" w:rsidRDefault="00E0180F" w:rsidP="00E0180F">
      <w:pPr>
        <w:pStyle w:val="ListParagraph"/>
        <w:numPr>
          <w:ilvl w:val="0"/>
          <w:numId w:val="13"/>
        </w:numPr>
        <w:ind w:left="450" w:hanging="450"/>
        <w:jc w:val="both"/>
        <w:rPr>
          <w:color w:val="212121"/>
        </w:rPr>
      </w:pPr>
      <w:r>
        <w:rPr>
          <w:color w:val="212121"/>
        </w:rPr>
        <w:t xml:space="preserve">Guedes VA, Lai C, </w:t>
      </w:r>
      <w:proofErr w:type="spellStart"/>
      <w:r>
        <w:rPr>
          <w:color w:val="212121"/>
        </w:rPr>
        <w:t>Devoto</w:t>
      </w:r>
      <w:proofErr w:type="spellEnd"/>
      <w:r>
        <w:rPr>
          <w:color w:val="212121"/>
        </w:rPr>
        <w:t xml:space="preserve"> C, Edwards KA, </w:t>
      </w:r>
      <w:proofErr w:type="spellStart"/>
      <w:r>
        <w:rPr>
          <w:color w:val="212121"/>
        </w:rPr>
        <w:t>Mithani</w:t>
      </w:r>
      <w:proofErr w:type="spellEnd"/>
      <w:r>
        <w:rPr>
          <w:color w:val="212121"/>
        </w:rPr>
        <w:t xml:space="preserve"> S, Sass D, </w:t>
      </w:r>
      <w:proofErr w:type="spellStart"/>
      <w:r>
        <w:rPr>
          <w:color w:val="212121"/>
        </w:rPr>
        <w:t>Vorn</w:t>
      </w:r>
      <w:proofErr w:type="spellEnd"/>
      <w:r>
        <w:rPr>
          <w:color w:val="212121"/>
        </w:rPr>
        <w:t xml:space="preserve"> R, Qu BX, </w:t>
      </w:r>
      <w:proofErr w:type="spellStart"/>
      <w:r>
        <w:rPr>
          <w:color w:val="212121"/>
        </w:rPr>
        <w:t>Rusch</w:t>
      </w:r>
      <w:proofErr w:type="spellEnd"/>
      <w:r>
        <w:rPr>
          <w:color w:val="212121"/>
        </w:rPr>
        <w:t xml:space="preserve"> HL, Martin CA, Walker WC, Wilde EA, Diaz-Arrastia R, Gill JM, Kenney K. Extracellular Vesicle Proteins and MicroRNAs Are Linked to Chronic Post-Traumatic Stress Disorder Symptoms in Service Members and Veterans With Mild Traumatic Brain Injury. Front </w:t>
      </w:r>
      <w:proofErr w:type="spellStart"/>
      <w:r>
        <w:rPr>
          <w:color w:val="212121"/>
        </w:rPr>
        <w:t>Pharmacol</w:t>
      </w:r>
      <w:proofErr w:type="spellEnd"/>
      <w:r>
        <w:rPr>
          <w:color w:val="212121"/>
        </w:rPr>
        <w:t xml:space="preserve"> 2021;12:745348. </w:t>
      </w:r>
      <w:proofErr w:type="spellStart"/>
      <w:r>
        <w:rPr>
          <w:color w:val="212121"/>
        </w:rPr>
        <w:t>doi</w:t>
      </w:r>
      <w:proofErr w:type="spellEnd"/>
      <w:r>
        <w:rPr>
          <w:color w:val="212121"/>
        </w:rPr>
        <w:t>: 10.3389/fphar.2021.745348. PMID: 34690777; PMCID: PMC8526745.</w:t>
      </w:r>
    </w:p>
    <w:p w14:paraId="0A750FF7" w14:textId="77777777" w:rsidR="00E0180F" w:rsidRDefault="00E0180F" w:rsidP="00E0180F">
      <w:pPr>
        <w:pStyle w:val="ListParagraph"/>
        <w:numPr>
          <w:ilvl w:val="0"/>
          <w:numId w:val="13"/>
        </w:numPr>
        <w:ind w:left="450" w:hanging="450"/>
        <w:jc w:val="both"/>
        <w:rPr>
          <w:color w:val="212121"/>
        </w:rPr>
      </w:pPr>
      <w:r>
        <w:rPr>
          <w:bCs/>
          <w:color w:val="212121"/>
        </w:rPr>
        <w:t xml:space="preserve">Dennis EL, Taylor BA, Troyanskaya M, Newsome MR, </w:t>
      </w:r>
      <w:proofErr w:type="spellStart"/>
      <w:r>
        <w:rPr>
          <w:bCs/>
          <w:color w:val="212121"/>
        </w:rPr>
        <w:t>Abildskov</w:t>
      </w:r>
      <w:proofErr w:type="spellEnd"/>
      <w:r>
        <w:rPr>
          <w:bCs/>
          <w:color w:val="212121"/>
        </w:rPr>
        <w:t xml:space="preserve"> T, Betts AM, Bigler E, Cole J, Davenport N, Duncan T, Gill J,  Guedes V, Hinds SR, Hovenden ES, Kenney K, Pugh MJ, </w:t>
      </w:r>
      <w:r>
        <w:rPr>
          <w:color w:val="212121"/>
        </w:rPr>
        <w:t xml:space="preserve">Scheibel RS, </w:t>
      </w:r>
      <w:proofErr w:type="spellStart"/>
      <w:r>
        <w:rPr>
          <w:color w:val="212121"/>
        </w:rPr>
        <w:t>Shahim</w:t>
      </w:r>
      <w:proofErr w:type="spellEnd"/>
      <w:r>
        <w:rPr>
          <w:color w:val="212121"/>
        </w:rPr>
        <w:t xml:space="preserve"> PP, Shih R, Walker WC, Werner JK, York GE, Cifu DX, Tate DF, Wilde EA.  Advanced Brain Age </w:t>
      </w:r>
      <w:r>
        <w:rPr>
          <w:color w:val="212121"/>
        </w:rPr>
        <w:lastRenderedPageBreak/>
        <w:t>in Deployment-Related Traumatic Brain Injury: A LIMBIC-CENC Neuroimaging Study.  Brain Inj. 2022 Apr 16;36(5):662-672. PMID: 35125044.</w:t>
      </w:r>
    </w:p>
    <w:p w14:paraId="47F23CDD" w14:textId="77777777" w:rsidR="00E0180F" w:rsidRDefault="00E0180F" w:rsidP="00E0180F">
      <w:pPr>
        <w:pStyle w:val="ListParagraph"/>
        <w:numPr>
          <w:ilvl w:val="0"/>
          <w:numId w:val="13"/>
        </w:numPr>
        <w:ind w:left="450" w:hanging="450"/>
        <w:jc w:val="both"/>
        <w:rPr>
          <w:color w:val="212121"/>
        </w:rPr>
      </w:pPr>
      <w:r>
        <w:rPr>
          <w:color w:val="212121"/>
        </w:rPr>
        <w:t xml:space="preserve">O’Neil ME, Carlson KF, </w:t>
      </w:r>
      <w:proofErr w:type="spellStart"/>
      <w:r>
        <w:rPr>
          <w:color w:val="212121"/>
        </w:rPr>
        <w:t>Holmer</w:t>
      </w:r>
      <w:proofErr w:type="spellEnd"/>
      <w:r>
        <w:rPr>
          <w:color w:val="212121"/>
        </w:rPr>
        <w:t xml:space="preserve"> HK, Ayers CK, Morasco BJ, </w:t>
      </w:r>
      <w:proofErr w:type="spellStart"/>
      <w:r>
        <w:rPr>
          <w:color w:val="212121"/>
        </w:rPr>
        <w:t>Kansagara</w:t>
      </w:r>
      <w:proofErr w:type="spellEnd"/>
      <w:r>
        <w:rPr>
          <w:color w:val="212121"/>
        </w:rPr>
        <w:t xml:space="preserve"> D, Kondo K. Chronic Pain in Veterans and Servicemembers with a History of Mild Traumatic Brain Injury: A Systematic Review [Internet]. Washington (DC): Department of Veterans Affairs (US); 2020 Aug. PMID: 33400450.</w:t>
      </w:r>
    </w:p>
    <w:p w14:paraId="3315C4BA" w14:textId="77777777" w:rsidR="00E0180F" w:rsidRDefault="00E0180F" w:rsidP="00E0180F">
      <w:pPr>
        <w:pStyle w:val="ListParagraph"/>
        <w:numPr>
          <w:ilvl w:val="0"/>
          <w:numId w:val="13"/>
        </w:numPr>
        <w:ind w:left="450" w:hanging="450"/>
        <w:jc w:val="both"/>
        <w:rPr>
          <w:bCs/>
          <w:color w:val="212121"/>
        </w:rPr>
      </w:pPr>
      <w:r>
        <w:rPr>
          <w:bCs/>
          <w:color w:val="212121"/>
        </w:rPr>
        <w:t xml:space="preserve">Walker WC, Clark SW, Eppich K, Wilde EA, Martin AM, Allen CM, Cortez MM, Pugh MJ, Walton SR, Kenney K. Headache among combat-exposed veterans and service members and its relation to mild traumatic brain injury history and other factors: a LIMBIC-CENC study. Front Neurol. 2023 Sep 20;14:1242871. </w:t>
      </w:r>
      <w:proofErr w:type="spellStart"/>
      <w:r>
        <w:rPr>
          <w:bCs/>
          <w:color w:val="212121"/>
        </w:rPr>
        <w:t>doi</w:t>
      </w:r>
      <w:proofErr w:type="spellEnd"/>
      <w:r>
        <w:rPr>
          <w:bCs/>
          <w:color w:val="212121"/>
        </w:rPr>
        <w:t>: 10.3389/fneur.2023.1242871. PMID: 37808506; PMCID: PMC10552781.</w:t>
      </w:r>
    </w:p>
    <w:p w14:paraId="6528D043" w14:textId="77777777" w:rsidR="00E0180F" w:rsidRDefault="00E0180F" w:rsidP="00E0180F">
      <w:pPr>
        <w:pStyle w:val="ListParagraph"/>
        <w:numPr>
          <w:ilvl w:val="0"/>
          <w:numId w:val="13"/>
        </w:numPr>
        <w:ind w:left="450" w:hanging="450"/>
        <w:jc w:val="both"/>
        <w:rPr>
          <w:bCs/>
          <w:color w:val="212121"/>
        </w:rPr>
      </w:pPr>
      <w:proofErr w:type="spellStart"/>
      <w:r>
        <w:rPr>
          <w:bCs/>
          <w:color w:val="212121"/>
        </w:rPr>
        <w:t>Gottshall</w:t>
      </w:r>
      <w:proofErr w:type="spellEnd"/>
      <w:r>
        <w:rPr>
          <w:bCs/>
          <w:color w:val="212121"/>
        </w:rPr>
        <w:t xml:space="preserve"> JL, Agyemang AA, O’Neil M, et al: Sleep quality: A common thread linking depression, post-traumatic stress, and post-concussive symptoms to biomarkers of neurodegeneration following traumatic brain injury, Brain Injury 2022;36(5):633-643.</w:t>
      </w:r>
    </w:p>
    <w:p w14:paraId="69CA791F" w14:textId="77777777" w:rsidR="00E0180F" w:rsidRDefault="00E0180F" w:rsidP="00E0180F">
      <w:pPr>
        <w:pStyle w:val="ListParagraph"/>
        <w:numPr>
          <w:ilvl w:val="0"/>
          <w:numId w:val="13"/>
        </w:numPr>
        <w:ind w:left="450" w:hanging="450"/>
        <w:jc w:val="both"/>
        <w:rPr>
          <w:color w:val="212121"/>
        </w:rPr>
      </w:pPr>
      <w:r>
        <w:rPr>
          <w:bCs/>
          <w:color w:val="212121"/>
        </w:rPr>
        <w:t xml:space="preserve">Walker WC, Hirsch S, Carne W, Nolen T, Cifu DX, Wilde EA, Levin HS, </w:t>
      </w:r>
      <w:proofErr w:type="spellStart"/>
      <w:r>
        <w:rPr>
          <w:bCs/>
          <w:color w:val="212121"/>
        </w:rPr>
        <w:t>Brearly</w:t>
      </w:r>
      <w:proofErr w:type="spellEnd"/>
      <w:r>
        <w:rPr>
          <w:bCs/>
          <w:color w:val="212121"/>
        </w:rPr>
        <w:t xml:space="preserve"> TW, Eapen BC, Williams R: Chronic Effects of Neurotrauma Consortium multicenter study interim </w:t>
      </w:r>
      <w:r>
        <w:rPr>
          <w:color w:val="212121"/>
        </w:rPr>
        <w:t xml:space="preserve">analysis: Differences between participants with positive versus negative mild TBI histories.” Brain </w:t>
      </w:r>
      <w:proofErr w:type="spellStart"/>
      <w:r>
        <w:rPr>
          <w:color w:val="212121"/>
        </w:rPr>
        <w:t>Inj</w:t>
      </w:r>
      <w:proofErr w:type="spellEnd"/>
      <w:r>
        <w:rPr>
          <w:color w:val="212121"/>
        </w:rPr>
        <w:t xml:space="preserve"> 2018;32(9):1079-1089. </w:t>
      </w:r>
      <w:proofErr w:type="spellStart"/>
      <w:r>
        <w:rPr>
          <w:color w:val="212121"/>
        </w:rPr>
        <w:t>doi</w:t>
      </w:r>
      <w:proofErr w:type="spellEnd"/>
      <w:r>
        <w:rPr>
          <w:color w:val="212121"/>
        </w:rPr>
        <w:t>: 10.1080/02699052.2018.1479041. PMID: 29851515</w:t>
      </w:r>
    </w:p>
    <w:p w14:paraId="179591DA" w14:textId="77777777" w:rsidR="00E0180F" w:rsidRDefault="00E0180F" w:rsidP="00E0180F">
      <w:pPr>
        <w:pStyle w:val="ListParagraph"/>
        <w:numPr>
          <w:ilvl w:val="0"/>
          <w:numId w:val="13"/>
        </w:numPr>
        <w:ind w:left="450" w:hanging="450"/>
        <w:jc w:val="both"/>
        <w:rPr>
          <w:color w:val="212121"/>
        </w:rPr>
      </w:pPr>
      <w:r>
        <w:rPr>
          <w:color w:val="212121"/>
        </w:rPr>
        <w:t xml:space="preserve">Garcia A, </w:t>
      </w:r>
      <w:proofErr w:type="spellStart"/>
      <w:r>
        <w:rPr>
          <w:color w:val="212121"/>
        </w:rPr>
        <w:t>Reljic</w:t>
      </w:r>
      <w:proofErr w:type="spellEnd"/>
      <w:r>
        <w:rPr>
          <w:color w:val="212121"/>
        </w:rPr>
        <w:t xml:space="preserve"> T, Pogoda TK, Kenney K, Agyemang A, Troyanskaya M, Belanger HG, Wilde EA, Walker WC, Nakase-Richardson R. Obstructive Sleep Apnea Risk Is Associated with Cognitive Impairment after Controlling for Mild Traumatic Brain Injury History: A Chronic Effects of Neurotrauma Consortium Study. J Neurotrauma 2020;37(23):2517-2527. </w:t>
      </w:r>
      <w:proofErr w:type="spellStart"/>
      <w:r>
        <w:rPr>
          <w:color w:val="212121"/>
        </w:rPr>
        <w:t>doi</w:t>
      </w:r>
      <w:proofErr w:type="spellEnd"/>
      <w:r>
        <w:rPr>
          <w:color w:val="212121"/>
        </w:rPr>
        <w:t>: 10.1089/neu.2019.6916. PMID: 32709212; PMCID: PMC7698980.</w:t>
      </w:r>
    </w:p>
    <w:p w14:paraId="600907C6" w14:textId="77777777" w:rsidR="00E0180F" w:rsidRDefault="00E0180F" w:rsidP="00E0180F">
      <w:pPr>
        <w:pStyle w:val="ListParagraph"/>
        <w:numPr>
          <w:ilvl w:val="0"/>
          <w:numId w:val="13"/>
        </w:numPr>
        <w:ind w:left="450" w:hanging="450"/>
        <w:jc w:val="both"/>
        <w:rPr>
          <w:color w:val="212121"/>
        </w:rPr>
      </w:pPr>
      <w:r>
        <w:rPr>
          <w:color w:val="212121"/>
        </w:rPr>
        <w:t xml:space="preserve">O'Neil ME, Agyemang A, Walker WC, Pogoda TK, Klyce DW, Perrin PB, Hsu NH, Nguyen H, </w:t>
      </w:r>
      <w:proofErr w:type="spellStart"/>
      <w:r>
        <w:rPr>
          <w:color w:val="212121"/>
        </w:rPr>
        <w:t>Presson</w:t>
      </w:r>
      <w:proofErr w:type="spellEnd"/>
      <w:r>
        <w:rPr>
          <w:color w:val="212121"/>
        </w:rPr>
        <w:t xml:space="preserve"> AP, Cifu DX. Demographic, military, and health comorbidity variables by mild TBI and PTSD status in the LIMBIC-CENC cohort. Brain Inj. 2022 Apr 16;36(5):598-606. </w:t>
      </w:r>
      <w:proofErr w:type="spellStart"/>
      <w:r>
        <w:rPr>
          <w:color w:val="212121"/>
        </w:rPr>
        <w:t>doi</w:t>
      </w:r>
      <w:proofErr w:type="spellEnd"/>
      <w:r>
        <w:rPr>
          <w:color w:val="212121"/>
        </w:rPr>
        <w:t>: 10.1080/02699052.2022.2033847. PMID: 35125059.</w:t>
      </w:r>
    </w:p>
    <w:p w14:paraId="557C1DE1" w14:textId="77777777" w:rsidR="00E0180F" w:rsidRDefault="00E0180F" w:rsidP="00E0180F">
      <w:pPr>
        <w:pStyle w:val="ListParagraph"/>
        <w:numPr>
          <w:ilvl w:val="0"/>
          <w:numId w:val="13"/>
        </w:numPr>
        <w:ind w:left="450" w:hanging="450"/>
        <w:jc w:val="both"/>
        <w:rPr>
          <w:color w:val="212121"/>
        </w:rPr>
      </w:pPr>
      <w:r>
        <w:rPr>
          <w:color w:val="212121"/>
        </w:rPr>
        <w:t xml:space="preserve">Seal KH, </w:t>
      </w:r>
      <w:proofErr w:type="spellStart"/>
      <w:r>
        <w:rPr>
          <w:color w:val="212121"/>
        </w:rPr>
        <w:t>Bertenthal</w:t>
      </w:r>
      <w:proofErr w:type="spellEnd"/>
      <w:r>
        <w:rPr>
          <w:color w:val="212121"/>
        </w:rPr>
        <w:t xml:space="preserve"> D, Barnes DE, Byers AL, Strigo I, Yaffe K: Chronic Effects of Neurotrauma Consortium Study Group. Association of Traumatic Brain Injury with Chronic Pain in Iraq and Afghanistan Veterans: Effect of Comorbid Mental Health Conditions. Arch Phys Med </w:t>
      </w:r>
      <w:proofErr w:type="spellStart"/>
      <w:r>
        <w:rPr>
          <w:color w:val="212121"/>
        </w:rPr>
        <w:t>Rehabil</w:t>
      </w:r>
      <w:proofErr w:type="spellEnd"/>
      <w:r>
        <w:rPr>
          <w:color w:val="212121"/>
        </w:rPr>
        <w:t xml:space="preserve">. 2017 Aug;98(8):1636-1645. </w:t>
      </w:r>
      <w:proofErr w:type="spellStart"/>
      <w:r>
        <w:rPr>
          <w:color w:val="212121"/>
        </w:rPr>
        <w:t>doi</w:t>
      </w:r>
      <w:proofErr w:type="spellEnd"/>
      <w:r>
        <w:rPr>
          <w:color w:val="212121"/>
        </w:rPr>
        <w:t>: 10.1016/j.apmr.2017.03.026. PMID: 28455190</w:t>
      </w:r>
    </w:p>
    <w:p w14:paraId="1593309C" w14:textId="77777777" w:rsidR="00E0180F" w:rsidRDefault="00E0180F" w:rsidP="00E0180F">
      <w:pPr>
        <w:pStyle w:val="ListParagraph"/>
        <w:numPr>
          <w:ilvl w:val="0"/>
          <w:numId w:val="13"/>
        </w:numPr>
        <w:ind w:left="450" w:hanging="450"/>
        <w:jc w:val="both"/>
        <w:rPr>
          <w:color w:val="212121"/>
        </w:rPr>
      </w:pPr>
      <w:r>
        <w:rPr>
          <w:color w:val="212121"/>
        </w:rPr>
        <w:t xml:space="preserve">Sullan, MJ, Crocker LD, Thomas KR, Orff, HJ, Davey DK, Jurick SM, Twamley EW, Norman SB, </w:t>
      </w:r>
      <w:proofErr w:type="spellStart"/>
      <w:r>
        <w:rPr>
          <w:color w:val="212121"/>
        </w:rPr>
        <w:t>Schiehser</w:t>
      </w:r>
      <w:proofErr w:type="spellEnd"/>
      <w:r>
        <w:rPr>
          <w:color w:val="212121"/>
        </w:rPr>
        <w:t xml:space="preserve"> DM, </w:t>
      </w:r>
      <w:proofErr w:type="spellStart"/>
      <w:r>
        <w:rPr>
          <w:color w:val="212121"/>
        </w:rPr>
        <w:t>Aupperle</w:t>
      </w:r>
      <w:proofErr w:type="spellEnd"/>
      <w:r>
        <w:rPr>
          <w:color w:val="212121"/>
        </w:rPr>
        <w:t xml:space="preserve"> R, Jak AJ: Baseline sleep quality moderates symptom improvement in veterans with comorbid PTSD and TBI receiving trauma-focused treatment. </w:t>
      </w:r>
      <w:proofErr w:type="spellStart"/>
      <w:r>
        <w:rPr>
          <w:color w:val="212121"/>
        </w:rPr>
        <w:t>Behaviour</w:t>
      </w:r>
      <w:proofErr w:type="spellEnd"/>
      <w:r>
        <w:rPr>
          <w:color w:val="212121"/>
        </w:rPr>
        <w:t xml:space="preserve"> research and therapy </w:t>
      </w:r>
      <w:proofErr w:type="spellStart"/>
      <w:r>
        <w:rPr>
          <w:color w:val="212121"/>
        </w:rPr>
        <w:t>Behav</w:t>
      </w:r>
      <w:proofErr w:type="spellEnd"/>
      <w:r>
        <w:rPr>
          <w:color w:val="212121"/>
        </w:rPr>
        <w:t xml:space="preserve"> Res </w:t>
      </w:r>
      <w:proofErr w:type="spellStart"/>
      <w:r>
        <w:rPr>
          <w:color w:val="212121"/>
        </w:rPr>
        <w:t>Ther</w:t>
      </w:r>
      <w:proofErr w:type="spellEnd"/>
      <w:r>
        <w:rPr>
          <w:color w:val="212121"/>
        </w:rPr>
        <w:t xml:space="preserve"> 2021;143:103892. </w:t>
      </w:r>
      <w:hyperlink r:id="rId18" w:history="1">
        <w:r>
          <w:rPr>
            <w:rStyle w:val="Hyperlink"/>
            <w:color w:val="212121"/>
          </w:rPr>
          <w:t>https://doi.org/10.1016/j.brat.2021.103892</w:t>
        </w:r>
      </w:hyperlink>
    </w:p>
    <w:p w14:paraId="4ABC8B6A" w14:textId="77777777" w:rsidR="00E0180F" w:rsidRDefault="00E0180F" w:rsidP="00E0180F">
      <w:pPr>
        <w:pStyle w:val="ListParagraph"/>
        <w:numPr>
          <w:ilvl w:val="0"/>
          <w:numId w:val="13"/>
        </w:numPr>
        <w:ind w:left="450" w:hanging="450"/>
        <w:jc w:val="both"/>
        <w:rPr>
          <w:color w:val="212121"/>
        </w:rPr>
      </w:pPr>
      <w:r>
        <w:rPr>
          <w:color w:val="212121"/>
        </w:rPr>
        <w:t xml:space="preserve">Carlson KF, Gilbert TA, O'Neil ME, </w:t>
      </w:r>
      <w:proofErr w:type="spellStart"/>
      <w:r>
        <w:rPr>
          <w:color w:val="212121"/>
        </w:rPr>
        <w:t>Zaugg</w:t>
      </w:r>
      <w:proofErr w:type="spellEnd"/>
      <w:r>
        <w:rPr>
          <w:color w:val="212121"/>
        </w:rPr>
        <w:t xml:space="preserve"> TL, Manning CA, </w:t>
      </w:r>
      <w:proofErr w:type="spellStart"/>
      <w:r>
        <w:rPr>
          <w:color w:val="212121"/>
        </w:rPr>
        <w:t>Kaelin</w:t>
      </w:r>
      <w:proofErr w:type="spellEnd"/>
      <w:r>
        <w:rPr>
          <w:color w:val="212121"/>
        </w:rPr>
        <w:t xml:space="preserve"> C, Thielman EJ, </w:t>
      </w:r>
      <w:proofErr w:type="spellStart"/>
      <w:r>
        <w:rPr>
          <w:color w:val="212121"/>
        </w:rPr>
        <w:t>Reavis</w:t>
      </w:r>
      <w:proofErr w:type="spellEnd"/>
      <w:r>
        <w:rPr>
          <w:color w:val="212121"/>
        </w:rPr>
        <w:t xml:space="preserve"> KM, Henry JA: Health care utilization and mental health diagnoses among veterans with tinnitus. Amer J </w:t>
      </w:r>
      <w:proofErr w:type="spellStart"/>
      <w:r>
        <w:rPr>
          <w:color w:val="212121"/>
        </w:rPr>
        <w:t>Audiol</w:t>
      </w:r>
      <w:proofErr w:type="spellEnd"/>
      <w:r>
        <w:rPr>
          <w:color w:val="212121"/>
        </w:rPr>
        <w:t xml:space="preserve"> 2019;28(1S), 181-190. </w:t>
      </w:r>
    </w:p>
    <w:p w14:paraId="3E3D4AEF" w14:textId="77777777" w:rsidR="00E0180F" w:rsidRDefault="00E0180F" w:rsidP="00E0180F">
      <w:pPr>
        <w:pStyle w:val="ListParagraph"/>
        <w:numPr>
          <w:ilvl w:val="0"/>
          <w:numId w:val="13"/>
        </w:numPr>
        <w:ind w:left="450" w:hanging="450"/>
        <w:jc w:val="both"/>
        <w:rPr>
          <w:color w:val="212121"/>
        </w:rPr>
      </w:pPr>
      <w:r>
        <w:rPr>
          <w:color w:val="212121"/>
        </w:rPr>
        <w:t xml:space="preserve">Swan AA, Nelson JT, Pogoda TK, Amuan ME, Akin FW, Pugh MJ: Sensory dysfunction and traumatic brain injury severity among deployed post-9/11 veterans: a </w:t>
      </w:r>
      <w:proofErr w:type="gramStart"/>
      <w:r>
        <w:rPr>
          <w:color w:val="212121"/>
        </w:rPr>
        <w:t>chronic effects</w:t>
      </w:r>
      <w:proofErr w:type="gramEnd"/>
      <w:r>
        <w:rPr>
          <w:color w:val="212121"/>
        </w:rPr>
        <w:t xml:space="preserve"> of neurotrauma consortium study. Brain </w:t>
      </w:r>
      <w:proofErr w:type="spellStart"/>
      <w:r>
        <w:rPr>
          <w:color w:val="212121"/>
        </w:rPr>
        <w:t>Inj</w:t>
      </w:r>
      <w:proofErr w:type="spellEnd"/>
      <w:r>
        <w:rPr>
          <w:color w:val="212121"/>
        </w:rPr>
        <w:t xml:space="preserve"> 2018;32(10):1197-1207. </w:t>
      </w:r>
      <w:proofErr w:type="spellStart"/>
      <w:r>
        <w:rPr>
          <w:color w:val="212121"/>
        </w:rPr>
        <w:t>doi</w:t>
      </w:r>
      <w:proofErr w:type="spellEnd"/>
      <w:r>
        <w:rPr>
          <w:color w:val="212121"/>
        </w:rPr>
        <w:t>: 10.1080/02699052.2018.1495340. PMID: 30024786</w:t>
      </w:r>
    </w:p>
    <w:p w14:paraId="50707C1A" w14:textId="77777777" w:rsidR="00E0180F" w:rsidRDefault="00E0180F" w:rsidP="00E0180F">
      <w:pPr>
        <w:pStyle w:val="ListParagraph"/>
        <w:numPr>
          <w:ilvl w:val="0"/>
          <w:numId w:val="13"/>
        </w:numPr>
        <w:ind w:left="450" w:hanging="450"/>
        <w:jc w:val="both"/>
        <w:rPr>
          <w:color w:val="212121"/>
        </w:rPr>
      </w:pPr>
      <w:r>
        <w:rPr>
          <w:color w:val="212121"/>
        </w:rPr>
        <w:t xml:space="preserve">Swan AA, Nelson JT, </w:t>
      </w:r>
      <w:proofErr w:type="spellStart"/>
      <w:r>
        <w:rPr>
          <w:color w:val="212121"/>
        </w:rPr>
        <w:t>Swiger</w:t>
      </w:r>
      <w:proofErr w:type="spellEnd"/>
      <w:r>
        <w:rPr>
          <w:color w:val="212121"/>
        </w:rPr>
        <w:t xml:space="preserve"> B, Jaramillo CA, Eapen BC, Packer M, Pugh MJ: Prevalence of hearing loss and tinnitus in Iraq and Afghanistan Veterans: A Chronic Effects of Neurotrauma Consortium study. Hear Res. 2017;349:4-12. </w:t>
      </w:r>
      <w:proofErr w:type="spellStart"/>
      <w:r>
        <w:rPr>
          <w:color w:val="212121"/>
        </w:rPr>
        <w:t>doi</w:t>
      </w:r>
      <w:proofErr w:type="spellEnd"/>
      <w:r>
        <w:rPr>
          <w:color w:val="212121"/>
        </w:rPr>
        <w:t>: 10.1016/j.heares.2017.01.013. PMID: 28153668</w:t>
      </w:r>
    </w:p>
    <w:p w14:paraId="0655E404" w14:textId="77777777" w:rsidR="00E0180F" w:rsidRDefault="00E0180F" w:rsidP="00E0180F">
      <w:pPr>
        <w:pStyle w:val="ListParagraph"/>
        <w:numPr>
          <w:ilvl w:val="0"/>
          <w:numId w:val="13"/>
        </w:numPr>
        <w:ind w:left="450" w:hanging="450"/>
        <w:jc w:val="both"/>
        <w:rPr>
          <w:color w:val="212121"/>
        </w:rPr>
      </w:pPr>
      <w:r>
        <w:rPr>
          <w:color w:val="212121"/>
        </w:rPr>
        <w:t xml:space="preserve">Kennedy E, Panahi S, Stewart IJ, Tate DF, Wilde EA, Kenney K, Werner JK, Gill J, Diaz-Arrastia R, Amuan M, VanCott A, </w:t>
      </w:r>
      <w:proofErr w:type="spellStart"/>
      <w:r>
        <w:rPr>
          <w:color w:val="212121"/>
        </w:rPr>
        <w:t>PughMJ</w:t>
      </w:r>
      <w:proofErr w:type="spellEnd"/>
      <w:r>
        <w:rPr>
          <w:color w:val="212121"/>
        </w:rPr>
        <w:t xml:space="preserve">.  Traumatic brain injury and early onset dementia in Post 9-11 Veterans. Brain Inj. 2022;36(5):620-627. </w:t>
      </w:r>
      <w:proofErr w:type="spellStart"/>
      <w:r>
        <w:rPr>
          <w:color w:val="212121"/>
        </w:rPr>
        <w:t>doi</w:t>
      </w:r>
      <w:proofErr w:type="spellEnd"/>
      <w:r>
        <w:rPr>
          <w:color w:val="212121"/>
        </w:rPr>
        <w:t>: 10.1080/02699052.2022.2033846. PMID: 35125061.</w:t>
      </w:r>
    </w:p>
    <w:p w14:paraId="28191684" w14:textId="77777777" w:rsidR="00E0180F" w:rsidRDefault="00E0180F" w:rsidP="00E0180F">
      <w:pPr>
        <w:pStyle w:val="ListParagraph"/>
        <w:numPr>
          <w:ilvl w:val="0"/>
          <w:numId w:val="13"/>
        </w:numPr>
        <w:ind w:left="450" w:hanging="450"/>
        <w:jc w:val="both"/>
        <w:rPr>
          <w:color w:val="212121"/>
        </w:rPr>
      </w:pPr>
      <w:proofErr w:type="spellStart"/>
      <w:r>
        <w:rPr>
          <w:color w:val="212121"/>
        </w:rPr>
        <w:t>Leng</w:t>
      </w:r>
      <w:proofErr w:type="spellEnd"/>
      <w:r>
        <w:rPr>
          <w:color w:val="212121"/>
        </w:rPr>
        <w:t xml:space="preserve"> Y, Byers AL, Barnes DE, Peltz CB, Li Y, and Yaffe K. Traumatic brain injury and incidence risk of sleep disorders in nearly 200,000 US veterans. Neurology 2021;96(13):1792-1799.</w:t>
      </w:r>
    </w:p>
    <w:p w14:paraId="65818E1B" w14:textId="77777777" w:rsidR="00E0180F" w:rsidRDefault="00E0180F" w:rsidP="00E0180F">
      <w:pPr>
        <w:pStyle w:val="ListParagraph"/>
        <w:numPr>
          <w:ilvl w:val="0"/>
          <w:numId w:val="13"/>
        </w:numPr>
        <w:ind w:left="450" w:hanging="450"/>
        <w:jc w:val="both"/>
        <w:rPr>
          <w:color w:val="212121"/>
        </w:rPr>
      </w:pPr>
      <w:r>
        <w:rPr>
          <w:color w:val="212121"/>
        </w:rPr>
        <w:lastRenderedPageBreak/>
        <w:t xml:space="preserve">Byers AL, Li Y, Barnes DE, </w:t>
      </w:r>
      <w:proofErr w:type="spellStart"/>
      <w:r>
        <w:rPr>
          <w:color w:val="212121"/>
        </w:rPr>
        <w:t>Boscardin</w:t>
      </w:r>
      <w:proofErr w:type="spellEnd"/>
      <w:r>
        <w:rPr>
          <w:color w:val="212121"/>
        </w:rPr>
        <w:t xml:space="preserve"> WJ, Peltz CB, Yaffe K. TBI and risk of death in military veterans over 14 years: Injury severity, timing, and cause of death. J </w:t>
      </w:r>
      <w:proofErr w:type="spellStart"/>
      <w:r>
        <w:rPr>
          <w:color w:val="212121"/>
        </w:rPr>
        <w:t>Psychiatr</w:t>
      </w:r>
      <w:proofErr w:type="spellEnd"/>
      <w:r>
        <w:rPr>
          <w:color w:val="212121"/>
        </w:rPr>
        <w:t xml:space="preserve"> Res. 2022 Dec;156:200-205. </w:t>
      </w:r>
      <w:proofErr w:type="spellStart"/>
      <w:r>
        <w:rPr>
          <w:color w:val="212121"/>
        </w:rPr>
        <w:t>doi</w:t>
      </w:r>
      <w:proofErr w:type="spellEnd"/>
      <w:r>
        <w:rPr>
          <w:color w:val="212121"/>
        </w:rPr>
        <w:t xml:space="preserve">: 10.1016/j.jpsychires.2022.09.035. </w:t>
      </w:r>
      <w:proofErr w:type="spellStart"/>
      <w:r>
        <w:rPr>
          <w:color w:val="212121"/>
        </w:rPr>
        <w:t>Epub</w:t>
      </w:r>
      <w:proofErr w:type="spellEnd"/>
      <w:r>
        <w:rPr>
          <w:color w:val="212121"/>
        </w:rPr>
        <w:t xml:space="preserve"> 2022 Sep 25. PMID: 36257114.</w:t>
      </w:r>
    </w:p>
    <w:p w14:paraId="36359EF1" w14:textId="77777777" w:rsidR="00E0180F" w:rsidRDefault="00E0180F" w:rsidP="00E0180F">
      <w:pPr>
        <w:pStyle w:val="ListParagraph"/>
        <w:numPr>
          <w:ilvl w:val="0"/>
          <w:numId w:val="13"/>
        </w:numPr>
        <w:ind w:left="450" w:hanging="450"/>
        <w:jc w:val="both"/>
        <w:rPr>
          <w:color w:val="212121"/>
        </w:rPr>
      </w:pPr>
      <w:r>
        <w:rPr>
          <w:color w:val="212121"/>
        </w:rPr>
        <w:t xml:space="preserve">Pugh MJ, Swan AA, Amuan ME, Eapen BC, Jaramillo CA, Delgado R, Tate DF, Yaffe K, Wang CP. Deployment, suicide, and overdose among comorbidity phenotypes following mild traumatic brain injury: A retrospective cohort study from the Chronic Effects of Neurotrauma Consortium. </w:t>
      </w:r>
      <w:proofErr w:type="spellStart"/>
      <w:r>
        <w:rPr>
          <w:color w:val="212121"/>
        </w:rPr>
        <w:t>PLoS</w:t>
      </w:r>
      <w:proofErr w:type="spellEnd"/>
      <w:r>
        <w:rPr>
          <w:color w:val="212121"/>
        </w:rPr>
        <w:t xml:space="preserve"> One. 2019 Sep 20;14(9):e0222674. </w:t>
      </w:r>
      <w:proofErr w:type="spellStart"/>
      <w:r>
        <w:rPr>
          <w:color w:val="212121"/>
        </w:rPr>
        <w:t>doi</w:t>
      </w:r>
      <w:proofErr w:type="spellEnd"/>
      <w:r>
        <w:rPr>
          <w:color w:val="212121"/>
        </w:rPr>
        <w:t>: 10.1371/journal.pone.0222674. PMID: 31539410; PMCID: PMC6754132.</w:t>
      </w:r>
    </w:p>
    <w:p w14:paraId="421F4410" w14:textId="77777777" w:rsidR="00E0180F" w:rsidRDefault="00E0180F" w:rsidP="00E0180F">
      <w:pPr>
        <w:pStyle w:val="ListParagraph"/>
        <w:numPr>
          <w:ilvl w:val="0"/>
          <w:numId w:val="13"/>
        </w:numPr>
        <w:ind w:left="450" w:hanging="450"/>
        <w:jc w:val="both"/>
        <w:rPr>
          <w:color w:val="212121"/>
        </w:rPr>
      </w:pPr>
      <w:r>
        <w:rPr>
          <w:color w:val="212121"/>
        </w:rPr>
        <w:t>Stewart IJ, Amuan ME, Wang CP, et al: Association between traumatic brain injury and cardiovascular disease among post-911 veterans. JAMA Neurol 2022;79(11):1122-1129.</w:t>
      </w:r>
    </w:p>
    <w:p w14:paraId="448302B6" w14:textId="77777777" w:rsidR="00E0180F" w:rsidRDefault="00E0180F" w:rsidP="00E0180F">
      <w:pPr>
        <w:pStyle w:val="ListParagraph"/>
        <w:numPr>
          <w:ilvl w:val="0"/>
          <w:numId w:val="13"/>
        </w:numPr>
        <w:ind w:left="450" w:hanging="450"/>
        <w:jc w:val="both"/>
        <w:rPr>
          <w:color w:val="212121"/>
        </w:rPr>
      </w:pPr>
      <w:r>
        <w:rPr>
          <w:color w:val="212121"/>
        </w:rPr>
        <w:t xml:space="preserve">O’Neil, ME, Klyce DW, Pogoda TK, Cifu DX, Eggleston BE, Cameron DC, Wilde EA, Walker WC, Carlson KF: Associations among PTSD and post-concussive symptoms in the Long-term Impact of Military-relevant Brain Injury Consortium – Chronic Effects of Neurotrauma Consortium (LIMBIC-CENC) Prospective, Longitudinal Study cohort. J Head Trauma </w:t>
      </w:r>
      <w:proofErr w:type="spellStart"/>
      <w:r>
        <w:rPr>
          <w:color w:val="212121"/>
        </w:rPr>
        <w:t>Rehabil</w:t>
      </w:r>
      <w:proofErr w:type="spellEnd"/>
      <w:r>
        <w:rPr>
          <w:color w:val="212121"/>
        </w:rPr>
        <w:t xml:space="preserve"> 2021;36(6):E363-E372 10.1097/HTR.0000000000000665</w:t>
      </w:r>
    </w:p>
    <w:p w14:paraId="710BE558" w14:textId="77777777" w:rsidR="00E0180F" w:rsidRDefault="00E0180F" w:rsidP="00E0180F">
      <w:pPr>
        <w:pStyle w:val="ListParagraph"/>
        <w:numPr>
          <w:ilvl w:val="0"/>
          <w:numId w:val="13"/>
        </w:numPr>
        <w:ind w:left="450" w:hanging="450"/>
        <w:jc w:val="both"/>
        <w:rPr>
          <w:color w:val="212121"/>
        </w:rPr>
      </w:pPr>
      <w:proofErr w:type="spellStart"/>
      <w:r>
        <w:rPr>
          <w:color w:val="212121"/>
        </w:rPr>
        <w:t>Kornblith</w:t>
      </w:r>
      <w:proofErr w:type="spellEnd"/>
      <w:r>
        <w:rPr>
          <w:color w:val="212121"/>
        </w:rPr>
        <w:t xml:space="preserve"> E, </w:t>
      </w:r>
      <w:proofErr w:type="spellStart"/>
      <w:r>
        <w:rPr>
          <w:color w:val="212121"/>
        </w:rPr>
        <w:t>Bahorik</w:t>
      </w:r>
      <w:proofErr w:type="spellEnd"/>
      <w:r>
        <w:rPr>
          <w:color w:val="212121"/>
        </w:rPr>
        <w:t xml:space="preserve"> A, Li Y, Peltz CB, Barnes DE, Yaffe K. Traumatic Brain Injury, Cardiovascular Disease, and Risk of Dementia among Older US Veterans. Brain Injury 2022;36(5);628-632.</w:t>
      </w:r>
    </w:p>
    <w:p w14:paraId="706A4A04" w14:textId="77777777" w:rsidR="00E0180F" w:rsidRDefault="00E0180F" w:rsidP="00E0180F">
      <w:pPr>
        <w:pStyle w:val="ListParagraph"/>
        <w:numPr>
          <w:ilvl w:val="0"/>
          <w:numId w:val="13"/>
        </w:numPr>
        <w:ind w:left="450" w:hanging="450"/>
        <w:jc w:val="both"/>
        <w:rPr>
          <w:color w:val="212121"/>
        </w:rPr>
      </w:pPr>
      <w:r>
        <w:rPr>
          <w:color w:val="212121"/>
        </w:rPr>
        <w:t xml:space="preserve">Schneider ALC, Peltz CB, Li Y, </w:t>
      </w:r>
      <w:proofErr w:type="spellStart"/>
      <w:r>
        <w:rPr>
          <w:color w:val="212121"/>
        </w:rPr>
        <w:t>Bahorik</w:t>
      </w:r>
      <w:proofErr w:type="spellEnd"/>
      <w:r>
        <w:rPr>
          <w:color w:val="212121"/>
        </w:rPr>
        <w:t xml:space="preserve"> A, Gardner RC, Yaffe K. Traumatic Brain Injury and Long-Term Risk of Stroke Among US Military Veterans. Stroke. 2023;54(8):2059-2068. </w:t>
      </w:r>
      <w:proofErr w:type="spellStart"/>
      <w:r>
        <w:rPr>
          <w:color w:val="212121"/>
        </w:rPr>
        <w:t>doi</w:t>
      </w:r>
      <w:proofErr w:type="spellEnd"/>
      <w:r>
        <w:rPr>
          <w:color w:val="212121"/>
        </w:rPr>
        <w:t>: 10.1161/STROKEAHA.123.042360.. PMID: 37334708.</w:t>
      </w:r>
    </w:p>
    <w:p w14:paraId="38A66EC5" w14:textId="77777777" w:rsidR="00E0180F" w:rsidRDefault="00E0180F" w:rsidP="00E0180F">
      <w:pPr>
        <w:pStyle w:val="ListParagraph"/>
        <w:numPr>
          <w:ilvl w:val="0"/>
          <w:numId w:val="13"/>
        </w:numPr>
        <w:ind w:left="450" w:hanging="450"/>
        <w:jc w:val="both"/>
        <w:rPr>
          <w:color w:val="212121"/>
        </w:rPr>
      </w:pPr>
      <w:r>
        <w:rPr>
          <w:color w:val="212121"/>
        </w:rPr>
        <w:t xml:space="preserve">Stewart IJ, Amuan ME , Kennedy E, Kenney K, Werner JK, Carlson K, Tate D, Wright WS, Pogoda T, Dismuke C, Wilde E, Pugh MJ.  Association between Traumatic Brain Injury and Subsequent Cardiovascular Disease Among Post-9/11 Veterans.  JAMA Neurol 2022;79(11):1122-1129. </w:t>
      </w:r>
      <w:proofErr w:type="spellStart"/>
      <w:r>
        <w:rPr>
          <w:color w:val="212121"/>
        </w:rPr>
        <w:t>doi</w:t>
      </w:r>
      <w:proofErr w:type="spellEnd"/>
      <w:r>
        <w:rPr>
          <w:color w:val="212121"/>
        </w:rPr>
        <w:t>: 10.1001/jamaneurol.2022.2682. PMID: 36066882.</w:t>
      </w:r>
    </w:p>
    <w:p w14:paraId="63F44405" w14:textId="77777777" w:rsidR="00E0180F" w:rsidRDefault="00E0180F" w:rsidP="00E0180F">
      <w:pPr>
        <w:pStyle w:val="ListParagraph"/>
        <w:numPr>
          <w:ilvl w:val="0"/>
          <w:numId w:val="13"/>
        </w:numPr>
        <w:ind w:left="450" w:hanging="450"/>
        <w:jc w:val="both"/>
        <w:rPr>
          <w:color w:val="212121"/>
        </w:rPr>
      </w:pPr>
      <w:r>
        <w:rPr>
          <w:color w:val="212121"/>
        </w:rPr>
        <w:t xml:space="preserve">McDonald, S. D., Walker, W. C., Cusack, S. E., </w:t>
      </w:r>
      <w:proofErr w:type="spellStart"/>
      <w:r>
        <w:rPr>
          <w:color w:val="212121"/>
        </w:rPr>
        <w:t>Yoash-Gantz</w:t>
      </w:r>
      <w:proofErr w:type="spellEnd"/>
      <w:r>
        <w:rPr>
          <w:color w:val="212121"/>
        </w:rPr>
        <w:t xml:space="preserve">, R. E., Pickett, T. C., Cifu, D. X., Mid-Atlantic </w:t>
      </w:r>
      <w:proofErr w:type="spellStart"/>
      <w:r>
        <w:rPr>
          <w:color w:val="212121"/>
        </w:rPr>
        <w:t>Mirecc</w:t>
      </w:r>
      <w:proofErr w:type="spellEnd"/>
      <w:r>
        <w:rPr>
          <w:color w:val="212121"/>
        </w:rPr>
        <w:t xml:space="preserve"> Workgroup, V., &amp; </w:t>
      </w:r>
      <w:proofErr w:type="spellStart"/>
      <w:r>
        <w:rPr>
          <w:color w:val="212121"/>
        </w:rPr>
        <w:t>Tupler</w:t>
      </w:r>
      <w:proofErr w:type="spellEnd"/>
      <w:r>
        <w:rPr>
          <w:color w:val="212121"/>
        </w:rPr>
        <w:t>, L. A. (2021). Health symptoms after war zone deployment-related mild traumatic brain injury: contributions of mental disorders and lifetime brain injuries. Brain injury, 35(11), 1338–1348. doi.org/10.1080/02699052.2021.1959058. PMID: 34543115.</w:t>
      </w:r>
    </w:p>
    <w:p w14:paraId="2CE26675" w14:textId="77777777" w:rsidR="00E0180F" w:rsidRDefault="00E0180F" w:rsidP="00E0180F">
      <w:pPr>
        <w:pStyle w:val="ListParagraph"/>
        <w:numPr>
          <w:ilvl w:val="0"/>
          <w:numId w:val="13"/>
        </w:numPr>
        <w:ind w:left="450" w:hanging="450"/>
        <w:jc w:val="both"/>
      </w:pPr>
      <w:r>
        <w:t xml:space="preserve">Hinds II SR, Cifu DX (2024). LIMBIC-CENC: Successfully conducting longitudinal </w:t>
      </w:r>
      <w:proofErr w:type="spellStart"/>
      <w:r>
        <w:t>mTBI</w:t>
      </w:r>
      <w:proofErr w:type="spellEnd"/>
      <w:r>
        <w:t xml:space="preserve"> research during the COVID-19 pandemic. </w:t>
      </w:r>
      <w:proofErr w:type="spellStart"/>
      <w:r>
        <w:t>NeuroRehabilitation</w:t>
      </w:r>
      <w:proofErr w:type="spellEnd"/>
      <w:r>
        <w:t xml:space="preserve">. 2024 Jul 4. </w:t>
      </w:r>
      <w:proofErr w:type="spellStart"/>
      <w:r>
        <w:t>doi</w:t>
      </w:r>
      <w:proofErr w:type="spellEnd"/>
      <w:r>
        <w:t xml:space="preserve">: 10.3233/NRE-230272. </w:t>
      </w:r>
      <w:proofErr w:type="spellStart"/>
      <w:r>
        <w:t>Epub</w:t>
      </w:r>
      <w:proofErr w:type="spellEnd"/>
      <w:r>
        <w:t xml:space="preserve"> ahead of print. PMID: 38995806.</w:t>
      </w:r>
    </w:p>
    <w:p w14:paraId="04816CE6" w14:textId="77777777" w:rsidR="00E0180F" w:rsidRDefault="00E0180F" w:rsidP="00E0180F">
      <w:pPr>
        <w:pStyle w:val="ListParagraph"/>
        <w:ind w:left="450"/>
        <w:jc w:val="both"/>
        <w:rPr>
          <w:rFonts w:ascii="Arial" w:hAnsi="Arial" w:cs="Arial"/>
          <w:color w:val="212121"/>
        </w:rPr>
      </w:pPr>
    </w:p>
    <w:p w14:paraId="5DC44198" w14:textId="77777777" w:rsidR="00EE32C8" w:rsidRPr="00DE43C9" w:rsidRDefault="00EE32C8"/>
    <w:sectPr w:rsidR="00EE32C8" w:rsidRPr="00DE4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F25"/>
    <w:multiLevelType w:val="hybridMultilevel"/>
    <w:tmpl w:val="D9868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F9465E0"/>
    <w:multiLevelType w:val="hybridMultilevel"/>
    <w:tmpl w:val="246A3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FB65FAC"/>
    <w:multiLevelType w:val="hybridMultilevel"/>
    <w:tmpl w:val="3B1E4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FBE1553"/>
    <w:multiLevelType w:val="hybridMultilevel"/>
    <w:tmpl w:val="1CD22028"/>
    <w:lvl w:ilvl="0" w:tplc="FFFFFFFF">
      <w:start w:val="1"/>
      <w:numFmt w:val="decimal"/>
      <w:lvlText w:val="%1."/>
      <w:lvlJc w:val="left"/>
      <w:pPr>
        <w:ind w:left="720" w:hanging="360"/>
      </w:pPr>
    </w:lvl>
    <w:lvl w:ilvl="1" w:tplc="FFFFFFFF">
      <w:start w:val="1"/>
      <w:numFmt w:val="bullet"/>
      <w:lvlText w:val=""/>
      <w:lvlJc w:val="left"/>
      <w:pPr>
        <w:ind w:left="360" w:hanging="360"/>
      </w:pPr>
      <w:rPr>
        <w:rFonts w:ascii="Symbol" w:hAnsi="Symbol" w:hint="default"/>
      </w:rPr>
    </w:lvl>
    <w:lvl w:ilvl="2" w:tplc="04090001">
      <w:start w:val="1"/>
      <w:numFmt w:val="bullet"/>
      <w:lvlText w:val=""/>
      <w:lvlJc w:val="left"/>
      <w:pPr>
        <w:ind w:left="36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DC542E1"/>
    <w:multiLevelType w:val="hybridMultilevel"/>
    <w:tmpl w:val="F5C2B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8A3BF9"/>
    <w:multiLevelType w:val="hybridMultilevel"/>
    <w:tmpl w:val="0444F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C8680A"/>
    <w:multiLevelType w:val="hybridMultilevel"/>
    <w:tmpl w:val="03CAD3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60954CD"/>
    <w:multiLevelType w:val="hybridMultilevel"/>
    <w:tmpl w:val="28F249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FFD40C2"/>
    <w:multiLevelType w:val="hybridMultilevel"/>
    <w:tmpl w:val="1226B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2CD1CD3"/>
    <w:multiLevelType w:val="hybridMultilevel"/>
    <w:tmpl w:val="05C6B4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E6369E"/>
    <w:multiLevelType w:val="hybridMultilevel"/>
    <w:tmpl w:val="CC707770"/>
    <w:lvl w:ilvl="0" w:tplc="FFFFFFFF">
      <w:start w:val="1"/>
      <w:numFmt w:val="decimal"/>
      <w:lvlText w:val="%1."/>
      <w:lvlJc w:val="left"/>
      <w:pPr>
        <w:ind w:left="720" w:hanging="360"/>
      </w:pPr>
    </w:lvl>
    <w:lvl w:ilvl="1" w:tplc="04090001">
      <w:start w:val="1"/>
      <w:numFmt w:val="bullet"/>
      <w:lvlText w:val=""/>
      <w:lvlJc w:val="left"/>
      <w:pPr>
        <w:ind w:left="36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3ED828D8"/>
    <w:multiLevelType w:val="hybridMultilevel"/>
    <w:tmpl w:val="4E1E5D2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70B2532"/>
    <w:multiLevelType w:val="hybridMultilevel"/>
    <w:tmpl w:val="3AC61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9370A"/>
    <w:multiLevelType w:val="hybridMultilevel"/>
    <w:tmpl w:val="D3C6DD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716747"/>
    <w:multiLevelType w:val="hybridMultilevel"/>
    <w:tmpl w:val="A072A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6F07CEA"/>
    <w:multiLevelType w:val="hybridMultilevel"/>
    <w:tmpl w:val="49F25586"/>
    <w:lvl w:ilvl="0" w:tplc="6E4CEA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0864FA"/>
    <w:multiLevelType w:val="hybridMultilevel"/>
    <w:tmpl w:val="4B5EB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3228AE"/>
    <w:multiLevelType w:val="hybridMultilevel"/>
    <w:tmpl w:val="EB502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47656FD"/>
    <w:multiLevelType w:val="hybridMultilevel"/>
    <w:tmpl w:val="BDAA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6F0610"/>
    <w:multiLevelType w:val="hybridMultilevel"/>
    <w:tmpl w:val="A3AA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CE4DAF"/>
    <w:multiLevelType w:val="hybridMultilevel"/>
    <w:tmpl w:val="D848FA60"/>
    <w:lvl w:ilvl="0" w:tplc="324CF6F6">
      <w:start w:val="1"/>
      <w:numFmt w:val="decimal"/>
      <w:lvlText w:val="%1."/>
      <w:lvlJc w:val="left"/>
      <w:pPr>
        <w:ind w:left="2078" w:hanging="360"/>
      </w:pPr>
      <w:rPr>
        <w:rFonts w:hint="default"/>
        <w:sz w:val="24"/>
        <w:szCs w:val="24"/>
      </w:rPr>
    </w:lvl>
    <w:lvl w:ilvl="1" w:tplc="04090019" w:tentative="1">
      <w:start w:val="1"/>
      <w:numFmt w:val="lowerLetter"/>
      <w:lvlText w:val="%2."/>
      <w:lvlJc w:val="left"/>
      <w:pPr>
        <w:ind w:left="2798" w:hanging="360"/>
      </w:pPr>
    </w:lvl>
    <w:lvl w:ilvl="2" w:tplc="0409001B" w:tentative="1">
      <w:start w:val="1"/>
      <w:numFmt w:val="lowerRoman"/>
      <w:lvlText w:val="%3."/>
      <w:lvlJc w:val="right"/>
      <w:pPr>
        <w:ind w:left="3518" w:hanging="180"/>
      </w:pPr>
    </w:lvl>
    <w:lvl w:ilvl="3" w:tplc="0409000F" w:tentative="1">
      <w:start w:val="1"/>
      <w:numFmt w:val="decimal"/>
      <w:lvlText w:val="%4."/>
      <w:lvlJc w:val="left"/>
      <w:pPr>
        <w:ind w:left="4238" w:hanging="360"/>
      </w:pPr>
    </w:lvl>
    <w:lvl w:ilvl="4" w:tplc="04090019" w:tentative="1">
      <w:start w:val="1"/>
      <w:numFmt w:val="lowerLetter"/>
      <w:lvlText w:val="%5."/>
      <w:lvlJc w:val="left"/>
      <w:pPr>
        <w:ind w:left="4958" w:hanging="360"/>
      </w:pPr>
    </w:lvl>
    <w:lvl w:ilvl="5" w:tplc="0409001B" w:tentative="1">
      <w:start w:val="1"/>
      <w:numFmt w:val="lowerRoman"/>
      <w:lvlText w:val="%6."/>
      <w:lvlJc w:val="right"/>
      <w:pPr>
        <w:ind w:left="5678" w:hanging="180"/>
      </w:pPr>
    </w:lvl>
    <w:lvl w:ilvl="6" w:tplc="0409000F" w:tentative="1">
      <w:start w:val="1"/>
      <w:numFmt w:val="decimal"/>
      <w:lvlText w:val="%7."/>
      <w:lvlJc w:val="left"/>
      <w:pPr>
        <w:ind w:left="6398" w:hanging="360"/>
      </w:pPr>
    </w:lvl>
    <w:lvl w:ilvl="7" w:tplc="04090019" w:tentative="1">
      <w:start w:val="1"/>
      <w:numFmt w:val="lowerLetter"/>
      <w:lvlText w:val="%8."/>
      <w:lvlJc w:val="left"/>
      <w:pPr>
        <w:ind w:left="7118" w:hanging="360"/>
      </w:pPr>
    </w:lvl>
    <w:lvl w:ilvl="8" w:tplc="0409001B" w:tentative="1">
      <w:start w:val="1"/>
      <w:numFmt w:val="lowerRoman"/>
      <w:lvlText w:val="%9."/>
      <w:lvlJc w:val="right"/>
      <w:pPr>
        <w:ind w:left="7838" w:hanging="180"/>
      </w:pPr>
    </w:lvl>
  </w:abstractNum>
  <w:abstractNum w:abstractNumId="21" w15:restartNumberingAfterBreak="0">
    <w:nsid w:val="7CEB1874"/>
    <w:multiLevelType w:val="hybridMultilevel"/>
    <w:tmpl w:val="88FC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06938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0279021">
    <w:abstractNumId w:val="7"/>
  </w:num>
  <w:num w:numId="3" w16cid:durableId="339159360">
    <w:abstractNumId w:val="2"/>
  </w:num>
  <w:num w:numId="4" w16cid:durableId="600453992">
    <w:abstractNumId w:val="8"/>
  </w:num>
  <w:num w:numId="5" w16cid:durableId="1208955804">
    <w:abstractNumId w:val="2"/>
  </w:num>
  <w:num w:numId="6" w16cid:durableId="112217679">
    <w:abstractNumId w:val="10"/>
  </w:num>
  <w:num w:numId="7" w16cid:durableId="1437556352">
    <w:abstractNumId w:val="3"/>
  </w:num>
  <w:num w:numId="8" w16cid:durableId="2141606169">
    <w:abstractNumId w:val="14"/>
  </w:num>
  <w:num w:numId="9" w16cid:durableId="2033261820">
    <w:abstractNumId w:val="9"/>
  </w:num>
  <w:num w:numId="10" w16cid:durableId="850148277">
    <w:abstractNumId w:val="16"/>
  </w:num>
  <w:num w:numId="11" w16cid:durableId="1623918611">
    <w:abstractNumId w:val="13"/>
  </w:num>
  <w:num w:numId="12" w16cid:durableId="176382659">
    <w:abstractNumId w:val="4"/>
  </w:num>
  <w:num w:numId="13" w16cid:durableId="15666443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7953356">
    <w:abstractNumId w:val="6"/>
  </w:num>
  <w:num w:numId="15" w16cid:durableId="24215498">
    <w:abstractNumId w:val="12"/>
  </w:num>
  <w:num w:numId="16" w16cid:durableId="687294454">
    <w:abstractNumId w:val="19"/>
  </w:num>
  <w:num w:numId="17" w16cid:durableId="193268749">
    <w:abstractNumId w:val="21"/>
  </w:num>
  <w:num w:numId="18" w16cid:durableId="1691880826">
    <w:abstractNumId w:val="15"/>
  </w:num>
  <w:num w:numId="19" w16cid:durableId="1863084181">
    <w:abstractNumId w:val="0"/>
  </w:num>
  <w:num w:numId="20" w16cid:durableId="1759980451">
    <w:abstractNumId w:val="1"/>
  </w:num>
  <w:num w:numId="21" w16cid:durableId="1758673315">
    <w:abstractNumId w:val="17"/>
  </w:num>
  <w:num w:numId="22" w16cid:durableId="405494375">
    <w:abstractNumId w:val="0"/>
  </w:num>
  <w:num w:numId="23" w16cid:durableId="1832090702">
    <w:abstractNumId w:val="5"/>
  </w:num>
  <w:num w:numId="24" w16cid:durableId="1883974627">
    <w:abstractNumId w:val="18"/>
  </w:num>
  <w:num w:numId="25" w16cid:durableId="416639474">
    <w:abstractNumId w:val="11"/>
  </w:num>
  <w:num w:numId="26" w16cid:durableId="470008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411"/>
    <w:rsid w:val="00026F9C"/>
    <w:rsid w:val="000C55B2"/>
    <w:rsid w:val="00150512"/>
    <w:rsid w:val="00250FB1"/>
    <w:rsid w:val="00393B7C"/>
    <w:rsid w:val="003B5FCA"/>
    <w:rsid w:val="0044027E"/>
    <w:rsid w:val="004413CC"/>
    <w:rsid w:val="00461630"/>
    <w:rsid w:val="00551133"/>
    <w:rsid w:val="00566A87"/>
    <w:rsid w:val="0060685D"/>
    <w:rsid w:val="00736255"/>
    <w:rsid w:val="00776E36"/>
    <w:rsid w:val="007E612E"/>
    <w:rsid w:val="00801197"/>
    <w:rsid w:val="0080670D"/>
    <w:rsid w:val="008255EA"/>
    <w:rsid w:val="0089368D"/>
    <w:rsid w:val="008A06B0"/>
    <w:rsid w:val="008B066B"/>
    <w:rsid w:val="008D6F0A"/>
    <w:rsid w:val="009469DC"/>
    <w:rsid w:val="009B7C33"/>
    <w:rsid w:val="00B45411"/>
    <w:rsid w:val="00C0042E"/>
    <w:rsid w:val="00CC06F9"/>
    <w:rsid w:val="00CF2C16"/>
    <w:rsid w:val="00CF591D"/>
    <w:rsid w:val="00D242F4"/>
    <w:rsid w:val="00DE43C9"/>
    <w:rsid w:val="00DF5AF3"/>
    <w:rsid w:val="00E0180F"/>
    <w:rsid w:val="00EE32C8"/>
    <w:rsid w:val="00F8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5B47"/>
  <w15:docId w15:val="{6B4A9983-17A5-45A6-813F-912AD55EC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411"/>
    <w:pPr>
      <w:spacing w:after="0" w:line="240" w:lineRule="auto"/>
    </w:pPr>
    <w:rPr>
      <w:rFonts w:ascii="Calibri" w:hAnsi="Calibri" w:cs="Calibri"/>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basedOn w:val="Normal"/>
    <w:rsid w:val="00B45411"/>
    <w:pPr>
      <w:autoSpaceDE w:val="0"/>
      <w:autoSpaceDN w:val="0"/>
    </w:pPr>
    <w:rPr>
      <w:rFonts w:ascii="Times New Roman" w:hAnsi="Times New Roman" w:cs="Times New Roman"/>
      <w:color w:val="000000"/>
      <w:sz w:val="24"/>
      <w:szCs w:val="24"/>
      <w14:ligatures w14:val="none"/>
    </w:rPr>
  </w:style>
  <w:style w:type="paragraph" w:styleId="ListParagraph">
    <w:name w:val="List Paragraph"/>
    <w:basedOn w:val="Normal"/>
    <w:uiPriority w:val="34"/>
    <w:qFormat/>
    <w:rsid w:val="009B7C33"/>
    <w:pPr>
      <w:ind w:left="720"/>
      <w:contextualSpacing/>
    </w:pPr>
  </w:style>
  <w:style w:type="character" w:styleId="Hyperlink">
    <w:name w:val="Hyperlink"/>
    <w:basedOn w:val="DefaultParagraphFont"/>
    <w:uiPriority w:val="99"/>
    <w:unhideWhenUsed/>
    <w:rsid w:val="009B7C33"/>
    <w:rPr>
      <w:color w:val="0000FF"/>
      <w:u w:val="single"/>
    </w:rPr>
  </w:style>
  <w:style w:type="character" w:styleId="UnresolvedMention">
    <w:name w:val="Unresolved Mention"/>
    <w:basedOn w:val="DefaultParagraphFont"/>
    <w:uiPriority w:val="99"/>
    <w:semiHidden/>
    <w:unhideWhenUsed/>
    <w:rsid w:val="000C55B2"/>
    <w:rPr>
      <w:color w:val="605E5C"/>
      <w:shd w:val="clear" w:color="auto" w:fill="E1DFDD"/>
    </w:rPr>
  </w:style>
  <w:style w:type="paragraph" w:customStyle="1" w:styleId="xdefault">
    <w:name w:val="x_default"/>
    <w:basedOn w:val="Normal"/>
    <w:rsid w:val="00DE43C9"/>
    <w:pPr>
      <w:autoSpaceDE w:val="0"/>
      <w:autoSpaceDN w:val="0"/>
    </w:pPr>
    <w:rPr>
      <w:rFonts w:ascii="Times New Roman" w:hAnsi="Times New Roman" w:cs="Times New Roman"/>
      <w:color w:val="000000"/>
      <w:sz w:val="24"/>
      <w:szCs w:val="24"/>
      <w14:ligatures w14:val="none"/>
    </w:rPr>
  </w:style>
  <w:style w:type="paragraph" w:customStyle="1" w:styleId="xxxxdefault">
    <w:name w:val="x_x_xxdefault"/>
    <w:basedOn w:val="Normal"/>
    <w:rsid w:val="00E0180F"/>
    <w:pPr>
      <w:spacing w:before="100" w:beforeAutospacing="1" w:after="100" w:afterAutospacing="1"/>
    </w:pPr>
    <w:rPr>
      <w:rFonts w:ascii="Times New Roman" w:eastAsia="Times New Roman" w:hAnsi="Times New Roman" w:cs="Times New Roman"/>
      <w:sz w:val="24"/>
      <w:szCs w:val="24"/>
      <w14:ligatures w14:val="none"/>
    </w:rPr>
  </w:style>
  <w:style w:type="paragraph" w:styleId="Revision">
    <w:name w:val="Revision"/>
    <w:hidden/>
    <w:uiPriority w:val="99"/>
    <w:semiHidden/>
    <w:rsid w:val="008255EA"/>
    <w:pPr>
      <w:spacing w:after="0" w:line="240" w:lineRule="auto"/>
    </w:pPr>
    <w:rPr>
      <w:rFonts w:ascii="Calibri" w:hAnsi="Calibri" w:cs="Calibri"/>
      <w14:ligatures w14:val="standardContextual"/>
    </w:rPr>
  </w:style>
  <w:style w:type="character" w:styleId="CommentReference">
    <w:name w:val="annotation reference"/>
    <w:basedOn w:val="DefaultParagraphFont"/>
    <w:uiPriority w:val="99"/>
    <w:semiHidden/>
    <w:unhideWhenUsed/>
    <w:rsid w:val="008255EA"/>
    <w:rPr>
      <w:sz w:val="16"/>
      <w:szCs w:val="16"/>
    </w:rPr>
  </w:style>
  <w:style w:type="paragraph" w:styleId="CommentText">
    <w:name w:val="annotation text"/>
    <w:basedOn w:val="Normal"/>
    <w:link w:val="CommentTextChar"/>
    <w:uiPriority w:val="99"/>
    <w:semiHidden/>
    <w:unhideWhenUsed/>
    <w:rsid w:val="008255EA"/>
    <w:rPr>
      <w:sz w:val="20"/>
      <w:szCs w:val="20"/>
    </w:rPr>
  </w:style>
  <w:style w:type="character" w:customStyle="1" w:styleId="CommentTextChar">
    <w:name w:val="Comment Text Char"/>
    <w:basedOn w:val="DefaultParagraphFont"/>
    <w:link w:val="CommentText"/>
    <w:uiPriority w:val="99"/>
    <w:semiHidden/>
    <w:rsid w:val="008255EA"/>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8255EA"/>
    <w:rPr>
      <w:b/>
      <w:bCs/>
    </w:rPr>
  </w:style>
  <w:style w:type="character" w:customStyle="1" w:styleId="CommentSubjectChar">
    <w:name w:val="Comment Subject Char"/>
    <w:basedOn w:val="CommentTextChar"/>
    <w:link w:val="CommentSubject"/>
    <w:uiPriority w:val="99"/>
    <w:semiHidden/>
    <w:rsid w:val="008255EA"/>
    <w:rPr>
      <w:rFonts w:ascii="Calibri" w:hAnsi="Calibri" w:cs="Calibri"/>
      <w:b/>
      <w:bCs/>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64346">
      <w:bodyDiv w:val="1"/>
      <w:marLeft w:val="0"/>
      <w:marRight w:val="0"/>
      <w:marTop w:val="0"/>
      <w:marBottom w:val="0"/>
      <w:divBdr>
        <w:top w:val="none" w:sz="0" w:space="0" w:color="auto"/>
        <w:left w:val="none" w:sz="0" w:space="0" w:color="auto"/>
        <w:bottom w:val="none" w:sz="0" w:space="0" w:color="auto"/>
        <w:right w:val="none" w:sz="0" w:space="0" w:color="auto"/>
      </w:divBdr>
    </w:div>
    <w:div w:id="215050011">
      <w:bodyDiv w:val="1"/>
      <w:marLeft w:val="0"/>
      <w:marRight w:val="0"/>
      <w:marTop w:val="0"/>
      <w:marBottom w:val="0"/>
      <w:divBdr>
        <w:top w:val="none" w:sz="0" w:space="0" w:color="auto"/>
        <w:left w:val="none" w:sz="0" w:space="0" w:color="auto"/>
        <w:bottom w:val="none" w:sz="0" w:space="0" w:color="auto"/>
        <w:right w:val="none" w:sz="0" w:space="0" w:color="auto"/>
      </w:divBdr>
    </w:div>
    <w:div w:id="862010374">
      <w:bodyDiv w:val="1"/>
      <w:marLeft w:val="0"/>
      <w:marRight w:val="0"/>
      <w:marTop w:val="0"/>
      <w:marBottom w:val="0"/>
      <w:divBdr>
        <w:top w:val="none" w:sz="0" w:space="0" w:color="auto"/>
        <w:left w:val="none" w:sz="0" w:space="0" w:color="auto"/>
        <w:bottom w:val="none" w:sz="0" w:space="0" w:color="auto"/>
        <w:right w:val="none" w:sz="0" w:space="0" w:color="auto"/>
      </w:divBdr>
    </w:div>
    <w:div w:id="1354764442">
      <w:bodyDiv w:val="1"/>
      <w:marLeft w:val="0"/>
      <w:marRight w:val="0"/>
      <w:marTop w:val="0"/>
      <w:marBottom w:val="0"/>
      <w:divBdr>
        <w:top w:val="none" w:sz="0" w:space="0" w:color="auto"/>
        <w:left w:val="none" w:sz="0" w:space="0" w:color="auto"/>
        <w:bottom w:val="none" w:sz="0" w:space="0" w:color="auto"/>
        <w:right w:val="none" w:sz="0" w:space="0" w:color="auto"/>
      </w:divBdr>
    </w:div>
    <w:div w:id="1402559974">
      <w:bodyDiv w:val="1"/>
      <w:marLeft w:val="0"/>
      <w:marRight w:val="0"/>
      <w:marTop w:val="0"/>
      <w:marBottom w:val="0"/>
      <w:divBdr>
        <w:top w:val="none" w:sz="0" w:space="0" w:color="auto"/>
        <w:left w:val="none" w:sz="0" w:space="0" w:color="auto"/>
        <w:bottom w:val="none" w:sz="0" w:space="0" w:color="auto"/>
        <w:right w:val="none" w:sz="0" w:space="0" w:color="auto"/>
      </w:divBdr>
    </w:div>
    <w:div w:id="1434394172">
      <w:bodyDiv w:val="1"/>
      <w:marLeft w:val="0"/>
      <w:marRight w:val="0"/>
      <w:marTop w:val="0"/>
      <w:marBottom w:val="0"/>
      <w:divBdr>
        <w:top w:val="none" w:sz="0" w:space="0" w:color="auto"/>
        <w:left w:val="none" w:sz="0" w:space="0" w:color="auto"/>
        <w:bottom w:val="none" w:sz="0" w:space="0" w:color="auto"/>
        <w:right w:val="none" w:sz="0" w:space="0" w:color="auto"/>
      </w:divBdr>
    </w:div>
    <w:div w:id="1611009749">
      <w:bodyDiv w:val="1"/>
      <w:marLeft w:val="0"/>
      <w:marRight w:val="0"/>
      <w:marTop w:val="0"/>
      <w:marBottom w:val="0"/>
      <w:divBdr>
        <w:top w:val="none" w:sz="0" w:space="0" w:color="auto"/>
        <w:left w:val="none" w:sz="0" w:space="0" w:color="auto"/>
        <w:bottom w:val="none" w:sz="0" w:space="0" w:color="auto"/>
        <w:right w:val="none" w:sz="0" w:space="0" w:color="auto"/>
      </w:divBdr>
    </w:div>
    <w:div w:id="2109082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essdata.fda.gov/cdrh_docs/pdf23/K234143.pdf" TargetMode="External"/><Relationship Id="rId13" Type="http://schemas.openxmlformats.org/officeDocument/2006/relationships/hyperlink" Target="https://www.healthquality.va.gov/guidelines/Rehab/mtbi/VADoDmTBICPGFinal508.pdf" TargetMode="External"/><Relationship Id="rId18" Type="http://schemas.openxmlformats.org/officeDocument/2006/relationships/hyperlink" Target="https://doi.org/10.1016/j.brat.2021.103892" TargetMode="Externa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www.accessdata.fda.gov/cdrh_docs/reviews/DEN130039.pdf" TargetMode="External"/><Relationship Id="rId12" Type="http://schemas.openxmlformats.org/officeDocument/2006/relationships/hyperlink" Target="https://www.healthquality.va.gov/guidelines/MH/ptsd/VA-DoD-CPG-PTSD-Full-CPGAug242023.pdf" TargetMode="External"/><Relationship Id="rId17" Type="http://schemas.openxmlformats.org/officeDocument/2006/relationships/hyperlink" Target="https://nda.nih.gov/" TargetMode="External"/><Relationship Id="rId2" Type="http://schemas.openxmlformats.org/officeDocument/2006/relationships/styles" Target="styles.xml"/><Relationship Id="rId16" Type="http://schemas.openxmlformats.org/officeDocument/2006/relationships/hyperlink" Target="https://fitbir.nih.gov"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ccessdata.fda.gov/cdrh_docs/pdf14/K143643.pdf" TargetMode="External"/><Relationship Id="rId11" Type="http://schemas.openxmlformats.org/officeDocument/2006/relationships/hyperlink" Target="https://www.healthquality.va.gov/guidelines/MH/srb/VADoD-CPG-Suicide-Risk-Full-CPG-2024_Final_508.pdf" TargetMode="External"/><Relationship Id="rId5" Type="http://schemas.openxmlformats.org/officeDocument/2006/relationships/hyperlink" Target="https://www.accessdata.fda.gov/cdrh_docs/pdf15/K152915.pdf" TargetMode="External"/><Relationship Id="rId15" Type="http://schemas.openxmlformats.org/officeDocument/2006/relationships/hyperlink" Target="https://fitbir.nih.gov/" TargetMode="External"/><Relationship Id="rId23" Type="http://schemas.openxmlformats.org/officeDocument/2006/relationships/customXml" Target="../customXml/item3.xml"/><Relationship Id="rId10" Type="http://schemas.openxmlformats.org/officeDocument/2006/relationships/hyperlink" Target="https://www.health.mil/Reference-Center/Publications/2020/07/30/Cognitive-Rehabilitation-for-Following-Mild-to-Moderate-TBI-Clinical-Recommendation-Ful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ccessdata.fda.gov/cdrh_docs/pdf23/K230208.pdf" TargetMode="External"/><Relationship Id="rId14" Type="http://schemas.openxmlformats.org/officeDocument/2006/relationships/hyperlink" Target="http://www.limbic-cenc.org"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Briefing Papers and Congressional Responses</DocumentType>
    <Topic xmlns="46ade7e5-a61b-41ef-8b65-1672892065de">Traumatic Brain Injury (TBI)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177B754-2C1D-4066-BFDF-C37107B46DA8}"/>
</file>

<file path=customXml/itemProps2.xml><?xml version="1.0" encoding="utf-8"?>
<ds:datastoreItem xmlns:ds="http://schemas.openxmlformats.org/officeDocument/2006/customXml" ds:itemID="{128D25D5-03E6-42E2-BBFC-7E2385279733}"/>
</file>

<file path=customXml/itemProps3.xml><?xml version="1.0" encoding="utf-8"?>
<ds:datastoreItem xmlns:ds="http://schemas.openxmlformats.org/officeDocument/2006/customXml" ds:itemID="{7556741B-9F0A-4149-AEAF-26EE068A3BCB}"/>
</file>

<file path=docProps/app.xml><?xml version="1.0" encoding="utf-8"?>
<Properties xmlns="http://schemas.openxmlformats.org/officeDocument/2006/extended-properties" xmlns:vt="http://schemas.openxmlformats.org/officeDocument/2006/docPropsVTypes">
  <Template>Normal</Template>
  <TotalTime>21</TotalTime>
  <Pages>16</Pages>
  <Words>5722</Words>
  <Characters>32616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TBI questions from Representatives McGarvey-Van Orden-Deluzio (Letter to VA secretary, 7-24-24)</dc:title>
  <dc:subject/>
  <dc:creator>Hoffman, Stuart</dc:creator>
  <cp:keywords/>
  <dc:description/>
  <cp:lastModifiedBy>Hoffman, Stuart</cp:lastModifiedBy>
  <cp:revision>2</cp:revision>
  <dcterms:created xsi:type="dcterms:W3CDTF">2024-07-24T15:36:00Z</dcterms:created>
  <dcterms:modified xsi:type="dcterms:W3CDTF">2024-07-24T15:36:00Z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