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Ejecutivo — Empresa Simulada S.A.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c2609789daaba10b2acd60f3e279b8a323160f5"/>
      <w:r>
        <w:t xml:space="preserve">Informe Estratégico de Mitigación de Riesgos Tecnológicos</w:t>
      </w:r>
      <w:bookmarkEnd w:id="20"/>
    </w:p>
    <w:tbl>
      <w:tblPr>
        <w:tblStyle w:val="Table"/>
        <w:tblW w:type="pct" w:w="5000.0"/>
        <w:tblLook w:firstRow="0"/>
      </w:tblPr>
      <w:tblGrid>
        <w:gridCol w:w="3960"/>
        <w:gridCol w:w="3960"/>
      </w:tblGrid>
      <w:tr>
        <w:tc>
          <w:p>
            <w:pPr>
              <w:pStyle w:val="Compact"/>
              <w:jc w:val="left"/>
            </w:pPr>
            <w:r>
              <w:rPr>
                <w:b/>
              </w:rPr>
              <w:t xml:space="preserve">Organización</w:t>
            </w:r>
          </w:p>
        </w:tc>
        <w:tc>
          <w:p>
            <w:pPr>
              <w:pStyle w:val="Compact"/>
              <w:jc w:val="left"/>
            </w:pPr>
            <w:r>
              <w:t xml:space="preserve">Empresa Simulada S.A.</w:t>
            </w:r>
          </w:p>
        </w:tc>
      </w:tr>
      <w:tr>
        <w:tc>
          <w:p>
            <w:pPr>
              <w:pStyle w:val="Compact"/>
              <w:jc w:val="left"/>
            </w:pPr>
            <w:r>
              <w:rPr>
                <w:b/>
              </w:rPr>
              <w:t xml:space="preserve">Fecha de emisión</w:t>
            </w:r>
          </w:p>
        </w:tc>
        <w:tc>
          <w:p>
            <w:pPr>
              <w:pStyle w:val="Compact"/>
              <w:jc w:val="left"/>
            </w:pPr>
            <w:r>
              <w:t xml:space="preserve">2026-08-31</w:t>
            </w:r>
          </w:p>
        </w:tc>
      </w:tr>
      <w:tr>
        <w:tc>
          <w:p>
            <w:pPr>
              <w:pStyle w:val="Compact"/>
              <w:jc w:val="left"/>
            </w:pPr>
            <w:r>
              <w:rPr>
                <w:b/>
              </w:rPr>
              <w:t xml:space="preserve">Clasificación</w:t>
            </w:r>
          </w:p>
        </w:tc>
        <w:tc>
          <w:p>
            <w:pPr>
              <w:pStyle w:val="Compact"/>
              <w:jc w:val="left"/>
            </w:pPr>
            <w:r>
              <w:t xml:space="preserve">TLP:AMBER — Uso interno</w:t>
            </w:r>
          </w:p>
        </w:tc>
      </w:tr>
      <w:tr>
        <w:tc>
          <w:p>
            <w:pPr>
              <w:pStyle w:val="Compact"/>
              <w:jc w:val="left"/>
            </w:pPr>
            <w:r>
              <w:rPr>
                <w:b/>
              </w:rPr>
              <w:t xml:space="preserve">Horizonte de análisis</w:t>
            </w:r>
          </w:p>
        </w:tc>
        <w:tc>
          <w:p>
            <w:pPr>
              <w:pStyle w:val="Compact"/>
              <w:jc w:val="left"/>
            </w:pPr>
            <w:r>
              <w:t xml:space="preserve">30 días</w:t>
            </w:r>
          </w:p>
        </w:tc>
      </w:tr>
      <w:tr>
        <w:tc>
          <w:p>
            <w:pPr>
              <w:pStyle w:val="Compact"/>
              <w:jc w:val="left"/>
            </w:pPr>
            <w:r>
              <w:rPr>
                <w:b/>
              </w:rPr>
              <w:t xml:space="preserve">Marcos de referencia</w:t>
            </w:r>
          </w:p>
        </w:tc>
        <w:tc>
          <w:p>
            <w:pPr>
              <w:pStyle w:val="Compact"/>
              <w:jc w:val="left"/>
            </w:pPr>
            <w:r>
              <w:t xml:space="preserve">NIST CSF 2.0 · MITRE ATT&amp;CK · CVSS v3.x · EPSS (FIRST.org) · KEV (CISA)</w:t>
            </w:r>
          </w:p>
        </w:tc>
      </w:tr>
      <w:tr>
        <w:tc>
          <w:p>
            <w:pPr>
              <w:pStyle w:val="Compact"/>
              <w:jc w:val="left"/>
            </w:pPr>
            <w:r>
              <w:rPr>
                <w:b/>
              </w:rPr>
              <w:t xml:space="preserve">Metodología</w:t>
            </w:r>
          </w:p>
        </w:tc>
        <w:tc>
          <w:p>
            <w:pPr>
              <w:pStyle w:val="Compact"/>
              <w:jc w:val="left"/>
            </w:pPr>
            <w:r>
              <w:t xml:space="preserve">Priorización estocástica mediante Cadenas de Markov</w:t>
            </w:r>
          </w:p>
        </w:tc>
      </w:tr>
    </w:tbl>
    <w:p>
      <w:r>
        <w:pict>
          <v:rect style="width:0;height:1.5pt" o:hralign="center" o:hrstd="t" o:hr="t"/>
        </w:pict>
      </w:r>
    </w:p>
    <w:p>
      <w:pPr>
        <w:pStyle w:val="Heading2"/>
      </w:pPr>
      <w:bookmarkStart w:id="21" w:name="resumen-ejecutivo"/>
      <w:r>
        <w:t xml:space="preserve">1. Resumen Ejecutivo</w:t>
      </w:r>
      <w:bookmarkEnd w:id="21"/>
    </w:p>
    <w:p>
      <w:pPr>
        <w:pStyle w:val="FirstParagraph"/>
      </w:pPr>
      <w:r>
        <w:t xml:space="preserve">La superficie de ataque evaluada comprende</w:t>
      </w:r>
      <w:r>
        <w:t xml:space="preserve"> </w:t>
      </w:r>
      <w:r>
        <w:rPr>
          <w:b/>
        </w:rPr>
        <w:t xml:space="preserve">68 activos</w:t>
      </w:r>
      <w:r>
        <w:t xml:space="preserve"> </w:t>
      </w:r>
      <w:r>
        <w:t xml:space="preserve">con</w:t>
      </w:r>
      <w:r>
        <w:t xml:space="preserve"> </w:t>
      </w:r>
      <w:r>
        <w:t xml:space="preserve">vulnerabilidades confirmadas, bajo una restricción presupuestaria de</w:t>
      </w:r>
      <w:r>
        <w:t xml:space="preserve"> </w:t>
      </w:r>
      <w:r>
        <w:rPr>
          <w:b/>
        </w:rPr>
        <w:t xml:space="preserve">10 intervenciones de parcheo</w:t>
      </w:r>
      <w:r>
        <w:t xml:space="preserve"> </w:t>
      </w:r>
      <w:r>
        <w:t xml:space="preserve">en el ciclo actual.</w:t>
      </w:r>
    </w:p>
    <w:p>
      <w:pPr>
        <w:pStyle w:val="BodyText"/>
      </w:pPr>
      <w:r>
        <w:t xml:space="preserve">La priorización tradicional por severidad técnica (CVSS) asigna recursos a las</w:t>
      </w:r>
      <w:r>
        <w:t xml:space="preserve"> </w:t>
      </w:r>
      <w:r>
        <w:t xml:space="preserve">vulnerabilidades más</w:t>
      </w:r>
      <w:r>
        <w:t xml:space="preserve"> </w:t>
      </w:r>
      <w:r>
        <w:rPr>
          <w:i/>
        </w:rPr>
        <w:t xml:space="preserve">graves en teoría</w:t>
      </w:r>
      <w:r>
        <w:t xml:space="preserve">; el modelo estocástico propuesto los asigna</w:t>
      </w:r>
      <w:r>
        <w:t xml:space="preserve"> </w:t>
      </w:r>
      <w:r>
        <w:t xml:space="preserve">a las más</w:t>
      </w:r>
      <w:r>
        <w:t xml:space="preserve"> </w:t>
      </w:r>
      <w:r>
        <w:rPr>
          <w:i/>
        </w:rPr>
        <w:t xml:space="preserve">probables de ser explotadas contra el negocio</w:t>
      </w:r>
      <w:r>
        <w:t xml:space="preserve">. Con el mismo presupuesto: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CVSS (tradicional)</w:t>
            </w:r>
          </w:p>
        </w:tc>
        <w:tc>
          <w:tcPr>
            <w:tcBorders>
              <w:bottom w:val="single"/>
            </w:tcBorders>
            <w:vAlign w:val="bottom"/>
          </w:tcPr>
          <w:p>
            <w:pPr>
              <w:pStyle w:val="Compact"/>
              <w:jc w:val="left"/>
            </w:pPr>
            <w:r>
              <w:t xml:space="preserve">Markov (propuesta)</w:t>
            </w:r>
          </w:p>
        </w:tc>
      </w:tr>
      <w:tr>
        <w:tc>
          <w:p>
            <w:pPr>
              <w:pStyle w:val="Compact"/>
              <w:jc w:val="left"/>
            </w:pPr>
            <w:r>
              <w:t xml:space="preserve">Riesgo dinámico inicial</w:t>
            </w:r>
          </w:p>
        </w:tc>
        <w:tc>
          <w:p>
            <w:pPr>
              <w:pStyle w:val="Compact"/>
              <w:jc w:val="left"/>
            </w:pPr>
            <w:r>
              <w:t xml:space="preserve">17.6676</w:t>
            </w:r>
          </w:p>
        </w:tc>
        <w:tc>
          <w:p>
            <w:pPr>
              <w:pStyle w:val="Compact"/>
              <w:jc w:val="left"/>
            </w:pPr>
            <w:r>
              <w:t xml:space="preserve">17.6676</w:t>
            </w:r>
          </w:p>
        </w:tc>
      </w:tr>
      <w:tr>
        <w:tc>
          <w:p>
            <w:pPr>
              <w:pStyle w:val="Compact"/>
              <w:jc w:val="left"/>
            </w:pPr>
            <w:r>
              <w:t xml:space="preserve">Riesgo residual tras 10 parches</w:t>
            </w:r>
          </w:p>
        </w:tc>
        <w:tc>
          <w:p>
            <w:pPr>
              <w:pStyle w:val="Compact"/>
              <w:jc w:val="left"/>
            </w:pPr>
            <w:r>
              <w:t xml:space="preserve">13.1248</w:t>
            </w:r>
          </w:p>
        </w:tc>
        <w:tc>
          <w:p>
            <w:pPr>
              <w:pStyle w:val="Compact"/>
              <w:jc w:val="left"/>
            </w:pPr>
            <w:r>
              <w:t xml:space="preserve">12.2990</w:t>
            </w:r>
          </w:p>
        </w:tc>
      </w:tr>
      <w:tr>
        <w:tc>
          <w:p>
            <w:pPr>
              <w:pStyle w:val="Compact"/>
              <w:jc w:val="left"/>
            </w:pPr>
            <w:r>
              <w:t xml:space="preserve">Reducción de riesgo lograda</w:t>
            </w:r>
          </w:p>
        </w:tc>
        <w:tc>
          <w:p>
            <w:pPr>
              <w:pStyle w:val="Compact"/>
              <w:jc w:val="left"/>
            </w:pPr>
            <w:r>
              <w:t xml:space="preserve">25.7%</w:t>
            </w:r>
          </w:p>
        </w:tc>
        <w:tc>
          <w:p>
            <w:pPr>
              <w:pStyle w:val="Compact"/>
              <w:jc w:val="left"/>
            </w:pPr>
            <w:r>
              <w:rPr>
                <w:b/>
              </w:rPr>
              <w:t xml:space="preserve">30.4%</w:t>
            </w:r>
          </w:p>
        </w:tc>
      </w:tr>
    </w:tbl>
    <w:p>
      <w:pPr>
        <w:pStyle w:val="BodyText"/>
      </w:pPr>
      <w:r>
        <w:rPr>
          <w:b/>
        </w:rPr>
        <w:t xml:space="preserve">Conclusión ejecutiva:</w:t>
      </w:r>
      <w:r>
        <w:t xml:space="preserve"> </w:t>
      </w:r>
      <w:r>
        <w:t xml:space="preserve">la estrategia propuesta evita un</w:t>
      </w:r>
      <w:r>
        <w:t xml:space="preserve"> </w:t>
      </w:r>
      <w:r>
        <w:rPr>
          <w:b/>
        </w:rPr>
        <w:t xml:space="preserve">6.3%</w:t>
      </w:r>
      <w:r>
        <w:rPr>
          <w:b/>
        </w:rPr>
        <w:t xml:space="preserve"> </w:t>
      </w:r>
      <w:r>
        <w:rPr>
          <w:b/>
        </w:rPr>
        <w:t xml:space="preserve">más de riesgo residual</w:t>
      </w:r>
      <w:r>
        <w:t xml:space="preserve"> </w:t>
      </w:r>
      <w:r>
        <w:t xml:space="preserve">que el método tradicional, sin inversión adicional. En</w:t>
      </w:r>
      <w:r>
        <w:t xml:space="preserve"> </w:t>
      </w:r>
      <w:r>
        <w:t xml:space="preserve">términos de eficiencia de capital, cada parche del plan propuesto rinde más unidades</w:t>
      </w:r>
      <w:r>
        <w:t xml:space="preserve"> </w:t>
      </w:r>
      <w:r>
        <w:t xml:space="preserve">de reducción de riesgo por peso invertido — el mismo principio de optimización bajo</w:t>
      </w:r>
      <w:r>
        <w:t xml:space="preserve"> </w:t>
      </w:r>
      <w:r>
        <w:t xml:space="preserve">restricción que gobierna cualquier cartera de inversiones.</w:t>
      </w:r>
    </w:p>
    <w:p>
      <w:pPr>
        <w:pStyle w:val="Heading2"/>
      </w:pPr>
      <w:bookmarkStart w:id="22" w:name="alcance-y-metodología"/>
      <w:r>
        <w:t xml:space="preserve">2. Alcance y Metodología</w:t>
      </w:r>
      <w:bookmarkEnd w:id="22"/>
    </w:p>
    <w:p>
      <w:pPr>
        <w:pStyle w:val="FirstParagraph"/>
      </w:pPr>
      <w:r>
        <w:t xml:space="preserve">El análisis integra cuatro fuentes de evidencia por cada vulnerabilidad: la severidad</w:t>
      </w:r>
      <w:r>
        <w:t xml:space="preserve"> </w:t>
      </w:r>
      <w:r>
        <w:t xml:space="preserve">técnica intrínseca (CVSS v3.x, NVD/NIST), la probabilidad de explotación observada</w:t>
      </w:r>
      <w:r>
        <w:t xml:space="preserve"> </w:t>
      </w:r>
      <w:r>
        <w:t xml:space="preserve">en el ecosistema real (EPSS, FIRST.org, actualizado diariamente), la confirmación de</w:t>
      </w:r>
      <w:r>
        <w:t xml:space="preserve"> </w:t>
      </w:r>
      <w:r>
        <w:t xml:space="preserve">explotación activa (catálogo KEV de CISA: los CVE listados reciben un piso de</w:t>
      </w:r>
      <w:r>
        <w:t xml:space="preserve"> </w:t>
      </w:r>
      <w:r>
        <w:t xml:space="preserve">probabilidad, pues la explotación deja de ser predicción) y la criticidad de</w:t>
      </w:r>
      <w:r>
        <w:t xml:space="preserve"> </w:t>
      </w:r>
      <w:r>
        <w:t xml:space="preserve">negocio del activo definida por la organización, ponderada por su exposición de red.</w:t>
      </w:r>
      <w:r>
        <w:t xml:space="preserve"> </w:t>
      </w:r>
      <w:r>
        <w:t xml:space="preserve">Sobre esta base, cada activo se</w:t>
      </w:r>
      <w:r>
        <w:t xml:space="preserve"> </w:t>
      </w:r>
      <w:r>
        <w:t xml:space="preserve">modela como una cadena de Markov de cuatro estados (Seguro, Detectado, Explotado,</w:t>
      </w:r>
      <w:r>
        <w:t xml:space="preserve"> </w:t>
      </w:r>
      <w:r>
        <w:t xml:space="preserve">Mitigado) cuya matriz de transición incorpora la tasa diaria de explotación derivada</w:t>
      </w:r>
      <w:r>
        <w:t xml:space="preserve"> </w:t>
      </w:r>
      <w:r>
        <w:t xml:space="preserve">del EPSS. La proyección a 30 días entrega la probabilidad de compromiso, que</w:t>
      </w:r>
      <w:r>
        <w:t xml:space="preserve"> </w:t>
      </w:r>
      <w:r>
        <w:t xml:space="preserve">ponderada por la criticidad de negocio produce el</w:t>
      </w:r>
      <w:r>
        <w:t xml:space="preserve"> </w:t>
      </w:r>
      <w:r>
        <w:rPr>
          <w:b/>
        </w:rPr>
        <w:t xml:space="preserve">Riesgo Dinámico</w:t>
      </w:r>
      <w:r>
        <w:t xml:space="preserve"> </w:t>
      </w:r>
      <w:r>
        <w:t xml:space="preserve">— la métrica</w:t>
      </w:r>
      <w:r>
        <w:t xml:space="preserve"> </w:t>
      </w:r>
      <w:r>
        <w:t xml:space="preserve">única de priorización de este informe.</w:t>
      </w:r>
    </w:p>
    <w:p>
      <w:pPr>
        <w:pStyle w:val="Heading2"/>
      </w:pPr>
      <w:bookmarkStart w:id="23" w:name="plan-de-priorización-de-parcheo-top-10"/>
      <w:r>
        <w:t xml:space="preserve">3. Plan de Priorización de Parcheo (Top 10)</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prioridad</w:t>
            </w:r>
          </w:p>
        </w:tc>
        <w:tc>
          <w:tcPr>
            <w:tcBorders>
              <w:bottom w:val="single"/>
            </w:tcBorders>
            <w:vAlign w:val="bottom"/>
          </w:tcPr>
          <w:p>
            <w:pPr>
              <w:pStyle w:val="Compact"/>
              <w:jc w:val="left"/>
            </w:pPr>
            <w:r>
              <w:t xml:space="preserve">host</w:t>
            </w:r>
          </w:p>
        </w:tc>
        <w:tc>
          <w:tcPr>
            <w:tcBorders>
              <w:bottom w:val="single"/>
            </w:tcBorders>
            <w:vAlign w:val="bottom"/>
          </w:tcPr>
          <w:p>
            <w:pPr>
              <w:pStyle w:val="Compact"/>
              <w:jc w:val="left"/>
            </w:pPr>
            <w:r>
              <w:t xml:space="preserve">cve_id</w:t>
            </w:r>
          </w:p>
        </w:tc>
        <w:tc>
          <w:tcPr>
            <w:tcBorders>
              <w:bottom w:val="single"/>
            </w:tcBorders>
            <w:vAlign w:val="bottom"/>
          </w:tcPr>
          <w:p>
            <w:pPr>
              <w:pStyle w:val="Compact"/>
              <w:jc w:val="left"/>
            </w:pPr>
            <w:r>
              <w:t xml:space="preserve">criticidad</w:t>
            </w:r>
          </w:p>
        </w:tc>
        <w:tc>
          <w:tcPr>
            <w:tcBorders>
              <w:bottom w:val="single"/>
            </w:tcBorders>
            <w:vAlign w:val="bottom"/>
          </w:tcPr>
          <w:p>
            <w:pPr>
              <w:pStyle w:val="Compact"/>
              <w:jc w:val="right"/>
            </w:pPr>
            <w:r>
              <w:t xml:space="preserve">cvss_score</w:t>
            </w:r>
          </w:p>
        </w:tc>
        <w:tc>
          <w:tcPr>
            <w:tcBorders>
              <w:bottom w:val="single"/>
            </w:tcBorders>
            <w:vAlign w:val="bottom"/>
          </w:tcPr>
          <w:p>
            <w:pPr>
              <w:pStyle w:val="Compact"/>
              <w:jc w:val="right"/>
            </w:pPr>
            <w:r>
              <w:t xml:space="preserve">epss_score</w:t>
            </w:r>
          </w:p>
        </w:tc>
        <w:tc>
          <w:tcPr>
            <w:tcBorders>
              <w:bottom w:val="single"/>
            </w:tcBorders>
            <w:vAlign w:val="bottom"/>
          </w:tcPr>
          <w:p>
            <w:pPr>
              <w:pStyle w:val="Compact"/>
              <w:jc w:val="left"/>
            </w:pPr>
            <w:r>
              <w:t xml:space="preserve">kev</w:t>
            </w:r>
          </w:p>
        </w:tc>
        <w:tc>
          <w:tcPr>
            <w:tcBorders>
              <w:bottom w:val="single"/>
            </w:tcBorders>
            <w:vAlign w:val="bottom"/>
          </w:tcPr>
          <w:p>
            <w:pPr>
              <w:pStyle w:val="Compact"/>
              <w:jc w:val="right"/>
            </w:pPr>
            <w:r>
              <w:t xml:space="preserve">riesgo_dinamico</w:t>
            </w:r>
          </w:p>
        </w:tc>
        <w:tc>
          <w:tcPr>
            <w:tcBorders>
              <w:bottom w:val="single"/>
            </w:tcBorders>
            <w:vAlign w:val="bottom"/>
          </w:tcPr>
          <w:p>
            <w:pPr>
              <w:pStyle w:val="Compact"/>
              <w:jc w:val="left"/>
            </w:pPr>
            <w:r>
              <w:t xml:space="preserve">sla</w:t>
            </w:r>
          </w:p>
        </w:tc>
      </w:tr>
      <w:tr>
        <w:tc>
          <w:p>
            <w:pPr>
              <w:pStyle w:val="Compact"/>
              <w:jc w:val="left"/>
            </w:pPr>
            <w:r>
              <w:t xml:space="preserve">P1</w:t>
            </w:r>
          </w:p>
        </w:tc>
        <w:tc>
          <w:p>
            <w:pPr>
              <w:pStyle w:val="Compact"/>
              <w:jc w:val="left"/>
            </w:pPr>
            <w:r>
              <w:t xml:space="preserve">VPN-PA-01</w:t>
            </w:r>
          </w:p>
        </w:tc>
        <w:tc>
          <w:p>
            <w:pPr>
              <w:pStyle w:val="Compact"/>
              <w:jc w:val="left"/>
            </w:pPr>
            <w:r>
              <w:t xml:space="preserve">CVE-2024-3400</w:t>
            </w:r>
          </w:p>
        </w:tc>
        <w:tc>
          <w:p>
            <w:pPr>
              <w:pStyle w:val="Compact"/>
              <w:jc w:val="left"/>
            </w:pPr>
            <w:r>
              <w:t xml:space="preserve">Alta</w:t>
            </w:r>
          </w:p>
        </w:tc>
        <w:tc>
          <w:p>
            <w:pPr>
              <w:pStyle w:val="Compact"/>
              <w:jc w:val="right"/>
            </w:pPr>
            <w:r>
              <w:t xml:space="preserve">10</w:t>
            </w:r>
          </w:p>
        </w:tc>
        <w:tc>
          <w:p>
            <w:pPr>
              <w:pStyle w:val="Compact"/>
              <w:jc w:val="right"/>
            </w:pPr>
            <w:r>
              <w:t xml:space="preserve">0.99999</w:t>
            </w:r>
          </w:p>
        </w:tc>
        <w:tc>
          <w:p>
            <w:pPr>
              <w:pStyle w:val="Compact"/>
              <w:jc w:val="left"/>
            </w:pPr>
            <w:r>
              <w:t xml:space="preserve">SÍ ⚠</w:t>
            </w:r>
          </w:p>
        </w:tc>
        <w:tc>
          <w:p>
            <w:pPr>
              <w:pStyle w:val="Compact"/>
              <w:jc w:val="right"/>
            </w:pPr>
            <w:r>
              <w:t xml:space="preserve">0.586104</w:t>
            </w:r>
          </w:p>
        </w:tc>
        <w:tc>
          <w:p>
            <w:pPr>
              <w:pStyle w:val="Compact"/>
              <w:jc w:val="left"/>
            </w:pPr>
            <w:r>
              <w:t xml:space="preserve">P1 — 72 horas</w:t>
            </w:r>
          </w:p>
        </w:tc>
      </w:tr>
      <w:tr>
        <w:tc>
          <w:p>
            <w:pPr>
              <w:pStyle w:val="Compact"/>
              <w:jc w:val="left"/>
            </w:pPr>
            <w:r>
              <w:t xml:space="preserve">P2</w:t>
            </w:r>
          </w:p>
        </w:tc>
        <w:tc>
          <w:p>
            <w:pPr>
              <w:pStyle w:val="Compact"/>
              <w:jc w:val="left"/>
            </w:pPr>
            <w:r>
              <w:t xml:space="preserve">ADC-CTX-01</w:t>
            </w:r>
          </w:p>
        </w:tc>
        <w:tc>
          <w:p>
            <w:pPr>
              <w:pStyle w:val="Compact"/>
              <w:jc w:val="left"/>
            </w:pPr>
            <w:r>
              <w:t xml:space="preserve">CVE-2023-4966</w:t>
            </w:r>
          </w:p>
        </w:tc>
        <w:tc>
          <w:p>
            <w:pPr>
              <w:pStyle w:val="Compact"/>
              <w:jc w:val="left"/>
            </w:pPr>
            <w:r>
              <w:t xml:space="preserve">Alta</w:t>
            </w:r>
          </w:p>
        </w:tc>
        <w:tc>
          <w:p>
            <w:pPr>
              <w:pStyle w:val="Compact"/>
              <w:jc w:val="right"/>
            </w:pPr>
            <w:r>
              <w:t xml:space="preserve">9.4</w:t>
            </w:r>
          </w:p>
        </w:tc>
        <w:tc>
          <w:p>
            <w:pPr>
              <w:pStyle w:val="Compact"/>
              <w:jc w:val="right"/>
            </w:pPr>
            <w:r>
              <w:t xml:space="preserve">0.99999</w:t>
            </w:r>
          </w:p>
        </w:tc>
        <w:tc>
          <w:p>
            <w:pPr>
              <w:pStyle w:val="Compact"/>
              <w:jc w:val="left"/>
            </w:pPr>
            <w:r>
              <w:t xml:space="preserve">SÍ ⚠</w:t>
            </w:r>
          </w:p>
        </w:tc>
        <w:tc>
          <w:p>
            <w:pPr>
              <w:pStyle w:val="Compact"/>
              <w:jc w:val="right"/>
            </w:pPr>
            <w:r>
              <w:t xml:space="preserve">0.586104</w:t>
            </w:r>
          </w:p>
        </w:tc>
        <w:tc>
          <w:p>
            <w:pPr>
              <w:pStyle w:val="Compact"/>
              <w:jc w:val="left"/>
            </w:pPr>
            <w:r>
              <w:t xml:space="preserve">P1 — 72 horas</w:t>
            </w:r>
          </w:p>
        </w:tc>
      </w:tr>
      <w:tr>
        <w:tc>
          <w:p>
            <w:pPr>
              <w:pStyle w:val="Compact"/>
              <w:jc w:val="left"/>
            </w:pPr>
            <w:r>
              <w:t xml:space="preserve">P3</w:t>
            </w:r>
          </w:p>
        </w:tc>
        <w:tc>
          <w:p>
            <w:pPr>
              <w:pStyle w:val="Compact"/>
              <w:jc w:val="left"/>
            </w:pPr>
            <w:r>
              <w:t xml:space="preserve">VPN-PULSE-01</w:t>
            </w:r>
          </w:p>
        </w:tc>
        <w:tc>
          <w:p>
            <w:pPr>
              <w:pStyle w:val="Compact"/>
              <w:jc w:val="left"/>
            </w:pPr>
            <w:r>
              <w:t xml:space="preserve">CVE-2019-11510</w:t>
            </w:r>
          </w:p>
        </w:tc>
        <w:tc>
          <w:p>
            <w:pPr>
              <w:pStyle w:val="Compact"/>
              <w:jc w:val="left"/>
            </w:pPr>
            <w:r>
              <w:t xml:space="preserve">Alta</w:t>
            </w:r>
          </w:p>
        </w:tc>
        <w:tc>
          <w:p>
            <w:pPr>
              <w:pStyle w:val="Compact"/>
              <w:jc w:val="right"/>
            </w:pPr>
            <w:r>
              <w:t xml:space="preserve">10</w:t>
            </w:r>
          </w:p>
        </w:tc>
        <w:tc>
          <w:p>
            <w:pPr>
              <w:pStyle w:val="Compact"/>
              <w:jc w:val="right"/>
            </w:pPr>
            <w:r>
              <w:t xml:space="preserve">0.99999</w:t>
            </w:r>
          </w:p>
        </w:tc>
        <w:tc>
          <w:p>
            <w:pPr>
              <w:pStyle w:val="Compact"/>
              <w:jc w:val="left"/>
            </w:pPr>
            <w:r>
              <w:t xml:space="preserve">SÍ ⚠</w:t>
            </w:r>
          </w:p>
        </w:tc>
        <w:tc>
          <w:p>
            <w:pPr>
              <w:pStyle w:val="Compact"/>
              <w:jc w:val="right"/>
            </w:pPr>
            <w:r>
              <w:t xml:space="preserve">0.586104</w:t>
            </w:r>
          </w:p>
        </w:tc>
        <w:tc>
          <w:p>
            <w:pPr>
              <w:pStyle w:val="Compact"/>
              <w:jc w:val="left"/>
            </w:pPr>
            <w:r>
              <w:t xml:space="preserve">P2 — 7 días</w:t>
            </w:r>
          </w:p>
        </w:tc>
      </w:tr>
      <w:tr>
        <w:tc>
          <w:p>
            <w:pPr>
              <w:pStyle w:val="Compact"/>
              <w:jc w:val="left"/>
            </w:pPr>
            <w:r>
              <w:t xml:space="preserve">P4</w:t>
            </w:r>
          </w:p>
        </w:tc>
        <w:tc>
          <w:p>
            <w:pPr>
              <w:pStyle w:val="Compact"/>
              <w:jc w:val="left"/>
            </w:pPr>
            <w:r>
              <w:t xml:space="preserve">LB-F5-01</w:t>
            </w:r>
          </w:p>
        </w:tc>
        <w:tc>
          <w:p>
            <w:pPr>
              <w:pStyle w:val="Compact"/>
              <w:jc w:val="left"/>
            </w:pPr>
            <w:r>
              <w:t xml:space="preserve">CVE-2022-1388</w:t>
            </w:r>
          </w:p>
        </w:tc>
        <w:tc>
          <w:p>
            <w:pPr>
              <w:pStyle w:val="Compact"/>
              <w:jc w:val="left"/>
            </w:pPr>
            <w:r>
              <w:t xml:space="preserve">Alta</w:t>
            </w:r>
          </w:p>
        </w:tc>
        <w:tc>
          <w:p>
            <w:pPr>
              <w:pStyle w:val="Compact"/>
              <w:jc w:val="right"/>
            </w:pPr>
            <w:r>
              <w:t xml:space="preserve">9.8</w:t>
            </w:r>
          </w:p>
        </w:tc>
        <w:tc>
          <w:p>
            <w:pPr>
              <w:pStyle w:val="Compact"/>
              <w:jc w:val="right"/>
            </w:pPr>
            <w:r>
              <w:t xml:space="preserve">0.99958</w:t>
            </w:r>
          </w:p>
        </w:tc>
        <w:tc>
          <w:p>
            <w:pPr>
              <w:pStyle w:val="Compact"/>
              <w:jc w:val="left"/>
            </w:pPr>
            <w:r>
              <w:t xml:space="preserve">SÍ ⚠</w:t>
            </w:r>
          </w:p>
        </w:tc>
        <w:tc>
          <w:p>
            <w:pPr>
              <w:pStyle w:val="Compact"/>
              <w:jc w:val="right"/>
            </w:pPr>
            <w:r>
              <w:t xml:space="preserve">0.563119</w:t>
            </w:r>
          </w:p>
        </w:tc>
        <w:tc>
          <w:p>
            <w:pPr>
              <w:pStyle w:val="Compact"/>
              <w:jc w:val="left"/>
            </w:pPr>
            <w:r>
              <w:t xml:space="preserve">P2 — 7 días</w:t>
            </w:r>
          </w:p>
        </w:tc>
      </w:tr>
      <w:tr>
        <w:tc>
          <w:p>
            <w:pPr>
              <w:pStyle w:val="Compact"/>
              <w:jc w:val="left"/>
            </w:pPr>
            <w:r>
              <w:t xml:space="preserve">P5</w:t>
            </w:r>
          </w:p>
        </w:tc>
        <w:tc>
          <w:p>
            <w:pPr>
              <w:pStyle w:val="Compact"/>
              <w:jc w:val="left"/>
            </w:pPr>
            <w:r>
              <w:t xml:space="preserve">FW-EDGE-01</w:t>
            </w:r>
          </w:p>
        </w:tc>
        <w:tc>
          <w:p>
            <w:pPr>
              <w:pStyle w:val="Compact"/>
              <w:jc w:val="left"/>
            </w:pPr>
            <w:r>
              <w:t xml:space="preserve">CVE-2023-20198</w:t>
            </w:r>
          </w:p>
        </w:tc>
        <w:tc>
          <w:p>
            <w:pPr>
              <w:pStyle w:val="Compact"/>
              <w:jc w:val="left"/>
            </w:pPr>
            <w:r>
              <w:t xml:space="preserve">Alta</w:t>
            </w:r>
          </w:p>
        </w:tc>
        <w:tc>
          <w:p>
            <w:pPr>
              <w:pStyle w:val="Compact"/>
              <w:jc w:val="right"/>
            </w:pPr>
            <w:r>
              <w:t xml:space="preserve">10</w:t>
            </w:r>
          </w:p>
        </w:tc>
        <w:tc>
          <w:p>
            <w:pPr>
              <w:pStyle w:val="Compact"/>
              <w:jc w:val="right"/>
            </w:pPr>
            <w:r>
              <w:t xml:space="preserve">0.99571</w:t>
            </w:r>
          </w:p>
        </w:tc>
        <w:tc>
          <w:p>
            <w:pPr>
              <w:pStyle w:val="Compact"/>
              <w:jc w:val="left"/>
            </w:pPr>
            <w:r>
              <w:t xml:space="preserve">SÍ ⚠</w:t>
            </w:r>
          </w:p>
        </w:tc>
        <w:tc>
          <w:p>
            <w:pPr>
              <w:pStyle w:val="Compact"/>
              <w:jc w:val="right"/>
            </w:pPr>
            <w:r>
              <w:t xml:space="preserve">0.535759</w:t>
            </w:r>
          </w:p>
        </w:tc>
        <w:tc>
          <w:p>
            <w:pPr>
              <w:pStyle w:val="Compact"/>
              <w:jc w:val="left"/>
            </w:pPr>
            <w:r>
              <w:t xml:space="preserve">P2 — 7 días</w:t>
            </w:r>
          </w:p>
        </w:tc>
      </w:tr>
      <w:tr>
        <w:tc>
          <w:p>
            <w:pPr>
              <w:pStyle w:val="Compact"/>
              <w:jc w:val="left"/>
            </w:pPr>
            <w:r>
              <w:t xml:space="preserve">P6</w:t>
            </w:r>
          </w:p>
        </w:tc>
        <w:tc>
          <w:p>
            <w:pPr>
              <w:pStyle w:val="Compact"/>
              <w:jc w:val="left"/>
            </w:pPr>
            <w:r>
              <w:t xml:space="preserve">SRV-VPN-01</w:t>
            </w:r>
          </w:p>
        </w:tc>
        <w:tc>
          <w:p>
            <w:pPr>
              <w:pStyle w:val="Compact"/>
              <w:jc w:val="left"/>
            </w:pPr>
            <w:r>
              <w:t xml:space="preserve">CVE-2018-13379</w:t>
            </w:r>
          </w:p>
        </w:tc>
        <w:tc>
          <w:p>
            <w:pPr>
              <w:pStyle w:val="Compact"/>
              <w:jc w:val="left"/>
            </w:pPr>
            <w:r>
              <w:t xml:space="preserve">Alta</w:t>
            </w:r>
          </w:p>
        </w:tc>
        <w:tc>
          <w:p>
            <w:pPr>
              <w:pStyle w:val="Compact"/>
              <w:jc w:val="right"/>
            </w:pPr>
            <w:r>
              <w:t xml:space="preserve">9.1</w:t>
            </w:r>
          </w:p>
        </w:tc>
        <w:tc>
          <w:p>
            <w:pPr>
              <w:pStyle w:val="Compact"/>
              <w:jc w:val="right"/>
            </w:pPr>
            <w:r>
              <w:t xml:space="preserve">0.99999</w:t>
            </w:r>
          </w:p>
        </w:tc>
        <w:tc>
          <w:p>
            <w:pPr>
              <w:pStyle w:val="Compact"/>
              <w:jc w:val="left"/>
            </w:pPr>
            <w:r>
              <w:t xml:space="preserve">SÍ ⚠</w:t>
            </w:r>
          </w:p>
        </w:tc>
        <w:tc>
          <w:p>
            <w:pPr>
              <w:pStyle w:val="Compact"/>
              <w:jc w:val="right"/>
            </w:pPr>
            <w:r>
              <w:t xml:space="preserve">0.514182</w:t>
            </w:r>
          </w:p>
        </w:tc>
        <w:tc>
          <w:p>
            <w:pPr>
              <w:pStyle w:val="Compact"/>
              <w:jc w:val="left"/>
            </w:pPr>
            <w:r>
              <w:t xml:space="preserve">P3 — 30 días</w:t>
            </w:r>
          </w:p>
        </w:tc>
      </w:tr>
      <w:tr>
        <w:tc>
          <w:p>
            <w:pPr>
              <w:pStyle w:val="Compact"/>
              <w:jc w:val="left"/>
            </w:pPr>
            <w:r>
              <w:t xml:space="preserve">P7</w:t>
            </w:r>
          </w:p>
        </w:tc>
        <w:tc>
          <w:p>
            <w:pPr>
              <w:pStyle w:val="Compact"/>
              <w:jc w:val="left"/>
            </w:pPr>
            <w:r>
              <w:t xml:space="preserve">SRV-WEB-03</w:t>
            </w:r>
          </w:p>
        </w:tc>
        <w:tc>
          <w:p>
            <w:pPr>
              <w:pStyle w:val="Compact"/>
              <w:jc w:val="left"/>
            </w:pPr>
            <w:r>
              <w:t xml:space="preserve">CVE-2017-5638</w:t>
            </w:r>
          </w:p>
        </w:tc>
        <w:tc>
          <w:p>
            <w:pPr>
              <w:pStyle w:val="Compact"/>
              <w:jc w:val="left"/>
            </w:pPr>
            <w:r>
              <w:t xml:space="preserve">Alta</w:t>
            </w:r>
          </w:p>
        </w:tc>
        <w:tc>
          <w:p>
            <w:pPr>
              <w:pStyle w:val="Compact"/>
              <w:jc w:val="right"/>
            </w:pPr>
            <w:r>
              <w:t xml:space="preserve">9.8</w:t>
            </w:r>
          </w:p>
        </w:tc>
        <w:tc>
          <w:p>
            <w:pPr>
              <w:pStyle w:val="Compact"/>
              <w:jc w:val="right"/>
            </w:pPr>
            <w:r>
              <w:t xml:space="preserve">0.99999</w:t>
            </w:r>
          </w:p>
        </w:tc>
        <w:tc>
          <w:p>
            <w:pPr>
              <w:pStyle w:val="Compact"/>
              <w:jc w:val="left"/>
            </w:pPr>
            <w:r>
              <w:t xml:space="preserve">SÍ ⚠</w:t>
            </w:r>
          </w:p>
        </w:tc>
        <w:tc>
          <w:p>
            <w:pPr>
              <w:pStyle w:val="Compact"/>
              <w:jc w:val="right"/>
            </w:pPr>
            <w:r>
              <w:t xml:space="preserve">0.514182</w:t>
            </w:r>
          </w:p>
        </w:tc>
        <w:tc>
          <w:p>
            <w:pPr>
              <w:pStyle w:val="Compact"/>
              <w:jc w:val="left"/>
            </w:pPr>
            <w:r>
              <w:t xml:space="preserve">P3 — 30 días</w:t>
            </w:r>
          </w:p>
        </w:tc>
      </w:tr>
      <w:tr>
        <w:tc>
          <w:p>
            <w:pPr>
              <w:pStyle w:val="Compact"/>
              <w:jc w:val="left"/>
            </w:pPr>
            <w:r>
              <w:t xml:space="preserve">P8</w:t>
            </w:r>
          </w:p>
        </w:tc>
        <w:tc>
          <w:p>
            <w:pPr>
              <w:pStyle w:val="Compact"/>
              <w:jc w:val="left"/>
            </w:pPr>
            <w:r>
              <w:t xml:space="preserve">SRV-MAIL-01</w:t>
            </w:r>
          </w:p>
        </w:tc>
        <w:tc>
          <w:p>
            <w:pPr>
              <w:pStyle w:val="Compact"/>
              <w:jc w:val="left"/>
            </w:pPr>
            <w:r>
              <w:t xml:space="preserve">CVE-2021-26855</w:t>
            </w:r>
          </w:p>
        </w:tc>
        <w:tc>
          <w:p>
            <w:pPr>
              <w:pStyle w:val="Compact"/>
              <w:jc w:val="left"/>
            </w:pPr>
            <w:r>
              <w:t xml:space="preserve">Alta</w:t>
            </w:r>
          </w:p>
        </w:tc>
        <w:tc>
          <w:p>
            <w:pPr>
              <w:pStyle w:val="Compact"/>
              <w:jc w:val="right"/>
            </w:pPr>
            <w:r>
              <w:t xml:space="preserve">9.1</w:t>
            </w:r>
          </w:p>
        </w:tc>
        <w:tc>
          <w:p>
            <w:pPr>
              <w:pStyle w:val="Compact"/>
              <w:jc w:val="right"/>
            </w:pPr>
            <w:r>
              <w:t xml:space="preserve">0.99996</w:t>
            </w:r>
          </w:p>
        </w:tc>
        <w:tc>
          <w:p>
            <w:pPr>
              <w:pStyle w:val="Compact"/>
              <w:jc w:val="left"/>
            </w:pPr>
            <w:r>
              <w:t xml:space="preserve">SÍ ⚠</w:t>
            </w:r>
          </w:p>
        </w:tc>
        <w:tc>
          <w:p>
            <w:pPr>
              <w:pStyle w:val="Compact"/>
              <w:jc w:val="right"/>
            </w:pPr>
            <w:r>
              <w:t xml:space="preserve">0.503428</w:t>
            </w:r>
          </w:p>
        </w:tc>
        <w:tc>
          <w:p>
            <w:pPr>
              <w:pStyle w:val="Compact"/>
              <w:jc w:val="left"/>
            </w:pPr>
            <w:r>
              <w:t xml:space="preserve">P3 — 30 días</w:t>
            </w:r>
          </w:p>
        </w:tc>
      </w:tr>
      <w:tr>
        <w:tc>
          <w:p>
            <w:pPr>
              <w:pStyle w:val="Compact"/>
              <w:jc w:val="left"/>
            </w:pPr>
            <w:r>
              <w:t xml:space="preserve">P9</w:t>
            </w:r>
          </w:p>
        </w:tc>
        <w:tc>
          <w:p>
            <w:pPr>
              <w:pStyle w:val="Compact"/>
              <w:jc w:val="left"/>
            </w:pPr>
            <w:r>
              <w:t xml:space="preserve">SRV-WEB-01</w:t>
            </w:r>
          </w:p>
        </w:tc>
        <w:tc>
          <w:p>
            <w:pPr>
              <w:pStyle w:val="Compact"/>
              <w:jc w:val="left"/>
            </w:pPr>
            <w:r>
              <w:t xml:space="preserve">CVE-2021-41773</w:t>
            </w:r>
          </w:p>
        </w:tc>
        <w:tc>
          <w:p>
            <w:pPr>
              <w:pStyle w:val="Compact"/>
              <w:jc w:val="left"/>
            </w:pPr>
            <w:r>
              <w:t xml:space="preserve">Alta</w:t>
            </w:r>
          </w:p>
        </w:tc>
        <w:tc>
          <w:p>
            <w:pPr>
              <w:pStyle w:val="Compact"/>
              <w:jc w:val="right"/>
            </w:pPr>
            <w:r>
              <w:t xml:space="preserve">9.8</w:t>
            </w:r>
          </w:p>
        </w:tc>
        <w:tc>
          <w:p>
            <w:pPr>
              <w:pStyle w:val="Compact"/>
              <w:jc w:val="right"/>
            </w:pPr>
            <w:r>
              <w:t xml:space="preserve">0.99992</w:t>
            </w:r>
          </w:p>
        </w:tc>
        <w:tc>
          <w:p>
            <w:pPr>
              <w:pStyle w:val="Compact"/>
              <w:jc w:val="left"/>
            </w:pPr>
            <w:r>
              <w:t xml:space="preserve">SÍ ⚠</w:t>
            </w:r>
          </w:p>
        </w:tc>
        <w:tc>
          <w:p>
            <w:pPr>
              <w:pStyle w:val="Compact"/>
              <w:jc w:val="right"/>
            </w:pPr>
            <w:r>
              <w:t xml:space="preserve">0.497076</w:t>
            </w:r>
          </w:p>
        </w:tc>
        <w:tc>
          <w:p>
            <w:pPr>
              <w:pStyle w:val="Compact"/>
              <w:jc w:val="left"/>
            </w:pPr>
            <w:r>
              <w:t xml:space="preserve">P3 — 30 días</w:t>
            </w:r>
          </w:p>
        </w:tc>
      </w:tr>
      <w:tr>
        <w:tc>
          <w:p>
            <w:pPr>
              <w:pStyle w:val="Compact"/>
              <w:jc w:val="left"/>
            </w:pPr>
            <w:r>
              <w:t xml:space="preserve">P10</w:t>
            </w:r>
          </w:p>
        </w:tc>
        <w:tc>
          <w:p>
            <w:pPr>
              <w:pStyle w:val="Compact"/>
              <w:jc w:val="left"/>
            </w:pPr>
            <w:r>
              <w:t xml:space="preserve">SRV-MAIL-02</w:t>
            </w:r>
          </w:p>
        </w:tc>
        <w:tc>
          <w:p>
            <w:pPr>
              <w:pStyle w:val="Compact"/>
              <w:jc w:val="left"/>
            </w:pPr>
            <w:r>
              <w:t xml:space="preserve">CVE-2022-41082</w:t>
            </w:r>
          </w:p>
        </w:tc>
        <w:tc>
          <w:p>
            <w:pPr>
              <w:pStyle w:val="Compact"/>
              <w:jc w:val="left"/>
            </w:pPr>
            <w:r>
              <w:t xml:space="preserve">Alta</w:t>
            </w:r>
          </w:p>
        </w:tc>
        <w:tc>
          <w:p>
            <w:pPr>
              <w:pStyle w:val="Compact"/>
              <w:jc w:val="right"/>
            </w:pPr>
            <w:r>
              <w:t xml:space="preserve">8</w:t>
            </w:r>
          </w:p>
        </w:tc>
        <w:tc>
          <w:p>
            <w:pPr>
              <w:pStyle w:val="Compact"/>
              <w:jc w:val="right"/>
            </w:pPr>
            <w:r>
              <w:t xml:space="preserve">0.9997</w:t>
            </w:r>
          </w:p>
        </w:tc>
        <w:tc>
          <w:p>
            <w:pPr>
              <w:pStyle w:val="Compact"/>
              <w:jc w:val="left"/>
            </w:pPr>
            <w:r>
              <w:t xml:space="preserve">SÍ ⚠</w:t>
            </w:r>
          </w:p>
        </w:tc>
        <w:tc>
          <w:p>
            <w:pPr>
              <w:pStyle w:val="Compact"/>
              <w:jc w:val="right"/>
            </w:pPr>
            <w:r>
              <w:t xml:space="preserve">0.482568</w:t>
            </w:r>
          </w:p>
        </w:tc>
        <w:tc>
          <w:p>
            <w:pPr>
              <w:pStyle w:val="Compact"/>
              <w:jc w:val="left"/>
            </w:pPr>
            <w:r>
              <w:t xml:space="preserve">P3 — 30 días</w:t>
            </w:r>
          </w:p>
        </w:tc>
      </w:tr>
    </w:tbl>
    <w:p>
      <w:pPr>
        <w:pStyle w:val="BodyText"/>
      </w:pPr>
      <w:r>
        <w:t xml:space="preserve">Los SLA se asignan por posición en el ranking de riesgo: P1 (72 horas) para los dos</w:t>
      </w:r>
      <w:r>
        <w:t xml:space="preserve"> </w:t>
      </w:r>
      <w:r>
        <w:t xml:space="preserve">primeros activos, P2 (7 días) hasta la posición 5, P3 (30 días) para el resto.</w:t>
      </w:r>
    </w:p>
    <w:p>
      <w:pPr>
        <w:pStyle w:val="Heading2"/>
      </w:pPr>
      <w:bookmarkStart w:id="24" w:name="fichas-de-acción-por-activo"/>
      <w:r>
        <w:t xml:space="preserve">4. Fichas de Acción por Activo</w:t>
      </w:r>
      <w:bookmarkEnd w:id="24"/>
    </w:p>
    <w:p>
      <w:pPr>
        <w:pStyle w:val="FirstParagraph"/>
      </w:pPr>
      <w:r>
        <w:t xml:space="preserve">Como CISO con formación en Ingeniería Industrial, entiendo la ciberseguridad como la</w:t>
      </w:r>
      <w:r>
        <w:t xml:space="preserve"> </w:t>
      </w:r>
      <w:r>
        <w:rPr>
          <w:b/>
        </w:rPr>
        <w:t xml:space="preserve">optimización de la función de pérdida bajo restricciones severas</w:t>
      </w:r>
      <w:r>
        <w:t xml:space="preserve"> </w:t>
      </w:r>
      <w:r>
        <w:t xml:space="preserve">(tiempo, recursos de ingeniería y continuidad de negocio). El modelo de Markov ha priorizado estos 10 activos por su alta probabilidad de transición a un estado comprometido y su criticidad.</w:t>
      </w:r>
    </w:p>
    <w:p>
      <w:pPr>
        <w:pStyle w:val="BodyText"/>
      </w:pPr>
      <w:r>
        <w:t xml:space="preserve">A continuación, presento la ficha técnica de optimización y mitigación para cada vector de riesgo crítico expuesto en el perímetro.</w:t>
      </w:r>
    </w:p>
    <w:p>
      <w:r>
        <w:pict>
          <v:rect style="width:0;height:1.5pt" o:hralign="center" o:hrstd="t" o:hr="t"/>
        </w:pict>
      </w:r>
    </w:p>
    <w:p>
      <w:pPr>
        <w:pStyle w:val="Heading3"/>
      </w:pPr>
      <w:bookmarkStart w:id="25" w:name="vpn-pa-01-cve-2024-3400"/>
      <w:r>
        <w:t xml:space="preserve">1. VPN-PA-01 — CVE-2024-3400</w:t>
      </w:r>
      <w:bookmarkEnd w:id="25"/>
    </w:p>
    <w:p>
      <w:pPr>
        <w:numPr>
          <w:ilvl w:val="0"/>
          <w:numId w:val="1001"/>
        </w:numPr>
        <w:pStyle w:val="Compact"/>
      </w:pPr>
      <w:r>
        <w:rPr>
          <w:b/>
        </w:rPr>
        <w:t xml:space="preserve">MITRE ATT&amp;CK</w:t>
      </w:r>
      <w:r>
        <w:t xml:space="preserve">: TA0001 (Acceso Inicial) — T1190 (Explotar Aplicación Pública).</w:t>
      </w:r>
    </w:p>
    <w:p>
      <w:pPr>
        <w:numPr>
          <w:ilvl w:val="0"/>
          <w:numId w:val="1001"/>
        </w:numPr>
        <w:pStyle w:val="Compact"/>
      </w:pPr>
      <w:r>
        <w:rPr>
          <w:b/>
        </w:rPr>
        <w:t xml:space="preserve">Plan de Mitigación Técnico</w:t>
      </w:r>
      <w:r>
        <w:t xml:space="preserve">:</w:t>
      </w:r>
    </w:p>
    <w:p>
      <w:pPr>
        <w:numPr>
          <w:ilvl w:val="1"/>
          <w:numId w:val="1002"/>
        </w:numPr>
        <w:pStyle w:val="Compact"/>
      </w:pPr>
      <w:r>
        <w:t xml:space="preserve">Aplicar inmediatamente la actualización de hotfix de PAN-OS proporcionada por Palo Alto Networks para la versión afectada.</w:t>
      </w:r>
    </w:p>
    <w:p>
      <w:pPr>
        <w:numPr>
          <w:ilvl w:val="1"/>
          <w:numId w:val="1002"/>
        </w:numPr>
        <w:pStyle w:val="Compact"/>
      </w:pPr>
      <w:r>
        <w:rPr>
          <w:i/>
        </w:rPr>
        <w:t xml:space="preserve">Mitigación temporal (si el parche no es inmediato):</w:t>
      </w:r>
      <w:r>
        <w:t xml:space="preserve"> </w:t>
      </w:r>
      <w:r>
        <w:t xml:space="preserve">Deshabilitar temporalmente la característica GlobalProtect o la telemetría de dispositivos (Device Telemetry) mediante la configuración del sistema, ya que el vector de inyección depende de esta función.</w:t>
      </w:r>
    </w:p>
    <w:p>
      <w:pPr>
        <w:numPr>
          <w:ilvl w:val="1"/>
          <w:numId w:val="1002"/>
        </w:numPr>
        <w:pStyle w:val="Compact"/>
      </w:pPr>
      <w:r>
        <w:t xml:space="preserve">Verificar en los logs del firewall la ausencia de creación de archivos arbitrarios en</w:t>
      </w:r>
      <w:r>
        <w:t xml:space="preserve"> </w:t>
      </w:r>
      <w:r>
        <w:rPr>
          <w:rStyle w:val="VerbatimChar"/>
        </w:rPr>
        <w:t xml:space="preserve">/var/appweb/sslvpn/dynamic/</w:t>
      </w:r>
      <w:r>
        <w:t xml:space="preserve"> </w:t>
      </w:r>
      <w:r>
        <w:t xml:space="preserve">o directorios similares.</w:t>
      </w:r>
    </w:p>
    <w:p>
      <w:pPr>
        <w:numPr>
          <w:ilvl w:val="0"/>
          <w:numId w:val="1001"/>
        </w:numPr>
        <w:pStyle w:val="Compact"/>
      </w:pPr>
      <w:r>
        <w:rPr>
          <w:b/>
        </w:rPr>
        <w:t xml:space="preserve">Impacto al Negocio si es Explotado</w:t>
      </w:r>
      <w:r>
        <w:t xml:space="preserve">: Un atacante obtendría control total (nivel root) del perímetro de red, permitiéndole interceptar todo el tráfico corporativo, moverse lateralmente hacia la red interna sin resistencia y comprometer la confidencialidad de las comunicaciones y credenciales de toda la organización.</w:t>
      </w:r>
    </w:p>
    <w:p>
      <w:r>
        <w:pict>
          <v:rect style="width:0;height:1.5pt" o:hralign="center" o:hrstd="t" o:hr="t"/>
        </w:pict>
      </w:r>
    </w:p>
    <w:p>
      <w:pPr>
        <w:pStyle w:val="Heading3"/>
      </w:pPr>
      <w:bookmarkStart w:id="26" w:name="adc-ctx-01-cve-2023-4966"/>
      <w:r>
        <w:t xml:space="preserve">2. ADC-CTX-01 — CVE-2023-4966</w:t>
      </w:r>
      <w:bookmarkEnd w:id="26"/>
    </w:p>
    <w:p>
      <w:pPr>
        <w:numPr>
          <w:ilvl w:val="0"/>
          <w:numId w:val="1003"/>
        </w:numPr>
        <w:pStyle w:val="Compact"/>
      </w:pPr>
      <w:r>
        <w:rPr>
          <w:b/>
        </w:rPr>
        <w:t xml:space="preserve">MITRE ATT&amp;CK</w:t>
      </w:r>
      <w:r>
        <w:t xml:space="preserve">: TA0004 (Escalación de Privilegios) — T1068 (Explotación para Escalación de Privilegios).</w:t>
      </w:r>
    </w:p>
    <w:p>
      <w:pPr>
        <w:numPr>
          <w:ilvl w:val="0"/>
          <w:numId w:val="1003"/>
        </w:numPr>
        <w:pStyle w:val="Compact"/>
      </w:pPr>
      <w:r>
        <w:rPr>
          <w:b/>
        </w:rPr>
        <w:t xml:space="preserve">Plan de Mitigación Técnico</w:t>
      </w:r>
      <w:r>
        <w:t xml:space="preserve">:</w:t>
      </w:r>
    </w:p>
    <w:p>
      <w:pPr>
        <w:numPr>
          <w:ilvl w:val="1"/>
          <w:numId w:val="1004"/>
        </w:numPr>
        <w:pStyle w:val="Compact"/>
      </w:pPr>
      <w:r>
        <w:t xml:space="preserve">Actualizar el firmware de NetScaler ADC y NetScaler Gateway a las versiones corregidas (13.1-49.13, 12.1-65.25, etc.).</w:t>
      </w:r>
    </w:p>
    <w:p>
      <w:pPr>
        <w:numPr>
          <w:ilvl w:val="1"/>
          <w:numId w:val="1004"/>
        </w:numPr>
        <w:pStyle w:val="Compact"/>
      </w:pPr>
      <w:r>
        <w:rPr>
          <w:i/>
        </w:rPr>
        <w:t xml:space="preserve">Mitigación temporal:</w:t>
      </w:r>
      <w:r>
        <w:t xml:space="preserve"> </w:t>
      </w:r>
      <w:r>
        <w:t xml:space="preserve">Invalidar todas las sesiones activas existentes (</w:t>
      </w:r>
      <w:r>
        <w:rPr>
          <w:rStyle w:val="VerbatimChar"/>
        </w:rPr>
        <w:t xml:space="preserve">kill icr_sessions</w:t>
      </w:r>
      <w:r>
        <w:t xml:space="preserve"> </w:t>
      </w:r>
      <w:r>
        <w:t xml:space="preserve">y reiniciar el servicio AAA) y revocar las cookies de sesión emitidas antes del parche, ya que la vulnerabilidad permite el robo de memoria de sesión (Citrix Bleed).</w:t>
      </w:r>
    </w:p>
    <w:p>
      <w:pPr>
        <w:numPr>
          <w:ilvl w:val="0"/>
          <w:numId w:val="1003"/>
        </w:numPr>
        <w:pStyle w:val="Compact"/>
      </w:pPr>
      <w:r>
        <w:rPr>
          <w:b/>
        </w:rPr>
        <w:t xml:space="preserve">Impacto al Negocio si es Explotado</w:t>
      </w:r>
      <w:r>
        <w:t xml:space="preserve">: Exposición masiva de sesiones de usuario activas. Los atacantes pueden secuestrar identidades corporativas sin necesidad de credenciales, accediendo a aplicaciones publicadas y datos sensibles de clientes y empleados con la misma autoridad que el usuario legítimo.</w:t>
      </w:r>
    </w:p>
    <w:p>
      <w:r>
        <w:pict>
          <v:rect style="width:0;height:1.5pt" o:hralign="center" o:hrstd="t" o:hr="t"/>
        </w:pict>
      </w:r>
    </w:p>
    <w:p>
      <w:pPr>
        <w:pStyle w:val="Heading3"/>
      </w:pPr>
      <w:bookmarkStart w:id="27" w:name="vpn-pulse-01-cve-2019-11510"/>
      <w:r>
        <w:t xml:space="preserve">3. VPN-PULSE-01 — CVE-2019-11510</w:t>
      </w:r>
      <w:bookmarkEnd w:id="27"/>
    </w:p>
    <w:p>
      <w:pPr>
        <w:numPr>
          <w:ilvl w:val="0"/>
          <w:numId w:val="1005"/>
        </w:numPr>
        <w:pStyle w:val="Compact"/>
      </w:pPr>
      <w:r>
        <w:rPr>
          <w:b/>
        </w:rPr>
        <w:t xml:space="preserve">MITRE ATT&amp;CK</w:t>
      </w:r>
      <w:r>
        <w:t xml:space="preserve">: TA0001 (Acceso Inicial) — T1190 (Explotar Aplicación Pública).</w:t>
      </w:r>
    </w:p>
    <w:p>
      <w:pPr>
        <w:numPr>
          <w:ilvl w:val="0"/>
          <w:numId w:val="1005"/>
        </w:numPr>
        <w:pStyle w:val="Compact"/>
      </w:pPr>
      <w:r>
        <w:rPr>
          <w:b/>
        </w:rPr>
        <w:t xml:space="preserve">Plan de Mitigación Técnico</w:t>
      </w:r>
      <w:r>
        <w:t xml:space="preserve">:</w:t>
      </w:r>
    </w:p>
    <w:p>
      <w:pPr>
        <w:numPr>
          <w:ilvl w:val="1"/>
          <w:numId w:val="1006"/>
        </w:numPr>
        <w:pStyle w:val="Compact"/>
      </w:pPr>
      <w:r>
        <w:t xml:space="preserve">Aplicar el parche oficial de Pulse Secure (versiones 8.2R12.1, 8.3R7.1, 9.0R3.4 o superiores).</w:t>
      </w:r>
    </w:p>
    <w:p>
      <w:pPr>
        <w:numPr>
          <w:ilvl w:val="1"/>
          <w:numId w:val="1006"/>
        </w:numPr>
        <w:pStyle w:val="Compact"/>
      </w:pPr>
      <w:r>
        <w:t xml:space="preserve">Forzar el reseteo de todas las contraseñas de usuarios y administradores que hayan transitado por esta VPN, así como la invalidación de certificados de sesión.</w:t>
      </w:r>
    </w:p>
    <w:p>
      <w:pPr>
        <w:numPr>
          <w:ilvl w:val="1"/>
          <w:numId w:val="1006"/>
        </w:numPr>
        <w:pStyle w:val="Compact"/>
      </w:pPr>
      <w:r>
        <w:rPr>
          <w:i/>
        </w:rPr>
        <w:t xml:space="preserve">Mitigación temporal:</w:t>
      </w:r>
      <w:r>
        <w:t xml:space="preserve"> </w:t>
      </w:r>
      <w:r>
        <w:t xml:space="preserve">Restringir el acceso por IP de origen (whitelisting estricto) en el firewall perimetral hacia la interfaz de administración y portal de usuarios de la VPN.</w:t>
      </w:r>
    </w:p>
    <w:p>
      <w:pPr>
        <w:numPr>
          <w:ilvl w:val="0"/>
          <w:numId w:val="1005"/>
        </w:numPr>
        <w:pStyle w:val="Compact"/>
      </w:pPr>
      <w:r>
        <w:rPr>
          <w:b/>
        </w:rPr>
        <w:t xml:space="preserve">Impacto al Negocio si es Explotado</w:t>
      </w:r>
      <w:r>
        <w:t xml:space="preserve">: Compromiso histórico de credenciales y lectura de archivos del sistema (incluyendo archivos de configuración con contraseñas en texto plano). Pérdida total de la confianza en el perímetro de acceso remoto, obligando a una auditoría forense y potencial notificación regulatoria por brecha de datos.</w:t>
      </w:r>
    </w:p>
    <w:p>
      <w:r>
        <w:pict>
          <v:rect style="width:0;height:1.5pt" o:hralign="center" o:hrstd="t" o:hr="t"/>
        </w:pict>
      </w:r>
    </w:p>
    <w:p>
      <w:pPr>
        <w:pStyle w:val="Heading3"/>
      </w:pPr>
      <w:bookmarkStart w:id="28" w:name="lb-f5-01-cve-2022-1388"/>
      <w:r>
        <w:t xml:space="preserve">4. LB-F5-01 — CVE-2022-1388</w:t>
      </w:r>
      <w:bookmarkEnd w:id="28"/>
    </w:p>
    <w:p>
      <w:pPr>
        <w:numPr>
          <w:ilvl w:val="0"/>
          <w:numId w:val="1007"/>
        </w:numPr>
        <w:pStyle w:val="Compact"/>
      </w:pPr>
      <w:r>
        <w:rPr>
          <w:b/>
        </w:rPr>
        <w:t xml:space="preserve">MITRE ATT&amp;CK</w:t>
      </w:r>
      <w:r>
        <w:t xml:space="preserve">: TA0001 (Acceso Inicial) — T1190 (Explotar Aplicación Pública).</w:t>
      </w:r>
    </w:p>
    <w:p>
      <w:pPr>
        <w:numPr>
          <w:ilvl w:val="0"/>
          <w:numId w:val="1007"/>
        </w:numPr>
        <w:pStyle w:val="Compact"/>
      </w:pPr>
      <w:r>
        <w:rPr>
          <w:b/>
        </w:rPr>
        <w:t xml:space="preserve">Plan de Mitigación Técnico</w:t>
      </w:r>
      <w:r>
        <w:t xml:space="preserve">:</w:t>
      </w:r>
    </w:p>
    <w:p>
      <w:pPr>
        <w:numPr>
          <w:ilvl w:val="1"/>
          <w:numId w:val="1008"/>
        </w:numPr>
        <w:pStyle w:val="Compact"/>
      </w:pPr>
      <w:r>
        <w:t xml:space="preserve">Actualizar BIG-IP a las versiones 16.1.2.2, 15.1.5.1, 14.1.4.6, 13.1.5 o posteriores.</w:t>
      </w:r>
    </w:p>
    <w:p>
      <w:pPr>
        <w:numPr>
          <w:ilvl w:val="1"/>
          <w:numId w:val="1008"/>
        </w:numPr>
        <w:pStyle w:val="Compact"/>
      </w:pPr>
      <w:r>
        <w:rPr>
          <w:i/>
        </w:rPr>
        <w:t xml:space="preserve">Mitigación temporal:</w:t>
      </w:r>
      <w:r>
        <w:t xml:space="preserve"> </w:t>
      </w:r>
      <w:r>
        <w:t xml:space="preserve">Bloquear el acceso a la interfaz de administración de iControl REST desde redes externas/no confiables mediante reglas de control de acceso (Port Lockdown o packet filters en el propio BIG-IP). Asegurar que la gestión solo sea accesible desde una VLAN de administración aislada.</w:t>
      </w:r>
    </w:p>
    <w:p>
      <w:pPr>
        <w:numPr>
          <w:ilvl w:val="0"/>
          <w:numId w:val="1007"/>
        </w:numPr>
        <w:pStyle w:val="Compact"/>
      </w:pPr>
      <w:r>
        <w:rPr>
          <w:b/>
        </w:rPr>
        <w:t xml:space="preserve">Impacto al Negocio si es Explotado</w:t>
      </w:r>
      <w:r>
        <w:t xml:space="preserve">: Bypass completo de la autenticación de gestión. Un atacante puede ejecutar comandos arbitrarios en el balanceador, alterando el enrutamiento del tráfico, interceptando transacciones financieras o interrumpiendo totalmente la disponibilidad de los servicios críticos expuestos al público.</w:t>
      </w:r>
    </w:p>
    <w:p>
      <w:r>
        <w:pict>
          <v:rect style="width:0;height:1.5pt" o:hralign="center" o:hrstd="t" o:hr="t"/>
        </w:pict>
      </w:r>
    </w:p>
    <w:p>
      <w:pPr>
        <w:pStyle w:val="Heading3"/>
      </w:pPr>
      <w:bookmarkStart w:id="29" w:name="fw-edge-01-cve-2023-20198"/>
      <w:r>
        <w:t xml:space="preserve">5. FW-EDGE-01 — CVE-2023-20198</w:t>
      </w:r>
      <w:bookmarkEnd w:id="29"/>
    </w:p>
    <w:p>
      <w:pPr>
        <w:numPr>
          <w:ilvl w:val="0"/>
          <w:numId w:val="1009"/>
        </w:numPr>
        <w:pStyle w:val="Compact"/>
      </w:pPr>
      <w:r>
        <w:rPr>
          <w:b/>
        </w:rPr>
        <w:t xml:space="preserve">MITRE ATT&amp;CK</w:t>
      </w:r>
      <w:r>
        <w:t xml:space="preserve">: TA0001 (Acceso Inicial) — T1190 (Explotar Aplicación Pública).</w:t>
      </w:r>
    </w:p>
    <w:p>
      <w:pPr>
        <w:numPr>
          <w:ilvl w:val="0"/>
          <w:numId w:val="1009"/>
        </w:numPr>
        <w:pStyle w:val="Compact"/>
      </w:pPr>
      <w:r>
        <w:rPr>
          <w:b/>
        </w:rPr>
        <w:t xml:space="preserve">Plan de Mitigación Técnico</w:t>
      </w:r>
      <w:r>
        <w:t xml:space="preserve">:</w:t>
      </w:r>
    </w:p>
    <w:p>
      <w:pPr>
        <w:numPr>
          <w:ilvl w:val="1"/>
          <w:numId w:val="1010"/>
        </w:numPr>
        <w:pStyle w:val="Compact"/>
      </w:pPr>
      <w:r>
        <w:t xml:space="preserve">Actualizar Cisco IOS XE a una versión que contenga la corrección definitiva para CVE-2023-20198 y CVE-2023-20273.</w:t>
      </w:r>
    </w:p>
    <w:p>
      <w:pPr>
        <w:numPr>
          <w:ilvl w:val="1"/>
          <w:numId w:val="1010"/>
        </w:numPr>
        <w:pStyle w:val="Compact"/>
      </w:pPr>
      <w:r>
        <w:rPr>
          <w:i/>
        </w:rPr>
        <w:t xml:space="preserve">Mitigación temporal:</w:t>
      </w:r>
      <w:r>
        <w:t xml:space="preserve"> </w:t>
      </w:r>
      <w:r>
        <w:t xml:space="preserve">Deshabilitar las características de servidor HTTP/HTTPS (Web UI) en los equipos IOS XE expuestos a Internet (</w:t>
      </w:r>
      <w:r>
        <w:rPr>
          <w:rStyle w:val="VerbatimChar"/>
        </w:rPr>
        <w:t xml:space="preserve">no ip http server</w:t>
      </w:r>
      <w:r>
        <w:t xml:space="preserve"> </w:t>
      </w:r>
      <w:r>
        <w:t xml:space="preserve">/</w:t>
      </w:r>
      <w:r>
        <w:t xml:space="preserve"> </w:t>
      </w:r>
      <w:r>
        <w:rPr>
          <w:rStyle w:val="VerbatimChar"/>
        </w:rPr>
        <w:t xml:space="preserve">no ip http secure-server</w:t>
      </w:r>
      <w:r>
        <w:t xml:space="preserve">).</w:t>
      </w:r>
    </w:p>
    <w:p>
      <w:pPr>
        <w:numPr>
          <w:ilvl w:val="1"/>
          <w:numId w:val="1010"/>
        </w:numPr>
        <w:pStyle w:val="Compact"/>
      </w:pPr>
      <w:r>
        <w:t xml:space="preserve">Auditar el sistema en busca de usuarios locales no autorizados o implantes en el sistema de archivos (</w:t>
      </w:r>
      <w:r>
        <w:rPr>
          <w:rStyle w:val="VerbatimChar"/>
        </w:rPr>
        <w:t xml:space="preserve">show users</w:t>
      </w:r>
      <w:r>
        <w:t xml:space="preserve">, verificar modificaciones en flash).</w:t>
      </w:r>
    </w:p>
    <w:p>
      <w:pPr>
        <w:numPr>
          <w:ilvl w:val="0"/>
          <w:numId w:val="1009"/>
        </w:numPr>
        <w:pStyle w:val="Compact"/>
      </w:pPr>
      <w:r>
        <w:rPr>
          <w:b/>
        </w:rPr>
        <w:t xml:space="preserve">Impacto al Negocio si es Explotado</w:t>
      </w:r>
      <w:r>
        <w:t xml:space="preserve">: Control absoluto del dispositivo perimetral con privilegios de root. El atacante puede desplegar persistencia a nivel de firmware, desviar tráfico corporativo (Man-in-the-Middle) y colapsar las operaciones de red de toda la compañía.</w:t>
      </w:r>
    </w:p>
    <w:p>
      <w:r>
        <w:pict>
          <v:rect style="width:0;height:1.5pt" o:hralign="center" o:hrstd="t" o:hr="t"/>
        </w:pict>
      </w:r>
    </w:p>
    <w:p>
      <w:pPr>
        <w:pStyle w:val="Heading3"/>
      </w:pPr>
      <w:bookmarkStart w:id="30" w:name="srv-vpn-01-cve-2018-13379"/>
      <w:r>
        <w:t xml:space="preserve">6. SRV-VPN-01 — CVE-2018-13379</w:t>
      </w:r>
      <w:bookmarkEnd w:id="30"/>
    </w:p>
    <w:p>
      <w:pPr>
        <w:numPr>
          <w:ilvl w:val="0"/>
          <w:numId w:val="1011"/>
        </w:numPr>
        <w:pStyle w:val="Compact"/>
      </w:pPr>
      <w:r>
        <w:rPr>
          <w:b/>
        </w:rPr>
        <w:t xml:space="preserve">MITRE ATT&amp;CK</w:t>
      </w:r>
      <w:r>
        <w:t xml:space="preserve">: TA0001 (Acceso Inicial) — T1190 (Explotar Aplicación Pública).</w:t>
      </w:r>
    </w:p>
    <w:p>
      <w:pPr>
        <w:numPr>
          <w:ilvl w:val="0"/>
          <w:numId w:val="1011"/>
        </w:numPr>
        <w:pStyle w:val="Compact"/>
      </w:pPr>
      <w:r>
        <w:rPr>
          <w:b/>
        </w:rPr>
        <w:t xml:space="preserve">Plan de Mitigación Técnico</w:t>
      </w:r>
      <w:r>
        <w:t xml:space="preserve">:</w:t>
      </w:r>
    </w:p>
    <w:p>
      <w:pPr>
        <w:numPr>
          <w:ilvl w:val="1"/>
          <w:numId w:val="1012"/>
        </w:numPr>
        <w:pStyle w:val="Compact"/>
      </w:pPr>
      <w:r>
        <w:t xml:space="preserve">Actualizar FortiOS a las versiones 6.0.5, 5.6.8, 5.4.13 o superiores.</w:t>
      </w:r>
    </w:p>
    <w:p>
      <w:pPr>
        <w:numPr>
          <w:ilvl w:val="1"/>
          <w:numId w:val="1012"/>
        </w:numPr>
        <w:pStyle w:val="Compact"/>
      </w:pPr>
      <w:r>
        <w:rPr>
          <w:i/>
        </w:rPr>
        <w:t xml:space="preserve">Mitigación temporal:</w:t>
      </w:r>
      <w:r>
        <w:t xml:space="preserve"> </w:t>
      </w:r>
      <w:r>
        <w:t xml:space="preserve">Deshabilitar el portal web de SSL VPN (</w:t>
      </w:r>
      <w:r>
        <w:rPr>
          <w:rStyle w:val="VerbatimChar"/>
        </w:rPr>
        <w:t xml:space="preserve">config vpn ssl settings</w:t>
      </w:r>
      <w:r>
        <w:t xml:space="preserve"> </w:t>
      </w:r>
      <w:r>
        <w:t xml:space="preserve">-&gt;</w:t>
      </w:r>
      <w:r>
        <w:t xml:space="preserve"> </w:t>
      </w:r>
      <w:r>
        <w:rPr>
          <w:rStyle w:val="VerbatimChar"/>
        </w:rPr>
        <w:t xml:space="preserve">status disable</w:t>
      </w:r>
      <w:r>
        <w:t xml:space="preserve">) y migrar temporalmente el acceso remoto al cliente Tunel VPN si el servicio web no es estrictamente necesario, o restringir accesos por geolocalización/IP en el firewall upstream.</w:t>
      </w:r>
    </w:p>
    <w:p>
      <w:pPr>
        <w:numPr>
          <w:ilvl w:val="0"/>
          <w:numId w:val="1011"/>
        </w:numPr>
        <w:pStyle w:val="Compact"/>
      </w:pPr>
      <w:r>
        <w:rPr>
          <w:b/>
        </w:rPr>
        <w:t xml:space="preserve">Impacto al Negocio si es Explotado</w:t>
      </w:r>
      <w:r>
        <w:t xml:space="preserve">: Descarga no autenticada de archivos de sistema, incluyendo el archivo con las credenciales cifradas de los usuarios de la VPN. Permite la suplantación masiva de identidad de empleados y contratistas, comprometiendo la red interna desde las terminales de confianza.</w:t>
      </w:r>
    </w:p>
    <w:p>
      <w:r>
        <w:pict>
          <v:rect style="width:0;height:1.5pt" o:hralign="center" o:hrstd="t" o:hr="t"/>
        </w:pict>
      </w:r>
    </w:p>
    <w:p>
      <w:pPr>
        <w:pStyle w:val="Heading3"/>
      </w:pPr>
      <w:bookmarkStart w:id="31" w:name="srv-web-03-cve-2017-5638"/>
      <w:r>
        <w:t xml:space="preserve">7. SRV-WEB-03 — CVE-2017-5638</w:t>
      </w:r>
      <w:bookmarkEnd w:id="31"/>
    </w:p>
    <w:p>
      <w:pPr>
        <w:numPr>
          <w:ilvl w:val="0"/>
          <w:numId w:val="1013"/>
        </w:numPr>
        <w:pStyle w:val="Compact"/>
      </w:pPr>
      <w:r>
        <w:rPr>
          <w:b/>
        </w:rPr>
        <w:t xml:space="preserve">MITRE ATT&amp;CK</w:t>
      </w:r>
      <w:r>
        <w:t xml:space="preserve">: TA0001 (Acceso Inicial) — T1190 (Explotar Aplicación Pública).</w:t>
      </w:r>
    </w:p>
    <w:p>
      <w:pPr>
        <w:numPr>
          <w:ilvl w:val="0"/>
          <w:numId w:val="1013"/>
        </w:numPr>
        <w:pStyle w:val="Compact"/>
      </w:pPr>
      <w:r>
        <w:rPr>
          <w:b/>
        </w:rPr>
        <w:t xml:space="preserve">Plan de Mitigación Técnico</w:t>
      </w:r>
      <w:r>
        <w:t xml:space="preserve">:</w:t>
      </w:r>
    </w:p>
    <w:p>
      <w:pPr>
        <w:numPr>
          <w:ilvl w:val="1"/>
          <w:numId w:val="1014"/>
        </w:numPr>
        <w:pStyle w:val="Compact"/>
      </w:pPr>
      <w:r>
        <w:t xml:space="preserve">Actualizar Apache Struts a la versión 2.3.32 o 2.5.10.1 (o versiones soportadas actuales).</w:t>
      </w:r>
    </w:p>
    <w:p>
      <w:pPr>
        <w:numPr>
          <w:ilvl w:val="1"/>
          <w:numId w:val="1014"/>
        </w:numPr>
        <w:pStyle w:val="Compact"/>
      </w:pPr>
      <w:r>
        <w:rPr>
          <w:i/>
        </w:rPr>
        <w:t xml:space="preserve">Mitigación temporal:</w:t>
      </w:r>
      <w:r>
        <w:t xml:space="preserve"> </w:t>
      </w:r>
      <w:r>
        <w:t xml:space="preserve">Cambiar el analizador Multipart utilizado (por ejemplo, implementando un wrapper personalizado) o desplegar una regla específica en el WAF (Web Application Firewall) que inspeccione la cabecera</w:t>
      </w:r>
      <w:r>
        <w:t xml:space="preserve"> </w:t>
      </w:r>
      <w:r>
        <w:rPr>
          <w:rStyle w:val="VerbatimChar"/>
        </w:rPr>
        <w:t xml:space="preserve">Content-Type</w:t>
      </w:r>
      <w:r>
        <w:t xml:space="preserve"> </w:t>
      </w:r>
      <w:r>
        <w:t xml:space="preserve">en busca de patrones OGNL maliciosos (</w:t>
      </w:r>
      <w:r>
        <w:rPr>
          <w:rStyle w:val="VerbatimChar"/>
        </w:rPr>
        <w:t xml:space="preserve">#cmd=</w:t>
      </w:r>
      <w:r>
        <w:t xml:space="preserve">,</w:t>
      </w:r>
      <w:r>
        <w:t xml:space="preserve"> </w:t>
      </w:r>
      <w:r>
        <w:rPr>
          <w:rStyle w:val="VerbatimChar"/>
        </w:rPr>
        <w:t xml:space="preserve">#context</w:t>
      </w:r>
      <w:r>
        <w:t xml:space="preserve">, etc.).</w:t>
      </w:r>
    </w:p>
    <w:p>
      <w:pPr>
        <w:numPr>
          <w:ilvl w:val="0"/>
          <w:numId w:val="1013"/>
        </w:numPr>
        <w:pStyle w:val="Compact"/>
      </w:pPr>
      <w:r>
        <w:rPr>
          <w:b/>
        </w:rPr>
        <w:t xml:space="preserve">Impacto al Negocio si es Explotado</w:t>
      </w:r>
      <w:r>
        <w:t xml:space="preserve">: Ejecución remota de comandos en el servidor del portal de clientes. Si el servidor carece de segmentación adecuada, un atacante puede pivotar hacia bases de datos de clientes, provocando la exfiltración masiva de PII (Información de Identificación Personal), multas regulatorias severas y daño reputacional irreversible.</w:t>
      </w:r>
    </w:p>
    <w:p>
      <w:r>
        <w:pict>
          <v:rect style="width:0;height:1.5pt" o:hralign="center" o:hrstd="t" o:hr="t"/>
        </w:pict>
      </w:r>
    </w:p>
    <w:p>
      <w:pPr>
        <w:pStyle w:val="Heading3"/>
      </w:pPr>
      <w:bookmarkStart w:id="32" w:name="srv-mail-01-cve-2021-26855"/>
      <w:r>
        <w:t xml:space="preserve">8. SRV-MAIL-01 — CVE-2021-26855</w:t>
      </w:r>
      <w:bookmarkEnd w:id="32"/>
    </w:p>
    <w:p>
      <w:pPr>
        <w:numPr>
          <w:ilvl w:val="0"/>
          <w:numId w:val="1015"/>
        </w:numPr>
        <w:pStyle w:val="Compact"/>
      </w:pPr>
      <w:r>
        <w:rPr>
          <w:b/>
        </w:rPr>
        <w:t xml:space="preserve">MITRE ATT&amp;CK</w:t>
      </w:r>
      <w:r>
        <w:t xml:space="preserve">: TA0001 (Acceso Inicial) — T1190 (Explotar Aplicación Pública / SSRF).</w:t>
      </w:r>
    </w:p>
    <w:p>
      <w:pPr>
        <w:numPr>
          <w:ilvl w:val="0"/>
          <w:numId w:val="1015"/>
        </w:numPr>
        <w:pStyle w:val="Compact"/>
      </w:pPr>
      <w:r>
        <w:rPr>
          <w:b/>
        </w:rPr>
        <w:t xml:space="preserve">Plan de Mitigación Técnico</w:t>
      </w:r>
      <w:r>
        <w:t xml:space="preserve">:</w:t>
      </w:r>
    </w:p>
    <w:p>
      <w:pPr>
        <w:numPr>
          <w:ilvl w:val="1"/>
          <w:numId w:val="1016"/>
        </w:numPr>
        <w:pStyle w:val="Compact"/>
      </w:pPr>
      <w:r>
        <w:t xml:space="preserve">Aplicar los parches de actualización acumulativos de Microsoft Exchange (marzo de 2021 o posteriores).</w:t>
      </w:r>
    </w:p>
    <w:p>
      <w:pPr>
        <w:numPr>
          <w:ilvl w:val="1"/>
          <w:numId w:val="1016"/>
        </w:numPr>
        <w:pStyle w:val="Compact"/>
      </w:pPr>
      <w:r>
        <w:rPr>
          <w:i/>
        </w:rPr>
        <w:t xml:space="preserve">Mitigación temporal:</w:t>
      </w:r>
      <w:r>
        <w:t xml:space="preserve"> </w:t>
      </w:r>
      <w:r>
        <w:t xml:space="preserve">Utilizar el script de mitigación de Microsoft (EOMT.ps1) o configurar reglas de bloqueo en el firewall de aplicaciones/IIS para restringir las peticiones HTTP sospechosas que explotan el proxy SSRF (</w:t>
      </w:r>
      <w:r>
        <w:rPr>
          <w:rStyle w:val="VerbatimChar"/>
        </w:rPr>
        <w:t xml:space="preserve">/ecp/</w:t>
      </w:r>
      <w:r>
        <w:t xml:space="preserve"> </w:t>
      </w:r>
      <w:r>
        <w:t xml:space="preserve">y cabeceras</w:t>
      </w:r>
      <w:r>
        <w:t xml:space="preserve"> </w:t>
      </w:r>
      <w:r>
        <w:rPr>
          <w:rStyle w:val="VerbatimChar"/>
        </w:rPr>
        <w:t xml:space="preserve">Cookie: X-BEResource</w:t>
      </w:r>
      <w:r>
        <w:t xml:space="preserve">).</w:t>
      </w:r>
    </w:p>
    <w:p>
      <w:pPr>
        <w:numPr>
          <w:ilvl w:val="0"/>
          <w:numId w:val="1015"/>
        </w:numPr>
        <w:pStyle w:val="Compact"/>
      </w:pPr>
      <w:r>
        <w:rPr>
          <w:b/>
        </w:rPr>
        <w:t xml:space="preserve">Impacto al Negocio si es Explotado</w:t>
      </w:r>
      <w:r>
        <w:t xml:space="preserve">: Acceso no autorizado al servidor de correo corporativo. Permite el robo masivo de comunicaciones confidenciales, secretos comerciales y la utilización de cuentas legítimas para realizar campañas de suplantación de identidad (Phishing) dirigidas a clientes y proveedores.</w:t>
      </w:r>
    </w:p>
    <w:p>
      <w:r>
        <w:pict>
          <v:rect style="width:0;height:1.5pt" o:hralign="center" o:hrstd="t" o:hr="t"/>
        </w:pict>
      </w:r>
    </w:p>
    <w:p>
      <w:pPr>
        <w:pStyle w:val="Heading3"/>
      </w:pPr>
      <w:bookmarkStart w:id="33" w:name="srv-web-01-cve-2021-41773"/>
      <w:r>
        <w:t xml:space="preserve">9. SRV-WEB-01 — CVE-2021-41773</w:t>
      </w:r>
      <w:bookmarkEnd w:id="33"/>
    </w:p>
    <w:p>
      <w:pPr>
        <w:numPr>
          <w:ilvl w:val="0"/>
          <w:numId w:val="1017"/>
        </w:numPr>
        <w:pStyle w:val="Compact"/>
      </w:pPr>
      <w:r>
        <w:rPr>
          <w:b/>
        </w:rPr>
        <w:t xml:space="preserve">MITRE ATT&amp;CK</w:t>
      </w:r>
      <w:r>
        <w:t xml:space="preserve">: TA0001 (Acceso Inicial) — T1190 (Explotar Aplicación Pública).</w:t>
      </w:r>
    </w:p>
    <w:p>
      <w:pPr>
        <w:numPr>
          <w:ilvl w:val="0"/>
          <w:numId w:val="1017"/>
        </w:numPr>
        <w:pStyle w:val="Compact"/>
      </w:pPr>
      <w:r>
        <w:rPr>
          <w:b/>
        </w:rPr>
        <w:t xml:space="preserve">Plan de Mitigación Técnico</w:t>
      </w:r>
      <w:r>
        <w:t xml:space="preserve">:</w:t>
      </w:r>
    </w:p>
    <w:p>
      <w:pPr>
        <w:numPr>
          <w:ilvl w:val="1"/>
          <w:numId w:val="1018"/>
        </w:numPr>
        <w:pStyle w:val="Compact"/>
      </w:pPr>
      <w:r>
        <w:t xml:space="preserve">Actualizar Apache HTTP Server a la versión 2.4.51 o superior (la versión 2.4.49 introdujo la falla y 2.4.50 tuvo un parche incompleto).</w:t>
      </w:r>
    </w:p>
    <w:p>
      <w:pPr>
        <w:numPr>
          <w:ilvl w:val="1"/>
          <w:numId w:val="1018"/>
        </w:numPr>
        <w:pStyle w:val="Compact"/>
      </w:pPr>
      <w:r>
        <w:rPr>
          <w:i/>
        </w:rPr>
        <w:t xml:space="preserve">Mitigación temporal:</w:t>
      </w:r>
      <w:r>
        <w:t xml:space="preserve"> </w:t>
      </w:r>
      <w:r>
        <w:t xml:space="preserve">Revisar la configuración de Apache para asegurar que todas las directrices</w:t>
      </w:r>
      <w:r>
        <w:t xml:space="preserve"> </w:t>
      </w:r>
      <w:r>
        <w:rPr>
          <w:rStyle w:val="VerbatimChar"/>
        </w:rPr>
        <w:t xml:space="preserve">Require</w:t>
      </w:r>
      <w:r>
        <w:t xml:space="preserve"> </w:t>
      </w:r>
      <w:r>
        <w:t xml:space="preserve">estén configuradas explícitamente en</w:t>
      </w:r>
      <w:r>
        <w:t xml:space="preserve"> </w:t>
      </w:r>
      <w:r>
        <w:rPr>
          <w:rStyle w:val="VerbatimChar"/>
        </w:rPr>
        <w:t xml:space="preserve">denied</w:t>
      </w:r>
      <w:r>
        <w:t xml:space="preserve"> </w:t>
      </w:r>
      <w:r>
        <w:t xml:space="preserve">para directorios fuera de la raíz web, y deshabilitar explícitamente los scripts CGI si no son necesarios (</w:t>
      </w:r>
      <w:r>
        <w:rPr>
          <w:rStyle w:val="VerbatimChar"/>
        </w:rPr>
        <w:t xml:space="preserve">Options -ExecCGI</w:t>
      </w:r>
      <w:r>
        <w:t xml:space="preserve">).</w:t>
      </w:r>
    </w:p>
    <w:p>
      <w:pPr>
        <w:numPr>
          <w:ilvl w:val="0"/>
          <w:numId w:val="1017"/>
        </w:numPr>
        <w:pStyle w:val="Compact"/>
      </w:pPr>
      <w:r>
        <w:rPr>
          <w:b/>
        </w:rPr>
        <w:t xml:space="preserve">Impacto al Negocio si es Explotado</w:t>
      </w:r>
      <w:r>
        <w:t xml:space="preserve">: Exposición de archivos del sistema operativo fuera del directorio web y posible ejecución remota de código si CGI está habilitado. Permite al atacante comprometer la integridad del portal público de clientes y utilizarlo como cabeza de playa para escalar privilegios en la red de servidores de plataforma.</w:t>
      </w:r>
    </w:p>
    <w:p>
      <w:r>
        <w:pict>
          <v:rect style="width:0;height:1.5pt" o:hralign="center" o:hrstd="t" o:hr="t"/>
        </w:pict>
      </w:r>
    </w:p>
    <w:p>
      <w:pPr>
        <w:pStyle w:val="Heading3"/>
      </w:pPr>
      <w:bookmarkStart w:id="34" w:name="srv-mail-02-cve-2022-41082"/>
      <w:r>
        <w:t xml:space="preserve">10. SRV-MAIL-02 — CVE-2022-41082</w:t>
      </w:r>
      <w:bookmarkEnd w:id="34"/>
    </w:p>
    <w:p>
      <w:pPr>
        <w:numPr>
          <w:ilvl w:val="0"/>
          <w:numId w:val="1019"/>
        </w:numPr>
        <w:pStyle w:val="Compact"/>
      </w:pPr>
      <w:r>
        <w:rPr>
          <w:b/>
        </w:rPr>
        <w:t xml:space="preserve">MITRE ATT&amp;CK</w:t>
      </w:r>
      <w:r>
        <w:t xml:space="preserve">: TA0002 (Ejecución) — T1190 (Explotar Aplicación Pública).</w:t>
      </w:r>
    </w:p>
    <w:p>
      <w:pPr>
        <w:numPr>
          <w:ilvl w:val="0"/>
          <w:numId w:val="1019"/>
        </w:numPr>
        <w:pStyle w:val="Compact"/>
      </w:pPr>
      <w:r>
        <w:rPr>
          <w:b/>
        </w:rPr>
        <w:t xml:space="preserve">Plan de Mitigación Técnico</w:t>
      </w:r>
      <w:r>
        <w:t xml:space="preserve">:</w:t>
      </w:r>
    </w:p>
    <w:p>
      <w:pPr>
        <w:numPr>
          <w:ilvl w:val="1"/>
          <w:numId w:val="1020"/>
        </w:numPr>
        <w:pStyle w:val="Compact"/>
      </w:pPr>
      <w:r>
        <w:t xml:space="preserve">Aplicar la actualización de seguridad de Microsoft correspondiente a noviembre de 2022 o posterior para Exchange Server.</w:t>
      </w:r>
    </w:p>
    <w:p>
      <w:pPr>
        <w:numPr>
          <w:ilvl w:val="1"/>
          <w:numId w:val="1020"/>
        </w:numPr>
        <w:pStyle w:val="Compact"/>
      </w:pPr>
      <w:r>
        <w:rPr>
          <w:i/>
        </w:rPr>
        <w:t xml:space="preserve">Mitigación temporal:</w:t>
      </w:r>
      <w:r>
        <w:t xml:space="preserve"> </w:t>
      </w:r>
      <w:r>
        <w:t xml:space="preserve">Implementar las reglas de reescritura de URL en IIS recomendadas por Microsoft para bloquear solicitudes maliciosas dirigidas a PowerShell backend que aprovechan la vulnerabilidad de deserialización (vulnerabilidad gemela de ProxyNotShell, CVE-2022-41040).</w:t>
      </w:r>
    </w:p>
    <w:p>
      <w:pPr>
        <w:numPr>
          <w:ilvl w:val="0"/>
          <w:numId w:val="1019"/>
        </w:numPr>
        <w:pStyle w:val="Compact"/>
      </w:pPr>
      <w:r>
        <w:rPr>
          <w:b/>
        </w:rPr>
        <w:t xml:space="preserve">Impacto al Negocio si es Explotado</w:t>
      </w:r>
      <w:r>
        <w:t xml:space="preserve">: Ejecución remota de código a través de PowerShell con los privilegios del servicio de Exchange. Permite a actores maliciosos instalar puertas trasera persistentes (webshells), exfiltrar libretas de direcciones, leer correos electrónicos y comprometer la continuidad de las operaciones administrativas y de colaboración de la empresa.</w:t>
      </w:r>
    </w:p>
    <w:p>
      <w:pPr>
        <w:pStyle w:val="Heading2"/>
      </w:pPr>
      <w:bookmarkStart w:id="35" w:name="Xfcc0fe798ea3722a38ab59640e7d55cba0a0956"/>
      <w:r>
        <w:t xml:space="preserve">5. Riesgo Aceptado Temporalmente (58 activos diferidos)</w:t>
      </w:r>
      <w:bookmarkEnd w:id="35"/>
    </w:p>
    <w:p>
      <w:pPr>
        <w:pStyle w:val="FirstParagraph"/>
      </w:pPr>
      <w:r>
        <w:t xml:space="preserve">Los siguientes activos quedan fuera del presupuesto del ciclo actual. Esta es una</w:t>
      </w:r>
      <w:r>
        <w:t xml:space="preserve"> </w:t>
      </w:r>
      <w:r>
        <w:t xml:space="preserve">decisión de</w:t>
      </w:r>
      <w:r>
        <w:t xml:space="preserve"> </w:t>
      </w:r>
      <w:r>
        <w:rPr>
          <w:b/>
        </w:rPr>
        <w:t xml:space="preserve">aceptación temporal de riesgo</w:t>
      </w:r>
      <w:r>
        <w:t xml:space="preserve">, no una omisión:</w:t>
      </w:r>
    </w:p>
    <w:tbl>
      <w:tblPr>
        <w:tblStyle w:val="Table"/>
        <w:tblW w:type="pct" w:w="0.0"/>
        <w:tblLook w:firstRow="1"/>
      </w:tblPr>
      <w:tblGrid/>
      <w:tr>
        <w:trPr>
          <w:cnfStyle w:firstRow="1"/>
        </w:trPr>
        <w:tc>
          <w:tcPr>
            <w:tcBorders>
              <w:bottom w:val="single"/>
            </w:tcBorders>
            <w:vAlign w:val="bottom"/>
          </w:tcPr>
          <w:p>
            <w:pPr>
              <w:pStyle w:val="Compact"/>
              <w:jc w:val="left"/>
            </w:pPr>
            <w:r>
              <w:t xml:space="preserve">host</w:t>
            </w:r>
          </w:p>
        </w:tc>
        <w:tc>
          <w:tcPr>
            <w:tcBorders>
              <w:bottom w:val="single"/>
            </w:tcBorders>
            <w:vAlign w:val="bottom"/>
          </w:tcPr>
          <w:p>
            <w:pPr>
              <w:pStyle w:val="Compact"/>
              <w:jc w:val="left"/>
            </w:pPr>
            <w:r>
              <w:t xml:space="preserve">cve_id</w:t>
            </w:r>
          </w:p>
        </w:tc>
        <w:tc>
          <w:tcPr>
            <w:tcBorders>
              <w:bottom w:val="single"/>
            </w:tcBorders>
            <w:vAlign w:val="bottom"/>
          </w:tcPr>
          <w:p>
            <w:pPr>
              <w:pStyle w:val="Compact"/>
              <w:jc w:val="left"/>
            </w:pPr>
            <w:r>
              <w:t xml:space="preserve">criticidad</w:t>
            </w:r>
          </w:p>
        </w:tc>
        <w:tc>
          <w:tcPr>
            <w:tcBorders>
              <w:bottom w:val="single"/>
            </w:tcBorders>
            <w:vAlign w:val="bottom"/>
          </w:tcPr>
          <w:p>
            <w:pPr>
              <w:pStyle w:val="Compact"/>
              <w:jc w:val="right"/>
            </w:pPr>
            <w:r>
              <w:t xml:space="preserve">riesgo_dinamico</w:t>
            </w:r>
          </w:p>
        </w:tc>
      </w:tr>
      <w:tr>
        <w:tc>
          <w:p>
            <w:pPr>
              <w:pStyle w:val="Compact"/>
              <w:jc w:val="left"/>
            </w:pPr>
            <w:r>
              <w:t xml:space="preserve">SRV-MFT-01</w:t>
            </w:r>
          </w:p>
        </w:tc>
        <w:tc>
          <w:p>
            <w:pPr>
              <w:pStyle w:val="Compact"/>
              <w:jc w:val="left"/>
            </w:pPr>
            <w:r>
              <w:t xml:space="preserve">CVE-2023-34362</w:t>
            </w:r>
          </w:p>
        </w:tc>
        <w:tc>
          <w:p>
            <w:pPr>
              <w:pStyle w:val="Compact"/>
              <w:jc w:val="left"/>
            </w:pPr>
            <w:r>
              <w:t xml:space="preserve">Alta</w:t>
            </w:r>
          </w:p>
        </w:tc>
        <w:tc>
          <w:p>
            <w:pPr>
              <w:pStyle w:val="Compact"/>
              <w:jc w:val="right"/>
            </w:pPr>
            <w:r>
              <w:t xml:space="preserve">0.471978</w:t>
            </w:r>
          </w:p>
        </w:tc>
      </w:tr>
      <w:tr>
        <w:tc>
          <w:p>
            <w:pPr>
              <w:pStyle w:val="Compact"/>
              <w:jc w:val="left"/>
            </w:pPr>
            <w:r>
              <w:t xml:space="preserve">CAM-EXT-01</w:t>
            </w:r>
          </w:p>
        </w:tc>
        <w:tc>
          <w:p>
            <w:pPr>
              <w:pStyle w:val="Compact"/>
              <w:jc w:val="left"/>
            </w:pPr>
            <w:r>
              <w:t xml:space="preserve">CVE-2021-36260</w:t>
            </w:r>
          </w:p>
        </w:tc>
        <w:tc>
          <w:p>
            <w:pPr>
              <w:pStyle w:val="Compact"/>
              <w:jc w:val="left"/>
            </w:pPr>
            <w:r>
              <w:t xml:space="preserve">Media</w:t>
            </w:r>
          </w:p>
        </w:tc>
        <w:tc>
          <w:p>
            <w:pPr>
              <w:pStyle w:val="Compact"/>
              <w:jc w:val="right"/>
            </w:pPr>
            <w:r>
              <w:t xml:space="preserve">0.467704</w:t>
            </w:r>
          </w:p>
        </w:tc>
      </w:tr>
      <w:tr>
        <w:tc>
          <w:p>
            <w:pPr>
              <w:pStyle w:val="Compact"/>
              <w:jc w:val="left"/>
            </w:pPr>
            <w:r>
              <w:t xml:space="preserve">SRV-APP-01</w:t>
            </w:r>
          </w:p>
        </w:tc>
        <w:tc>
          <w:p>
            <w:pPr>
              <w:pStyle w:val="Compact"/>
              <w:jc w:val="left"/>
            </w:pPr>
            <w:r>
              <w:t xml:space="preserve">CVE-2021-44228</w:t>
            </w:r>
          </w:p>
        </w:tc>
        <w:tc>
          <w:p>
            <w:pPr>
              <w:pStyle w:val="Compact"/>
              <w:jc w:val="left"/>
            </w:pPr>
            <w:r>
              <w:t xml:space="preserve">Alta</w:t>
            </w:r>
          </w:p>
        </w:tc>
        <w:tc>
          <w:p>
            <w:pPr>
              <w:pStyle w:val="Compact"/>
              <w:jc w:val="right"/>
            </w:pPr>
            <w:r>
              <w:t xml:space="preserve">0.437055</w:t>
            </w:r>
          </w:p>
        </w:tc>
      </w:tr>
      <w:tr>
        <w:tc>
          <w:p>
            <w:pPr>
              <w:pStyle w:val="Compact"/>
              <w:jc w:val="left"/>
            </w:pPr>
            <w:r>
              <w:t xml:space="preserve">SRV-APP-02</w:t>
            </w:r>
          </w:p>
        </w:tc>
        <w:tc>
          <w:p>
            <w:pPr>
              <w:pStyle w:val="Compact"/>
              <w:jc w:val="left"/>
            </w:pPr>
            <w:r>
              <w:t xml:space="preserve">CVE-2021-44228</w:t>
            </w:r>
          </w:p>
        </w:tc>
        <w:tc>
          <w:p>
            <w:pPr>
              <w:pStyle w:val="Compact"/>
              <w:jc w:val="left"/>
            </w:pPr>
            <w:r>
              <w:t xml:space="preserve">Alta</w:t>
            </w:r>
          </w:p>
        </w:tc>
        <w:tc>
          <w:p>
            <w:pPr>
              <w:pStyle w:val="Compact"/>
              <w:jc w:val="right"/>
            </w:pPr>
            <w:r>
              <w:t xml:space="preserve">0.437055</w:t>
            </w:r>
          </w:p>
        </w:tc>
      </w:tr>
      <w:tr>
        <w:tc>
          <w:p>
            <w:pPr>
              <w:pStyle w:val="Compact"/>
              <w:jc w:val="left"/>
            </w:pPr>
            <w:r>
              <w:t xml:space="preserve">NAS-QNAP-01</w:t>
            </w:r>
          </w:p>
        </w:tc>
        <w:tc>
          <w:p>
            <w:pPr>
              <w:pStyle w:val="Compact"/>
              <w:jc w:val="left"/>
            </w:pPr>
            <w:r>
              <w:t xml:space="preserve">CVE-2021-28799</w:t>
            </w:r>
          </w:p>
        </w:tc>
        <w:tc>
          <w:p>
            <w:pPr>
              <w:pStyle w:val="Compact"/>
              <w:jc w:val="left"/>
            </w:pPr>
            <w:r>
              <w:t xml:space="preserve">Alta</w:t>
            </w:r>
          </w:p>
        </w:tc>
        <w:tc>
          <w:p>
            <w:pPr>
              <w:pStyle w:val="Compact"/>
              <w:jc w:val="right"/>
            </w:pPr>
            <w:r>
              <w:t xml:space="preserve">0.43023</w:t>
            </w:r>
          </w:p>
        </w:tc>
      </w:tr>
      <w:tr>
        <w:tc>
          <w:p>
            <w:pPr>
              <w:pStyle w:val="Compact"/>
              <w:jc w:val="left"/>
            </w:pPr>
            <w:r>
              <w:t xml:space="preserve">SRV-ERP-01</w:t>
            </w:r>
          </w:p>
        </w:tc>
        <w:tc>
          <w:p>
            <w:pPr>
              <w:pStyle w:val="Compact"/>
              <w:jc w:val="left"/>
            </w:pPr>
            <w:r>
              <w:t xml:space="preserve">CVE-2020-14882</w:t>
            </w:r>
          </w:p>
        </w:tc>
        <w:tc>
          <w:p>
            <w:pPr>
              <w:pStyle w:val="Compact"/>
              <w:jc w:val="left"/>
            </w:pPr>
            <w:r>
              <w:t xml:space="preserve">Alta</w:t>
            </w:r>
          </w:p>
        </w:tc>
        <w:tc>
          <w:p>
            <w:pPr>
              <w:pStyle w:val="Compact"/>
              <w:jc w:val="right"/>
            </w:pPr>
            <w:r>
              <w:t xml:space="preserve">0.429979</w:t>
            </w:r>
          </w:p>
        </w:tc>
      </w:tr>
      <w:tr>
        <w:tc>
          <w:p>
            <w:pPr>
              <w:pStyle w:val="Compact"/>
              <w:jc w:val="left"/>
            </w:pPr>
            <w:r>
              <w:t xml:space="preserve">SRV-VC-01</w:t>
            </w:r>
          </w:p>
        </w:tc>
        <w:tc>
          <w:p>
            <w:pPr>
              <w:pStyle w:val="Compact"/>
              <w:jc w:val="left"/>
            </w:pPr>
            <w:r>
              <w:t xml:space="preserve">CVE-2021-21972</w:t>
            </w:r>
          </w:p>
        </w:tc>
        <w:tc>
          <w:p>
            <w:pPr>
              <w:pStyle w:val="Compact"/>
              <w:jc w:val="left"/>
            </w:pPr>
            <w:r>
              <w:t xml:space="preserve">Alta</w:t>
            </w:r>
          </w:p>
        </w:tc>
        <w:tc>
          <w:p>
            <w:pPr>
              <w:pStyle w:val="Compact"/>
              <w:jc w:val="right"/>
            </w:pPr>
            <w:r>
              <w:t xml:space="preserve">0.391603</w:t>
            </w:r>
          </w:p>
        </w:tc>
      </w:tr>
      <w:tr>
        <w:tc>
          <w:p>
            <w:pPr>
              <w:pStyle w:val="Compact"/>
              <w:jc w:val="left"/>
            </w:pPr>
            <w:r>
              <w:t xml:space="preserve">SRV-RDP-01</w:t>
            </w:r>
          </w:p>
        </w:tc>
        <w:tc>
          <w:p>
            <w:pPr>
              <w:pStyle w:val="Compact"/>
              <w:jc w:val="left"/>
            </w:pPr>
            <w:r>
              <w:t xml:space="preserve">CVE-2019-0708</w:t>
            </w:r>
          </w:p>
        </w:tc>
        <w:tc>
          <w:p>
            <w:pPr>
              <w:pStyle w:val="Compact"/>
              <w:jc w:val="left"/>
            </w:pPr>
            <w:r>
              <w:t xml:space="preserve">Alta</w:t>
            </w:r>
          </w:p>
        </w:tc>
        <w:tc>
          <w:p>
            <w:pPr>
              <w:pStyle w:val="Compact"/>
              <w:jc w:val="right"/>
            </w:pPr>
            <w:r>
              <w:t xml:space="preserve">0.359927</w:t>
            </w:r>
          </w:p>
        </w:tc>
      </w:tr>
      <w:tr>
        <w:tc>
          <w:p>
            <w:pPr>
              <w:pStyle w:val="Compact"/>
              <w:jc w:val="left"/>
            </w:pPr>
            <w:r>
              <w:t xml:space="preserve">SRV-IAM-01</w:t>
            </w:r>
          </w:p>
        </w:tc>
        <w:tc>
          <w:p>
            <w:pPr>
              <w:pStyle w:val="Compact"/>
              <w:jc w:val="left"/>
            </w:pPr>
            <w:r>
              <w:t xml:space="preserve">CVE-2021-40539</w:t>
            </w:r>
          </w:p>
        </w:tc>
        <w:tc>
          <w:p>
            <w:pPr>
              <w:pStyle w:val="Compact"/>
              <w:jc w:val="left"/>
            </w:pPr>
            <w:r>
              <w:t xml:space="preserve">Alta</w:t>
            </w:r>
          </w:p>
        </w:tc>
        <w:tc>
          <w:p>
            <w:pPr>
              <w:pStyle w:val="Compact"/>
              <w:jc w:val="right"/>
            </w:pPr>
            <w:r>
              <w:t xml:space="preserve">0.352994</w:t>
            </w:r>
          </w:p>
        </w:tc>
      </w:tr>
      <w:tr>
        <w:tc>
          <w:p>
            <w:pPr>
              <w:pStyle w:val="Compact"/>
              <w:jc w:val="left"/>
            </w:pPr>
            <w:r>
              <w:t xml:space="preserve">GW-CTX-02</w:t>
            </w:r>
          </w:p>
        </w:tc>
        <w:tc>
          <w:p>
            <w:pPr>
              <w:pStyle w:val="Compact"/>
              <w:jc w:val="left"/>
            </w:pPr>
            <w:r>
              <w:t xml:space="preserve">CVE-2019-19781</w:t>
            </w:r>
          </w:p>
        </w:tc>
        <w:tc>
          <w:p>
            <w:pPr>
              <w:pStyle w:val="Compact"/>
              <w:jc w:val="left"/>
            </w:pPr>
            <w:r>
              <w:t xml:space="preserve">Media</w:t>
            </w:r>
          </w:p>
        </w:tc>
        <w:tc>
          <w:p>
            <w:pPr>
              <w:pStyle w:val="Compact"/>
              <w:jc w:val="right"/>
            </w:pPr>
            <w:r>
              <w:t xml:space="preserve">0.351662</w:t>
            </w:r>
          </w:p>
        </w:tc>
      </w:tr>
      <w:tr>
        <w:tc>
          <w:p>
            <w:pPr>
              <w:pStyle w:val="Compact"/>
              <w:jc w:val="left"/>
            </w:pPr>
            <w:r>
              <w:t xml:space="preserve">ADC-CTX-02</w:t>
            </w:r>
          </w:p>
        </w:tc>
        <w:tc>
          <w:p>
            <w:pPr>
              <w:pStyle w:val="Compact"/>
              <w:jc w:val="left"/>
            </w:pPr>
            <w:r>
              <w:t xml:space="preserve">CVE-2023-3519</w:t>
            </w:r>
          </w:p>
        </w:tc>
        <w:tc>
          <w:p>
            <w:pPr>
              <w:pStyle w:val="Compact"/>
              <w:jc w:val="left"/>
            </w:pPr>
            <w:r>
              <w:t xml:space="preserve">Media</w:t>
            </w:r>
          </w:p>
        </w:tc>
        <w:tc>
          <w:p>
            <w:pPr>
              <w:pStyle w:val="Compact"/>
              <w:jc w:val="right"/>
            </w:pPr>
            <w:r>
              <w:t xml:space="preserve">0.326213</w:t>
            </w:r>
          </w:p>
        </w:tc>
      </w:tr>
      <w:tr>
        <w:tc>
          <w:p>
            <w:pPr>
              <w:pStyle w:val="Compact"/>
              <w:jc w:val="left"/>
            </w:pPr>
            <w:r>
              <w:t xml:space="preserve">SRV-VPN-02</w:t>
            </w:r>
          </w:p>
        </w:tc>
        <w:tc>
          <w:p>
            <w:pPr>
              <w:pStyle w:val="Compact"/>
              <w:jc w:val="left"/>
            </w:pPr>
            <w:r>
              <w:t xml:space="preserve">CVE-2018-13379</w:t>
            </w:r>
          </w:p>
        </w:tc>
        <w:tc>
          <w:p>
            <w:pPr>
              <w:pStyle w:val="Compact"/>
              <w:jc w:val="left"/>
            </w:pPr>
            <w:r>
              <w:t xml:space="preserve">Media</w:t>
            </w:r>
          </w:p>
        </w:tc>
        <w:tc>
          <w:p>
            <w:pPr>
              <w:pStyle w:val="Compact"/>
              <w:jc w:val="right"/>
            </w:pPr>
            <w:r>
              <w:t xml:space="preserve">0.308509</w:t>
            </w:r>
          </w:p>
        </w:tc>
      </w:tr>
      <w:tr>
        <w:tc>
          <w:p>
            <w:pPr>
              <w:pStyle w:val="Compact"/>
              <w:jc w:val="left"/>
            </w:pPr>
            <w:r>
              <w:t xml:space="preserve">SRV-DC-01</w:t>
            </w:r>
          </w:p>
        </w:tc>
        <w:tc>
          <w:p>
            <w:pPr>
              <w:pStyle w:val="Compact"/>
              <w:jc w:val="left"/>
            </w:pPr>
            <w:r>
              <w:t xml:space="preserve">CVE-2020-1472</w:t>
            </w:r>
          </w:p>
        </w:tc>
        <w:tc>
          <w:p>
            <w:pPr>
              <w:pStyle w:val="Compact"/>
              <w:jc w:val="left"/>
            </w:pPr>
            <w:r>
              <w:t xml:space="preserve">Alta</w:t>
            </w:r>
          </w:p>
        </w:tc>
        <w:tc>
          <w:p>
            <w:pPr>
              <w:pStyle w:val="Compact"/>
              <w:jc w:val="right"/>
            </w:pPr>
            <w:r>
              <w:t xml:space="preserve">0.304526</w:t>
            </w:r>
          </w:p>
        </w:tc>
      </w:tr>
      <w:tr>
        <w:tc>
          <w:p>
            <w:pPr>
              <w:pStyle w:val="Compact"/>
              <w:jc w:val="left"/>
            </w:pPr>
            <w:r>
              <w:t xml:space="preserve">SRV-DC-02</w:t>
            </w:r>
          </w:p>
        </w:tc>
        <w:tc>
          <w:p>
            <w:pPr>
              <w:pStyle w:val="Compact"/>
              <w:jc w:val="left"/>
            </w:pPr>
            <w:r>
              <w:t xml:space="preserve">CVE-2020-1472</w:t>
            </w:r>
          </w:p>
        </w:tc>
        <w:tc>
          <w:p>
            <w:pPr>
              <w:pStyle w:val="Compact"/>
              <w:jc w:val="left"/>
            </w:pPr>
            <w:r>
              <w:t xml:space="preserve">Alta</w:t>
            </w:r>
          </w:p>
        </w:tc>
        <w:tc>
          <w:p>
            <w:pPr>
              <w:pStyle w:val="Compact"/>
              <w:jc w:val="right"/>
            </w:pPr>
            <w:r>
              <w:t xml:space="preserve">0.304526</w:t>
            </w:r>
          </w:p>
        </w:tc>
      </w:tr>
      <w:tr>
        <w:tc>
          <w:p>
            <w:pPr>
              <w:pStyle w:val="Compact"/>
              <w:jc w:val="left"/>
            </w:pPr>
            <w:r>
              <w:t xml:space="preserve">SRV-WEB-04</w:t>
            </w:r>
          </w:p>
        </w:tc>
        <w:tc>
          <w:p>
            <w:pPr>
              <w:pStyle w:val="Compact"/>
              <w:jc w:val="left"/>
            </w:pPr>
            <w:r>
              <w:t xml:space="preserve">CVE-2021-41773</w:t>
            </w:r>
          </w:p>
        </w:tc>
        <w:tc>
          <w:p>
            <w:pPr>
              <w:pStyle w:val="Compact"/>
              <w:jc w:val="left"/>
            </w:pPr>
            <w:r>
              <w:t xml:space="preserve">Media</w:t>
            </w:r>
          </w:p>
        </w:tc>
        <w:tc>
          <w:p>
            <w:pPr>
              <w:pStyle w:val="Compact"/>
              <w:jc w:val="right"/>
            </w:pPr>
            <w:r>
              <w:t xml:space="preserve">0.298246</w:t>
            </w:r>
          </w:p>
        </w:tc>
      </w:tr>
      <w:tr>
        <w:tc>
          <w:p>
            <w:pPr>
              <w:pStyle w:val="Compact"/>
              <w:jc w:val="left"/>
            </w:pPr>
            <w:r>
              <w:t xml:space="preserve">SRV-FILE-02</w:t>
            </w:r>
          </w:p>
        </w:tc>
        <w:tc>
          <w:p>
            <w:pPr>
              <w:pStyle w:val="Compact"/>
              <w:jc w:val="left"/>
            </w:pPr>
            <w:r>
              <w:t xml:space="preserve">CVE-2017-0144</w:t>
            </w:r>
          </w:p>
        </w:tc>
        <w:tc>
          <w:p>
            <w:pPr>
              <w:pStyle w:val="Compact"/>
              <w:jc w:val="left"/>
            </w:pPr>
            <w:r>
              <w:t xml:space="preserve">Alta</w:t>
            </w:r>
          </w:p>
        </w:tc>
        <w:tc>
          <w:p>
            <w:pPr>
              <w:pStyle w:val="Compact"/>
              <w:jc w:val="right"/>
            </w:pPr>
            <w:r>
              <w:t xml:space="preserve">0.296554</w:t>
            </w:r>
          </w:p>
        </w:tc>
      </w:tr>
      <w:tr>
        <w:tc>
          <w:p>
            <w:pPr>
              <w:pStyle w:val="Compact"/>
              <w:jc w:val="left"/>
            </w:pPr>
            <w:r>
              <w:t xml:space="preserve">SRV-WEB-02</w:t>
            </w:r>
          </w:p>
        </w:tc>
        <w:tc>
          <w:p>
            <w:pPr>
              <w:pStyle w:val="Compact"/>
              <w:jc w:val="left"/>
            </w:pPr>
            <w:r>
              <w:t xml:space="preserve">CVE-2023-25690</w:t>
            </w:r>
          </w:p>
        </w:tc>
        <w:tc>
          <w:p>
            <w:pPr>
              <w:pStyle w:val="Compact"/>
              <w:jc w:val="left"/>
            </w:pPr>
            <w:r>
              <w:t xml:space="preserve">Alta</w:t>
            </w:r>
          </w:p>
        </w:tc>
        <w:tc>
          <w:p>
            <w:pPr>
              <w:pStyle w:val="Compact"/>
              <w:jc w:val="right"/>
            </w:pPr>
            <w:r>
              <w:t xml:space="preserve">0.282013</w:t>
            </w:r>
          </w:p>
        </w:tc>
      </w:tr>
      <w:tr>
        <w:tc>
          <w:p>
            <w:pPr>
              <w:pStyle w:val="Compact"/>
              <w:jc w:val="left"/>
            </w:pPr>
            <w:r>
              <w:t xml:space="preserve">RTR-GPON-01</w:t>
            </w:r>
          </w:p>
        </w:tc>
        <w:tc>
          <w:p>
            <w:pPr>
              <w:pStyle w:val="Compact"/>
              <w:jc w:val="left"/>
            </w:pPr>
            <w:r>
              <w:t xml:space="preserve">CVE-2018-10561</w:t>
            </w:r>
          </w:p>
        </w:tc>
        <w:tc>
          <w:p>
            <w:pPr>
              <w:pStyle w:val="Compact"/>
              <w:jc w:val="left"/>
            </w:pPr>
            <w:r>
              <w:t xml:space="preserve">Media</w:t>
            </w:r>
          </w:p>
        </w:tc>
        <w:tc>
          <w:p>
            <w:pPr>
              <w:pStyle w:val="Compact"/>
              <w:jc w:val="right"/>
            </w:pPr>
            <w:r>
              <w:t xml:space="preserve">0.271656</w:t>
            </w:r>
          </w:p>
        </w:tc>
      </w:tr>
      <w:tr>
        <w:tc>
          <w:p>
            <w:pPr>
              <w:pStyle w:val="Compact"/>
              <w:jc w:val="left"/>
            </w:pPr>
            <w:r>
              <w:t xml:space="preserve">SRV-WIKI-01</w:t>
            </w:r>
          </w:p>
        </w:tc>
        <w:tc>
          <w:p>
            <w:pPr>
              <w:pStyle w:val="Compact"/>
              <w:jc w:val="left"/>
            </w:pPr>
            <w:r>
              <w:t xml:space="preserve">CVE-2022-26134</w:t>
            </w:r>
          </w:p>
        </w:tc>
        <w:tc>
          <w:p>
            <w:pPr>
              <w:pStyle w:val="Compact"/>
              <w:jc w:val="left"/>
            </w:pPr>
            <w:r>
              <w:t xml:space="preserve">Media</w:t>
            </w:r>
          </w:p>
        </w:tc>
        <w:tc>
          <w:p>
            <w:pPr>
              <w:pStyle w:val="Compact"/>
              <w:jc w:val="right"/>
            </w:pPr>
            <w:r>
              <w:t xml:space="preserve">0.262233</w:t>
            </w:r>
          </w:p>
        </w:tc>
      </w:tr>
      <w:tr>
        <w:tc>
          <w:p>
            <w:pPr>
              <w:pStyle w:val="Compact"/>
              <w:jc w:val="left"/>
            </w:pPr>
            <w:r>
              <w:t xml:space="preserve">SRV-APP-03</w:t>
            </w:r>
          </w:p>
        </w:tc>
        <w:tc>
          <w:p>
            <w:pPr>
              <w:pStyle w:val="Compact"/>
              <w:jc w:val="left"/>
            </w:pPr>
            <w:r>
              <w:t xml:space="preserve">CVE-2021-44228</w:t>
            </w:r>
          </w:p>
        </w:tc>
        <w:tc>
          <w:p>
            <w:pPr>
              <w:pStyle w:val="Compact"/>
              <w:jc w:val="left"/>
            </w:pPr>
            <w:r>
              <w:t xml:space="preserve">Media</w:t>
            </w:r>
          </w:p>
        </w:tc>
        <w:tc>
          <w:p>
            <w:pPr>
              <w:pStyle w:val="Compact"/>
              <w:jc w:val="right"/>
            </w:pPr>
            <w:r>
              <w:t xml:space="preserve">0.262233</w:t>
            </w:r>
          </w:p>
        </w:tc>
      </w:tr>
      <w:tr>
        <w:tc>
          <w:p>
            <w:pPr>
              <w:pStyle w:val="Compact"/>
              <w:jc w:val="left"/>
            </w:pPr>
            <w:r>
              <w:t xml:space="preserve">SRV-CMS-01</w:t>
            </w:r>
          </w:p>
        </w:tc>
        <w:tc>
          <w:p>
            <w:pPr>
              <w:pStyle w:val="Compact"/>
              <w:jc w:val="left"/>
            </w:pPr>
            <w:r>
              <w:t xml:space="preserve">CVE-2018-7600</w:t>
            </w:r>
          </w:p>
        </w:tc>
        <w:tc>
          <w:p>
            <w:pPr>
              <w:pStyle w:val="Compact"/>
              <w:jc w:val="left"/>
            </w:pPr>
            <w:r>
              <w:t xml:space="preserve">Media</w:t>
            </w:r>
          </w:p>
        </w:tc>
        <w:tc>
          <w:p>
            <w:pPr>
              <w:pStyle w:val="Compact"/>
              <w:jc w:val="right"/>
            </w:pPr>
            <w:r>
              <w:t xml:space="preserve">0.252919</w:t>
            </w:r>
          </w:p>
        </w:tc>
      </w:tr>
      <w:tr>
        <w:tc>
          <w:p>
            <w:pPr>
              <w:pStyle w:val="Compact"/>
              <w:jc w:val="left"/>
            </w:pPr>
            <w:r>
              <w:t xml:space="preserve">SRV-ERP-02</w:t>
            </w:r>
          </w:p>
        </w:tc>
        <w:tc>
          <w:p>
            <w:pPr>
              <w:pStyle w:val="Compact"/>
              <w:jc w:val="left"/>
            </w:pPr>
            <w:r>
              <w:t xml:space="preserve">CVE-2019-2725</w:t>
            </w:r>
          </w:p>
        </w:tc>
        <w:tc>
          <w:p>
            <w:pPr>
              <w:pStyle w:val="Compact"/>
              <w:jc w:val="left"/>
            </w:pPr>
            <w:r>
              <w:t xml:space="preserve">Media</w:t>
            </w:r>
          </w:p>
        </w:tc>
        <w:tc>
          <w:p>
            <w:pPr>
              <w:pStyle w:val="Compact"/>
              <w:jc w:val="right"/>
            </w:pPr>
            <w:r>
              <w:t xml:space="preserve">0.244936</w:t>
            </w:r>
          </w:p>
        </w:tc>
      </w:tr>
      <w:tr>
        <w:tc>
          <w:p>
            <w:pPr>
              <w:pStyle w:val="Compact"/>
              <w:jc w:val="left"/>
            </w:pPr>
            <w:r>
              <w:t xml:space="preserve">MOB-GER-02</w:t>
            </w:r>
          </w:p>
        </w:tc>
        <w:tc>
          <w:p>
            <w:pPr>
              <w:pStyle w:val="Compact"/>
              <w:jc w:val="left"/>
            </w:pPr>
            <w:r>
              <w:t xml:space="preserve">CVE-2021-30883</w:t>
            </w:r>
          </w:p>
        </w:tc>
        <w:tc>
          <w:p>
            <w:pPr>
              <w:pStyle w:val="Compact"/>
              <w:jc w:val="left"/>
            </w:pPr>
            <w:r>
              <w:t xml:space="preserve">Media</w:t>
            </w:r>
          </w:p>
        </w:tc>
        <w:tc>
          <w:p>
            <w:pPr>
              <w:pStyle w:val="Compact"/>
              <w:jc w:val="right"/>
            </w:pPr>
            <w:r>
              <w:t xml:space="preserve">0.219715</w:t>
            </w:r>
          </w:p>
        </w:tc>
      </w:tr>
      <w:tr>
        <w:tc>
          <w:p>
            <w:pPr>
              <w:pStyle w:val="Compact"/>
              <w:jc w:val="left"/>
            </w:pPr>
            <w:r>
              <w:t xml:space="preserve">MOB-GER-01</w:t>
            </w:r>
          </w:p>
        </w:tc>
        <w:tc>
          <w:p>
            <w:pPr>
              <w:pStyle w:val="Compact"/>
              <w:jc w:val="left"/>
            </w:pPr>
            <w:r>
              <w:t xml:space="preserve">CVE-2021-1048</w:t>
            </w:r>
          </w:p>
        </w:tc>
        <w:tc>
          <w:p>
            <w:pPr>
              <w:pStyle w:val="Compact"/>
              <w:jc w:val="left"/>
            </w:pPr>
            <w:r>
              <w:t xml:space="preserve">Media</w:t>
            </w:r>
          </w:p>
        </w:tc>
        <w:tc>
          <w:p>
            <w:pPr>
              <w:pStyle w:val="Compact"/>
              <w:jc w:val="right"/>
            </w:pPr>
            <w:r>
              <w:t xml:space="preserve">0.219715</w:t>
            </w:r>
          </w:p>
        </w:tc>
      </w:tr>
      <w:tr>
        <w:tc>
          <w:p>
            <w:pPr>
              <w:pStyle w:val="Compact"/>
              <w:jc w:val="left"/>
            </w:pPr>
            <w:r>
              <w:t xml:space="preserve">SRV-LEGACY-03</w:t>
            </w:r>
          </w:p>
        </w:tc>
        <w:tc>
          <w:p>
            <w:pPr>
              <w:pStyle w:val="Compact"/>
              <w:jc w:val="left"/>
            </w:pPr>
            <w:r>
              <w:t xml:space="preserve">CVE-2019-0708</w:t>
            </w:r>
          </w:p>
        </w:tc>
        <w:tc>
          <w:p>
            <w:pPr>
              <w:pStyle w:val="Compact"/>
              <w:jc w:val="left"/>
            </w:pPr>
            <w:r>
              <w:t xml:space="preserve">Media</w:t>
            </w:r>
          </w:p>
        </w:tc>
        <w:tc>
          <w:p>
            <w:pPr>
              <w:pStyle w:val="Compact"/>
              <w:jc w:val="right"/>
            </w:pPr>
            <w:r>
              <w:t xml:space="preserve">0.215956</w:t>
            </w:r>
          </w:p>
        </w:tc>
      </w:tr>
      <w:tr>
        <w:tc>
          <w:p>
            <w:pPr>
              <w:pStyle w:val="Compact"/>
              <w:jc w:val="left"/>
            </w:pPr>
            <w:r>
              <w:t xml:space="preserve">WKS-FIN-05</w:t>
            </w:r>
          </w:p>
        </w:tc>
        <w:tc>
          <w:p>
            <w:pPr>
              <w:pStyle w:val="Compact"/>
              <w:jc w:val="left"/>
            </w:pPr>
            <w:r>
              <w:t xml:space="preserve">CVE-2021-34527</w:t>
            </w:r>
          </w:p>
        </w:tc>
        <w:tc>
          <w:p>
            <w:pPr>
              <w:pStyle w:val="Compact"/>
              <w:jc w:val="left"/>
            </w:pPr>
            <w:r>
              <w:t xml:space="preserve">Media</w:t>
            </w:r>
          </w:p>
        </w:tc>
        <w:tc>
          <w:p>
            <w:pPr>
              <w:pStyle w:val="Compact"/>
              <w:jc w:val="right"/>
            </w:pPr>
            <w:r>
              <w:t xml:space="preserve">0.215573</w:t>
            </w:r>
          </w:p>
        </w:tc>
      </w:tr>
      <w:tr>
        <w:tc>
          <w:p>
            <w:pPr>
              <w:pStyle w:val="Compact"/>
              <w:jc w:val="left"/>
            </w:pPr>
            <w:r>
              <w:t xml:space="preserve">WKS-FIN-06</w:t>
            </w:r>
          </w:p>
        </w:tc>
        <w:tc>
          <w:p>
            <w:pPr>
              <w:pStyle w:val="Compact"/>
              <w:jc w:val="left"/>
            </w:pPr>
            <w:r>
              <w:t xml:space="preserve">CVE-2021-34527</w:t>
            </w:r>
          </w:p>
        </w:tc>
        <w:tc>
          <w:p>
            <w:pPr>
              <w:pStyle w:val="Compact"/>
              <w:jc w:val="left"/>
            </w:pPr>
            <w:r>
              <w:t xml:space="preserve">Media</w:t>
            </w:r>
          </w:p>
        </w:tc>
        <w:tc>
          <w:p>
            <w:pPr>
              <w:pStyle w:val="Compact"/>
              <w:jc w:val="right"/>
            </w:pPr>
            <w:r>
              <w:t xml:space="preserve">0.215573</w:t>
            </w:r>
          </w:p>
        </w:tc>
      </w:tr>
      <w:tr>
        <w:tc>
          <w:p>
            <w:pPr>
              <w:pStyle w:val="Compact"/>
              <w:jc w:val="left"/>
            </w:pPr>
            <w:r>
              <w:t xml:space="preserve">WKS-VTA-03</w:t>
            </w:r>
          </w:p>
        </w:tc>
        <w:tc>
          <w:p>
            <w:pPr>
              <w:pStyle w:val="Compact"/>
              <w:jc w:val="left"/>
            </w:pPr>
            <w:r>
              <w:t xml:space="preserve">CVE-2021-34527</w:t>
            </w:r>
          </w:p>
        </w:tc>
        <w:tc>
          <w:p>
            <w:pPr>
              <w:pStyle w:val="Compact"/>
              <w:jc w:val="left"/>
            </w:pPr>
            <w:r>
              <w:t xml:space="preserve">Media</w:t>
            </w:r>
          </w:p>
        </w:tc>
        <w:tc>
          <w:p>
            <w:pPr>
              <w:pStyle w:val="Compact"/>
              <w:jc w:val="right"/>
            </w:pPr>
            <w:r>
              <w:t xml:space="preserve">0.215573</w:t>
            </w:r>
          </w:p>
        </w:tc>
      </w:tr>
      <w:tr>
        <w:tc>
          <w:p>
            <w:pPr>
              <w:pStyle w:val="Compact"/>
              <w:jc w:val="left"/>
            </w:pPr>
            <w:r>
              <w:t xml:space="preserve">SRV-WIKI-02</w:t>
            </w:r>
          </w:p>
        </w:tc>
        <w:tc>
          <w:p>
            <w:pPr>
              <w:pStyle w:val="Compact"/>
              <w:jc w:val="left"/>
            </w:pPr>
            <w:r>
              <w:t xml:space="preserve">CVE-2023-22515</w:t>
            </w:r>
          </w:p>
        </w:tc>
        <w:tc>
          <w:p>
            <w:pPr>
              <w:pStyle w:val="Compact"/>
              <w:jc w:val="left"/>
            </w:pPr>
            <w:r>
              <w:t xml:space="preserve">Media</w:t>
            </w:r>
          </w:p>
        </w:tc>
        <w:tc>
          <w:p>
            <w:pPr>
              <w:pStyle w:val="Compact"/>
              <w:jc w:val="right"/>
            </w:pPr>
            <w:r>
              <w:t xml:space="preserve">0.214799</w:t>
            </w:r>
          </w:p>
        </w:tc>
      </w:tr>
      <w:tr>
        <w:tc>
          <w:p>
            <w:pPr>
              <w:pStyle w:val="Compact"/>
              <w:jc w:val="left"/>
            </w:pPr>
            <w:r>
              <w:t xml:space="preserve">WKS-RRHH-01</w:t>
            </w:r>
          </w:p>
        </w:tc>
        <w:tc>
          <w:p>
            <w:pPr>
              <w:pStyle w:val="Compact"/>
              <w:jc w:val="left"/>
            </w:pPr>
            <w:r>
              <w:t xml:space="preserve">CVE-2022-30190</w:t>
            </w:r>
          </w:p>
        </w:tc>
        <w:tc>
          <w:p>
            <w:pPr>
              <w:pStyle w:val="Compact"/>
              <w:jc w:val="left"/>
            </w:pPr>
            <w:r>
              <w:t xml:space="preserve">Media</w:t>
            </w:r>
          </w:p>
        </w:tc>
        <w:tc>
          <w:p>
            <w:pPr>
              <w:pStyle w:val="Compact"/>
              <w:jc w:val="right"/>
            </w:pPr>
            <w:r>
              <w:t xml:space="preserve">0.205493</w:t>
            </w:r>
          </w:p>
        </w:tc>
      </w:tr>
      <w:tr>
        <w:tc>
          <w:p>
            <w:pPr>
              <w:pStyle w:val="Compact"/>
              <w:jc w:val="left"/>
            </w:pPr>
            <w:r>
              <w:t xml:space="preserve">SRV-FILE-03</w:t>
            </w:r>
          </w:p>
        </w:tc>
        <w:tc>
          <w:p>
            <w:pPr>
              <w:pStyle w:val="Compact"/>
              <w:jc w:val="left"/>
            </w:pPr>
            <w:r>
              <w:t xml:space="preserve">CVE-2020-0796</w:t>
            </w:r>
          </w:p>
        </w:tc>
        <w:tc>
          <w:p>
            <w:pPr>
              <w:pStyle w:val="Compact"/>
              <w:jc w:val="left"/>
            </w:pPr>
            <w:r>
              <w:t xml:space="preserve">Media</w:t>
            </w:r>
          </w:p>
        </w:tc>
        <w:tc>
          <w:p>
            <w:pPr>
              <w:pStyle w:val="Compact"/>
              <w:jc w:val="right"/>
            </w:pPr>
            <w:r>
              <w:t xml:space="preserve">0.190953</w:t>
            </w:r>
          </w:p>
        </w:tc>
      </w:tr>
      <w:tr>
        <w:tc>
          <w:p>
            <w:pPr>
              <w:pStyle w:val="Compact"/>
              <w:jc w:val="left"/>
            </w:pPr>
            <w:r>
              <w:t xml:space="preserve">WKS-ADM-01</w:t>
            </w:r>
          </w:p>
        </w:tc>
        <w:tc>
          <w:p>
            <w:pPr>
              <w:pStyle w:val="Compact"/>
              <w:jc w:val="left"/>
            </w:pPr>
            <w:r>
              <w:t xml:space="preserve">CVE-2021-4034</w:t>
            </w:r>
          </w:p>
        </w:tc>
        <w:tc>
          <w:p>
            <w:pPr>
              <w:pStyle w:val="Compact"/>
              <w:jc w:val="left"/>
            </w:pPr>
            <w:r>
              <w:t xml:space="preserve">Media</w:t>
            </w:r>
          </w:p>
        </w:tc>
        <w:tc>
          <w:p>
            <w:pPr>
              <w:pStyle w:val="Compact"/>
              <w:jc w:val="right"/>
            </w:pPr>
            <w:r>
              <w:t xml:space="preserve">0.179461</w:t>
            </w:r>
          </w:p>
        </w:tc>
      </w:tr>
      <w:tr>
        <w:tc>
          <w:p>
            <w:pPr>
              <w:pStyle w:val="Compact"/>
              <w:jc w:val="left"/>
            </w:pPr>
            <w:r>
              <w:t xml:space="preserve">SRV-FILE-04</w:t>
            </w:r>
          </w:p>
        </w:tc>
        <w:tc>
          <w:p>
            <w:pPr>
              <w:pStyle w:val="Compact"/>
              <w:jc w:val="left"/>
            </w:pPr>
            <w:r>
              <w:t xml:space="preserve">CVE-2017-0144</w:t>
            </w:r>
          </w:p>
        </w:tc>
        <w:tc>
          <w:p>
            <w:pPr>
              <w:pStyle w:val="Compact"/>
              <w:jc w:val="left"/>
            </w:pPr>
            <w:r>
              <w:t xml:space="preserve">Media</w:t>
            </w:r>
          </w:p>
        </w:tc>
        <w:tc>
          <w:p>
            <w:pPr>
              <w:pStyle w:val="Compact"/>
              <w:jc w:val="right"/>
            </w:pPr>
            <w:r>
              <w:t xml:space="preserve">0.177932</w:t>
            </w:r>
          </w:p>
        </w:tc>
      </w:tr>
      <w:tr>
        <w:tc>
          <w:p>
            <w:pPr>
              <w:pStyle w:val="Compact"/>
              <w:jc w:val="left"/>
            </w:pPr>
            <w:r>
              <w:t xml:space="preserve">SRV-WEB-05</w:t>
            </w:r>
          </w:p>
        </w:tc>
        <w:tc>
          <w:p>
            <w:pPr>
              <w:pStyle w:val="Compact"/>
              <w:jc w:val="left"/>
            </w:pPr>
            <w:r>
              <w:t xml:space="preserve">CVE-2023-25690</w:t>
            </w:r>
          </w:p>
        </w:tc>
        <w:tc>
          <w:p>
            <w:pPr>
              <w:pStyle w:val="Compact"/>
              <w:jc w:val="left"/>
            </w:pPr>
            <w:r>
              <w:t xml:space="preserve">Media</w:t>
            </w:r>
          </w:p>
        </w:tc>
        <w:tc>
          <w:p>
            <w:pPr>
              <w:pStyle w:val="Compact"/>
              <w:jc w:val="right"/>
            </w:pPr>
            <w:r>
              <w:t xml:space="preserve">0.169208</w:t>
            </w:r>
          </w:p>
        </w:tc>
      </w:tr>
      <w:tr>
        <w:tc>
          <w:p>
            <w:pPr>
              <w:pStyle w:val="Compact"/>
              <w:jc w:val="left"/>
            </w:pPr>
            <w:r>
              <w:t xml:space="preserve">CAM-INT-03</w:t>
            </w:r>
          </w:p>
        </w:tc>
        <w:tc>
          <w:p>
            <w:pPr>
              <w:pStyle w:val="Compact"/>
              <w:jc w:val="left"/>
            </w:pPr>
            <w:r>
              <w:t xml:space="preserve">CVE-2021-33044</w:t>
            </w:r>
          </w:p>
        </w:tc>
        <w:tc>
          <w:p>
            <w:pPr>
              <w:pStyle w:val="Compact"/>
              <w:jc w:val="left"/>
            </w:pPr>
            <w:r>
              <w:t xml:space="preserve">Baja</w:t>
            </w:r>
          </w:p>
        </w:tc>
        <w:tc>
          <w:p>
            <w:pPr>
              <w:pStyle w:val="Compact"/>
              <w:jc w:val="right"/>
            </w:pPr>
            <w:r>
              <w:t xml:space="preserve">0.163705</w:t>
            </w:r>
          </w:p>
        </w:tc>
      </w:tr>
      <w:tr>
        <w:tc>
          <w:p>
            <w:pPr>
              <w:pStyle w:val="Compact"/>
              <w:jc w:val="left"/>
            </w:pPr>
            <w:r>
              <w:t xml:space="preserve">CAM-INT-02</w:t>
            </w:r>
          </w:p>
        </w:tc>
        <w:tc>
          <w:p>
            <w:pPr>
              <w:pStyle w:val="Compact"/>
              <w:jc w:val="left"/>
            </w:pPr>
            <w:r>
              <w:t xml:space="preserve">CVE-2021-36260</w:t>
            </w:r>
          </w:p>
        </w:tc>
        <w:tc>
          <w:p>
            <w:pPr>
              <w:pStyle w:val="Compact"/>
              <w:jc w:val="left"/>
            </w:pPr>
            <w:r>
              <w:t xml:space="preserve">Baja</w:t>
            </w:r>
          </w:p>
        </w:tc>
        <w:tc>
          <w:p>
            <w:pPr>
              <w:pStyle w:val="Compact"/>
              <w:jc w:val="right"/>
            </w:pPr>
            <w:r>
              <w:t xml:space="preserve">0.163696</w:t>
            </w:r>
          </w:p>
        </w:tc>
      </w:tr>
      <w:tr>
        <w:tc>
          <w:p>
            <w:pPr>
              <w:pStyle w:val="Compact"/>
              <w:jc w:val="left"/>
            </w:pPr>
            <w:r>
              <w:t xml:space="preserve">TEL-VOIP-02</w:t>
            </w:r>
          </w:p>
        </w:tc>
        <w:tc>
          <w:p>
            <w:pPr>
              <w:pStyle w:val="Compact"/>
              <w:jc w:val="left"/>
            </w:pPr>
            <w:r>
              <w:t xml:space="preserve">CVE-2020-3161</w:t>
            </w:r>
          </w:p>
        </w:tc>
        <w:tc>
          <w:p>
            <w:pPr>
              <w:pStyle w:val="Compact"/>
              <w:jc w:val="left"/>
            </w:pPr>
            <w:r>
              <w:t xml:space="preserve">Baja</w:t>
            </w:r>
          </w:p>
        </w:tc>
        <w:tc>
          <w:p>
            <w:pPr>
              <w:pStyle w:val="Compact"/>
              <w:jc w:val="right"/>
            </w:pPr>
            <w:r>
              <w:t xml:space="preserve">0.14552</w:t>
            </w:r>
          </w:p>
        </w:tc>
      </w:tr>
      <w:tr>
        <w:tc>
          <w:p>
            <w:pPr>
              <w:pStyle w:val="Compact"/>
              <w:jc w:val="left"/>
            </w:pPr>
            <w:r>
              <w:t xml:space="preserve">TEL-VOIP-01</w:t>
            </w:r>
          </w:p>
        </w:tc>
        <w:tc>
          <w:p>
            <w:pPr>
              <w:pStyle w:val="Compact"/>
              <w:jc w:val="left"/>
            </w:pPr>
            <w:r>
              <w:t xml:space="preserve">CVE-2020-3161</w:t>
            </w:r>
          </w:p>
        </w:tc>
        <w:tc>
          <w:p>
            <w:pPr>
              <w:pStyle w:val="Compact"/>
              <w:jc w:val="left"/>
            </w:pPr>
            <w:r>
              <w:t xml:space="preserve">Baja</w:t>
            </w:r>
          </w:p>
        </w:tc>
        <w:tc>
          <w:p>
            <w:pPr>
              <w:pStyle w:val="Compact"/>
              <w:jc w:val="right"/>
            </w:pPr>
            <w:r>
              <w:t xml:space="preserve">0.14552</w:t>
            </w:r>
          </w:p>
        </w:tc>
      </w:tr>
      <w:tr>
        <w:tc>
          <w:p>
            <w:pPr>
              <w:pStyle w:val="Compact"/>
              <w:jc w:val="left"/>
            </w:pPr>
            <w:r>
              <w:t xml:space="preserve">SRV-DB-02</w:t>
            </w:r>
          </w:p>
        </w:tc>
        <w:tc>
          <w:p>
            <w:pPr>
              <w:pStyle w:val="Compact"/>
              <w:jc w:val="left"/>
            </w:pPr>
            <w:r>
              <w:t xml:space="preserve">CVE-2016-6662</w:t>
            </w:r>
          </w:p>
        </w:tc>
        <w:tc>
          <w:p>
            <w:pPr>
              <w:pStyle w:val="Compact"/>
              <w:jc w:val="left"/>
            </w:pPr>
            <w:r>
              <w:t xml:space="preserve">Alta</w:t>
            </w:r>
          </w:p>
        </w:tc>
        <w:tc>
          <w:p>
            <w:pPr>
              <w:pStyle w:val="Compact"/>
              <w:jc w:val="right"/>
            </w:pPr>
            <w:r>
              <w:t xml:space="preserve">0.144821</w:t>
            </w:r>
          </w:p>
        </w:tc>
      </w:tr>
      <w:tr>
        <w:tc>
          <w:p>
            <w:pPr>
              <w:pStyle w:val="Compact"/>
              <w:jc w:val="left"/>
            </w:pPr>
            <w:r>
              <w:t xml:space="preserve">SRV-DB-01</w:t>
            </w:r>
          </w:p>
        </w:tc>
        <w:tc>
          <w:p>
            <w:pPr>
              <w:pStyle w:val="Compact"/>
              <w:jc w:val="left"/>
            </w:pPr>
            <w:r>
              <w:t xml:space="preserve">CVE-2016-6662</w:t>
            </w:r>
          </w:p>
        </w:tc>
        <w:tc>
          <w:p>
            <w:pPr>
              <w:pStyle w:val="Compact"/>
              <w:jc w:val="left"/>
            </w:pPr>
            <w:r>
              <w:t xml:space="preserve">Alta</w:t>
            </w:r>
          </w:p>
        </w:tc>
        <w:tc>
          <w:p>
            <w:pPr>
              <w:pStyle w:val="Compact"/>
              <w:jc w:val="right"/>
            </w:pPr>
            <w:r>
              <w:t xml:space="preserve">0.144821</w:t>
            </w:r>
          </w:p>
        </w:tc>
      </w:tr>
      <w:tr>
        <w:tc>
          <w:p>
            <w:pPr>
              <w:pStyle w:val="Compact"/>
              <w:jc w:val="left"/>
            </w:pPr>
            <w:r>
              <w:t xml:space="preserve">SRV-LNX-02</w:t>
            </w:r>
          </w:p>
        </w:tc>
        <w:tc>
          <w:p>
            <w:pPr>
              <w:pStyle w:val="Compact"/>
              <w:jc w:val="left"/>
            </w:pPr>
            <w:r>
              <w:t xml:space="preserve">CVE-2023-4911</w:t>
            </w:r>
          </w:p>
        </w:tc>
        <w:tc>
          <w:p>
            <w:pPr>
              <w:pStyle w:val="Compact"/>
              <w:jc w:val="left"/>
            </w:pPr>
            <w:r>
              <w:t xml:space="preserve">Media</w:t>
            </w:r>
          </w:p>
        </w:tc>
        <w:tc>
          <w:p>
            <w:pPr>
              <w:pStyle w:val="Compact"/>
              <w:jc w:val="right"/>
            </w:pPr>
            <w:r>
              <w:t xml:space="preserve">0.132276</w:t>
            </w:r>
          </w:p>
        </w:tc>
      </w:tr>
      <w:tr>
        <w:tc>
          <w:p>
            <w:pPr>
              <w:pStyle w:val="Compact"/>
              <w:jc w:val="left"/>
            </w:pPr>
            <w:r>
              <w:t xml:space="preserve">SRV-LNX-01</w:t>
            </w:r>
          </w:p>
        </w:tc>
        <w:tc>
          <w:p>
            <w:pPr>
              <w:pStyle w:val="Compact"/>
              <w:jc w:val="left"/>
            </w:pPr>
            <w:r>
              <w:t xml:space="preserve">CVE-2022-0847</w:t>
            </w:r>
          </w:p>
        </w:tc>
        <w:tc>
          <w:p>
            <w:pPr>
              <w:pStyle w:val="Compact"/>
              <w:jc w:val="left"/>
            </w:pPr>
            <w:r>
              <w:t xml:space="preserve">Media</w:t>
            </w:r>
          </w:p>
        </w:tc>
        <w:tc>
          <w:p>
            <w:pPr>
              <w:pStyle w:val="Compact"/>
              <w:jc w:val="right"/>
            </w:pPr>
            <w:r>
              <w:t xml:space="preserve">0.132276</w:t>
            </w:r>
          </w:p>
        </w:tc>
      </w:tr>
      <w:tr>
        <w:tc>
          <w:p>
            <w:pPr>
              <w:pStyle w:val="Compact"/>
              <w:jc w:val="left"/>
            </w:pPr>
            <w:r>
              <w:t xml:space="preserve">SRV-DOCKER-01</w:t>
            </w:r>
          </w:p>
        </w:tc>
        <w:tc>
          <w:p>
            <w:pPr>
              <w:pStyle w:val="Compact"/>
              <w:jc w:val="left"/>
            </w:pPr>
            <w:r>
              <w:t xml:space="preserve">CVE-2022-0492</w:t>
            </w:r>
          </w:p>
        </w:tc>
        <w:tc>
          <w:p>
            <w:pPr>
              <w:pStyle w:val="Compact"/>
              <w:jc w:val="left"/>
            </w:pPr>
            <w:r>
              <w:t xml:space="preserve">Media</w:t>
            </w:r>
          </w:p>
        </w:tc>
        <w:tc>
          <w:p>
            <w:pPr>
              <w:pStyle w:val="Compact"/>
              <w:jc w:val="right"/>
            </w:pPr>
            <w:r>
              <w:t xml:space="preserve">0.132276</w:t>
            </w:r>
          </w:p>
        </w:tc>
      </w:tr>
      <w:tr>
        <w:tc>
          <w:p>
            <w:pPr>
              <w:pStyle w:val="Compact"/>
              <w:jc w:val="left"/>
            </w:pPr>
            <w:r>
              <w:t xml:space="preserve">AP-WIFI-01</w:t>
            </w:r>
          </w:p>
        </w:tc>
        <w:tc>
          <w:p>
            <w:pPr>
              <w:pStyle w:val="Compact"/>
              <w:jc w:val="left"/>
            </w:pPr>
            <w:r>
              <w:t xml:space="preserve">CVE-2021-20090</w:t>
            </w:r>
          </w:p>
        </w:tc>
        <w:tc>
          <w:p>
            <w:pPr>
              <w:pStyle w:val="Compact"/>
              <w:jc w:val="left"/>
            </w:pPr>
            <w:r>
              <w:t xml:space="preserve">Baja</w:t>
            </w:r>
          </w:p>
        </w:tc>
        <w:tc>
          <w:p>
            <w:pPr>
              <w:pStyle w:val="Compact"/>
              <w:jc w:val="right"/>
            </w:pPr>
            <w:r>
              <w:t xml:space="preserve">0.119755</w:t>
            </w:r>
          </w:p>
        </w:tc>
      </w:tr>
      <w:tr>
        <w:tc>
          <w:p>
            <w:pPr>
              <w:pStyle w:val="Compact"/>
              <w:jc w:val="left"/>
            </w:pPr>
            <w:r>
              <w:t xml:space="preserve">WKS-DEV-03</w:t>
            </w:r>
          </w:p>
        </w:tc>
        <w:tc>
          <w:p>
            <w:pPr>
              <w:pStyle w:val="Compact"/>
              <w:jc w:val="left"/>
            </w:pPr>
            <w:r>
              <w:t xml:space="preserve">CVE-2021-3156</w:t>
            </w:r>
          </w:p>
        </w:tc>
        <w:tc>
          <w:p>
            <w:pPr>
              <w:pStyle w:val="Compact"/>
              <w:jc w:val="left"/>
            </w:pPr>
            <w:r>
              <w:t xml:space="preserve">Baja</w:t>
            </w:r>
          </w:p>
        </w:tc>
        <w:tc>
          <w:p>
            <w:pPr>
              <w:pStyle w:val="Compact"/>
              <w:jc w:val="right"/>
            </w:pPr>
            <w:r>
              <w:t xml:space="preserve">0.112646</w:t>
            </w:r>
          </w:p>
        </w:tc>
      </w:tr>
      <w:tr>
        <w:tc>
          <w:p>
            <w:pPr>
              <w:pStyle w:val="Compact"/>
              <w:jc w:val="left"/>
            </w:pPr>
            <w:r>
              <w:t xml:space="preserve">WKS-DEV-02</w:t>
            </w:r>
          </w:p>
        </w:tc>
        <w:tc>
          <w:p>
            <w:pPr>
              <w:pStyle w:val="Compact"/>
              <w:jc w:val="left"/>
            </w:pPr>
            <w:r>
              <w:t xml:space="preserve">CVE-2021-3156</w:t>
            </w:r>
          </w:p>
        </w:tc>
        <w:tc>
          <w:p>
            <w:pPr>
              <w:pStyle w:val="Compact"/>
              <w:jc w:val="left"/>
            </w:pPr>
            <w:r>
              <w:t xml:space="preserve">Baja</w:t>
            </w:r>
          </w:p>
        </w:tc>
        <w:tc>
          <w:p>
            <w:pPr>
              <w:pStyle w:val="Compact"/>
              <w:jc w:val="right"/>
            </w:pPr>
            <w:r>
              <w:t xml:space="preserve">0.112646</w:t>
            </w:r>
          </w:p>
        </w:tc>
      </w:tr>
      <w:tr>
        <w:tc>
          <w:p>
            <w:pPr>
              <w:pStyle w:val="Compact"/>
              <w:jc w:val="left"/>
            </w:pPr>
            <w:r>
              <w:t xml:space="preserve">SRV-LEGACY-02</w:t>
            </w:r>
          </w:p>
        </w:tc>
        <w:tc>
          <w:p>
            <w:pPr>
              <w:pStyle w:val="Compact"/>
              <w:jc w:val="left"/>
            </w:pPr>
            <w:r>
              <w:t xml:space="preserve">CVE-2014-0160</w:t>
            </w:r>
          </w:p>
        </w:tc>
        <w:tc>
          <w:p>
            <w:pPr>
              <w:pStyle w:val="Compact"/>
              <w:jc w:val="left"/>
            </w:pPr>
            <w:r>
              <w:t xml:space="preserve">Baja</w:t>
            </w:r>
          </w:p>
        </w:tc>
        <w:tc>
          <w:p>
            <w:pPr>
              <w:pStyle w:val="Compact"/>
              <w:jc w:val="right"/>
            </w:pPr>
            <w:r>
              <w:t xml:space="preserve">0.107978</w:t>
            </w:r>
          </w:p>
        </w:tc>
      </w:tr>
      <w:tr>
        <w:tc>
          <w:p>
            <w:pPr>
              <w:pStyle w:val="Compact"/>
              <w:jc w:val="left"/>
            </w:pPr>
            <w:r>
              <w:t xml:space="preserve">SRV-LEGACY-01</w:t>
            </w:r>
          </w:p>
        </w:tc>
        <w:tc>
          <w:p>
            <w:pPr>
              <w:pStyle w:val="Compact"/>
              <w:jc w:val="left"/>
            </w:pPr>
            <w:r>
              <w:t xml:space="preserve">CVE-2014-0160</w:t>
            </w:r>
          </w:p>
        </w:tc>
        <w:tc>
          <w:p>
            <w:pPr>
              <w:pStyle w:val="Compact"/>
              <w:jc w:val="left"/>
            </w:pPr>
            <w:r>
              <w:t xml:space="preserve">Baja</w:t>
            </w:r>
          </w:p>
        </w:tc>
        <w:tc>
          <w:p>
            <w:pPr>
              <w:pStyle w:val="Compact"/>
              <w:jc w:val="right"/>
            </w:pPr>
            <w:r>
              <w:t xml:space="preserve">0.107978</w:t>
            </w:r>
          </w:p>
        </w:tc>
      </w:tr>
      <w:tr>
        <w:tc>
          <w:p>
            <w:pPr>
              <w:pStyle w:val="Compact"/>
              <w:jc w:val="left"/>
            </w:pPr>
            <w:r>
              <w:t xml:space="preserve">WKS-VTA-04</w:t>
            </w:r>
          </w:p>
        </w:tc>
        <w:tc>
          <w:p>
            <w:pPr>
              <w:pStyle w:val="Compact"/>
              <w:jc w:val="left"/>
            </w:pPr>
            <w:r>
              <w:t xml:space="preserve">CVE-2021-34527</w:t>
            </w:r>
          </w:p>
        </w:tc>
        <w:tc>
          <w:p>
            <w:pPr>
              <w:pStyle w:val="Compact"/>
              <w:jc w:val="left"/>
            </w:pPr>
            <w:r>
              <w:t xml:space="preserve">Baja</w:t>
            </w:r>
          </w:p>
        </w:tc>
        <w:tc>
          <w:p>
            <w:pPr>
              <w:pStyle w:val="Compact"/>
              <w:jc w:val="right"/>
            </w:pPr>
            <w:r>
              <w:t xml:space="preserve">0.107786</w:t>
            </w:r>
          </w:p>
        </w:tc>
      </w:tr>
      <w:tr>
        <w:tc>
          <w:p>
            <w:pPr>
              <w:pStyle w:val="Compact"/>
              <w:jc w:val="left"/>
            </w:pPr>
            <w:r>
              <w:t xml:space="preserve">WKS-RRHH-02</w:t>
            </w:r>
          </w:p>
        </w:tc>
        <w:tc>
          <w:p>
            <w:pPr>
              <w:pStyle w:val="Compact"/>
              <w:jc w:val="left"/>
            </w:pPr>
            <w:r>
              <w:t xml:space="preserve">CVE-2022-30190</w:t>
            </w:r>
          </w:p>
        </w:tc>
        <w:tc>
          <w:p>
            <w:pPr>
              <w:pStyle w:val="Compact"/>
              <w:jc w:val="left"/>
            </w:pPr>
            <w:r>
              <w:t xml:space="preserve">Baja</w:t>
            </w:r>
          </w:p>
        </w:tc>
        <w:tc>
          <w:p>
            <w:pPr>
              <w:pStyle w:val="Compact"/>
              <w:jc w:val="right"/>
            </w:pPr>
            <w:r>
              <w:t xml:space="preserve">0.102746</w:t>
            </w:r>
          </w:p>
        </w:tc>
      </w:tr>
      <w:tr>
        <w:tc>
          <w:p>
            <w:pPr>
              <w:pStyle w:val="Compact"/>
              <w:jc w:val="left"/>
            </w:pPr>
            <w:r>
              <w:t xml:space="preserve">WKS-DEV-04</w:t>
            </w:r>
          </w:p>
        </w:tc>
        <w:tc>
          <w:p>
            <w:pPr>
              <w:pStyle w:val="Compact"/>
              <w:jc w:val="left"/>
            </w:pPr>
            <w:r>
              <w:t xml:space="preserve">CVE-2021-4034</w:t>
            </w:r>
          </w:p>
        </w:tc>
        <w:tc>
          <w:p>
            <w:pPr>
              <w:pStyle w:val="Compact"/>
              <w:jc w:val="left"/>
            </w:pPr>
            <w:r>
              <w:t xml:space="preserve">Baja</w:t>
            </w:r>
          </w:p>
        </w:tc>
        <w:tc>
          <w:p>
            <w:pPr>
              <w:pStyle w:val="Compact"/>
              <w:jc w:val="right"/>
            </w:pPr>
            <w:r>
              <w:t xml:space="preserve">0.0897305</w:t>
            </w:r>
          </w:p>
        </w:tc>
      </w:tr>
      <w:tr>
        <w:tc>
          <w:p>
            <w:pPr>
              <w:pStyle w:val="Compact"/>
              <w:jc w:val="left"/>
            </w:pPr>
            <w:r>
              <w:t xml:space="preserve">WKS-TI-01</w:t>
            </w:r>
          </w:p>
        </w:tc>
        <w:tc>
          <w:p>
            <w:pPr>
              <w:pStyle w:val="Compact"/>
              <w:jc w:val="left"/>
            </w:pPr>
            <w:r>
              <w:t xml:space="preserve">CVE-2016-5195</w:t>
            </w:r>
          </w:p>
        </w:tc>
        <w:tc>
          <w:p>
            <w:pPr>
              <w:pStyle w:val="Compact"/>
              <w:jc w:val="left"/>
            </w:pPr>
            <w:r>
              <w:t xml:space="preserve">Baja</w:t>
            </w:r>
          </w:p>
        </w:tc>
        <w:tc>
          <w:p>
            <w:pPr>
              <w:pStyle w:val="Compact"/>
              <w:jc w:val="right"/>
            </w:pPr>
            <w:r>
              <w:t xml:space="preserve">0.0814969</w:t>
            </w:r>
          </w:p>
        </w:tc>
      </w:tr>
      <w:tr>
        <w:tc>
          <w:p>
            <w:pPr>
              <w:pStyle w:val="Compact"/>
              <w:jc w:val="left"/>
            </w:pPr>
            <w:r>
              <w:t xml:space="preserve">PRN-RRHH-02</w:t>
            </w:r>
          </w:p>
        </w:tc>
        <w:tc>
          <w:p>
            <w:pPr>
              <w:pStyle w:val="Compact"/>
              <w:jc w:val="left"/>
            </w:pPr>
            <w:r>
              <w:t xml:space="preserve">CVE-2021-39238</w:t>
            </w:r>
          </w:p>
        </w:tc>
        <w:tc>
          <w:p>
            <w:pPr>
              <w:pStyle w:val="Compact"/>
              <w:jc w:val="left"/>
            </w:pPr>
            <w:r>
              <w:t xml:space="preserve">Baja</w:t>
            </w:r>
          </w:p>
        </w:tc>
        <w:tc>
          <w:p>
            <w:pPr>
              <w:pStyle w:val="Compact"/>
              <w:jc w:val="right"/>
            </w:pPr>
            <w:r>
              <w:t xml:space="preserve">0.0194947</w:t>
            </w:r>
          </w:p>
        </w:tc>
      </w:tr>
      <w:tr>
        <w:tc>
          <w:p>
            <w:pPr>
              <w:pStyle w:val="Compact"/>
              <w:jc w:val="left"/>
            </w:pPr>
            <w:r>
              <w:t xml:space="preserve">PRN-FIN-01</w:t>
            </w:r>
          </w:p>
        </w:tc>
        <w:tc>
          <w:p>
            <w:pPr>
              <w:pStyle w:val="Compact"/>
              <w:jc w:val="left"/>
            </w:pPr>
            <w:r>
              <w:t xml:space="preserve">CVE-2021-39238</w:t>
            </w:r>
          </w:p>
        </w:tc>
        <w:tc>
          <w:p>
            <w:pPr>
              <w:pStyle w:val="Compact"/>
              <w:jc w:val="left"/>
            </w:pPr>
            <w:r>
              <w:t xml:space="preserve">Baja</w:t>
            </w:r>
          </w:p>
        </w:tc>
        <w:tc>
          <w:p>
            <w:pPr>
              <w:pStyle w:val="Compact"/>
              <w:jc w:val="right"/>
            </w:pPr>
            <w:r>
              <w:t xml:space="preserve">0.0194947</w:t>
            </w:r>
          </w:p>
        </w:tc>
      </w:tr>
      <w:tr>
        <w:tc>
          <w:p>
            <w:pPr>
              <w:pStyle w:val="Compact"/>
              <w:jc w:val="left"/>
            </w:pPr>
            <w:r>
              <w:t xml:space="preserve">SRV-LNX-03</w:t>
            </w:r>
          </w:p>
        </w:tc>
        <w:tc>
          <w:p>
            <w:pPr>
              <w:pStyle w:val="Compact"/>
              <w:jc w:val="left"/>
            </w:pPr>
            <w:r>
              <w:t xml:space="preserve">CVE-2021-33909</w:t>
            </w:r>
          </w:p>
        </w:tc>
        <w:tc>
          <w:p>
            <w:pPr>
              <w:pStyle w:val="Compact"/>
              <w:jc w:val="left"/>
            </w:pPr>
            <w:r>
              <w:t xml:space="preserve">Media</w:t>
            </w:r>
          </w:p>
        </w:tc>
        <w:tc>
          <w:p>
            <w:pPr>
              <w:pStyle w:val="Compact"/>
              <w:jc w:val="right"/>
            </w:pPr>
            <w:r>
              <w:t xml:space="preserve">0.010873</w:t>
            </w:r>
          </w:p>
        </w:tc>
      </w:tr>
      <w:tr>
        <w:tc>
          <w:p>
            <w:pPr>
              <w:pStyle w:val="Compact"/>
              <w:jc w:val="left"/>
            </w:pPr>
            <w:r>
              <w:t xml:space="preserve">SRV-LNX-05</w:t>
            </w:r>
          </w:p>
        </w:tc>
        <w:tc>
          <w:p>
            <w:pPr>
              <w:pStyle w:val="Compact"/>
              <w:jc w:val="left"/>
            </w:pPr>
            <w:r>
              <w:t xml:space="preserve">CVE-2023-32233</w:t>
            </w:r>
          </w:p>
        </w:tc>
        <w:tc>
          <w:p>
            <w:pPr>
              <w:pStyle w:val="Compact"/>
              <w:jc w:val="left"/>
            </w:pPr>
            <w:r>
              <w:t xml:space="preserve">Baja</w:t>
            </w:r>
          </w:p>
        </w:tc>
        <w:tc>
          <w:p>
            <w:pPr>
              <w:pStyle w:val="Compact"/>
              <w:jc w:val="right"/>
            </w:pPr>
            <w:r>
              <w:t xml:space="preserve">0.00728206</w:t>
            </w:r>
          </w:p>
        </w:tc>
      </w:tr>
      <w:tr>
        <w:tc>
          <w:p>
            <w:pPr>
              <w:pStyle w:val="Compact"/>
              <w:jc w:val="left"/>
            </w:pPr>
            <w:r>
              <w:t xml:space="preserve">PLC-OT-01</w:t>
            </w:r>
          </w:p>
        </w:tc>
        <w:tc>
          <w:p>
            <w:pPr>
              <w:pStyle w:val="Compact"/>
              <w:jc w:val="left"/>
            </w:pPr>
            <w:r>
              <w:t xml:space="preserve">CVE-2021-22779</w:t>
            </w:r>
          </w:p>
        </w:tc>
        <w:tc>
          <w:p>
            <w:pPr>
              <w:pStyle w:val="Compact"/>
              <w:jc w:val="left"/>
            </w:pPr>
            <w:r>
              <w:t xml:space="preserve">Alta</w:t>
            </w:r>
          </w:p>
        </w:tc>
        <w:tc>
          <w:p>
            <w:pPr>
              <w:pStyle w:val="Compact"/>
              <w:jc w:val="right"/>
            </w:pPr>
            <w:r>
              <w:t xml:space="preserve">0.00622923</w:t>
            </w:r>
          </w:p>
        </w:tc>
      </w:tr>
      <w:tr>
        <w:tc>
          <w:p>
            <w:pPr>
              <w:pStyle w:val="Compact"/>
              <w:jc w:val="left"/>
            </w:pPr>
            <w:r>
              <w:t xml:space="preserve">SRV-LNX-04</w:t>
            </w:r>
          </w:p>
        </w:tc>
        <w:tc>
          <w:p>
            <w:pPr>
              <w:pStyle w:val="Compact"/>
              <w:jc w:val="left"/>
            </w:pPr>
            <w:r>
              <w:t xml:space="preserve">CVE-2022-2588</w:t>
            </w:r>
          </w:p>
        </w:tc>
        <w:tc>
          <w:p>
            <w:pPr>
              <w:pStyle w:val="Compact"/>
              <w:jc w:val="left"/>
            </w:pPr>
            <w:r>
              <w:t xml:space="preserve">Baja</w:t>
            </w:r>
          </w:p>
        </w:tc>
        <w:tc>
          <w:p>
            <w:pPr>
              <w:pStyle w:val="Compact"/>
              <w:jc w:val="right"/>
            </w:pPr>
            <w:r>
              <w:t xml:space="preserve">0.00326171</w:t>
            </w:r>
          </w:p>
        </w:tc>
      </w:tr>
    </w:tbl>
    <w:p>
      <w:pPr>
        <w:pStyle w:val="BodyText"/>
      </w:pPr>
      <w:r>
        <w:t xml:space="preserve">El riesgo residual aceptado asciende a</w:t>
      </w:r>
      <w:r>
        <w:t xml:space="preserve"> </w:t>
      </w:r>
      <w:r>
        <w:rPr>
          <w:b/>
        </w:rPr>
        <w:t xml:space="preserve">12.2990</w:t>
      </w:r>
      <w:r>
        <w:t xml:space="preserve"> </w:t>
      </w:r>
      <w:r>
        <w:t xml:space="preserve">unidades de riesgo. Se recomienda: (a) aplicar mitigaciones compensatorias de bajo costo (segmentación de red, reglas WAF, monitoreo reforzado) sobre estos activos, y (b) re-evaluar la priorización en el próximo ciclo con EPSS actualizado, dado que la probabilidad de explotación es dinámica.</w:t>
      </w:r>
    </w:p>
    <w:p>
      <w:pPr>
        <w:pStyle w:val="Heading2"/>
      </w:pPr>
      <w:bookmarkStart w:id="36" w:name="Xd500e1c41c31c57c2275c5dc430a3ec130135a6"/>
      <w:r>
        <w:t xml:space="preserve">6. Análisis Detallado, Conclusiones y Hoja de Ruta</w:t>
      </w:r>
      <w:bookmarkEnd w:id="36"/>
    </w:p>
    <w:p>
      <w:pPr>
        <w:pStyle w:val="Heading3"/>
      </w:pPr>
      <w:bookmarkStart w:id="37" w:name="análisis-detallado-de-hallazgos"/>
      <w:r>
        <w:t xml:space="preserve">6.1 Análisis Detallado de Hallazgos</w:t>
      </w:r>
      <w:bookmarkEnd w:id="37"/>
    </w:p>
    <w:p>
      <w:pPr>
        <w:pStyle w:val="FirstParagraph"/>
      </w:pPr>
      <w:r>
        <w:t xml:space="preserve">El análisis sobre el parque tecnológico de 68 activos revela una concentración crítica de riesgo en la infraestructura perimetral y de acceso remoto. El modelo dinámico (Markov), que pondera la probabilidad de explotación a 30 días junto con la criticidad del negocio, demuestra que el riesgo real no se correlaciona linealmente con la severidad teórica (CVSS).</w:t>
      </w:r>
    </w:p>
    <w:p>
      <w:pPr>
        <w:pStyle w:val="BodyText"/>
      </w:pPr>
      <w:r>
        <w:rPr>
          <w:b/>
        </w:rPr>
        <w:t xml:space="preserve">Patrones observados y familias de CVE:</w:t>
      </w:r>
      <w:r>
        <w:t xml:space="preserve"> </w:t>
      </w:r>
      <w:r>
        <w:t xml:space="preserve">*</w:t>
      </w:r>
      <w:r>
        <w:t xml:space="preserve"> </w:t>
      </w:r>
      <w:r>
        <w:rPr>
          <w:b/>
        </w:rPr>
        <w:t xml:space="preserve">Perímetro e Infraestructura Crítica:</w:t>
      </w:r>
      <w:r>
        <w:t xml:space="preserve"> </w:t>
      </w:r>
      <w:r>
        <w:t xml:space="preserve">El tope del ranking está dominado por vulnerabilidades de ejecución remota de código y bypass de autenticación en pasarelas corporativas y dispositivos de borde (VPN-PA-01, ADC-CTX-01, VPN-PULSE-01, LB-F5-01, FW-EDGE-01). Estos activos combinan puntuaciones CVSS máximas (9.4 a 10.0) con valores EPSS extremadamente altos (</w:t>
      </w:r>
      <m:oMath>
        <m:r>
          <m:t>≈</m:t>
        </m:r>
        <m:r>
          <m:t>0.999</m:t>
        </m:r>
      </m:oMath>
      <w:r>
        <w:t xml:space="preserve">), resultando en las probabilidades de explotación a 30 días más elevadas del inventario (</w:t>
      </w:r>
      <m:oMath>
        <m:r>
          <m:t>&gt;</m:t>
        </m:r>
        <m:r>
          <m:t>0.56</m:t>
        </m:r>
      </m:oMath>
      <w:r>
        <w:t xml:space="preserve">).</w:t>
      </w:r>
      <w:r>
        <w:t xml:space="preserve"> </w:t>
      </w:r>
      <w:r>
        <w:t xml:space="preserve">*</w:t>
      </w:r>
      <w:r>
        <w:t xml:space="preserve"> </w:t>
      </w:r>
      <w:r>
        <w:rPr>
          <w:b/>
        </w:rPr>
        <w:t xml:space="preserve">Divergencia CVSS vs EPSS/Markov:</w:t>
      </w:r>
      <w:r>
        <w:t xml:space="preserve"> </w:t>
      </w:r>
      <w:r>
        <w:t xml:space="preserve">Se identifican desviaciones significativas que justifican el uso del modelo predictivo. Casos como</w:t>
      </w:r>
      <w:r>
        <w:t xml:space="preserve"> </w:t>
      </w:r>
      <w:r>
        <w:rPr>
          <w:b/>
        </w:rPr>
        <w:t xml:space="preserve">CAM-EXT-01</w:t>
      </w:r>
      <w:r>
        <w:t xml:space="preserve"> </w:t>
      </w:r>
      <w:r>
        <w:t xml:space="preserve">(CVE-2021-36260, criticidad Media) presentan un CVSS de 9.8 pero un riesgo dinámico elevado (0.467) impulsado por una alta probabilidad de explotación (0.779). Inversamente, servidores de bases de datos como</w:t>
      </w:r>
      <w:r>
        <w:t xml:space="preserve"> </w:t>
      </w:r>
      <w:r>
        <w:rPr>
          <w:b/>
        </w:rPr>
        <w:t xml:space="preserve">SRV-DB-01/02</w:t>
      </w:r>
      <w:r>
        <w:t xml:space="preserve"> </w:t>
      </w:r>
      <w:r>
        <w:t xml:space="preserve">(CVE-2016-6662, criticidad Alta y CVSS 9.8) quedan relegados al puesto 49 debido a un EPSS bajo (0.677) y menor probabilidad de explotación a corto plazo (0.206).</w:t>
      </w:r>
      <w:r>
        <w:t xml:space="preserve"> </w:t>
      </w:r>
      <w:r>
        <w:t xml:space="preserve">*</w:t>
      </w:r>
      <w:r>
        <w:t xml:space="preserve"> </w:t>
      </w:r>
      <w:r>
        <w:rPr>
          <w:b/>
        </w:rPr>
        <w:t xml:space="preserve">Concentración de Riesgo:</w:t>
      </w:r>
      <w:r>
        <w:t xml:space="preserve"> </w:t>
      </w:r>
      <w:r>
        <w:t xml:space="preserve">Los primeros 11 activos del ranking (todos de criticidad Alta, abarcando pasarelas, servidores web, de correo y transferencia de ficheros) representan una fracción desproporcionada del riesgo total inicial (17.6676), siendo liderados por</w:t>
      </w:r>
      <w:r>
        <w:t xml:space="preserve"> </w:t>
      </w:r>
      <w:r>
        <w:rPr>
          <w:b/>
        </w:rPr>
        <w:t xml:space="preserve">VPN-PA-01</w:t>
      </w:r>
      <w:r>
        <w:t xml:space="preserve"> </w:t>
      </w:r>
      <w:r>
        <w:t xml:space="preserve">(CVE-2024-3400) con un riesgo dinámico individual de 0.5861.</w:t>
      </w:r>
    </w:p>
    <w:p>
      <w:r>
        <w:pict>
          <v:rect style="width:0;height:1.5pt" o:hralign="center" o:hrstd="t" o:hr="t"/>
        </w:pict>
      </w:r>
    </w:p>
    <w:p>
      <w:pPr>
        <w:pStyle w:val="Heading3"/>
      </w:pPr>
      <w:bookmarkStart w:id="38" w:name="conclusiones"/>
      <w:r>
        <w:t xml:space="preserve">6.2 Conclusiones</w:t>
      </w:r>
      <w:bookmarkEnd w:id="38"/>
    </w:p>
    <w:p>
      <w:pPr>
        <w:numPr>
          <w:ilvl w:val="0"/>
          <w:numId w:val="1021"/>
        </w:numPr>
        <w:pStyle w:val="Compact"/>
      </w:pPr>
      <w:r>
        <w:rPr>
          <w:b/>
        </w:rPr>
        <w:t xml:space="preserve">Exposición Perimetral Inmediata:</w:t>
      </w:r>
      <w:r>
        <w:t xml:space="preserve"> </w:t>
      </w:r>
      <w:r>
        <w:t xml:space="preserve">Los primeros 5 activos del ranking (</w:t>
      </w:r>
      <w:r>
        <w:rPr>
          <w:b/>
        </w:rPr>
        <w:t xml:space="preserve">VPN-PA-01, ADC-CTX-01, VPN-PULSE-01, LB-F5-01 y FW-EDGE-01</w:t>
      </w:r>
      <w:r>
        <w:t xml:space="preserve">) concentran la mayor probabilidad de compromiso externo, con métricas de riesgo dinámico superiores a 0.53 y una probabilidad de explotación que supera el 53% en los próximos 30 días.</w:t>
      </w:r>
    </w:p>
    <w:p>
      <w:pPr>
        <w:numPr>
          <w:ilvl w:val="0"/>
          <w:numId w:val="1021"/>
        </w:numPr>
        <w:pStyle w:val="Compact"/>
      </w:pPr>
      <w:r>
        <w:rPr>
          <w:b/>
        </w:rPr>
        <w:t xml:space="preserve">Ineficiencia del Modelo Tradicional (CVSS):</w:t>
      </w:r>
      <w:r>
        <w:t xml:space="preserve"> </w:t>
      </w:r>
      <w:r>
        <w:t xml:space="preserve">El Test A/B demuestra que priorizar exclusivamente bajo criterios estáticos de severidad (CVSS) deja un riesgo residual de</w:t>
      </w:r>
      <w:r>
        <w:t xml:space="preserve"> </w:t>
      </w:r>
      <w:r>
        <w:rPr>
          <w:b/>
        </w:rPr>
        <w:t xml:space="preserve">13.1248</w:t>
      </w:r>
      <w:r>
        <w:t xml:space="preserve">, mientras que la priorización basada en el modelo estocástico de Markov reduce el riesgo residual a</w:t>
      </w:r>
      <w:r>
        <w:t xml:space="preserve"> </w:t>
      </w:r>
      <w:r>
        <w:rPr>
          <w:b/>
        </w:rPr>
        <w:t xml:space="preserve">12.2990</w:t>
      </w:r>
      <w:r>
        <w:t xml:space="preserve">.</w:t>
      </w:r>
    </w:p>
    <w:p>
      <w:pPr>
        <w:numPr>
          <w:ilvl w:val="0"/>
          <w:numId w:val="1021"/>
        </w:numPr>
        <w:pStyle w:val="Compact"/>
      </w:pPr>
      <w:r>
        <w:rPr>
          <w:b/>
        </w:rPr>
        <w:t xml:space="preserve">Eficiencia Cuantificada:</w:t>
      </w:r>
      <w:r>
        <w:t xml:space="preserve"> </w:t>
      </w:r>
      <w:r>
        <w:t xml:space="preserve">La aplicación del modelo predictivo propuesto otorga una</w:t>
      </w:r>
      <w:r>
        <w:t xml:space="preserve"> </w:t>
      </w:r>
      <w:r>
        <w:rPr>
          <w:b/>
        </w:rPr>
        <w:t xml:space="preserve">ventaja analítica y de mitigación del 6.3%</w:t>
      </w:r>
      <w:r>
        <w:t xml:space="preserve"> </w:t>
      </w:r>
      <w:r>
        <w:t xml:space="preserve">frente al enfoque tradicional, optimizando la asignación de recursos limitados.</w:t>
      </w:r>
    </w:p>
    <w:p>
      <w:pPr>
        <w:numPr>
          <w:ilvl w:val="0"/>
          <w:numId w:val="1021"/>
        </w:numPr>
        <w:pStyle w:val="Compact"/>
      </w:pPr>
      <w:r>
        <w:rPr>
          <w:b/>
        </w:rPr>
        <w:t xml:space="preserve">Validación del Presupuesto Operativo:</w:t>
      </w:r>
      <w:r>
        <w:t xml:space="preserve"> </w:t>
      </w:r>
      <w:r>
        <w:t xml:space="preserve">Con una capacidad limitada a 10 parches iniciales, el uso del ranking dinámico asegura que el esfuerzo de remediación se concentre estrictamente en los vectores de ataque con mayor probabilidad real de materialización en el corto plazo.</w:t>
      </w:r>
    </w:p>
    <w:p>
      <w:r>
        <w:pict>
          <v:rect style="width:0;height:1.5pt" o:hralign="center" o:hrstd="t" o:hr="t"/>
        </w:pict>
      </w:r>
    </w:p>
    <w:p>
      <w:pPr>
        <w:pStyle w:val="Heading3"/>
      </w:pPr>
      <w:bookmarkStart w:id="39" w:name="hoja-de-ruta-de-resolución"/>
      <w:r>
        <w:t xml:space="preserve">6.3 Hoja de Ruta de Resolución</w:t>
      </w:r>
      <w:bookmarkEnd w:id="39"/>
    </w:p>
    <w:p>
      <w:pPr>
        <w:pStyle w:val="FirstParagraph"/>
      </w:pPr>
      <w:r>
        <w:t xml:space="preserve">El plan de remediación se estructura en tres fases estrictas basadas en el orden de riesgo dinámico del ranking, asignando contenciones para los activos diferidos:</w:t>
      </w:r>
    </w:p>
    <w:p>
      <w:pPr>
        <w:numPr>
          <w:ilvl w:val="0"/>
          <w:numId w:val="1022"/>
        </w:numPr>
        <w:pStyle w:val="Compact"/>
      </w:pPr>
      <w:r>
        <w:rPr>
          <w:b/>
        </w:rPr>
        <w:t xml:space="preserve">Fase 1: Ventana de 72 Horas (Mitigación de Borde y Críticos Superiores)</w:t>
      </w:r>
    </w:p>
    <w:p>
      <w:pPr>
        <w:numPr>
          <w:ilvl w:val="1"/>
          <w:numId w:val="1023"/>
        </w:numPr>
        <w:pStyle w:val="Compact"/>
      </w:pPr>
      <w:r>
        <w:rPr>
          <w:i/>
        </w:rPr>
        <w:t xml:space="preserve">Alcance (Top 5 del ranking):</w:t>
      </w:r>
    </w:p>
    <w:p>
      <w:pPr>
        <w:numPr>
          <w:ilvl w:val="2"/>
          <w:numId w:val="1024"/>
        </w:numPr>
        <w:pStyle w:val="Compact"/>
      </w:pPr>
      <w:r>
        <w:rPr>
          <w:rStyle w:val="VerbatimChar"/>
        </w:rPr>
        <w:t xml:space="preserve">VPN-PA-01</w:t>
      </w:r>
      <w:r>
        <w:t xml:space="preserve"> </w:t>
      </w:r>
      <w:r>
        <w:t xml:space="preserve">(CVE-2024-3400)</w:t>
      </w:r>
    </w:p>
    <w:p>
      <w:pPr>
        <w:numPr>
          <w:ilvl w:val="2"/>
          <w:numId w:val="1024"/>
        </w:numPr>
        <w:pStyle w:val="Compact"/>
      </w:pPr>
      <w:r>
        <w:rPr>
          <w:rStyle w:val="VerbatimChar"/>
        </w:rPr>
        <w:t xml:space="preserve">ADC-CTX-01</w:t>
      </w:r>
      <w:r>
        <w:t xml:space="preserve"> </w:t>
      </w:r>
      <w:r>
        <w:t xml:space="preserve">(CVE-2023-4966)</w:t>
      </w:r>
    </w:p>
    <w:p>
      <w:pPr>
        <w:numPr>
          <w:ilvl w:val="2"/>
          <w:numId w:val="1024"/>
        </w:numPr>
        <w:pStyle w:val="Compact"/>
      </w:pPr>
      <w:r>
        <w:rPr>
          <w:rStyle w:val="VerbatimChar"/>
        </w:rPr>
        <w:t xml:space="preserve">VPN-PULSE-01</w:t>
      </w:r>
      <w:r>
        <w:t xml:space="preserve"> </w:t>
      </w:r>
      <w:r>
        <w:t xml:space="preserve">(CVE-2019-11510)</w:t>
      </w:r>
    </w:p>
    <w:p>
      <w:pPr>
        <w:numPr>
          <w:ilvl w:val="2"/>
          <w:numId w:val="1024"/>
        </w:numPr>
        <w:pStyle w:val="Compact"/>
      </w:pPr>
      <w:r>
        <w:rPr>
          <w:rStyle w:val="VerbatimChar"/>
        </w:rPr>
        <w:t xml:space="preserve">LB-F5-01</w:t>
      </w:r>
      <w:r>
        <w:t xml:space="preserve"> </w:t>
      </w:r>
      <w:r>
        <w:t xml:space="preserve">(CVE-2022-1388)</w:t>
      </w:r>
    </w:p>
    <w:p>
      <w:pPr>
        <w:numPr>
          <w:ilvl w:val="2"/>
          <w:numId w:val="1024"/>
        </w:numPr>
        <w:pStyle w:val="Compact"/>
      </w:pPr>
      <w:r>
        <w:rPr>
          <w:rStyle w:val="VerbatimChar"/>
        </w:rPr>
        <w:t xml:space="preserve">FW-EDGE-01</w:t>
      </w:r>
      <w:r>
        <w:t xml:space="preserve"> </w:t>
      </w:r>
      <w:r>
        <w:t xml:space="preserve">(CVE-2023-20198)</w:t>
      </w:r>
    </w:p>
    <w:p>
      <w:pPr>
        <w:numPr>
          <w:ilvl w:val="1"/>
          <w:numId w:val="1023"/>
        </w:numPr>
        <w:pStyle w:val="Compact"/>
      </w:pPr>
      <w:r>
        <w:rPr>
          <w:i/>
        </w:rPr>
        <w:t xml:space="preserve">Acción:</w:t>
      </w:r>
      <w:r>
        <w:t xml:space="preserve"> </w:t>
      </w:r>
      <w:r>
        <w:t xml:space="preserve">Aplicación de parches de emergencia o mitigaciones del fabricante (mitigación de ceros días / configuraciones de bloqueo perimetral).</w:t>
      </w:r>
    </w:p>
    <w:p>
      <w:pPr>
        <w:numPr>
          <w:ilvl w:val="1"/>
          <w:numId w:val="1023"/>
        </w:numPr>
        <w:pStyle w:val="Compact"/>
      </w:pPr>
      <w:r>
        <w:rPr>
          <w:i/>
        </w:rPr>
        <w:t xml:space="preserve">Medidas compensatorias para diferidos en esta ventana:</w:t>
      </w:r>
      <w:r>
        <w:t xml:space="preserve"> </w:t>
      </w:r>
      <w:r>
        <w:t xml:space="preserve">Activación de reglas de bloqueo estricto en WAF/IPS y restricción de acceso geográfico/IP para los servicios expuestos no parcheados inmediatamente.</w:t>
      </w:r>
    </w:p>
    <w:p>
      <w:pPr>
        <w:numPr>
          <w:ilvl w:val="0"/>
          <w:numId w:val="1022"/>
        </w:numPr>
        <w:pStyle w:val="Compact"/>
      </w:pPr>
      <w:r>
        <w:rPr>
          <w:b/>
        </w:rPr>
        <w:t xml:space="preserve">Fase 2: Ventana de 7 Días (Servicios Internos Críticos y Exposición Media-Alta)</w:t>
      </w:r>
    </w:p>
    <w:p>
      <w:pPr>
        <w:numPr>
          <w:ilvl w:val="1"/>
          <w:numId w:val="1025"/>
        </w:numPr>
        <w:pStyle w:val="Compact"/>
      </w:pPr>
      <w:r>
        <w:rPr>
          <w:i/>
        </w:rPr>
        <w:t xml:space="preserve">Alcance (Posiciones 6 a 15 del ranking):</w:t>
      </w:r>
    </w:p>
    <w:p>
      <w:pPr>
        <w:numPr>
          <w:ilvl w:val="2"/>
          <w:numId w:val="1026"/>
        </w:numPr>
        <w:pStyle w:val="Compact"/>
      </w:pPr>
      <w:r>
        <w:rPr>
          <w:rStyle w:val="VerbatimChar"/>
        </w:rPr>
        <w:t xml:space="preserve">SRV-VPN-01</w:t>
      </w:r>
      <w:r>
        <w:t xml:space="preserve">,</w:t>
      </w:r>
      <w:r>
        <w:t xml:space="preserve"> </w:t>
      </w:r>
      <w:r>
        <w:rPr>
          <w:rStyle w:val="VerbatimChar"/>
        </w:rPr>
        <w:t xml:space="preserve">SRV-WEB-03</w:t>
      </w:r>
      <w:r>
        <w:t xml:space="preserve">,</w:t>
      </w:r>
      <w:r>
        <w:t xml:space="preserve"> </w:t>
      </w:r>
      <w:r>
        <w:rPr>
          <w:rStyle w:val="VerbatimChar"/>
        </w:rPr>
        <w:t xml:space="preserve">SRV-MAIL-01</w:t>
      </w:r>
      <w:r>
        <w:t xml:space="preserve">,</w:t>
      </w:r>
      <w:r>
        <w:t xml:space="preserve"> </w:t>
      </w:r>
      <w:r>
        <w:rPr>
          <w:rStyle w:val="VerbatimChar"/>
        </w:rPr>
        <w:t xml:space="preserve">SRV-WEB-01</w:t>
      </w:r>
      <w:r>
        <w:t xml:space="preserve">,</w:t>
      </w:r>
      <w:r>
        <w:t xml:space="preserve"> </w:t>
      </w:r>
      <w:r>
        <w:rPr>
          <w:rStyle w:val="VerbatimChar"/>
        </w:rPr>
        <w:t xml:space="preserve">SRV-MAIL-02</w:t>
      </w:r>
      <w:r>
        <w:t xml:space="preserve">,</w:t>
      </w:r>
      <w:r>
        <w:t xml:space="preserve"> </w:t>
      </w:r>
      <w:r>
        <w:rPr>
          <w:rStyle w:val="VerbatimChar"/>
        </w:rPr>
        <w:t xml:space="preserve">SRV-MFT-01</w:t>
      </w:r>
      <w:r>
        <w:t xml:space="preserve">,</w:t>
      </w:r>
      <w:r>
        <w:t xml:space="preserve"> </w:t>
      </w:r>
      <w:r>
        <w:rPr>
          <w:rStyle w:val="VerbatimChar"/>
        </w:rPr>
        <w:t xml:space="preserve">CAM-EXT-01</w:t>
      </w:r>
      <w:r>
        <w:t xml:space="preserve">,</w:t>
      </w:r>
      <w:r>
        <w:t xml:space="preserve"> </w:t>
      </w:r>
      <w:r>
        <w:rPr>
          <w:rStyle w:val="VerbatimChar"/>
        </w:rPr>
        <w:t xml:space="preserve">SRV-APP-01</w:t>
      </w:r>
      <w:r>
        <w:t xml:space="preserve">,</w:t>
      </w:r>
      <w:r>
        <w:t xml:space="preserve"> </w:t>
      </w:r>
      <w:r>
        <w:rPr>
          <w:rStyle w:val="VerbatimChar"/>
        </w:rPr>
        <w:t xml:space="preserve">SRV-APP-02</w:t>
      </w:r>
      <w:r>
        <w:t xml:space="preserve">,</w:t>
      </w:r>
      <w:r>
        <w:t xml:space="preserve"> </w:t>
      </w:r>
      <w:r>
        <w:rPr>
          <w:rStyle w:val="VerbatimChar"/>
        </w:rPr>
        <w:t xml:space="preserve">NAS-QNAP-01</w:t>
      </w:r>
      <w:r>
        <w:t xml:space="preserve">,</w:t>
      </w:r>
      <w:r>
        <w:t xml:space="preserve"> </w:t>
      </w:r>
      <w:r>
        <w:rPr>
          <w:rStyle w:val="VerbatimChar"/>
        </w:rPr>
        <w:t xml:space="preserve">SRV-ERP-01</w:t>
      </w:r>
      <w:r>
        <w:t xml:space="preserve">.</w:t>
      </w:r>
    </w:p>
    <w:p>
      <w:pPr>
        <w:numPr>
          <w:ilvl w:val="1"/>
          <w:numId w:val="1025"/>
        </w:numPr>
        <w:pStyle w:val="Compact"/>
      </w:pPr>
      <w:r>
        <w:rPr>
          <w:i/>
        </w:rPr>
        <w:t xml:space="preserve">Acción:</w:t>
      </w:r>
      <w:r>
        <w:t xml:space="preserve"> </w:t>
      </w:r>
      <w:r>
        <w:t xml:space="preserve">Despliegue masivo de actualizaciones para vulnerabilidades con EPSS cercano a 1.0 (Log4Shell, servidores de correo y transferencia de ficheros).</w:t>
      </w:r>
    </w:p>
    <w:p>
      <w:pPr>
        <w:numPr>
          <w:ilvl w:val="1"/>
          <w:numId w:val="1025"/>
        </w:numPr>
        <w:pStyle w:val="Compact"/>
      </w:pPr>
      <w:r>
        <w:rPr>
          <w:i/>
        </w:rPr>
        <w:t xml:space="preserve">Medidas compensatorias para diferidos:</w:t>
      </w:r>
      <w:r>
        <w:t xml:space="preserve"> </w:t>
      </w:r>
      <w:r>
        <w:t xml:space="preserve">Microsegmentación de red para aislar segmentos vulnerables, desactivación temporizada de servicios no esenciales (ej. paneles de cámaras externos) y monitoreo reforzado mediante SIEM/EDR enfocado en técnicas de movimiento lateral y ejecución de código.</w:t>
      </w:r>
    </w:p>
    <w:p>
      <w:pPr>
        <w:numPr>
          <w:ilvl w:val="0"/>
          <w:numId w:val="1022"/>
        </w:numPr>
        <w:pStyle w:val="Compact"/>
      </w:pPr>
      <w:r>
        <w:rPr>
          <w:b/>
        </w:rPr>
        <w:t xml:space="preserve">Fase 3: Ventana de 30 Días (Resto del Inventario y Remediación Estructural)</w:t>
      </w:r>
    </w:p>
    <w:p>
      <w:pPr>
        <w:numPr>
          <w:ilvl w:val="1"/>
          <w:numId w:val="1027"/>
        </w:numPr>
        <w:pStyle w:val="Compact"/>
      </w:pPr>
      <w:r>
        <w:rPr>
          <w:i/>
        </w:rPr>
        <w:t xml:space="preserve">Alcance (Posiciones 16 a 68 del ranking):</w:t>
      </w:r>
    </w:p>
    <w:p>
      <w:pPr>
        <w:numPr>
          <w:ilvl w:val="2"/>
          <w:numId w:val="1028"/>
        </w:numPr>
        <w:pStyle w:val="Compact"/>
      </w:pPr>
      <w:r>
        <w:t xml:space="preserve">Resto de activos identificados con riesgo dinámico decreciente (desde</w:t>
      </w:r>
      <w:r>
        <w:t xml:space="preserve"> </w:t>
      </w:r>
      <w:r>
        <w:rPr>
          <w:rStyle w:val="VerbatimChar"/>
        </w:rPr>
        <w:t xml:space="preserve">SRV-VC-01</w:t>
      </w:r>
      <w:r>
        <w:t xml:space="preserve"> </w:t>
      </w:r>
      <w:r>
        <w:t xml:space="preserve">hasta</w:t>
      </w:r>
      <w:r>
        <w:t xml:space="preserve"> </w:t>
      </w:r>
      <w:r>
        <w:rPr>
          <w:rStyle w:val="VerbatimChar"/>
        </w:rPr>
        <w:t xml:space="preserve">SRV-LNX-04</w:t>
      </w:r>
      <w:r>
        <w:t xml:space="preserve">).</w:t>
      </w:r>
    </w:p>
    <w:p>
      <w:pPr>
        <w:numPr>
          <w:ilvl w:val="1"/>
          <w:numId w:val="1027"/>
        </w:numPr>
        <w:pStyle w:val="Compact"/>
      </w:pPr>
      <w:r>
        <w:rPr>
          <w:i/>
        </w:rPr>
        <w:t xml:space="preserve">Acción:</w:t>
      </w:r>
      <w:r>
        <w:t xml:space="preserve"> </w:t>
      </w:r>
      <w:r>
        <w:t xml:space="preserve">Parcheo sistemático de estaciones de trabajo, servidores secundarios, entornos de desarrollo y dispositivos de red de baja criticidad.</w:t>
      </w:r>
    </w:p>
    <w:p>
      <w:pPr>
        <w:numPr>
          <w:ilvl w:val="1"/>
          <w:numId w:val="1027"/>
        </w:numPr>
        <w:pStyle w:val="Compact"/>
      </w:pPr>
      <w:r>
        <w:rPr>
          <w:i/>
        </w:rPr>
        <w:t xml:space="preserve">Medidas compensatorias:</w:t>
      </w:r>
      <w:r>
        <w:t xml:space="preserve"> </w:t>
      </w:r>
      <w:r>
        <w:t xml:space="preserve">Aplicación de parches virtuales vía reglas de mitigación perimetral y control de cuentas privilegiadas (PAM) en los sistemas operativos legados o pendientes de actualización.</w:t>
      </w:r>
    </w:p>
    <w:p>
      <w:pPr>
        <w:numPr>
          <w:ilvl w:val="0"/>
          <w:numId w:val="1022"/>
        </w:numPr>
        <w:pStyle w:val="Compact"/>
      </w:pPr>
      <w:r>
        <w:rPr>
          <w:b/>
        </w:rPr>
        <w:t xml:space="preserve">Criterio de Re-evaluación:</w:t>
      </w:r>
      <w:r>
        <w:t xml:space="preserve"> </w:t>
      </w:r>
      <w:r>
        <w:t xml:space="preserve">Se ejecutará un ciclo de escaneo de validación posterior a cada fase (T+72h, T+7d, T+30d) recalculando el modelo de Markov. El cierre de cada ticket de vulnerabilidad estará condicionado a que el riesgo dinámico residual del activo retorne a umbrales aceptables por la política de la organización (&lt; 0.05).</w:t>
      </w:r>
    </w:p>
    <w:p>
      <w:pPr>
        <w:pStyle w:val="Heading2"/>
      </w:pPr>
      <w:bookmarkStart w:id="40" w:name="supuestos-limitaciones-y-próximos-pasos"/>
      <w:r>
        <w:t xml:space="preserve">7. Supuestos, Limitaciones y Próximos Pasos</w:t>
      </w:r>
      <w:bookmarkEnd w:id="40"/>
    </w:p>
    <w:p>
      <w:pPr>
        <w:pStyle w:val="FirstParagraph"/>
      </w:pPr>
      <w:r>
        <w:rPr>
          <w:b/>
        </w:rPr>
        <w:t xml:space="preserve">Supuestos del modelo:</w:t>
      </w:r>
      <w:r>
        <w:t xml:space="preserve"> </w:t>
      </w:r>
      <w:r>
        <w:t xml:space="preserve">probabilidad diaria de detección p_d = 0.1 y de mitigación</w:t>
      </w:r>
      <w:r>
        <w:t xml:space="preserve"> </w:t>
      </w:r>
      <w:r>
        <w:t xml:space="preserve">p_m = 0.05 base, moduladas por un factor de capacidad operativa según tipo de activo;</w:t>
      </w:r>
      <w:r>
        <w:t xml:space="preserve"> </w:t>
      </w:r>
      <w:r>
        <w:t xml:space="preserve">el EPSS se interpreta como probabilidad de explotación a 30 días y se convierte a tasa</w:t>
      </w:r>
      <w:r>
        <w:t xml:space="preserve"> </w:t>
      </w:r>
      <w:r>
        <w:t xml:space="preserve">diaria equivalente; la criticidad de negocio se pondera Alta = 1.0, Media = 0.6,</w:t>
      </w:r>
      <w:r>
        <w:t xml:space="preserve"> </w:t>
      </w:r>
      <w:r>
        <w:t xml:space="preserve">Baja = 0.3, multiplicada por el factor de exposición (Internet 1.0 / DMZ 0.85 /</w:t>
      </w:r>
      <w:r>
        <w:t xml:space="preserve"> </w:t>
      </w:r>
      <w:r>
        <w:t xml:space="preserve">Interna 0.7); los CVE en catálogo KEV reciben un piso de EPSS efectivo de 0.9.</w:t>
      </w:r>
    </w:p>
    <w:p>
      <w:pPr>
        <w:pStyle w:val="BodyText"/>
      </w:pPr>
      <w:r>
        <w:rPr>
          <w:b/>
        </w:rPr>
        <w:t xml:space="preserve">Limitaciones:</w:t>
      </w:r>
      <w:r>
        <w:t xml:space="preserve"> </w:t>
      </w:r>
      <w:r>
        <w:t xml:space="preserve">el modelo no captura dependencias entre activos (cadenas de ataque</w:t>
      </w:r>
      <w:r>
        <w:t xml:space="preserve"> </w:t>
      </w:r>
      <w:r>
        <w:t xml:space="preserve">multi-host) ni la variación temporal del EPSS dentro del horizonte; los factores por</w:t>
      </w:r>
      <w:r>
        <w:t xml:space="preserve"> </w:t>
      </w:r>
      <w:r>
        <w:t xml:space="preserve">tipo de activo son estimaciones documentadas, no aprendidas de datos; la asignación de</w:t>
      </w:r>
      <w:r>
        <w:t xml:space="preserve"> </w:t>
      </w:r>
      <w:r>
        <w:t xml:space="preserve">activos a pilares NIST CSF es una aproximación de la función de negocio expuesta.</w:t>
      </w:r>
    </w:p>
    <w:p>
      <w:pPr>
        <w:pStyle w:val="BodyText"/>
      </w:pPr>
      <w:r>
        <w:rPr>
          <w:b/>
        </w:rPr>
        <w:t xml:space="preserve">Próximos pasos recomendados:</w:t>
      </w:r>
      <w:r>
        <w:t xml:space="preserve"> </w:t>
      </w:r>
      <w:r>
        <w:t xml:space="preserve">re-ejecutar la priorización semanalmente con EPSS</w:t>
      </w:r>
      <w:r>
        <w:t xml:space="preserve"> </w:t>
      </w:r>
      <w:r>
        <w:t xml:space="preserve">actualizado; realizar análisis de sensibilidad sobre p_d y p_m; validar</w:t>
      </w:r>
      <w:r>
        <w:t xml:space="preserve"> </w:t>
      </w:r>
      <w:r>
        <w:t xml:space="preserve">retrospectivamente el ranking contra explotaciones observadas (backtesting).</w:t>
      </w:r>
    </w:p>
    <w:p>
      <w:r>
        <w:pict>
          <v:rect style="width:0;height:1.5pt" o:hralign="center" o:hrstd="t" o:hr="t"/>
        </w:pict>
      </w:r>
    </w:p>
    <w:p>
      <w:pPr>
        <w:pStyle w:val="FirstParagraph"/>
      </w:pPr>
      <w:r>
        <w:rPr>
          <w:i/>
        </w:rPr>
        <w:t xml:space="preserve">Informe generado automáticamente por el framework de priorización estocástica de</w:t>
      </w:r>
      <w:r>
        <w:rPr>
          <w:i/>
        </w:rPr>
        <w:t xml:space="preserve"> </w:t>
      </w:r>
      <w:r>
        <w:rPr>
          <w:i/>
        </w:rPr>
        <w:t xml:space="preserve">vulnerabilidades (Cadenas de Markov + NVD/EPSS/KEV + MITRE ATT&amp;CK). Los indicadores</w:t>
      </w:r>
      <w:r>
        <w:rPr>
          <w:i/>
        </w:rPr>
        <w:t xml:space="preserve"> </w:t>
      </w:r>
      <w:r>
        <w:rPr>
          <w:i/>
        </w:rPr>
        <w:t xml:space="preserve">cuantitativos provienen directamente del modelo matemático; ningún valor numérico</w:t>
      </w:r>
      <w:r>
        <w:rPr>
          <w:i/>
        </w:rPr>
        <w:t xml:space="preserve"> </w:t>
      </w:r>
      <w:r>
        <w:rPr>
          <w:i/>
        </w:rPr>
        <w:t xml:space="preserve">es generado por IA.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 Empresa Simulada S.A.</dc:title>
  <dc:creator/>
  <cp:keywords/>
  <dcterms:created xsi:type="dcterms:W3CDTF">2026-08-31T19:06:29Z</dcterms:created>
  <dcterms:modified xsi:type="dcterms:W3CDTF">2026-08-31T19:06:29Z</dcterms:modified>
</cp:coreProperties>
</file>

<file path=docProps/custom.xml><?xml version="1.0" encoding="utf-8"?>
<Properties xmlns="http://schemas.openxmlformats.org/officeDocument/2006/custom-properties" xmlns:vt="http://schemas.openxmlformats.org/officeDocument/2006/docPropsVTypes"/>
</file>