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i w:val="0"/>
          <w:sz w:val="32"/>
          <w:u w:val="none"/>
        </w:rPr>
        <w:t>Pan-Cancer Multi-Omics Survival Analysis Using Multi-Omics Factor Analysis and Transformer-Based Deep Learning: Identification of Therapeutic Targets Across 31 TCGA Cancer Types</w:t>
      </w:r>
    </w:p>
    <w:p>
      <w:pPr>
        <w:spacing w:after="80"/>
        <w:jc w:val="center"/>
      </w:pPr>
      <w:r>
        <w:rPr>
          <w:b w:val="0"/>
          <w:i/>
          <w:sz w:val="22"/>
          <w:u w:val="none"/>
        </w:rPr>
        <w:t>Debaditya Bhattacharya¹</w:t>
      </w:r>
    </w:p>
    <w:p>
      <w:pPr>
        <w:spacing w:after="560"/>
        <w:jc w:val="center"/>
      </w:pPr>
      <w:r>
        <w:rPr>
          <w:b w:val="0"/>
          <w:i w:val="0"/>
          <w:color w:val="505050"/>
          <w:sz w:val="20"/>
          <w:u w:val="none"/>
        </w:rPr>
        <w:t>¹DC Academic Research, Cancer Research Division</w:t>
      </w:r>
    </w:p>
    <w:p>
      <w:pPr>
        <w:jc w:val="center"/>
      </w:pPr>
      <w:r>
        <w:rPr>
          <w:b w:val="0"/>
          <w:i/>
          <w:color w:val="505050"/>
          <w:sz w:val="20"/>
          <w:u w:val="none"/>
        </w:rPr>
        <w:t>Correspondence: debaditya.123@gmail.com</w:t>
      </w:r>
    </w:p>
    <w:p>
      <w:pPr>
        <w:spacing w:before="40" w:after="40"/>
        <w:pBdr>
          <w:bottom w:val="single" w:sz="6" w:space="1" w:color="999999"/>
        </w:pBdr>
      </w:pPr>
    </w:p>
    <w:p>
      <w:pPr>
        <w:spacing w:before="280"/>
        <w:jc w:val="center"/>
      </w:pPr>
      <w:r>
        <w:rPr>
          <w:b/>
          <w:i w:val="0"/>
          <w:sz w:val="24"/>
          <w:u w:val="none"/>
        </w:rPr>
        <w:t>ABSTRACT</w:t>
      </w:r>
    </w:p>
    <w:p>
      <w:pPr>
        <w:spacing w:after="160"/>
        <w:ind w:left="283" w:right="283"/>
        <w:jc w:val="both"/>
      </w:pPr>
      <w:r>
        <w:rPr>
          <w:sz w:val="21"/>
        </w:rPr>
        <w:t>Pan-cancer survival analysis integrating multiple omics modalities offers the potential to identify molecular markers that transcend individual cancer types. We present a comprehensive multi-omics survival analysis pipeline applied to 7,902 primary tumor samples across 31 cancer types from The Cancer Genome Atlas (TCGA), integrating RNA-seq expression, somatic mutation, and copy number variation (CNV) data. Multi-Omics Factor Analysis (MOFA+) distilled 2,300 cross-modal features into 18 latent factors capturing coordinated biological variation across modalities. These factors, combined with cancer-type covariates, were used to train three survival prediction models—an FT-Transformer, XGBoost with a Cox partial likelihood objective, and LightGBM with a custom Breslow approximation—evaluated by concordance index (C-index) in stratified 5-fold cross-validation across 7,787 survival-annotated samples (2,170 events). The FT-Transformer achieved the highest C-index of 0.751 ± 0.006, outperforming the raw-PCA XGBoost baseline (C-index = 0.724 ± 0.053) and demonstrating 7-fold reduction in fold-to-fold variance, confirming the biological structure encoded in MOFA+ factors. SHAP-based feature attribution identified Factor 8 (avg |SHAP| = 0.283) as the dominant molecular survival signal, encompassing protease-driven invasion (PRSS3, KLK6), TP53/KRAS/APC driver mutations, and GAS6-AXL copy number gains. Factor 6 revealed the 9p24.1 immune checkpoint amplicon (CD274/PDCD1LG2/JAK2) as a pan-cancer survival determinant, Factor 1 the squamous lineage programme (TP63, KRT16/17, NECTIN4), Factor 15 a luminal-to-basal de-differentiation axis (ARID1A/KMT2C/PTEN loss), and Factor 12 a thyroid/IDH-glioma differentiation gradient (BRAF V600E, IDH1, CIC). To distinguish causal from associative effects, we applied a Difference-in-Differences (DiD) causal inference framework using the Callaway-Sant'Anna staggered adoption estimator on a cancer-type × AJCC-stage pseudo-panel. This analysis causally validated Factor 6 (ATT = −0.486, p &lt; 10⁻¹²) and Factor 15 (ATT = −0.285, p &lt; 10⁻¹⁷) as independent survival determinants, and revealed that Factor 8's dominant SHAP score partly reflects cancer-type composition confounding rather than a direct causal effect. A Triple Difference analysis identified KRAS mutation × Factor 8 activation as a significant synergistic co-dependency (DDD = −0.472, p = 0.022), nominating KRAS-plus-invasion combination therapy as a priority clinical strategy. Rambachan-Roth sensitivity bounds confirmed that Factor 6 and Factor 15 findings are robust to plausible parallel-trends violations. Together, these findings nominate 15 priority therapeutic targets spanning approved therapies (sotorasib, ivosidenib, pembrolizumab, enfortumab vedotin), late-stage clinical agents (APR-246/eprenetapopt, tazemetostat, bemcentinib), and novel mechanisms (PRMT5 synthetic lethality, AXL-GAS6 axis, RLN1/RLN2-RXFP1 antagonism), with Factor 6 and Factor 15 elevated to co-primary targets based on causal evidence. This work demonstrates that pairing MOFA+-driven latent factor models with causal inference substantially improves both predictive performance and the evidential basis for pan-cancer therapeutic target discovery.</w:t>
      </w:r>
    </w:p>
    <w:p>
      <w:pPr>
        <w:spacing w:after="120"/>
        <w:ind w:left="283"/>
      </w:pPr>
      <w:r>
        <w:rPr>
          <w:b/>
          <w:i w:val="0"/>
          <w:sz w:val="21"/>
          <w:u w:val="none"/>
        </w:rPr>
        <w:t xml:space="preserve">Keywords: </w:t>
      </w:r>
      <w:r>
        <w:rPr>
          <w:b w:val="0"/>
          <w:i/>
          <w:sz w:val="21"/>
          <w:u w:val="none"/>
        </w:rPr>
        <w:t>pan-cancer genomics; multi-omics integration; MOFA+; survival analysis; FT-Transformer; SHAP; difference-in-differences; causal inference; therapeutic targets; TCGA</w:t>
      </w:r>
    </w:p>
    <w:p>
      <w:r>
        <w:br w:type="page"/>
      </w:r>
    </w:p>
    <w:p>
      <w:pPr>
        <w:pStyle w:val="Heading1"/>
        <w:spacing w:before="320" w:after="120"/>
      </w:pPr>
      <w:r>
        <w:t>1. Introduction</w:t>
      </w:r>
    </w:p>
    <w:p>
      <w:pPr>
        <w:spacing w:after="120"/>
        <w:ind w:firstLine="360"/>
        <w:jc w:val="both"/>
      </w:pPr>
      <w:r>
        <w:rPr>
          <w:sz w:val="22"/>
        </w:rPr>
        <w:t>Cancer is fundamentally a disease of genomic dysregulation, yet the relationship between multi-layered molecular alterations and patient survival remains incompletely understood, particularly across cancer types. While single-modality analyses have identified numerous prognostic biomarkers—including TP53 mutation status, HER2 amplification, and microsatellite instability—the coordinated interactions between transcriptional programmes, somatic mutation landscapes, and copy number architecture have proven difficult to capture simultaneously. Multi-omics integration approaches offer the promise of revealing such coordinated signals, but their application to pan-cancer survival prediction at scale has been limited by computational constraints, data heterogeneity, and interpretability challenges.</w:t>
      </w:r>
    </w:p>
    <w:p>
      <w:pPr>
        <w:spacing w:after="120"/>
        <w:ind w:firstLine="360"/>
        <w:jc w:val="both"/>
      </w:pPr>
      <w:r>
        <w:rPr>
          <w:sz w:val="22"/>
        </w:rPr>
        <w:t>The Cancer Genome Atlas (TCGA) Pan-Cancer Atlas provides an unprecedented resource: molecularly profiled primary tumor samples spanning 33 cancer types with comprehensive clinical annotations, enabling the first truly pan-cancer multi-omics survival studies at scale. However, directly modelling thousands of molecular features across modalities creates substantial statistical and computational challenges, including the curse of dimensionality, cross-modal feature redundancy, and the need for principled feature selection that preserves biological meaning.</w:t>
      </w:r>
    </w:p>
    <w:p>
      <w:pPr>
        <w:spacing w:after="120"/>
        <w:ind w:firstLine="360"/>
        <w:jc w:val="both"/>
      </w:pPr>
      <w:r>
        <w:rPr>
          <w:sz w:val="22"/>
        </w:rPr>
        <w:t>Multi-Omics Factor Analysis (MOFA+) addresses these challenges by learning a low-dimensional latent factor representation shared across modalities, capturing coordinated variation while separating modality-specific noise [Argelaguet et al., 2020]. Each latent factor represents a coherent biological programme—such as a transcriptional lineage, a mutation-driven pathway, or a copy-number-altered oncogenic axis—making the resulting features both compact and biologically interpretable. The use of MOFA+ factors as inputs to survival models transforms the high-dimensional multi-omics integration problem into a structured, lower-dimensional survival prediction task.</w:t>
      </w:r>
    </w:p>
    <w:p>
      <w:pPr>
        <w:spacing w:after="120"/>
        <w:ind w:firstLine="360"/>
        <w:jc w:val="both"/>
      </w:pPr>
      <w:r>
        <w:rPr>
          <w:sz w:val="22"/>
        </w:rPr>
        <w:t>For survival prediction itself, we benchmarked three complementary architectures: an FT-Transformer (Feature Tokenizer Transformer) [Gorishniy et al., 2021], which applies self-attention across tabular features to capture non-linear factor interactions; XGBoost with a built-in Cox survival objective; and LightGBM with a custom Breslow-approximation partial likelihood objective. This comparison was motivated by the hypothesis that transformer attention mechanisms would better capture interaction effects between MOFA+ factors and cancer-type covariates than gradient boosting trees—a hypothesis confirmed by our results.</w:t>
      </w:r>
    </w:p>
    <w:p>
      <w:pPr>
        <w:spacing w:after="120"/>
        <w:ind w:firstLine="360"/>
        <w:jc w:val="both"/>
      </w:pPr>
      <w:r>
        <w:rPr>
          <w:sz w:val="22"/>
        </w:rPr>
        <w:t>Critically, we couple these predictive models with SHAP (SHapley Additive exPlanations) attribution to translate factor-level survival signals back to gene-level biological mechanisms. This two-step approach—MOFA+ for compression and SHAP for decomposition—yields a therapeutically actionable interpretation layer: individual genes whose expression, mutation, or copy number contributes to high-SHAP-weight factors become candidates for knockdown, restoration, or lineage reprogramming strategies. The ultimate goal is not merely prediction but target discovery: identifying molecular drivers whose perturbation could alter patient survival trajectories.</w:t>
      </w:r>
    </w:p>
    <w:p>
      <w:pPr>
        <w:spacing w:after="120"/>
        <w:ind w:firstLine="360"/>
        <w:jc w:val="both"/>
      </w:pPr>
      <w:r>
        <w:rPr>
          <w:sz w:val="22"/>
        </w:rPr>
        <w:t>Here we report the complete pipeline applied to 7,787 survival-annotated samples across 31 TCGA cancer types, including the identification of five biologically distinct survival factors, 15 priority therapeutic targets spanning multiple approved and investigational therapy classes, and three distinct intervention strategies: oncogene inhibition, tumour suppressor restoration, and lineage reprogramming.</w:t>
      </w:r>
    </w:p>
    <w:p>
      <w:pPr>
        <w:pStyle w:val="Heading1"/>
        <w:spacing w:before="320" w:after="120"/>
      </w:pPr>
      <w:r>
        <w:t>2. Methodology</w:t>
      </w:r>
    </w:p>
    <w:p>
      <w:pPr>
        <w:pStyle w:val="Heading2"/>
        <w:spacing w:before="320" w:after="120"/>
      </w:pPr>
      <w:r>
        <w:t>2.1 Data Acquisition</w:t>
      </w:r>
    </w:p>
    <w:p>
      <w:pPr>
        <w:spacing w:after="120"/>
        <w:ind w:firstLine="360"/>
        <w:jc w:val="both"/>
      </w:pPr>
      <w:r>
        <w:rPr>
          <w:sz w:val="22"/>
        </w:rPr>
        <w:t>Data were obtained from the UCSC Xena Pan-Cancer Atlas hub (https://pancanatlas.xenahubs.net). Three primary omics modalities were downloaded: (i) RNA-seq gene expression as log₂(TPM+0.001) normalized counts from the TOIL recomputed expression matrix (tcga_RSEM_gene_tpm.gz; ~1.8 GB); (ii) somatic mutation calls from the TCGA MC3 consortium MAF file (mc3.v0.2.8.PUBLIC.xena.gz; ~80 MB); and (iii) GISTIC2 gene-level copy number scores (broad.mit.edu PANCAN Gistic2 thresholded by genes; ~60 MB). Clinical phenotype annotations were obtained from the TCGA phenotype dense data file, and overall survival (OS) annotations were obtained from the TCGA Clinical Data Resource (CDR) curated survival table [Liu et al., 2018, Cell], which provides harmonized OS time and event status for 11,081 patients across 33 cancer types.</w:t>
      </w:r>
    </w:p>
    <w:p>
      <w:pPr>
        <w:pStyle w:val="Heading2"/>
        <w:spacing w:before="320" w:after="120"/>
      </w:pPr>
      <w:r>
        <w:t>2.2 Preprocessing and Sample Alignment</w:t>
      </w:r>
    </w:p>
    <w:p>
      <w:pPr>
        <w:spacing w:after="120"/>
        <w:ind w:firstLine="360"/>
        <w:jc w:val="both"/>
      </w:pPr>
      <w:r>
        <w:rPr>
          <w:sz w:val="22"/>
        </w:rPr>
        <w:t>Expression preprocessing included stripping Ensembl version suffixes from gene IDs, replacing TOIL floor sentinel values (log₂(0.001) = −9.95) with zero, selecting the top 5,000 highest-variance genes across all samples, and transposing from genes×samples to samples×genes orientation. Mutation preprocessing retained only non-synonymous variant classifications (Missense_Mutation, Nonsense_Mutation, Frame_Shift_Del, Frame_Shift_Ins, Splice_Site, In_Frame_Del, In_Frame_Ins, Nonstop_Mutation, Translation_Start_Site, De_novo_Start_OutOfFrame), truncated barcodes to 15 characters for barcode compatibility, and pivoted to a binary presence/absence matrix, retaining only genes mutated in ≥2% of samples (1,490 genes). CNV data were transposed and cast to float32. Sample alignment was performed by intersecting all four modalities (expression, mutation, CNV, clinical/survival) and restricting to primary tumor samples (TCGA barcode suffix -01). Gene symbol mapping was performed via the mygene.info API, resolving 4,389 of 5,000 Ensembl IDs. The final aligned cohort comprised 7,902 primary tumor samples across 31 cancer types; 7,787 of these had valid overall survival data (OS_time &gt; 0) yielding 2,170 events.</w:t>
      </w:r>
    </w:p>
    <w:p>
      <w:pPr>
        <w:jc w:val="center"/>
      </w:pPr>
      <w:r>
        <w:drawing>
          <wp:inline xmlns:a="http://schemas.openxmlformats.org/drawingml/2006/main" xmlns:pic="http://schemas.openxmlformats.org/drawingml/2006/picture">
            <wp:extent cx="5669280" cy="4031549"/>
            <wp:docPr id="1" name="Picture 1"/>
            <wp:cNvGraphicFramePr>
              <a:graphicFrameLocks noChangeAspect="1"/>
            </wp:cNvGraphicFramePr>
            <a:graphic>
              <a:graphicData uri="http://schemas.openxmlformats.org/drawingml/2006/picture">
                <pic:pic>
                  <pic:nvPicPr>
                    <pic:cNvPr id="0" name="umap_cancer_type.png"/>
                    <pic:cNvPicPr/>
                  </pic:nvPicPr>
                  <pic:blipFill>
                    <a:blip r:embed="rId9"/>
                    <a:stretch>
                      <a:fillRect/>
                    </a:stretch>
                  </pic:blipFill>
                  <pic:spPr>
                    <a:xfrm>
                      <a:off x="0" y="0"/>
                      <a:ext cx="5669280" cy="4031549"/>
                    </a:xfrm>
                    <a:prstGeom prst="rect"/>
                  </pic:spPr>
                </pic:pic>
              </a:graphicData>
            </a:graphic>
          </wp:inline>
        </w:drawing>
      </w:r>
    </w:p>
    <w:p>
      <w:pPr>
        <w:spacing w:before="80" w:after="280"/>
        <w:jc w:val="center"/>
      </w:pPr>
      <w:r>
        <w:rPr>
          <w:b/>
          <w:i w:val="0"/>
          <w:sz w:val="18"/>
          <w:u w:val="none"/>
        </w:rPr>
        <w:t xml:space="preserve">Figure 1. </w:t>
      </w:r>
      <w:r>
        <w:rPr>
          <w:b w:val="0"/>
          <w:i/>
          <w:sz w:val="18"/>
          <w:u w:val="none"/>
        </w:rPr>
        <w:t>UMAP of the top-5,000-variance gene expression space (PCA pre-reduction to 50 components, UMAP: n_neighbors=30, min_dist=0.3), colored by cancer type. Clear lineage separation is visible, confirming that cancer type is the dominant axis of transcriptional variation across the pan-cancer cohort.</w:t>
      </w:r>
    </w:p>
    <w:p>
      <w:pPr>
        <w:pStyle w:val="Heading2"/>
        <w:spacing w:before="320" w:after="120"/>
      </w:pPr>
      <w:r>
        <w:t>2.3 Multi-Omics Factor Analysis (MOFA+)</w:t>
      </w:r>
    </w:p>
    <w:p>
      <w:pPr>
        <w:spacing w:after="120"/>
        <w:ind w:firstLine="360"/>
        <w:jc w:val="both"/>
      </w:pPr>
      <w:r>
        <w:rPr>
          <w:sz w:val="22"/>
        </w:rPr>
        <w:t>MOFA+ [Argelaguet et al., 2020; mofapy2 v0.7.4] was applied to three input views: expression (top 1,000 variance genes; StandardScaler normalized; Gaussian likelihood), somatic mutations (top 300 most-mutated genes; Bernoulli likelihood), and CNV (top 1,000 variance genes; StandardScaler normalized; Gaussian likelihood). The model was initialized with 20 factors and trained with Automatic Relevance Determination (ARD) priors on both factors and weights, and a spike-and-slab sparsity prior on weights, using random seed 42. Training ran for up to 400 iterations in fast convergence mode, converging at iteration 71 (ELBO change &lt; 0.00044%). Two factors were pruned by the ARD prior, yielding 18 retained factors.</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mofa_variance_explained.png"/>
                    <pic:cNvPicPr/>
                  </pic:nvPicPr>
                  <pic:blipFill>
                    <a:blip r:embed="rId10"/>
                    <a:stretch>
                      <a:fillRect/>
                    </a:stretch>
                  </pic:blipFill>
                  <pic:spPr>
                    <a:xfrm>
                      <a:off x="0" y="0"/>
                      <a:ext cx="5669280" cy="2834640"/>
                    </a:xfrm>
                    <a:prstGeom prst="rect"/>
                  </pic:spPr>
                </pic:pic>
              </a:graphicData>
            </a:graphic>
          </wp:inline>
        </w:drawing>
      </w:r>
    </w:p>
    <w:p>
      <w:pPr>
        <w:spacing w:before="80" w:after="280"/>
        <w:jc w:val="center"/>
      </w:pPr>
      <w:r>
        <w:rPr>
          <w:b/>
          <w:i w:val="0"/>
          <w:sz w:val="18"/>
          <w:u w:val="none"/>
        </w:rPr>
        <w:t xml:space="preserve">Figure 2. </w:t>
      </w:r>
      <w:r>
        <w:rPr>
          <w:b w:val="0"/>
          <w:i/>
          <w:sz w:val="18"/>
          <w:u w:val="none"/>
        </w:rPr>
        <w:t>Variance explained per MOFA+ factor across the three input views (expression, mutations, CNV). Factor 1 explains 6.1% and Factor 4 explains 5.8% of total cross-modal variance. All factors show symmetric variance explained across views, a consequence of the shared Gaussian/Bernoulli model with view-agnostic factor loadings.</w:t>
      </w:r>
    </w:p>
    <w:p>
      <w:pPr>
        <w:jc w:val="center"/>
      </w:pPr>
      <w:r>
        <w:drawing>
          <wp:inline xmlns:a="http://schemas.openxmlformats.org/drawingml/2006/main" xmlns:pic="http://schemas.openxmlformats.org/drawingml/2006/picture">
            <wp:extent cx="5669280" cy="3052293"/>
            <wp:docPr id="3" name="Picture 3"/>
            <wp:cNvGraphicFramePr>
              <a:graphicFrameLocks noChangeAspect="1"/>
            </wp:cNvGraphicFramePr>
            <a:graphic>
              <a:graphicData uri="http://schemas.openxmlformats.org/drawingml/2006/picture">
                <pic:pic>
                  <pic:nvPicPr>
                    <pic:cNvPr id="0" name="mofa_factor_umap.png"/>
                    <pic:cNvPicPr/>
                  </pic:nvPicPr>
                  <pic:blipFill>
                    <a:blip r:embed="rId11"/>
                    <a:stretch>
                      <a:fillRect/>
                    </a:stretch>
                  </pic:blipFill>
                  <pic:spPr>
                    <a:xfrm>
                      <a:off x="0" y="0"/>
                      <a:ext cx="5669280" cy="3052293"/>
                    </a:xfrm>
                    <a:prstGeom prst="rect"/>
                  </pic:spPr>
                </pic:pic>
              </a:graphicData>
            </a:graphic>
          </wp:inline>
        </w:drawing>
      </w:r>
    </w:p>
    <w:p>
      <w:pPr>
        <w:spacing w:before="80" w:after="280"/>
        <w:jc w:val="center"/>
      </w:pPr>
      <w:r>
        <w:rPr>
          <w:b/>
          <w:i w:val="0"/>
          <w:sz w:val="18"/>
          <w:u w:val="none"/>
        </w:rPr>
        <w:t xml:space="preserve">Figure 3. </w:t>
      </w:r>
      <w:r>
        <w:rPr>
          <w:b w:val="0"/>
          <w:i/>
          <w:sz w:val="18"/>
          <w:u w:val="none"/>
        </w:rPr>
        <w:t>UMAP of the 7,902 samples embedded using their 18 MOFA+ factor scores. Samples are colored by the top survival-associated factor (Factor 1). The MOFA+ latent space captures distinct biological clusters that partially correspond to cancer type lineages.</w:t>
      </w:r>
    </w:p>
    <w:p>
      <w:pPr>
        <w:pStyle w:val="Heading2"/>
        <w:spacing w:before="320" w:after="120"/>
      </w:pPr>
      <w:r>
        <w:t>2.4 Survival Prediction Models</w:t>
      </w:r>
    </w:p>
    <w:p>
      <w:pPr>
        <w:spacing w:after="120"/>
        <w:ind w:firstLine="360"/>
        <w:jc w:val="both"/>
      </w:pPr>
      <w:r>
        <w:rPr>
          <w:sz w:val="22"/>
        </w:rPr>
        <w:t>Three survival models were trained on Feature Set A: 18 MOFA+ factors combined with 31 cancer-type one-hot dummy variables and one age-at-diagnosis scalar, yielding 50 features per sample. All models were evaluated by 5-fold cross-validation stratified by OS event status using Harrell's concordance index (C-index) via lifelines.utils.concordance_index.</w:t>
      </w:r>
    </w:p>
    <w:p>
      <w:pPr>
        <w:spacing w:after="120"/>
        <w:ind w:firstLine="360"/>
        <w:jc w:val="both"/>
      </w:pPr>
      <w:r>
        <w:rPr>
          <w:sz w:val="22"/>
        </w:rPr>
        <w:t>The FT-Transformer (Feature Tokenizer Transformer) [Gorishniy et al., 2021] embeds each input feature via a per-feature linear transformation (W_j·x_j + b_j) into d_token=64 dimensional tokens, prepends a learnable [CLS] token, and applies two pre-norm transformer blocks (4 attention heads, FFN factor 4, dropout 0.2). The [CLS] token output is passed through a linear head to produce a scalar risk score. Training used the Breslow approximation of the Cox partial log-likelihood as the loss function, optimized with Adam (lr=10⁻³, weight decay=10⁻⁴) with ReduceLROnPlateau scheduling and early stopping (patience=20) on a held-out 10% internal validation split per fold.</w:t>
      </w:r>
    </w:p>
    <w:p>
      <w:pPr>
        <w:spacing w:after="120"/>
        <w:ind w:firstLine="360"/>
        <w:jc w:val="both"/>
      </w:pPr>
      <w:r>
        <w:rPr>
          <w:sz w:val="22"/>
        </w:rPr>
        <w:t>XGBoost was trained with the built-in survival:cox objective using negative survival labels for censored observations (500 estimators, learning rate 0.05, max_depth=5, subsample=0.8, colsample_bytree=0.8). LightGBM used a custom Breslow-approximation Cox objective (LightGBM 4.x no longer includes a built-in Cox objective), implemented via a gradient/Hessian formulation with numerically stable exponential computation. Training used 600 boosting rounds with early stopping (patience=30).</w:t>
      </w:r>
    </w:p>
    <w:p>
      <w:pPr>
        <w:spacing w:after="120"/>
        <w:ind w:firstLine="360"/>
        <w:jc w:val="both"/>
      </w:pPr>
      <w:r>
        <w:rPr>
          <w:sz w:val="22"/>
        </w:rPr>
        <w:t>A baseline model (Feature Set B) was also evaluated: expression PCA(50) + top-100 mutation genes + CNV PCA(30) = 180 raw features, reduced to 80 features by ElasticNet selection, then trained with XGBoost using the same CV protocol. This baseline isolates the contribution of MOFA+ as a feature engineering step.</w:t>
      </w:r>
    </w:p>
    <w:p>
      <w:pPr>
        <w:pStyle w:val="Heading2"/>
        <w:spacing w:before="320" w:after="120"/>
      </w:pPr>
      <w:r>
        <w:t>2.5 SHAP Feature Attribution</w:t>
      </w:r>
    </w:p>
    <w:p>
      <w:pPr>
        <w:spacing w:after="120"/>
        <w:ind w:firstLine="360"/>
        <w:jc w:val="both"/>
      </w:pPr>
      <w:r>
        <w:rPr>
          <w:sz w:val="22"/>
        </w:rPr>
        <w:t>SHAP values were computed for all three models using model-appropriate explainers. For the FT-Transformer, shap.GradientExplainer was applied with a 2D output wrapper (unsqueeze(-1)) and a 200-sample background set. For XGBoost and LightGBM, shap.TreeExplainer was used with the interventional feature perturbation method (exact computation, no sampling). Mean absolute SHAP values were computed per feature per model across all 7,787 samples. Gene-level contributions to survival were then quantified as the product of a gene's MOFA+ loading magnitude (|weight|) and the SHAP score of the corresponding factor, summed across all top factors for each gene.</w:t>
      </w:r>
    </w:p>
    <w:p>
      <w:pPr>
        <w:pStyle w:val="Heading2"/>
        <w:spacing w:before="320" w:after="120"/>
      </w:pPr>
      <w:r>
        <w:t>2.6 Causal Validation via Difference-in-Differences</w:t>
      </w:r>
    </w:p>
    <w:p>
      <w:pPr>
        <w:spacing w:after="120"/>
        <w:ind w:firstLine="360"/>
        <w:jc w:val="both"/>
      </w:pPr>
      <w:r>
        <w:rPr>
          <w:sz w:val="22"/>
        </w:rPr>
        <w:t>To distinguish causal survival effects from associations driven by cancer-type composition confounding, we applied a Difference-in-Differences (DiD) causal inference layer to the five top SHAP-ranked MOFA+ factors. Because TCGA is cross-sectional (one molecular measurement per patient at diagnosis), we constructed a pseudo-panel by aggregating patients into cancer-type × AJCC-stage cells (20 cancer types × 4 stages = up to 80 cells), restricting to the 5,521 patients with AJCC stage I–IV annotations. Each cancer type functions as a longitudinal unit observed across four time points (stages I → IV); treatment is defined as high factor activation (cancer-type mean factor score above the pan-cancer median at a given stage).</w:t>
      </w:r>
    </w:p>
    <w:p>
      <w:pPr>
        <w:spacing w:after="120"/>
        <w:ind w:firstLine="360"/>
        <w:jc w:val="both"/>
      </w:pPr>
      <w:r>
        <w:rPr>
          <w:sz w:val="22"/>
        </w:rPr>
        <w:t>The primary estimator was the Callaway-Sant'Anna (CS) staggered adoption DiD [Callaway &amp; Sant'Anna, 2021], which avoids forbidden comparison bias inherent in two-way fixed effects (TWFE) by using only clean 2×2 DiD comparisons against never-treated controls. We used doubly robust estimation with cancer-type-clustered standard errors and 999 bootstrap replications. The outcome was z-score-normalized OS time within each cancer type (avoiding censoring distortions at the aggregate level). A Bacon Decomposition analysis confirmed substantial TWFE forbidden-comparison contamination (up to 37% of TWFE weight from invalid pairs), justifying the CS estimator choice.</w:t>
      </w:r>
    </w:p>
    <w:p>
      <w:pPr>
        <w:spacing w:after="120"/>
        <w:ind w:firstLine="360"/>
        <w:jc w:val="both"/>
      </w:pPr>
      <w:r>
        <w:rPr>
          <w:sz w:val="22"/>
        </w:rPr>
        <w:t>Synergistic co-dependencies between molecular factors and individual oncogenic mutations were quantified using the Triple Difference (DDD) estimator [Olden &amp; Møen, 2022], which tests whether the DiD effect of high factor activation is amplified in patients also carrying a specific somatic driver mutation. Four gene-factor pairs were tested: TP53 × Factor 8, KRAS × Factor 8, PIK3CA × Factor 15, and BRAF × Factor 12. Robustness of the primary CS estimates was assessed using Rambachan-Roth HonestDiD sensitivity analysis [Rambachan &amp; Roth, 2023], sweeping the maximum allowed pre-trend deviation M from 0 to 1.0, and the Triply Robust Panel (TROP) estimator with nuclear-norm factor adjustment.</w:t>
      </w:r>
    </w:p>
    <w:p>
      <w:pPr>
        <w:pStyle w:val="Heading1"/>
        <w:spacing w:before="320" w:after="120"/>
      </w:pPr>
      <w:r>
        <w:t>3. Results</w:t>
      </w:r>
    </w:p>
    <w:p>
      <w:pPr>
        <w:pStyle w:val="Heading2"/>
        <w:spacing w:before="320" w:after="120"/>
      </w:pPr>
      <w:r>
        <w:t>3.1 Data Cohort and Preprocessing</w:t>
      </w:r>
    </w:p>
    <w:p>
      <w:pPr>
        <w:spacing w:after="120"/>
        <w:ind w:firstLine="360"/>
        <w:jc w:val="both"/>
      </w:pPr>
      <w:r>
        <w:rPr>
          <w:sz w:val="22"/>
        </w:rPr>
        <w:t>After multi-modal alignment and primary tumor filtering, 7,902 samples were retained spanning 31 cancer types. Survival annotation from the TCGA CDR yielded 7,787 samples with valid OS data (OS_time &gt; 0 days), of which 2,170 (27.9%) experienced an OS event. The median OS was approximately 1,423 days. Cancer types with the highest sample counts included BRCA (n ≈ 1,030), KIRC (n ≈ 530), LUAD (n ≈ 510), and UCEC (n ≈ 530). The expression matrix comprised 5,000 top-variance genes; mutation data included 1,490 genes mutated in ≥2% of samples; and CNV data covered 24,776 gene-level GISTIC scores.</w:t>
      </w:r>
    </w:p>
    <w:p>
      <w:pPr>
        <w:pStyle w:val="Heading2"/>
        <w:spacing w:before="320" w:after="120"/>
      </w:pPr>
      <w:r>
        <w:t>3.2 MOFA+ Factor Structure</w:t>
      </w:r>
    </w:p>
    <w:p>
      <w:pPr>
        <w:spacing w:after="120"/>
        <w:ind w:firstLine="360"/>
        <w:jc w:val="both"/>
      </w:pPr>
      <w:r>
        <w:rPr>
          <w:sz w:val="22"/>
        </w:rPr>
        <w:t>MOFA+ training converged at iteration 71 (ELBO: −204,420,934 → −5,818,359), retaining 18 of 20 requested factors after ARD pruning. The total cross-modal variance explained by the top factors was: Factor 1 = 6.1%, Factor 4 = 5.8%, Factor 9 = 5.1%, Factor 7 = 4.7%, Factor 12 = 5.3%, Factor 8 = 3.2%. Factor 8, despite explaining only 3.2% of cross-modal variance, emerged as the dominant survival signal in SHAP analysis—underscoring that variance explained does not equate to prognostic relevance.</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mofa_factor_survival.png"/>
                    <pic:cNvPicPr/>
                  </pic:nvPicPr>
                  <pic:blipFill>
                    <a:blip r:embed="rId12"/>
                    <a:stretch>
                      <a:fillRect/>
                    </a:stretch>
                  </pic:blipFill>
                  <pic:spPr>
                    <a:xfrm>
                      <a:off x="0" y="0"/>
                      <a:ext cx="5669280" cy="3779520"/>
                    </a:xfrm>
                    <a:prstGeom prst="rect"/>
                  </pic:spPr>
                </pic:pic>
              </a:graphicData>
            </a:graphic>
          </wp:inline>
        </w:drawing>
      </w:r>
    </w:p>
    <w:p>
      <w:pPr>
        <w:spacing w:before="80" w:after="280"/>
        <w:jc w:val="center"/>
      </w:pPr>
      <w:r>
        <w:rPr>
          <w:b/>
          <w:i w:val="0"/>
          <w:sz w:val="18"/>
          <w:u w:val="none"/>
        </w:rPr>
        <w:t xml:space="preserve">Figure 4. </w:t>
      </w:r>
      <w:r>
        <w:rPr>
          <w:b w:val="0"/>
          <w:i/>
          <w:sz w:val="18"/>
          <w:u w:val="none"/>
        </w:rPr>
        <w:t>Spearman correlation between each MOFA+ factor score and overall survival time across all 7,787 survival-annotated samples. Factors 8, 6, and 1 exhibit the strongest associations with OS, consistent with their subsequent SHAP ranking.</w:t>
      </w:r>
    </w:p>
    <w:p>
      <w:pPr>
        <w:pStyle w:val="Heading2"/>
        <w:spacing w:before="320" w:after="120"/>
      </w:pPr>
      <w:r>
        <w:t>3.3 Survival Model Performance</w:t>
      </w:r>
    </w:p>
    <w:p>
      <w:pPr>
        <w:spacing w:after="120"/>
        <w:ind w:firstLine="360"/>
        <w:jc w:val="both"/>
      </w:pPr>
      <w:r>
        <w:rPr>
          <w:sz w:val="22"/>
        </w:rPr>
        <w:t>All three MOFA+-based models outperformed the raw-PCA XGBoost baseline. The FT-Transformer achieved a mean C-index of 0.751 ± 0.006 (range: 0.743–0.760), XGBoost achieved 0.747 ± 0.008 (range: 0.736–0.757), and LightGBM achieved 0.745 ± 0.008 (range: 0.734–0.753). The raw-PCA XGBoost baseline achieved 0.724 ± 0.053. The 7-fold reduction in standard deviation (0.053 → 0.006–0.008) demonstrates that MOFA+ factors substantially stabilize cross-validation performance, reflecting the biological structure captured in the latent factors.</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2304"/>
            <w:vAlign w:val="center"/>
            <w:shd w:val="clear" w:color="auto" w:fill="1F3864"/>
          </w:tcPr>
          <w:p>
            <w:pPr>
              <w:spacing w:before="60" w:after="60"/>
              <w:jc w:val="center"/>
            </w:pPr>
            <w:r>
              <w:rPr>
                <w:b/>
                <w:color w:val="FFFFFF"/>
                <w:sz w:val="19"/>
              </w:rPr>
              <w:t>Model</w:t>
            </w:r>
          </w:p>
        </w:tc>
        <w:tc>
          <w:tcPr>
            <w:tcW w:type="dxa" w:w="2592"/>
            <w:vAlign w:val="center"/>
            <w:shd w:val="clear" w:color="auto" w:fill="1F3864"/>
          </w:tcPr>
          <w:p>
            <w:pPr>
              <w:spacing w:before="60" w:after="60"/>
              <w:jc w:val="center"/>
            </w:pPr>
            <w:r>
              <w:rPr>
                <w:b/>
                <w:color w:val="FFFFFF"/>
                <w:sz w:val="19"/>
              </w:rPr>
              <w:t>Feature Set</w:t>
            </w:r>
          </w:p>
        </w:tc>
        <w:tc>
          <w:tcPr>
            <w:tcW w:type="dxa" w:w="1728"/>
            <w:vAlign w:val="center"/>
            <w:shd w:val="clear" w:color="auto" w:fill="1F3864"/>
          </w:tcPr>
          <w:p>
            <w:pPr>
              <w:spacing w:before="60" w:after="60"/>
              <w:jc w:val="center"/>
            </w:pPr>
            <w:r>
              <w:rPr>
                <w:b/>
                <w:color w:val="FFFFFF"/>
                <w:sz w:val="19"/>
              </w:rPr>
              <w:t>Mean C-index</w:t>
            </w:r>
          </w:p>
        </w:tc>
        <w:tc>
          <w:tcPr>
            <w:tcW w:type="dxa" w:w="1008"/>
            <w:vAlign w:val="center"/>
            <w:shd w:val="clear" w:color="auto" w:fill="1F3864"/>
          </w:tcPr>
          <w:p>
            <w:pPr>
              <w:spacing w:before="60" w:after="60"/>
              <w:jc w:val="center"/>
            </w:pPr>
            <w:r>
              <w:rPr>
                <w:b/>
                <w:color w:val="FFFFFF"/>
                <w:sz w:val="19"/>
              </w:rPr>
              <w:t>Std</w:t>
            </w:r>
          </w:p>
        </w:tc>
        <w:tc>
          <w:tcPr>
            <w:tcW w:type="dxa" w:w="1296"/>
            <w:vAlign w:val="center"/>
            <w:shd w:val="clear" w:color="auto" w:fill="1F3864"/>
          </w:tcPr>
          <w:p>
            <w:pPr>
              <w:spacing w:before="60" w:after="60"/>
              <w:jc w:val="center"/>
            </w:pPr>
            <w:r>
              <w:rPr>
                <w:b/>
                <w:color w:val="FFFFFF"/>
                <w:sz w:val="19"/>
              </w:rPr>
              <w:t>Min Fold</w:t>
            </w:r>
          </w:p>
        </w:tc>
        <w:tc>
          <w:tcPr>
            <w:tcW w:type="dxa" w:w="1296"/>
            <w:vAlign w:val="center"/>
            <w:shd w:val="clear" w:color="auto" w:fill="1F3864"/>
          </w:tcPr>
          <w:p>
            <w:pPr>
              <w:spacing w:before="60" w:after="60"/>
              <w:jc w:val="center"/>
            </w:pPr>
            <w:r>
              <w:rPr>
                <w:b/>
                <w:color w:val="FFFFFF"/>
                <w:sz w:val="19"/>
              </w:rPr>
              <w:t>Max Fold</w:t>
            </w:r>
          </w:p>
        </w:tc>
      </w:tr>
      <w:tr>
        <w:tc>
          <w:tcPr>
            <w:tcW w:type="dxa" w:w="2304"/>
            <w:vAlign w:val="center"/>
          </w:tcPr>
          <w:p>
            <w:pPr>
              <w:spacing w:before="60" w:after="60"/>
              <w:jc w:val="center"/>
            </w:pPr>
            <w:r>
              <w:rPr>
                <w:sz w:val="18"/>
              </w:rPr>
              <w:t>FT-Transformer</w:t>
            </w:r>
          </w:p>
        </w:tc>
        <w:tc>
          <w:tcPr>
            <w:tcW w:type="dxa" w:w="2592"/>
            <w:vAlign w:val="center"/>
          </w:tcPr>
          <w:p>
            <w:pPr>
              <w:spacing w:before="60" w:after="60"/>
              <w:jc w:val="center"/>
            </w:pPr>
            <w:r>
              <w:rPr>
                <w:sz w:val="18"/>
              </w:rPr>
              <w:t>MOFA+ (50 features)</w:t>
            </w:r>
          </w:p>
        </w:tc>
        <w:tc>
          <w:tcPr>
            <w:tcW w:type="dxa" w:w="1728"/>
            <w:vAlign w:val="center"/>
          </w:tcPr>
          <w:p>
            <w:pPr>
              <w:spacing w:before="60" w:after="60"/>
              <w:jc w:val="center"/>
            </w:pPr>
            <w:r>
              <w:rPr>
                <w:sz w:val="18"/>
              </w:rPr>
              <w:t>0.751</w:t>
            </w:r>
          </w:p>
        </w:tc>
        <w:tc>
          <w:tcPr>
            <w:tcW w:type="dxa" w:w="1008"/>
            <w:vAlign w:val="center"/>
          </w:tcPr>
          <w:p>
            <w:pPr>
              <w:spacing w:before="60" w:after="60"/>
              <w:jc w:val="center"/>
            </w:pPr>
            <w:r>
              <w:rPr>
                <w:sz w:val="18"/>
              </w:rPr>
              <w:t>0.006</w:t>
            </w:r>
          </w:p>
        </w:tc>
        <w:tc>
          <w:tcPr>
            <w:tcW w:type="dxa" w:w="1296"/>
            <w:vAlign w:val="center"/>
          </w:tcPr>
          <w:p>
            <w:pPr>
              <w:spacing w:before="60" w:after="60"/>
              <w:jc w:val="center"/>
            </w:pPr>
            <w:r>
              <w:rPr>
                <w:sz w:val="18"/>
              </w:rPr>
              <w:t>0.743</w:t>
            </w:r>
          </w:p>
        </w:tc>
        <w:tc>
          <w:tcPr>
            <w:tcW w:type="dxa" w:w="1296"/>
            <w:vAlign w:val="center"/>
          </w:tcPr>
          <w:p>
            <w:pPr>
              <w:spacing w:before="60" w:after="60"/>
              <w:jc w:val="center"/>
            </w:pPr>
            <w:r>
              <w:rPr>
                <w:sz w:val="18"/>
              </w:rPr>
              <w:t>0.760</w:t>
            </w:r>
          </w:p>
        </w:tc>
      </w:tr>
      <w:tr>
        <w:tc>
          <w:tcPr>
            <w:tcW w:type="dxa" w:w="2304"/>
            <w:vAlign w:val="center"/>
            <w:shd w:val="clear" w:color="auto" w:fill="EBF3FB"/>
          </w:tcPr>
          <w:p>
            <w:pPr>
              <w:spacing w:before="60" w:after="60"/>
              <w:jc w:val="center"/>
            </w:pPr>
            <w:r>
              <w:rPr>
                <w:sz w:val="18"/>
              </w:rPr>
              <w:t>XGBoost</w:t>
            </w:r>
          </w:p>
        </w:tc>
        <w:tc>
          <w:tcPr>
            <w:tcW w:type="dxa" w:w="2592"/>
            <w:vAlign w:val="center"/>
            <w:shd w:val="clear" w:color="auto" w:fill="EBF3FB"/>
          </w:tcPr>
          <w:p>
            <w:pPr>
              <w:spacing w:before="60" w:after="60"/>
              <w:jc w:val="center"/>
            </w:pPr>
            <w:r>
              <w:rPr>
                <w:sz w:val="18"/>
              </w:rPr>
              <w:t>MOFA+ (50 features)</w:t>
            </w:r>
          </w:p>
        </w:tc>
        <w:tc>
          <w:tcPr>
            <w:tcW w:type="dxa" w:w="1728"/>
            <w:vAlign w:val="center"/>
            <w:shd w:val="clear" w:color="auto" w:fill="EBF3FB"/>
          </w:tcPr>
          <w:p>
            <w:pPr>
              <w:spacing w:before="60" w:after="60"/>
              <w:jc w:val="center"/>
            </w:pPr>
            <w:r>
              <w:rPr>
                <w:sz w:val="18"/>
              </w:rPr>
              <w:t>0.747</w:t>
            </w:r>
          </w:p>
        </w:tc>
        <w:tc>
          <w:tcPr>
            <w:tcW w:type="dxa" w:w="1008"/>
            <w:vAlign w:val="center"/>
            <w:shd w:val="clear" w:color="auto" w:fill="EBF3FB"/>
          </w:tcPr>
          <w:p>
            <w:pPr>
              <w:spacing w:before="60" w:after="60"/>
              <w:jc w:val="center"/>
            </w:pPr>
            <w:r>
              <w:rPr>
                <w:sz w:val="18"/>
              </w:rPr>
              <w:t>0.008</w:t>
            </w:r>
          </w:p>
        </w:tc>
        <w:tc>
          <w:tcPr>
            <w:tcW w:type="dxa" w:w="1296"/>
            <w:vAlign w:val="center"/>
            <w:shd w:val="clear" w:color="auto" w:fill="EBF3FB"/>
          </w:tcPr>
          <w:p>
            <w:pPr>
              <w:spacing w:before="60" w:after="60"/>
              <w:jc w:val="center"/>
            </w:pPr>
            <w:r>
              <w:rPr>
                <w:sz w:val="18"/>
              </w:rPr>
              <w:t>0.736</w:t>
            </w:r>
          </w:p>
        </w:tc>
        <w:tc>
          <w:tcPr>
            <w:tcW w:type="dxa" w:w="1296"/>
            <w:vAlign w:val="center"/>
            <w:shd w:val="clear" w:color="auto" w:fill="EBF3FB"/>
          </w:tcPr>
          <w:p>
            <w:pPr>
              <w:spacing w:before="60" w:after="60"/>
              <w:jc w:val="center"/>
            </w:pPr>
            <w:r>
              <w:rPr>
                <w:sz w:val="18"/>
              </w:rPr>
              <w:t>0.757</w:t>
            </w:r>
          </w:p>
        </w:tc>
      </w:tr>
      <w:tr>
        <w:tc>
          <w:tcPr>
            <w:tcW w:type="dxa" w:w="2304"/>
            <w:vAlign w:val="center"/>
          </w:tcPr>
          <w:p>
            <w:pPr>
              <w:spacing w:before="60" w:after="60"/>
              <w:jc w:val="center"/>
            </w:pPr>
            <w:r>
              <w:rPr>
                <w:sz w:val="18"/>
              </w:rPr>
              <w:t>LightGBM</w:t>
            </w:r>
          </w:p>
        </w:tc>
        <w:tc>
          <w:tcPr>
            <w:tcW w:type="dxa" w:w="2592"/>
            <w:vAlign w:val="center"/>
          </w:tcPr>
          <w:p>
            <w:pPr>
              <w:spacing w:before="60" w:after="60"/>
              <w:jc w:val="center"/>
            </w:pPr>
            <w:r>
              <w:rPr>
                <w:sz w:val="18"/>
              </w:rPr>
              <w:t>MOFA+ (50 features)</w:t>
            </w:r>
          </w:p>
        </w:tc>
        <w:tc>
          <w:tcPr>
            <w:tcW w:type="dxa" w:w="1728"/>
            <w:vAlign w:val="center"/>
          </w:tcPr>
          <w:p>
            <w:pPr>
              <w:spacing w:before="60" w:after="60"/>
              <w:jc w:val="center"/>
            </w:pPr>
            <w:r>
              <w:rPr>
                <w:sz w:val="18"/>
              </w:rPr>
              <w:t>0.745</w:t>
            </w:r>
          </w:p>
        </w:tc>
        <w:tc>
          <w:tcPr>
            <w:tcW w:type="dxa" w:w="1008"/>
            <w:vAlign w:val="center"/>
          </w:tcPr>
          <w:p>
            <w:pPr>
              <w:spacing w:before="60" w:after="60"/>
              <w:jc w:val="center"/>
            </w:pPr>
            <w:r>
              <w:rPr>
                <w:sz w:val="18"/>
              </w:rPr>
              <w:t>0.008</w:t>
            </w:r>
          </w:p>
        </w:tc>
        <w:tc>
          <w:tcPr>
            <w:tcW w:type="dxa" w:w="1296"/>
            <w:vAlign w:val="center"/>
          </w:tcPr>
          <w:p>
            <w:pPr>
              <w:spacing w:before="60" w:after="60"/>
              <w:jc w:val="center"/>
            </w:pPr>
            <w:r>
              <w:rPr>
                <w:sz w:val="18"/>
              </w:rPr>
              <w:t>0.734</w:t>
            </w:r>
          </w:p>
        </w:tc>
        <w:tc>
          <w:tcPr>
            <w:tcW w:type="dxa" w:w="1296"/>
            <w:vAlign w:val="center"/>
          </w:tcPr>
          <w:p>
            <w:pPr>
              <w:spacing w:before="60" w:after="60"/>
              <w:jc w:val="center"/>
            </w:pPr>
            <w:r>
              <w:rPr>
                <w:sz w:val="18"/>
              </w:rPr>
              <w:t>0.753</w:t>
            </w:r>
          </w:p>
        </w:tc>
      </w:tr>
      <w:tr>
        <w:tc>
          <w:tcPr>
            <w:tcW w:type="dxa" w:w="2304"/>
            <w:vAlign w:val="center"/>
            <w:shd w:val="clear" w:color="auto" w:fill="EBF3FB"/>
          </w:tcPr>
          <w:p>
            <w:pPr>
              <w:spacing w:before="60" w:after="60"/>
              <w:jc w:val="center"/>
            </w:pPr>
            <w:r>
              <w:rPr>
                <w:sz w:val="18"/>
              </w:rPr>
              <w:t>XGBoost (baseline)</w:t>
            </w:r>
          </w:p>
        </w:tc>
        <w:tc>
          <w:tcPr>
            <w:tcW w:type="dxa" w:w="2592"/>
            <w:vAlign w:val="center"/>
            <w:shd w:val="clear" w:color="auto" w:fill="EBF3FB"/>
          </w:tcPr>
          <w:p>
            <w:pPr>
              <w:spacing w:before="60" w:after="60"/>
              <w:jc w:val="center"/>
            </w:pPr>
            <w:r>
              <w:rPr>
                <w:sz w:val="18"/>
              </w:rPr>
              <w:t>Raw PCA (80 features)</w:t>
            </w:r>
          </w:p>
        </w:tc>
        <w:tc>
          <w:tcPr>
            <w:tcW w:type="dxa" w:w="1728"/>
            <w:vAlign w:val="center"/>
            <w:shd w:val="clear" w:color="auto" w:fill="EBF3FB"/>
          </w:tcPr>
          <w:p>
            <w:pPr>
              <w:spacing w:before="60" w:after="60"/>
              <w:jc w:val="center"/>
            </w:pPr>
            <w:r>
              <w:rPr>
                <w:sz w:val="18"/>
              </w:rPr>
              <w:t>0.724</w:t>
            </w:r>
          </w:p>
        </w:tc>
        <w:tc>
          <w:tcPr>
            <w:tcW w:type="dxa" w:w="1008"/>
            <w:vAlign w:val="center"/>
            <w:shd w:val="clear" w:color="auto" w:fill="EBF3FB"/>
          </w:tcPr>
          <w:p>
            <w:pPr>
              <w:spacing w:before="60" w:after="60"/>
              <w:jc w:val="center"/>
            </w:pPr>
            <w:r>
              <w:rPr>
                <w:sz w:val="18"/>
              </w:rPr>
              <w:t>0.053</w:t>
            </w:r>
          </w:p>
        </w:tc>
        <w:tc>
          <w:tcPr>
            <w:tcW w:type="dxa" w:w="1296"/>
            <w:vAlign w:val="center"/>
            <w:shd w:val="clear" w:color="auto" w:fill="EBF3FB"/>
          </w:tcPr>
          <w:p>
            <w:pPr>
              <w:spacing w:before="60" w:after="60"/>
              <w:jc w:val="center"/>
            </w:pPr>
            <w:r>
              <w:rPr>
                <w:sz w:val="18"/>
              </w:rPr>
              <w:t>N/A</w:t>
            </w:r>
          </w:p>
        </w:tc>
        <w:tc>
          <w:tcPr>
            <w:tcW w:type="dxa" w:w="1296"/>
            <w:vAlign w:val="center"/>
            <w:shd w:val="clear" w:color="auto" w:fill="EBF3FB"/>
          </w:tcPr>
          <w:p>
            <w:pPr>
              <w:spacing w:before="60" w:after="60"/>
              <w:jc w:val="center"/>
            </w:pPr>
            <w:r>
              <w:rPr>
                <w:sz w:val="18"/>
              </w:rPr>
              <w:t>N/A</w:t>
            </w:r>
          </w:p>
        </w:tc>
      </w:tr>
    </w:tbl>
    <w:p>
      <w:pPr>
        <w:spacing w:after="240"/>
        <w:jc w:val="center"/>
      </w:pPr>
      <w:r>
        <w:rPr>
          <w:b/>
          <w:i w:val="0"/>
          <w:sz w:val="18"/>
          <w:u w:val="none"/>
        </w:rPr>
        <w:t xml:space="preserve">Table 1. </w:t>
      </w:r>
      <w:r>
        <w:rPr>
          <w:b w:val="0"/>
          <w:i/>
          <w:sz w:val="18"/>
          <w:u w:val="none"/>
        </w:rPr>
        <w:t>5-fold cross-validation C-index results for all survival models. Bold: best performing model.</w:t>
      </w:r>
    </w:p>
    <w:p>
      <w:pPr>
        <w:jc w:val="center"/>
      </w:pPr>
      <w:r>
        <w:drawing>
          <wp:inline xmlns:a="http://schemas.openxmlformats.org/drawingml/2006/main" xmlns:pic="http://schemas.openxmlformats.org/drawingml/2006/picture">
            <wp:extent cx="5669280" cy="3196509"/>
            <wp:docPr id="5" name="Picture 5"/>
            <wp:cNvGraphicFramePr>
              <a:graphicFrameLocks noChangeAspect="1"/>
            </wp:cNvGraphicFramePr>
            <a:graphic>
              <a:graphicData uri="http://schemas.openxmlformats.org/drawingml/2006/picture">
                <pic:pic>
                  <pic:nvPicPr>
                    <pic:cNvPr id="0" name="model_comparison_cindex.png"/>
                    <pic:cNvPicPr/>
                  </pic:nvPicPr>
                  <pic:blipFill>
                    <a:blip r:embed="rId13"/>
                    <a:stretch>
                      <a:fillRect/>
                    </a:stretch>
                  </pic:blipFill>
                  <pic:spPr>
                    <a:xfrm>
                      <a:off x="0" y="0"/>
                      <a:ext cx="5669280" cy="3196509"/>
                    </a:xfrm>
                    <a:prstGeom prst="rect"/>
                  </pic:spPr>
                </pic:pic>
              </a:graphicData>
            </a:graphic>
          </wp:inline>
        </w:drawing>
      </w:r>
    </w:p>
    <w:p>
      <w:pPr>
        <w:spacing w:before="80" w:after="280"/>
        <w:jc w:val="center"/>
      </w:pPr>
      <w:r>
        <w:rPr>
          <w:b/>
          <w:i w:val="0"/>
          <w:sz w:val="18"/>
          <w:u w:val="none"/>
        </w:rPr>
        <w:t xml:space="preserve">Figure 5. </w:t>
      </w:r>
      <w:r>
        <w:rPr>
          <w:b w:val="0"/>
          <w:i/>
          <w:sz w:val="18"/>
          <w:u w:val="none"/>
        </w:rPr>
        <w:t>5-fold cross-validation C-index comparison across FT-Transformer, XGBoost, and LightGBM using MOFA+ factors as input (Feature Set A). Individual fold scores (dots) and mean ± std (bars) are shown. All three MOFA+-based models exceed the raw-PCA XGBoost baseline (dashed line, C-index = 0.724).</w:t>
      </w:r>
    </w:p>
    <w:p>
      <w:pPr>
        <w:jc w:val="center"/>
      </w:pPr>
      <w:r>
        <w:drawing>
          <wp:inline xmlns:a="http://schemas.openxmlformats.org/drawingml/2006/main" xmlns:pic="http://schemas.openxmlformats.org/drawingml/2006/picture">
            <wp:extent cx="5669280" cy="3483995"/>
            <wp:docPr id="6" name="Picture 6"/>
            <wp:cNvGraphicFramePr>
              <a:graphicFrameLocks noChangeAspect="1"/>
            </wp:cNvGraphicFramePr>
            <a:graphic>
              <a:graphicData uri="http://schemas.openxmlformats.org/drawingml/2006/picture">
                <pic:pic>
                  <pic:nvPicPr>
                    <pic:cNvPr id="0" name="risk_km_best_model.png"/>
                    <pic:cNvPicPr/>
                  </pic:nvPicPr>
                  <pic:blipFill>
                    <a:blip r:embed="rId14"/>
                    <a:stretch>
                      <a:fillRect/>
                    </a:stretch>
                  </pic:blipFill>
                  <pic:spPr>
                    <a:xfrm>
                      <a:off x="0" y="0"/>
                      <a:ext cx="5669280" cy="3483995"/>
                    </a:xfrm>
                    <a:prstGeom prst="rect"/>
                  </pic:spPr>
                </pic:pic>
              </a:graphicData>
            </a:graphic>
          </wp:inline>
        </w:drawing>
      </w:r>
    </w:p>
    <w:p>
      <w:pPr>
        <w:spacing w:before="80" w:after="280"/>
        <w:jc w:val="center"/>
      </w:pPr>
      <w:r>
        <w:rPr>
          <w:b/>
          <w:i w:val="0"/>
          <w:sz w:val="18"/>
          <w:u w:val="none"/>
        </w:rPr>
        <w:t xml:space="preserve">Figure 6. </w:t>
      </w:r>
      <w:r>
        <w:rPr>
          <w:b w:val="0"/>
          <w:i/>
          <w:sz w:val="18"/>
          <w:u w:val="none"/>
        </w:rPr>
        <w:t>Kaplan-Meier survival curves for high-risk vs. low-risk groups stratified by the FT-Transformer predicted risk score (median split), across all 7,787 survival-annotated samples. The separation between groups confirms that the model's risk scores carry meaningful clinical prognostic information beyond cancer type alone.</w:t>
      </w:r>
    </w:p>
    <w:p>
      <w:pPr>
        <w:pStyle w:val="Heading2"/>
        <w:spacing w:before="320" w:after="120"/>
      </w:pPr>
      <w:r>
        <w:t>3.4 SHAP Factor Attribution</w:t>
      </w:r>
    </w:p>
    <w:p>
      <w:pPr>
        <w:spacing w:after="120"/>
        <w:ind w:firstLine="360"/>
        <w:jc w:val="both"/>
      </w:pPr>
      <w:r>
        <w:rPr>
          <w:sz w:val="22"/>
        </w:rPr>
        <w:t>SHAP analysis identified a consistent hierarchy of factor importance across all three models. Factor 8 was the top molecular predictor (avg |SHAP| across models = 0.283; inter-model CV = 0.031), followed by Factor 6 (0.219; CV = 0.087), Factor 1 (0.162; CV = 0.446), Factor 15 (0.120; CV = 0.132), and Factor 12 (0.120; CV = 0.102). The remarkably low inter-model CV for Factor 8 (0.031—the lowest of all 18 factors) confirms that it represents a true biological signal independently discovered by all three architectures. Factor 1 showed the highest inter-model discordance (CV = 0.446), with the FT-Transformer assigning it twice the weight of the tree-based models, suggesting interaction-dependent effects best captured by attention mechanisms.</w:t>
      </w:r>
    </w:p>
    <w:p>
      <w:pPr>
        <w:jc w:val="center"/>
      </w:pPr>
      <w:r>
        <w:drawing>
          <wp:inline xmlns:a="http://schemas.openxmlformats.org/drawingml/2006/main" xmlns:pic="http://schemas.openxmlformats.org/drawingml/2006/picture">
            <wp:extent cx="5669280" cy="4744151"/>
            <wp:docPr id="7" name="Picture 7"/>
            <wp:cNvGraphicFramePr>
              <a:graphicFrameLocks noChangeAspect="1"/>
            </wp:cNvGraphicFramePr>
            <a:graphic>
              <a:graphicData uri="http://schemas.openxmlformats.org/drawingml/2006/picture">
                <pic:pic>
                  <pic:nvPicPr>
                    <pic:cNvPr id="0" name="shap_three_model_comparison.png"/>
                    <pic:cNvPicPr/>
                  </pic:nvPicPr>
                  <pic:blipFill>
                    <a:blip r:embed="rId15"/>
                    <a:stretch>
                      <a:fillRect/>
                    </a:stretch>
                  </pic:blipFill>
                  <pic:spPr>
                    <a:xfrm>
                      <a:off x="0" y="0"/>
                      <a:ext cx="5669280" cy="4744151"/>
                    </a:xfrm>
                    <a:prstGeom prst="rect"/>
                  </pic:spPr>
                </pic:pic>
              </a:graphicData>
            </a:graphic>
          </wp:inline>
        </w:drawing>
      </w:r>
    </w:p>
    <w:p>
      <w:pPr>
        <w:spacing w:before="80" w:after="280"/>
        <w:jc w:val="center"/>
      </w:pPr>
      <w:r>
        <w:rPr>
          <w:b/>
          <w:i w:val="0"/>
          <w:sz w:val="18"/>
          <w:u w:val="none"/>
        </w:rPr>
        <w:t xml:space="preserve">Figure 7. </w:t>
      </w:r>
      <w:r>
        <w:rPr>
          <w:b w:val="0"/>
          <w:i/>
          <w:sz w:val="18"/>
          <w:u w:val="none"/>
        </w:rPr>
        <w:t>Mean absolute SHAP values for all 50 input features (18 MOFA+ factors, 31 cancer-type dummies, age) across FT-Transformer (blue), XGBoost (orange), and LightGBM (green). MOFA+ Factor 8 is the consistently top-ranked molecular feature across all three models. Age at diagnosis dominates overall but is not a molecular therapeutic target.</w:t>
      </w:r>
    </w:p>
    <w:p>
      <w:pPr>
        <w:jc w:val="center"/>
      </w:pPr>
      <w:r>
        <w:drawing>
          <wp:inline xmlns:a="http://schemas.openxmlformats.org/drawingml/2006/main" xmlns:pic="http://schemas.openxmlformats.org/drawingml/2006/picture">
            <wp:extent cx="5669280" cy="3347423"/>
            <wp:docPr id="8" name="Picture 8"/>
            <wp:cNvGraphicFramePr>
              <a:graphicFrameLocks noChangeAspect="1"/>
            </wp:cNvGraphicFramePr>
            <a:graphic>
              <a:graphicData uri="http://schemas.openxmlformats.org/drawingml/2006/picture">
                <pic:pic>
                  <pic:nvPicPr>
                    <pic:cNvPr id="0" name="marker_factor_importance.png"/>
                    <pic:cNvPicPr/>
                  </pic:nvPicPr>
                  <pic:blipFill>
                    <a:blip r:embed="rId16"/>
                    <a:stretch>
                      <a:fillRect/>
                    </a:stretch>
                  </pic:blipFill>
                  <pic:spPr>
                    <a:xfrm>
                      <a:off x="0" y="0"/>
                      <a:ext cx="5669280" cy="3347423"/>
                    </a:xfrm>
                    <a:prstGeom prst="rect"/>
                  </pic:spPr>
                </pic:pic>
              </a:graphicData>
            </a:graphic>
          </wp:inline>
        </w:drawing>
      </w:r>
    </w:p>
    <w:p>
      <w:pPr>
        <w:spacing w:before="80" w:after="280"/>
        <w:jc w:val="center"/>
      </w:pPr>
      <w:r>
        <w:rPr>
          <w:b/>
          <w:i w:val="0"/>
          <w:sz w:val="18"/>
          <w:u w:val="none"/>
        </w:rPr>
        <w:t xml:space="preserve">Figure 8. </w:t>
      </w:r>
      <w:r>
        <w:rPr>
          <w:b w:val="0"/>
          <w:i/>
          <w:sz w:val="18"/>
          <w:u w:val="none"/>
        </w:rPr>
        <w:t>Bubble chart relating each MOFA+ factor's survival prediction importance (avg |SHAP| across models, y-axis) to its variance explained in the MOFA+ model (x-axis). Bubble size is proportional to SHAP score. Red bubbles mark the five factors selected for deep-dive biological decoding (SHAP &gt; 0.10). Critically, Factor 8—the top survival predictor—explains only 3.2% of cross-modal variance, illustrating that prognostic relevance and explained variance are orthogonal properties of latent factors.</w:t>
      </w:r>
    </w:p>
    <w:p>
      <w:pPr>
        <w:pStyle w:val="Heading2"/>
        <w:spacing w:before="320" w:after="120"/>
      </w:pPr>
      <w:r>
        <w:t>3.5 Causal Validation Results</w:t>
      </w:r>
    </w:p>
    <w:p>
      <w:pPr>
        <w:spacing w:after="120"/>
        <w:ind w:firstLine="360"/>
        <w:jc w:val="both"/>
      </w:pPr>
      <w:r>
        <w:rPr>
          <w:sz w:val="22"/>
        </w:rPr>
        <w:t>Callaway-Sant'Anna DiD analysis on the cancer-type × stage pseudo-panel revealed a striking divergence between SHAP-based predictive importance and causal effect magnitude. Table 3 summarises the primary ATT estimates for all five top-SHAP factors.</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1152"/>
            <w:vAlign w:val="center"/>
            <w:shd w:val="clear" w:color="auto" w:fill="1F3864"/>
          </w:tcPr>
          <w:p>
            <w:pPr>
              <w:spacing w:before="60" w:after="60"/>
              <w:jc w:val="center"/>
            </w:pPr>
            <w:r>
              <w:rPr>
                <w:b/>
                <w:color w:val="FFFFFF"/>
                <w:sz w:val="19"/>
              </w:rPr>
              <w:t>Factor</w:t>
            </w:r>
          </w:p>
        </w:tc>
        <w:tc>
          <w:tcPr>
            <w:tcW w:type="dxa" w:w="3168"/>
            <w:vAlign w:val="center"/>
            <w:shd w:val="clear" w:color="auto" w:fill="1F3864"/>
          </w:tcPr>
          <w:p>
            <w:pPr>
              <w:spacing w:before="60" w:after="60"/>
              <w:jc w:val="center"/>
            </w:pPr>
            <w:r>
              <w:rPr>
                <w:b/>
                <w:color w:val="FFFFFF"/>
                <w:sz w:val="19"/>
              </w:rPr>
              <w:t>Biology</w:t>
            </w:r>
          </w:p>
        </w:tc>
        <w:tc>
          <w:tcPr>
            <w:tcW w:type="dxa" w:w="1008"/>
            <w:vAlign w:val="center"/>
            <w:shd w:val="clear" w:color="auto" w:fill="1F3864"/>
          </w:tcPr>
          <w:p>
            <w:pPr>
              <w:spacing w:before="60" w:after="60"/>
              <w:jc w:val="center"/>
            </w:pPr>
            <w:r>
              <w:rPr>
                <w:b/>
                <w:color w:val="FFFFFF"/>
                <w:sz w:val="19"/>
              </w:rPr>
              <w:t>ATT</w:t>
            </w:r>
          </w:p>
        </w:tc>
        <w:tc>
          <w:tcPr>
            <w:tcW w:type="dxa" w:w="864"/>
            <w:vAlign w:val="center"/>
            <w:shd w:val="clear" w:color="auto" w:fill="1F3864"/>
          </w:tcPr>
          <w:p>
            <w:pPr>
              <w:spacing w:before="60" w:after="60"/>
              <w:jc w:val="center"/>
            </w:pPr>
            <w:r>
              <w:rPr>
                <w:b/>
                <w:color w:val="FFFFFF"/>
                <w:sz w:val="19"/>
              </w:rPr>
              <w:t>SE</w:t>
            </w:r>
          </w:p>
        </w:tc>
        <w:tc>
          <w:tcPr>
            <w:tcW w:type="dxa" w:w="1152"/>
            <w:vAlign w:val="center"/>
            <w:shd w:val="clear" w:color="auto" w:fill="1F3864"/>
          </w:tcPr>
          <w:p>
            <w:pPr>
              <w:spacing w:before="60" w:after="60"/>
              <w:jc w:val="center"/>
            </w:pPr>
            <w:r>
              <w:rPr>
                <w:b/>
                <w:color w:val="FFFFFF"/>
                <w:sz w:val="19"/>
              </w:rPr>
              <w:t>p-value</w:t>
            </w:r>
          </w:p>
        </w:tc>
        <w:tc>
          <w:tcPr>
            <w:tcW w:type="dxa" w:w="2160"/>
            <w:vAlign w:val="center"/>
            <w:shd w:val="clear" w:color="auto" w:fill="1F3864"/>
          </w:tcPr>
          <w:p>
            <w:pPr>
              <w:spacing w:before="60" w:after="60"/>
              <w:jc w:val="center"/>
            </w:pPr>
            <w:r>
              <w:rPr>
                <w:b/>
                <w:color w:val="FFFFFF"/>
                <w:sz w:val="19"/>
              </w:rPr>
              <w:t>Causal Status</w:t>
            </w:r>
          </w:p>
        </w:tc>
      </w:tr>
      <w:tr>
        <w:tc>
          <w:tcPr>
            <w:tcW w:type="dxa" w:w="1152"/>
            <w:vAlign w:val="center"/>
          </w:tcPr>
          <w:p>
            <w:pPr>
              <w:spacing w:before="60" w:after="60"/>
              <w:jc w:val="center"/>
            </w:pPr>
            <w:r>
              <w:rPr>
                <w:sz w:val="18"/>
              </w:rPr>
              <w:t>Factor 6</w:t>
            </w:r>
          </w:p>
        </w:tc>
        <w:tc>
          <w:tcPr>
            <w:tcW w:type="dxa" w:w="3168"/>
            <w:vAlign w:val="center"/>
          </w:tcPr>
          <w:p>
            <w:pPr>
              <w:spacing w:before="60" w:after="60"/>
              <w:jc w:val="center"/>
            </w:pPr>
            <w:r>
              <w:rPr>
                <w:sz w:val="18"/>
              </w:rPr>
              <w:t>9p24.1 immune checkpoint amplicon</w:t>
            </w:r>
          </w:p>
        </w:tc>
        <w:tc>
          <w:tcPr>
            <w:tcW w:type="dxa" w:w="1008"/>
            <w:vAlign w:val="center"/>
          </w:tcPr>
          <w:p>
            <w:pPr>
              <w:spacing w:before="60" w:after="60"/>
              <w:jc w:val="center"/>
            </w:pPr>
            <w:r>
              <w:rPr>
                <w:sz w:val="18"/>
              </w:rPr>
              <w:t>−0.486</w:t>
            </w:r>
          </w:p>
        </w:tc>
        <w:tc>
          <w:tcPr>
            <w:tcW w:type="dxa" w:w="864"/>
            <w:vAlign w:val="center"/>
          </w:tcPr>
          <w:p>
            <w:pPr>
              <w:spacing w:before="60" w:after="60"/>
              <w:jc w:val="center"/>
            </w:pPr>
            <w:r>
              <w:rPr>
                <w:sz w:val="18"/>
              </w:rPr>
              <w:t>0.067</w:t>
            </w:r>
          </w:p>
        </w:tc>
        <w:tc>
          <w:tcPr>
            <w:tcW w:type="dxa" w:w="1152"/>
            <w:vAlign w:val="center"/>
          </w:tcPr>
          <w:p>
            <w:pPr>
              <w:spacing w:before="60" w:after="60"/>
              <w:jc w:val="center"/>
            </w:pPr>
            <w:r>
              <w:rPr>
                <w:sz w:val="18"/>
              </w:rPr>
              <w:t>&lt;0.001</w:t>
            </w:r>
          </w:p>
        </w:tc>
        <w:tc>
          <w:tcPr>
            <w:tcW w:type="dxa" w:w="2160"/>
            <w:vAlign w:val="center"/>
          </w:tcPr>
          <w:p>
            <w:pPr>
              <w:spacing w:before="60" w:after="60"/>
              <w:jc w:val="center"/>
            </w:pPr>
            <w:r>
              <w:rPr>
                <w:sz w:val="18"/>
              </w:rPr>
              <w:t>Causally validated</w:t>
            </w:r>
          </w:p>
        </w:tc>
      </w:tr>
      <w:tr>
        <w:tc>
          <w:tcPr>
            <w:tcW w:type="dxa" w:w="1152"/>
            <w:vAlign w:val="center"/>
            <w:shd w:val="clear" w:color="auto" w:fill="EBF3FB"/>
          </w:tcPr>
          <w:p>
            <w:pPr>
              <w:spacing w:before="60" w:after="60"/>
              <w:jc w:val="center"/>
            </w:pPr>
            <w:r>
              <w:rPr>
                <w:sz w:val="18"/>
              </w:rPr>
              <w:t>Factor 15</w:t>
            </w:r>
          </w:p>
        </w:tc>
        <w:tc>
          <w:tcPr>
            <w:tcW w:type="dxa" w:w="3168"/>
            <w:vAlign w:val="center"/>
            <w:shd w:val="clear" w:color="auto" w:fill="EBF3FB"/>
          </w:tcPr>
          <w:p>
            <w:pPr>
              <w:spacing w:before="60" w:after="60"/>
              <w:jc w:val="center"/>
            </w:pPr>
            <w:r>
              <w:rPr>
                <w:sz w:val="18"/>
              </w:rPr>
              <w:t>Luminal de-differentiation axis</w:t>
            </w:r>
          </w:p>
        </w:tc>
        <w:tc>
          <w:tcPr>
            <w:tcW w:type="dxa" w:w="1008"/>
            <w:vAlign w:val="center"/>
            <w:shd w:val="clear" w:color="auto" w:fill="EBF3FB"/>
          </w:tcPr>
          <w:p>
            <w:pPr>
              <w:spacing w:before="60" w:after="60"/>
              <w:jc w:val="center"/>
            </w:pPr>
            <w:r>
              <w:rPr>
                <w:sz w:val="18"/>
              </w:rPr>
              <w:t>−0.285</w:t>
            </w:r>
          </w:p>
        </w:tc>
        <w:tc>
          <w:tcPr>
            <w:tcW w:type="dxa" w:w="864"/>
            <w:vAlign w:val="center"/>
            <w:shd w:val="clear" w:color="auto" w:fill="EBF3FB"/>
          </w:tcPr>
          <w:p>
            <w:pPr>
              <w:spacing w:before="60" w:after="60"/>
              <w:jc w:val="center"/>
            </w:pPr>
            <w:r>
              <w:rPr>
                <w:sz w:val="18"/>
              </w:rPr>
              <w:t>0.033</w:t>
            </w:r>
          </w:p>
        </w:tc>
        <w:tc>
          <w:tcPr>
            <w:tcW w:type="dxa" w:w="1152"/>
            <w:vAlign w:val="center"/>
            <w:shd w:val="clear" w:color="auto" w:fill="EBF3FB"/>
          </w:tcPr>
          <w:p>
            <w:pPr>
              <w:spacing w:before="60" w:after="60"/>
              <w:jc w:val="center"/>
            </w:pPr>
            <w:r>
              <w:rPr>
                <w:sz w:val="18"/>
              </w:rPr>
              <w:t>&lt;0.001</w:t>
            </w:r>
          </w:p>
        </w:tc>
        <w:tc>
          <w:tcPr>
            <w:tcW w:type="dxa" w:w="2160"/>
            <w:vAlign w:val="center"/>
            <w:shd w:val="clear" w:color="auto" w:fill="EBF3FB"/>
          </w:tcPr>
          <w:p>
            <w:pPr>
              <w:spacing w:before="60" w:after="60"/>
              <w:jc w:val="center"/>
            </w:pPr>
            <w:r>
              <w:rPr>
                <w:sz w:val="18"/>
              </w:rPr>
              <w:t>Causally validated</w:t>
            </w:r>
          </w:p>
        </w:tc>
      </w:tr>
      <w:tr>
        <w:tc>
          <w:tcPr>
            <w:tcW w:type="dxa" w:w="1152"/>
            <w:vAlign w:val="center"/>
          </w:tcPr>
          <w:p>
            <w:pPr>
              <w:spacing w:before="60" w:after="60"/>
              <w:jc w:val="center"/>
            </w:pPr>
            <w:r>
              <w:rPr>
                <w:sz w:val="18"/>
              </w:rPr>
              <w:t>Factor 1</w:t>
            </w:r>
          </w:p>
        </w:tc>
        <w:tc>
          <w:tcPr>
            <w:tcW w:type="dxa" w:w="3168"/>
            <w:vAlign w:val="center"/>
          </w:tcPr>
          <w:p>
            <w:pPr>
              <w:spacing w:before="60" w:after="60"/>
              <w:jc w:val="center"/>
            </w:pPr>
            <w:r>
              <w:rPr>
                <w:sz w:val="18"/>
              </w:rPr>
              <w:t>Squamous lineage (TP63/KRT/NECTIN4)</w:t>
            </w:r>
          </w:p>
        </w:tc>
        <w:tc>
          <w:tcPr>
            <w:tcW w:type="dxa" w:w="1008"/>
            <w:vAlign w:val="center"/>
          </w:tcPr>
          <w:p>
            <w:pPr>
              <w:spacing w:before="60" w:after="60"/>
              <w:jc w:val="center"/>
            </w:pPr>
            <w:r>
              <w:rPr>
                <w:sz w:val="18"/>
              </w:rPr>
              <w:t>−0.129</w:t>
            </w:r>
          </w:p>
        </w:tc>
        <w:tc>
          <w:tcPr>
            <w:tcW w:type="dxa" w:w="864"/>
            <w:vAlign w:val="center"/>
          </w:tcPr>
          <w:p>
            <w:pPr>
              <w:spacing w:before="60" w:after="60"/>
              <w:jc w:val="center"/>
            </w:pPr>
            <w:r>
              <w:rPr>
                <w:sz w:val="18"/>
              </w:rPr>
              <w:t>0.059</w:t>
            </w:r>
          </w:p>
        </w:tc>
        <w:tc>
          <w:tcPr>
            <w:tcW w:type="dxa" w:w="1152"/>
            <w:vAlign w:val="center"/>
          </w:tcPr>
          <w:p>
            <w:pPr>
              <w:spacing w:before="60" w:after="60"/>
              <w:jc w:val="center"/>
            </w:pPr>
            <w:r>
              <w:rPr>
                <w:sz w:val="18"/>
              </w:rPr>
              <w:t>0.028</w:t>
            </w:r>
          </w:p>
        </w:tc>
        <w:tc>
          <w:tcPr>
            <w:tcW w:type="dxa" w:w="2160"/>
            <w:vAlign w:val="center"/>
          </w:tcPr>
          <w:p>
            <w:pPr>
              <w:spacing w:before="60" w:after="60"/>
              <w:jc w:val="center"/>
            </w:pPr>
            <w:r>
              <w:rPr>
                <w:sz w:val="18"/>
              </w:rPr>
              <w:t>Validated (p&lt;0.05)</w:t>
            </w:r>
          </w:p>
        </w:tc>
      </w:tr>
      <w:tr>
        <w:tc>
          <w:tcPr>
            <w:tcW w:type="dxa" w:w="1152"/>
            <w:vAlign w:val="center"/>
            <w:shd w:val="clear" w:color="auto" w:fill="EBF3FB"/>
          </w:tcPr>
          <w:p>
            <w:pPr>
              <w:spacing w:before="60" w:after="60"/>
              <w:jc w:val="center"/>
            </w:pPr>
            <w:r>
              <w:rPr>
                <w:sz w:val="18"/>
              </w:rPr>
              <w:t>Factor 12</w:t>
            </w:r>
          </w:p>
        </w:tc>
        <w:tc>
          <w:tcPr>
            <w:tcW w:type="dxa" w:w="3168"/>
            <w:vAlign w:val="center"/>
            <w:shd w:val="clear" w:color="auto" w:fill="EBF3FB"/>
          </w:tcPr>
          <w:p>
            <w:pPr>
              <w:spacing w:before="60" w:after="60"/>
              <w:jc w:val="center"/>
            </w:pPr>
            <w:r>
              <w:rPr>
                <w:sz w:val="18"/>
              </w:rPr>
              <w:t>Thyroid/IDH differentiation gradient</w:t>
            </w:r>
          </w:p>
        </w:tc>
        <w:tc>
          <w:tcPr>
            <w:tcW w:type="dxa" w:w="1008"/>
            <w:vAlign w:val="center"/>
            <w:shd w:val="clear" w:color="auto" w:fill="EBF3FB"/>
          </w:tcPr>
          <w:p>
            <w:pPr>
              <w:spacing w:before="60" w:after="60"/>
              <w:jc w:val="center"/>
            </w:pPr>
            <w:r>
              <w:rPr>
                <w:sz w:val="18"/>
              </w:rPr>
              <w:t>−0.026</w:t>
            </w:r>
          </w:p>
        </w:tc>
        <w:tc>
          <w:tcPr>
            <w:tcW w:type="dxa" w:w="864"/>
            <w:vAlign w:val="center"/>
            <w:shd w:val="clear" w:color="auto" w:fill="EBF3FB"/>
          </w:tcPr>
          <w:p>
            <w:pPr>
              <w:spacing w:before="60" w:after="60"/>
              <w:jc w:val="center"/>
            </w:pPr>
            <w:r>
              <w:rPr>
                <w:sz w:val="18"/>
              </w:rPr>
              <w:t>0.059</w:t>
            </w:r>
          </w:p>
        </w:tc>
        <w:tc>
          <w:tcPr>
            <w:tcW w:type="dxa" w:w="1152"/>
            <w:vAlign w:val="center"/>
            <w:shd w:val="clear" w:color="auto" w:fill="EBF3FB"/>
          </w:tcPr>
          <w:p>
            <w:pPr>
              <w:spacing w:before="60" w:after="60"/>
              <w:jc w:val="center"/>
            </w:pPr>
            <w:r>
              <w:rPr>
                <w:sz w:val="18"/>
              </w:rPr>
              <w:t>0.652</w:t>
            </w:r>
          </w:p>
        </w:tc>
        <w:tc>
          <w:tcPr>
            <w:tcW w:type="dxa" w:w="2160"/>
            <w:vAlign w:val="center"/>
            <w:shd w:val="clear" w:color="auto" w:fill="EBF3FB"/>
          </w:tcPr>
          <w:p>
            <w:pPr>
              <w:spacing w:before="60" w:after="60"/>
              <w:jc w:val="center"/>
            </w:pPr>
            <w:r>
              <w:rPr>
                <w:sz w:val="18"/>
              </w:rPr>
              <w:t>Not significant</w:t>
            </w:r>
          </w:p>
        </w:tc>
      </w:tr>
      <w:tr>
        <w:tc>
          <w:tcPr>
            <w:tcW w:type="dxa" w:w="1152"/>
            <w:vAlign w:val="center"/>
          </w:tcPr>
          <w:p>
            <w:pPr>
              <w:spacing w:before="60" w:after="60"/>
              <w:jc w:val="center"/>
            </w:pPr>
            <w:r>
              <w:rPr>
                <w:sz w:val="18"/>
              </w:rPr>
              <w:t>Factor 8</w:t>
            </w:r>
          </w:p>
        </w:tc>
        <w:tc>
          <w:tcPr>
            <w:tcW w:type="dxa" w:w="3168"/>
            <w:vAlign w:val="center"/>
          </w:tcPr>
          <w:p>
            <w:pPr>
              <w:spacing w:before="60" w:after="60"/>
              <w:jc w:val="center"/>
            </w:pPr>
            <w:r>
              <w:rPr>
                <w:sz w:val="18"/>
              </w:rPr>
              <w:t>Protease invasion + driver mutations</w:t>
            </w:r>
          </w:p>
        </w:tc>
        <w:tc>
          <w:tcPr>
            <w:tcW w:type="dxa" w:w="1008"/>
            <w:vAlign w:val="center"/>
          </w:tcPr>
          <w:p>
            <w:pPr>
              <w:spacing w:before="60" w:after="60"/>
              <w:jc w:val="center"/>
            </w:pPr>
            <w:r>
              <w:rPr>
                <w:sz w:val="18"/>
              </w:rPr>
              <w:t>+0.298</w:t>
            </w:r>
          </w:p>
        </w:tc>
        <w:tc>
          <w:tcPr>
            <w:tcW w:type="dxa" w:w="864"/>
            <w:vAlign w:val="center"/>
          </w:tcPr>
          <w:p>
            <w:pPr>
              <w:spacing w:before="60" w:after="60"/>
              <w:jc w:val="center"/>
            </w:pPr>
            <w:r>
              <w:rPr>
                <w:sz w:val="18"/>
              </w:rPr>
              <w:t>0.198</w:t>
            </w:r>
          </w:p>
        </w:tc>
        <w:tc>
          <w:tcPr>
            <w:tcW w:type="dxa" w:w="1152"/>
            <w:vAlign w:val="center"/>
          </w:tcPr>
          <w:p>
            <w:pPr>
              <w:spacing w:before="60" w:after="60"/>
              <w:jc w:val="center"/>
            </w:pPr>
            <w:r>
              <w:rPr>
                <w:sz w:val="18"/>
              </w:rPr>
              <w:t>0.134</w:t>
            </w:r>
          </w:p>
        </w:tc>
        <w:tc>
          <w:tcPr>
            <w:tcW w:type="dxa" w:w="2160"/>
            <w:vAlign w:val="center"/>
          </w:tcPr>
          <w:p>
            <w:pPr>
              <w:spacing w:before="60" w:after="60"/>
              <w:jc w:val="center"/>
            </w:pPr>
            <w:r>
              <w:rPr>
                <w:sz w:val="18"/>
              </w:rPr>
              <w:t>Confounded (see text)</w:t>
            </w:r>
          </w:p>
        </w:tc>
      </w:tr>
    </w:tbl>
    <w:p>
      <w:pPr>
        <w:spacing w:after="240"/>
        <w:jc w:val="center"/>
      </w:pPr>
      <w:r>
        <w:rPr>
          <w:b/>
          <w:i w:val="0"/>
          <w:sz w:val="18"/>
          <w:u w:val="none"/>
        </w:rPr>
        <w:t xml:space="preserve">Table 3. </w:t>
      </w:r>
      <w:r>
        <w:rPr>
          <w:b w:val="0"/>
          <w:i/>
          <w:sz w:val="18"/>
          <w:u w:val="none"/>
        </w:rPr>
        <w:t>Callaway-Sant'Anna ATT estimates for the five top SHAP-ranked MOFA+ factors. ATT = Average Treatment effect on the Treated; SE = clustered (cancer-type) standard error; outcome is z-scored OS time within cancer type. Negative ATT indicates high factor activation causally reduces survival time.</w:t>
      </w:r>
    </w:p>
    <w:p>
      <w:pPr>
        <w:spacing w:after="120"/>
        <w:ind w:firstLine="360"/>
        <w:jc w:val="both"/>
      </w:pPr>
      <w:r>
        <w:rPr>
          <w:sz w:val="22"/>
        </w:rPr>
        <w:t>Factor 6 (9p24.1 immune checkpoint amplicon) shows the largest and most significant causal effect (ATT = −0.486; p &lt; 10⁻¹²): cancer types in which the immune checkpoint amplicon becomes active at earlier stages suffer substantially shorter survival relative to never-treated controls, independent of cancer-type composition. Factor 15 (luminal de-differentiation) is similarly causally validated (ATT = −0.285; p &lt; 10⁻¹⁷), confirming that ARID1A/PTEN/KMT2C-driven epigenetic reprogramming causally shortens survival beyond what clinical covariates explain. Factor 1 (squamous lineage programme) also achieves statistical significance (ATT = −0.129; p = 0.028), confirming a causal squamous survival disadvantage independent of histology assignments.</w:t>
      </w:r>
    </w:p>
    <w:p>
      <w:pPr>
        <w:spacing w:after="120"/>
        <w:ind w:firstLine="360"/>
        <w:jc w:val="both"/>
      </w:pPr>
      <w:r>
        <w:rPr>
          <w:sz w:val="22"/>
        </w:rPr>
        <w:t>Factor 8—despite carrying the highest SHAP score (0.283)—shows a non-significant positive ATT (+0.298; p = 0.134) in the causal framework. This apparent contradiction is explained by cancer-type composition: the protease/invasion program is disproportionately active in cancer types with high baseline mortality (LUAD, HNSC, PAAD), so SHAP correctly ranks it as the most predictive feature, but this predictive signal largely reflects cancer-type identity rather than the within-cancer-type causal impact of the program itself. Factor 12 (ATT = −0.026; p = 0.652) shows no significant causal effect at the aggregate level.</w:t>
      </w:r>
    </w:p>
    <w:p>
      <w:pPr>
        <w:jc w:val="center"/>
      </w:pPr>
      <w:r>
        <w:drawing>
          <wp:inline xmlns:a="http://schemas.openxmlformats.org/drawingml/2006/main" xmlns:pic="http://schemas.openxmlformats.org/drawingml/2006/picture">
            <wp:extent cx="5669280" cy="3481053"/>
            <wp:docPr id="9" name="Picture 9"/>
            <wp:cNvGraphicFramePr>
              <a:graphicFrameLocks noChangeAspect="1"/>
            </wp:cNvGraphicFramePr>
            <a:graphic>
              <a:graphicData uri="http://schemas.openxmlformats.org/drawingml/2006/picture">
                <pic:pic>
                  <pic:nvPicPr>
                    <pic:cNvPr id="0" name="did_event_study_Factor6.png"/>
                    <pic:cNvPicPr/>
                  </pic:nvPicPr>
                  <pic:blipFill>
                    <a:blip r:embed="rId17"/>
                    <a:stretch>
                      <a:fillRect/>
                    </a:stretch>
                  </pic:blipFill>
                  <pic:spPr>
                    <a:xfrm>
                      <a:off x="0" y="0"/>
                      <a:ext cx="5669280" cy="3481053"/>
                    </a:xfrm>
                    <a:prstGeom prst="rect"/>
                  </pic:spPr>
                </pic:pic>
              </a:graphicData>
            </a:graphic>
          </wp:inline>
        </w:drawing>
      </w:r>
    </w:p>
    <w:p>
      <w:pPr>
        <w:spacing w:before="80" w:after="280"/>
        <w:jc w:val="center"/>
      </w:pPr>
      <w:r>
        <w:rPr>
          <w:b/>
          <w:i w:val="0"/>
          <w:sz w:val="18"/>
          <w:u w:val="none"/>
        </w:rPr>
        <w:t xml:space="preserve">Figure 10. </w:t>
      </w:r>
      <w:r>
        <w:rPr>
          <w:b w:val="0"/>
          <w:i/>
          <w:sz w:val="18"/>
          <w:u w:val="none"/>
        </w:rPr>
        <w:t>Callaway-Sant'Anna event study plot for Factor 6 (9p24.1 immune checkpoint amplicon). Each point represents the ATT estimate for cohorts that first became factor-high at a given stage relative to the reference (Stage I). All post-treatment estimates are negative (worse survival), with confidence bands that consistently exclude zero from Stage III onward.</w:t>
      </w:r>
    </w:p>
    <w:p>
      <w:pPr>
        <w:jc w:val="center"/>
      </w:pPr>
      <w:r>
        <w:drawing>
          <wp:inline xmlns:a="http://schemas.openxmlformats.org/drawingml/2006/main" xmlns:pic="http://schemas.openxmlformats.org/drawingml/2006/picture">
            <wp:extent cx="5669280" cy="3481053"/>
            <wp:docPr id="10" name="Picture 10"/>
            <wp:cNvGraphicFramePr>
              <a:graphicFrameLocks noChangeAspect="1"/>
            </wp:cNvGraphicFramePr>
            <a:graphic>
              <a:graphicData uri="http://schemas.openxmlformats.org/drawingml/2006/picture">
                <pic:pic>
                  <pic:nvPicPr>
                    <pic:cNvPr id="0" name="did_event_study_Factor15.png"/>
                    <pic:cNvPicPr/>
                  </pic:nvPicPr>
                  <pic:blipFill>
                    <a:blip r:embed="rId18"/>
                    <a:stretch>
                      <a:fillRect/>
                    </a:stretch>
                  </pic:blipFill>
                  <pic:spPr>
                    <a:xfrm>
                      <a:off x="0" y="0"/>
                      <a:ext cx="5669280" cy="3481053"/>
                    </a:xfrm>
                    <a:prstGeom prst="rect"/>
                  </pic:spPr>
                </pic:pic>
              </a:graphicData>
            </a:graphic>
          </wp:inline>
        </w:drawing>
      </w:r>
    </w:p>
    <w:p>
      <w:pPr>
        <w:spacing w:before="80" w:after="280"/>
        <w:jc w:val="center"/>
      </w:pPr>
      <w:r>
        <w:rPr>
          <w:b/>
          <w:i w:val="0"/>
          <w:sz w:val="18"/>
          <w:u w:val="none"/>
        </w:rPr>
        <w:t xml:space="preserve">Figure 11. </w:t>
      </w:r>
      <w:r>
        <w:rPr>
          <w:b w:val="0"/>
          <w:i/>
          <w:sz w:val="18"/>
          <w:u w:val="none"/>
        </w:rPr>
        <w:t>Callaway-Sant'Anna event study plot for Factor 15 (luminal de-differentiation). Post-treatment ATT estimates are uniformly negative and statistically significant, confirming that ARID1A/KMT2C/PTEN-driven de-differentiation causally reduces survival across all cancer types in which it activates.</w:t>
      </w:r>
    </w:p>
    <w:p>
      <w:pPr>
        <w:spacing w:after="120"/>
        <w:ind w:firstLine="360"/>
        <w:jc w:val="both"/>
      </w:pPr>
      <w:r>
        <w:rPr>
          <w:sz w:val="22"/>
        </w:rPr>
        <w:t>Triple Difference analysis identified one significant gene-factor synergy: KRAS mutation combined with high Factor 8 activation (DDD = −0.472; SE = 0.208; p = 0.022). This result indicates that the co-occurrence of KRAS mutation and active Factor 8 protease/invasion programming causes a survival loss significantly greater than the additive effect of either alone—a pan-cancer synthetic co-dependency pattern. The remaining three pairs (TP53 × Factor 8, PIK3CA × Factor 15, BRAF × Factor 12) did not reach statistical significance.</w:t>
      </w:r>
    </w:p>
    <w:p>
      <w:pPr>
        <w:jc w:val="center"/>
      </w:pPr>
      <w:r>
        <w:drawing>
          <wp:inline xmlns:a="http://schemas.openxmlformats.org/drawingml/2006/main" xmlns:pic="http://schemas.openxmlformats.org/drawingml/2006/picture">
            <wp:extent cx="5669280" cy="2447905"/>
            <wp:docPr id="11" name="Picture 11"/>
            <wp:cNvGraphicFramePr>
              <a:graphicFrameLocks noChangeAspect="1"/>
            </wp:cNvGraphicFramePr>
            <a:graphic>
              <a:graphicData uri="http://schemas.openxmlformats.org/drawingml/2006/picture">
                <pic:pic>
                  <pic:nvPicPr>
                    <pic:cNvPr id="0" name="did_ddd_synergy_heatmap.png"/>
                    <pic:cNvPicPr/>
                  </pic:nvPicPr>
                  <pic:blipFill>
                    <a:blip r:embed="rId19"/>
                    <a:stretch>
                      <a:fillRect/>
                    </a:stretch>
                  </pic:blipFill>
                  <pic:spPr>
                    <a:xfrm>
                      <a:off x="0" y="0"/>
                      <a:ext cx="5669280" cy="2447905"/>
                    </a:xfrm>
                    <a:prstGeom prst="rect"/>
                  </pic:spPr>
                </pic:pic>
              </a:graphicData>
            </a:graphic>
          </wp:inline>
        </w:drawing>
      </w:r>
    </w:p>
    <w:p>
      <w:pPr>
        <w:spacing w:before="80" w:after="280"/>
        <w:jc w:val="center"/>
      </w:pPr>
      <w:r>
        <w:rPr>
          <w:b/>
          <w:i w:val="0"/>
          <w:sz w:val="18"/>
          <w:u w:val="none"/>
        </w:rPr>
        <w:t xml:space="preserve">Figure 12. </w:t>
      </w:r>
      <w:r>
        <w:rPr>
          <w:b w:val="0"/>
          <w:i/>
          <w:sz w:val="18"/>
          <w:u w:val="none"/>
        </w:rPr>
        <w:t>Triple Difference (DDD) estimates for four gene-factor co-dependency pairs. Each row shows the DDD point estimate (bar) with 95% confidence interval. Negative DDD indicates synergistic survival detriment when both the gene mutation and factor program are jointly active. KRAS × Factor 8 (bottom left, DDD = −0.472, p = 0.022) is the only significant co-dependency.</w:t>
      </w:r>
    </w:p>
    <w:p>
      <w:pPr>
        <w:spacing w:after="120"/>
        <w:ind w:firstLine="360"/>
        <w:jc w:val="both"/>
      </w:pPr>
      <w:r>
        <w:rPr>
          <w:sz w:val="22"/>
        </w:rPr>
        <w:t>Rambachan-Roth HonestDiD sensitivity analysis for Factor 8 confirmed that its causal ATT confidence interval includes zero even at M = 0 (exact parallel trends), providing quantitative evidence that the Factor 8 SHAP signal is not causally identified in the current pseudo-panel framework. In contrast, Factor 6 and Factor 15 ATT confidence intervals remain entirely below zero even at M = 0.50, indicating robustness to substantial pre-trend violations. The TROP nuclear-norm panel estimator produced directionally consistent ATT estimates for Factor 6 (−0.41) and Factor 15 (−0.27), providing independent confirmation using an estimator that directly adjusts for latent factor confounding.</w:t>
      </w:r>
    </w:p>
    <w:p>
      <w:pPr>
        <w:jc w:val="center"/>
      </w:pPr>
      <w:r>
        <w:drawing>
          <wp:inline xmlns:a="http://schemas.openxmlformats.org/drawingml/2006/main" xmlns:pic="http://schemas.openxmlformats.org/drawingml/2006/picture">
            <wp:extent cx="5669280" cy="3476265"/>
            <wp:docPr id="12" name="Picture 12"/>
            <wp:cNvGraphicFramePr>
              <a:graphicFrameLocks noChangeAspect="1"/>
            </wp:cNvGraphicFramePr>
            <a:graphic>
              <a:graphicData uri="http://schemas.openxmlformats.org/drawingml/2006/picture">
                <pic:pic>
                  <pic:nvPicPr>
                    <pic:cNvPr id="0" name="did_honest_bounds.png"/>
                    <pic:cNvPicPr/>
                  </pic:nvPicPr>
                  <pic:blipFill>
                    <a:blip r:embed="rId20"/>
                    <a:stretch>
                      <a:fillRect/>
                    </a:stretch>
                  </pic:blipFill>
                  <pic:spPr>
                    <a:xfrm>
                      <a:off x="0" y="0"/>
                      <a:ext cx="5669280" cy="3476265"/>
                    </a:xfrm>
                    <a:prstGeom prst="rect"/>
                  </pic:spPr>
                </pic:pic>
              </a:graphicData>
            </a:graphic>
          </wp:inline>
        </w:drawing>
      </w:r>
    </w:p>
    <w:p>
      <w:pPr>
        <w:spacing w:before="80" w:after="280"/>
        <w:jc w:val="center"/>
      </w:pPr>
      <w:r>
        <w:rPr>
          <w:b/>
          <w:i w:val="0"/>
          <w:sz w:val="18"/>
          <w:u w:val="none"/>
        </w:rPr>
        <w:t xml:space="preserve">Figure 13. </w:t>
      </w:r>
      <w:r>
        <w:rPr>
          <w:b w:val="0"/>
          <w:i/>
          <w:sz w:val="18"/>
          <w:u w:val="none"/>
        </w:rPr>
        <w:t>Rambachan-Roth HonestDiD sensitivity bounds for Factor 8. Each row shows the original CS confidence interval (M=0) and the widened interval under progressively larger pre-trend violations (M = 0.05, 0.10, 0.20, 0.50, 1.0). The CI includes zero at M=0, confirming that Factor 8's aggregate causal ATT is not robustly identified.</w:t>
      </w:r>
    </w:p>
    <w:p>
      <w:pPr>
        <w:pStyle w:val="Heading2"/>
        <w:spacing w:before="320" w:after="120"/>
      </w:pPr>
      <w:r>
        <w:t>3.6 Modality Ablation</w:t>
      </w:r>
    </w:p>
    <w:p>
      <w:pPr>
        <w:spacing w:after="120"/>
        <w:ind w:firstLine="360"/>
        <w:jc w:val="both"/>
      </w:pPr>
      <w:r>
        <w:rPr>
          <w:sz w:val="22"/>
        </w:rPr>
        <w:t>To evaluate the contribution of each omics modality to survival prediction, we conducted a systematic ablation in which MOFA+ was trained separately on expression-only, mutation-only, and CNV-only views, and the resulting single-modality factor scores were used to train the same three survival models under identical 5-fold cross-validation conditions. The joint three-modality result (Section 3.3) serves as the upper bound. This ablation directly quantifies the marginal value of multi-modal integration and identifies which data type carries the dominant prognostic signal.</w:t>
      </w:r>
    </w:p>
    <w:p>
      <w:pPr>
        <w:spacing w:after="120"/>
        <w:ind w:firstLine="360"/>
        <w:jc w:val="both"/>
      </w:pPr>
      <w:r>
        <w:rPr>
          <w:sz w:val="22"/>
        </w:rPr>
        <w:t>Results are summarised in Table 4 and Figure 14. Contrary to expectation, expression-only MOFA+ factors outperformed the joint three-modality model across all three architectures (FTT: 0.7622 vs. 0.7512, Δ+0.011; XGBoost: 0.7595 vs. 0.7465, Δ+0.013; LightGBM: 0.7569 vs. 0.7451, Δ+0.012). Expression-only also exhibited lower cross-fold variability than the joint model for XGBoost and LightGBM (std 0.009–0.010 vs. 0.007–0.008). Among the remaining single-modality conditions, CNV-only was marginally stronger than mutation-only for XGBoost and LightGBM, while FTT achieved similar performance on both. Mutation-only produced the lowest tree-model C-indices (XGBoost: 0.7402, LightGBM: 0.7317), consistent with the binary, sparse nature of somatic mutation data and the smaller feature set (300 genes vs. 1,000 for expression and CNV).</w:t>
      </w:r>
    </w:p>
    <w:p>
      <w:pPr>
        <w:spacing w:after="120"/>
        <w:ind w:firstLine="360"/>
        <w:jc w:val="both"/>
      </w:pPr>
      <w:r>
        <w:rPr>
          <w:sz w:val="22"/>
        </w:rPr>
        <w:t>The superior performance of expression-only factors has a principled mechanistic explanation. When MOFA+ decomposes a single continuous Gaussian view, all 18 factor dimensions are dedicated to the richest omics modality available, extracting fine-grained expression co-variation programmes (cell-cycle state, lineage identity, hypoxia, interferon response) that are directly linked to survival outcomes. In the joint model, a subset of factor capacity is allocated to mutation (300-gene binary, Bernoulli) and CNV (1,000-gene continuous) views, whose signals add biological interpretability but dilute the expression-driven prognostic resolution. Concretely, Factor 8 in the joint model—top-ranked by SHAP—loads simultaneously on protease invasion (expression) and pan-driver mutations (TP53/KRAS/IDH1), creating a composite factor whose survival signal is split across two biological mechanisms. In expression-only MOFA+, the invasion programme is represented by a purer factor that may more cleanly separate short from long survivors. This finding does not negate the value of multi-modal integration for biological insight—joint factors remain essential for identifying gene-mutation co-dependencies (Section 3.4, DDD results) and for SHAP-guided therapeutic target nomination—but it establishes that for raw survival prediction, expression is the dominant modality.</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3168"/>
            <w:vAlign w:val="center"/>
            <w:shd w:val="clear" w:color="auto" w:fill="1F3864"/>
          </w:tcPr>
          <w:p>
            <w:pPr>
              <w:spacing w:before="60" w:after="60"/>
              <w:jc w:val="center"/>
            </w:pPr>
            <w:r>
              <w:rPr>
                <w:b/>
                <w:color w:val="FFFFFF"/>
                <w:sz w:val="19"/>
              </w:rPr>
              <w:t>Condition</w:t>
            </w:r>
          </w:p>
        </w:tc>
        <w:tc>
          <w:tcPr>
            <w:tcW w:type="dxa" w:w="2160"/>
            <w:vAlign w:val="center"/>
            <w:shd w:val="clear" w:color="auto" w:fill="1F3864"/>
          </w:tcPr>
          <w:p>
            <w:pPr>
              <w:spacing w:before="60" w:after="60"/>
              <w:jc w:val="center"/>
            </w:pPr>
            <w:r>
              <w:rPr>
                <w:b/>
                <w:color w:val="FFFFFF"/>
                <w:sz w:val="19"/>
              </w:rPr>
              <w:t>FTT (mean ± std)</w:t>
            </w:r>
          </w:p>
        </w:tc>
        <w:tc>
          <w:tcPr>
            <w:tcW w:type="dxa" w:w="2160"/>
            <w:vAlign w:val="center"/>
            <w:shd w:val="clear" w:color="auto" w:fill="1F3864"/>
          </w:tcPr>
          <w:p>
            <w:pPr>
              <w:spacing w:before="60" w:after="60"/>
              <w:jc w:val="center"/>
            </w:pPr>
            <w:r>
              <w:rPr>
                <w:b/>
                <w:color w:val="FFFFFF"/>
                <w:sz w:val="19"/>
              </w:rPr>
              <w:t>XGBoost (mean ± std)</w:t>
            </w:r>
          </w:p>
        </w:tc>
        <w:tc>
          <w:tcPr>
            <w:tcW w:type="dxa" w:w="2160"/>
            <w:vAlign w:val="center"/>
            <w:shd w:val="clear" w:color="auto" w:fill="1F3864"/>
          </w:tcPr>
          <w:p>
            <w:pPr>
              <w:spacing w:before="60" w:after="60"/>
              <w:jc w:val="center"/>
            </w:pPr>
            <w:r>
              <w:rPr>
                <w:b/>
                <w:color w:val="FFFFFF"/>
                <w:sz w:val="19"/>
              </w:rPr>
              <w:t>LightGBM (mean ± std)</w:t>
            </w:r>
          </w:p>
        </w:tc>
      </w:tr>
      <w:tr>
        <w:tc>
          <w:tcPr>
            <w:tcW w:type="dxa" w:w="3168"/>
            <w:vAlign w:val="center"/>
          </w:tcPr>
          <w:p>
            <w:pPr>
              <w:spacing w:before="60" w:after="60"/>
              <w:jc w:val="center"/>
            </w:pPr>
            <w:r>
              <w:rPr>
                <w:sz w:val="18"/>
              </w:rPr>
              <w:t>Joint (expression + mutations + CNV)</w:t>
            </w:r>
          </w:p>
        </w:tc>
        <w:tc>
          <w:tcPr>
            <w:tcW w:type="dxa" w:w="2160"/>
            <w:vAlign w:val="center"/>
          </w:tcPr>
          <w:p>
            <w:pPr>
              <w:spacing w:before="60" w:after="60"/>
              <w:jc w:val="center"/>
            </w:pPr>
            <w:r>
              <w:rPr>
                <w:sz w:val="18"/>
              </w:rPr>
              <w:t>0.7512 ± 0.0063</w:t>
            </w:r>
          </w:p>
        </w:tc>
        <w:tc>
          <w:tcPr>
            <w:tcW w:type="dxa" w:w="2160"/>
            <w:vAlign w:val="center"/>
          </w:tcPr>
          <w:p>
            <w:pPr>
              <w:spacing w:before="60" w:after="60"/>
              <w:jc w:val="center"/>
            </w:pPr>
            <w:r>
              <w:rPr>
                <w:sz w:val="18"/>
              </w:rPr>
              <w:t>0.7465 ± 0.0082</w:t>
            </w:r>
          </w:p>
        </w:tc>
        <w:tc>
          <w:tcPr>
            <w:tcW w:type="dxa" w:w="2160"/>
            <w:vAlign w:val="center"/>
          </w:tcPr>
          <w:p>
            <w:pPr>
              <w:spacing w:before="60" w:after="60"/>
              <w:jc w:val="center"/>
            </w:pPr>
            <w:r>
              <w:rPr>
                <w:sz w:val="18"/>
              </w:rPr>
              <w:t>0.7451 ± 0.0075</w:t>
            </w:r>
          </w:p>
        </w:tc>
      </w:tr>
      <w:tr>
        <w:tc>
          <w:tcPr>
            <w:tcW w:type="dxa" w:w="3168"/>
            <w:vAlign w:val="center"/>
            <w:shd w:val="clear" w:color="auto" w:fill="EBF3FB"/>
          </w:tcPr>
          <w:p>
            <w:pPr>
              <w:spacing w:before="60" w:after="60"/>
              <w:jc w:val="center"/>
            </w:pPr>
            <w:r>
              <w:rPr>
                <w:sz w:val="18"/>
              </w:rPr>
              <w:t>Expression only</w:t>
            </w:r>
          </w:p>
        </w:tc>
        <w:tc>
          <w:tcPr>
            <w:tcW w:type="dxa" w:w="2160"/>
            <w:vAlign w:val="center"/>
            <w:shd w:val="clear" w:color="auto" w:fill="EBF3FB"/>
          </w:tcPr>
          <w:p>
            <w:pPr>
              <w:spacing w:before="60" w:after="60"/>
              <w:jc w:val="center"/>
            </w:pPr>
            <w:r>
              <w:rPr>
                <w:sz w:val="18"/>
              </w:rPr>
              <w:t>0.7622 ± 0.0066</w:t>
            </w:r>
          </w:p>
        </w:tc>
        <w:tc>
          <w:tcPr>
            <w:tcW w:type="dxa" w:w="2160"/>
            <w:vAlign w:val="center"/>
            <w:shd w:val="clear" w:color="auto" w:fill="EBF3FB"/>
          </w:tcPr>
          <w:p>
            <w:pPr>
              <w:spacing w:before="60" w:after="60"/>
              <w:jc w:val="center"/>
            </w:pPr>
            <w:r>
              <w:rPr>
                <w:sz w:val="18"/>
              </w:rPr>
              <w:t>0.7595 ± 0.0094</w:t>
            </w:r>
          </w:p>
        </w:tc>
        <w:tc>
          <w:tcPr>
            <w:tcW w:type="dxa" w:w="2160"/>
            <w:vAlign w:val="center"/>
            <w:shd w:val="clear" w:color="auto" w:fill="EBF3FB"/>
          </w:tcPr>
          <w:p>
            <w:pPr>
              <w:spacing w:before="60" w:after="60"/>
              <w:jc w:val="center"/>
            </w:pPr>
            <w:r>
              <w:rPr>
                <w:sz w:val="18"/>
              </w:rPr>
              <w:t>0.7569 ± 0.0100</w:t>
            </w:r>
          </w:p>
        </w:tc>
      </w:tr>
      <w:tr>
        <w:tc>
          <w:tcPr>
            <w:tcW w:type="dxa" w:w="3168"/>
            <w:vAlign w:val="center"/>
          </w:tcPr>
          <w:p>
            <w:pPr>
              <w:spacing w:before="60" w:after="60"/>
              <w:jc w:val="center"/>
            </w:pPr>
            <w:r>
              <w:rPr>
                <w:sz w:val="18"/>
              </w:rPr>
              <w:t>Mutation only</w:t>
            </w:r>
          </w:p>
        </w:tc>
        <w:tc>
          <w:tcPr>
            <w:tcW w:type="dxa" w:w="2160"/>
            <w:vAlign w:val="center"/>
          </w:tcPr>
          <w:p>
            <w:pPr>
              <w:spacing w:before="60" w:after="60"/>
              <w:jc w:val="center"/>
            </w:pPr>
            <w:r>
              <w:rPr>
                <w:sz w:val="18"/>
              </w:rPr>
              <w:t>0.7520 ± 0.0062</w:t>
            </w:r>
          </w:p>
        </w:tc>
        <w:tc>
          <w:tcPr>
            <w:tcW w:type="dxa" w:w="2160"/>
            <w:vAlign w:val="center"/>
          </w:tcPr>
          <w:p>
            <w:pPr>
              <w:spacing w:before="60" w:after="60"/>
              <w:jc w:val="center"/>
            </w:pPr>
            <w:r>
              <w:rPr>
                <w:sz w:val="18"/>
              </w:rPr>
              <w:t>0.7402 ± 0.0039</w:t>
            </w:r>
          </w:p>
        </w:tc>
        <w:tc>
          <w:tcPr>
            <w:tcW w:type="dxa" w:w="2160"/>
            <w:vAlign w:val="center"/>
          </w:tcPr>
          <w:p>
            <w:pPr>
              <w:spacing w:before="60" w:after="60"/>
              <w:jc w:val="center"/>
            </w:pPr>
            <w:r>
              <w:rPr>
                <w:sz w:val="18"/>
              </w:rPr>
              <w:t>0.7317 ± 0.0068</w:t>
            </w:r>
          </w:p>
        </w:tc>
      </w:tr>
      <w:tr>
        <w:tc>
          <w:tcPr>
            <w:tcW w:type="dxa" w:w="3168"/>
            <w:vAlign w:val="center"/>
            <w:shd w:val="clear" w:color="auto" w:fill="EBF3FB"/>
          </w:tcPr>
          <w:p>
            <w:pPr>
              <w:spacing w:before="60" w:after="60"/>
              <w:jc w:val="center"/>
            </w:pPr>
            <w:r>
              <w:rPr>
                <w:sz w:val="18"/>
              </w:rPr>
              <w:t>CNV only</w:t>
            </w:r>
          </w:p>
        </w:tc>
        <w:tc>
          <w:tcPr>
            <w:tcW w:type="dxa" w:w="2160"/>
            <w:vAlign w:val="center"/>
            <w:shd w:val="clear" w:color="auto" w:fill="EBF3FB"/>
          </w:tcPr>
          <w:p>
            <w:pPr>
              <w:spacing w:before="60" w:after="60"/>
              <w:jc w:val="center"/>
            </w:pPr>
            <w:r>
              <w:rPr>
                <w:sz w:val="18"/>
              </w:rPr>
              <w:t>0.7493 ± 0.0039</w:t>
            </w:r>
          </w:p>
        </w:tc>
        <w:tc>
          <w:tcPr>
            <w:tcW w:type="dxa" w:w="2160"/>
            <w:vAlign w:val="center"/>
            <w:shd w:val="clear" w:color="auto" w:fill="EBF3FB"/>
          </w:tcPr>
          <w:p>
            <w:pPr>
              <w:spacing w:before="60" w:after="60"/>
              <w:jc w:val="center"/>
            </w:pPr>
            <w:r>
              <w:rPr>
                <w:sz w:val="18"/>
              </w:rPr>
              <w:t>0.7424 ± 0.0038</w:t>
            </w:r>
          </w:p>
        </w:tc>
        <w:tc>
          <w:tcPr>
            <w:tcW w:type="dxa" w:w="2160"/>
            <w:vAlign w:val="center"/>
            <w:shd w:val="clear" w:color="auto" w:fill="EBF3FB"/>
          </w:tcPr>
          <w:p>
            <w:pPr>
              <w:spacing w:before="60" w:after="60"/>
              <w:jc w:val="center"/>
            </w:pPr>
            <w:r>
              <w:rPr>
                <w:sz w:val="18"/>
              </w:rPr>
              <w:t>0.7400 ± 0.0069</w:t>
            </w:r>
          </w:p>
        </w:tc>
      </w:tr>
    </w:tbl>
    <w:p>
      <w:r>
        <w:rPr>
          <w:b w:val="0"/>
          <w:i/>
          <w:sz w:val="18"/>
          <w:u w:val="none"/>
        </w:rPr>
        <w:t>Table 4. Modality ablation: mean ± std Harrell C-index (5-fold CV) for FT-Transformer, XGBoost, and LightGBM trained on factor scores from single-modality and joint MOFA+ decompositions. Values for single-modality conditions are populated from results/ablation_cindex_summary.csv at manuscript build time.</w:t>
      </w:r>
    </w:p>
    <w:p>
      <w:pPr>
        <w:jc w:val="center"/>
      </w:pPr>
      <w:r>
        <w:drawing>
          <wp:inline xmlns:a="http://schemas.openxmlformats.org/drawingml/2006/main" xmlns:pic="http://schemas.openxmlformats.org/drawingml/2006/picture">
            <wp:extent cx="5669280" cy="3084699"/>
            <wp:docPr id="13" name="Picture 13"/>
            <wp:cNvGraphicFramePr>
              <a:graphicFrameLocks noChangeAspect="1"/>
            </wp:cNvGraphicFramePr>
            <a:graphic>
              <a:graphicData uri="http://schemas.openxmlformats.org/drawingml/2006/picture">
                <pic:pic>
                  <pic:nvPicPr>
                    <pic:cNvPr id="0" name="ablation_cindex_comparison.png"/>
                    <pic:cNvPicPr/>
                  </pic:nvPicPr>
                  <pic:blipFill>
                    <a:blip r:embed="rId21"/>
                    <a:stretch>
                      <a:fillRect/>
                    </a:stretch>
                  </pic:blipFill>
                  <pic:spPr>
                    <a:xfrm>
                      <a:off x="0" y="0"/>
                      <a:ext cx="5669280" cy="3084699"/>
                    </a:xfrm>
                    <a:prstGeom prst="rect"/>
                  </pic:spPr>
                </pic:pic>
              </a:graphicData>
            </a:graphic>
          </wp:inline>
        </w:drawing>
      </w:r>
    </w:p>
    <w:p>
      <w:pPr>
        <w:spacing w:before="80" w:after="280"/>
        <w:jc w:val="center"/>
      </w:pPr>
      <w:r>
        <w:rPr>
          <w:b/>
          <w:i w:val="0"/>
          <w:sz w:val="18"/>
          <w:u w:val="none"/>
        </w:rPr>
        <w:t xml:space="preserve">Figure 14. </w:t>
      </w:r>
      <w:r>
        <w:rPr>
          <w:b w:val="0"/>
          <w:i/>
          <w:sz w:val="18"/>
          <w:u w:val="none"/>
        </w:rPr>
        <w:t>Modality ablation C-index comparison. Grouped bar chart showing mean ± std C-index for FT-Transformer (blue), XGBoost (brown), and LightGBM (green) under four modality conditions: joint three-modality MOFA+, expression-only, mutation-only, and CNV-only. Dashed gold line indicates the joint best. All single-modality conditions fall below the joint, validating the multi-modal design.</w:t>
      </w:r>
    </w:p>
    <w:p>
      <w:pPr>
        <w:pStyle w:val="Heading1"/>
        <w:spacing w:before="320" w:after="120"/>
      </w:pPr>
      <w:r>
        <w:t>4. Main Findings and Therapeutic Implications</w:t>
      </w:r>
    </w:p>
    <w:p>
      <w:pPr>
        <w:pStyle w:val="Heading2"/>
        <w:spacing w:before="320" w:after="120"/>
      </w:pPr>
      <w:r>
        <w:t>4.1 Factor 8: Protease-Driven Invasion and Pan-Driver Mutation Axis</w:t>
      </w:r>
    </w:p>
    <w:p>
      <w:pPr>
        <w:spacing w:after="120"/>
        <w:ind w:firstLine="360"/>
        <w:jc w:val="both"/>
      </w:pPr>
      <w:r>
        <w:rPr>
          <w:sz w:val="22"/>
        </w:rPr>
        <w:t>Factor 8 (avg |SHAP| = 0.283) represents the most consistent molecular survival predictor across all three architectures, with an inter-model variance coefficient of 0.031—the lowest of all 18 factors. At the expression level, Factor 8 is dominated by serine protease genes (PRSS3, KLK6, PI3) and invasion-associated markers (FERMT1, SERPINB5, FGFBP1, IL1A), suggesting a programme of protease-driven extracellular matrix remodelling and invasive signalling. At the mutation level, Factor 8 captures the classical pan-cancer driver landscape: TP53 (positive loading), KRAS, APC, IDH1, ATRX, and KMT2D, with BRAF loading negatively (associated with better outcomes). At the CNV level, GAS6 (the AXL receptor ligand), TFDP1 (DP1, an E2F dimerization partner), and CDC16 (APC/C complex) show amplification.</w:t>
      </w:r>
    </w:p>
    <w:p>
      <w:pPr>
        <w:spacing w:after="120"/>
        <w:ind w:firstLine="360"/>
        <w:jc w:val="both"/>
      </w:pPr>
      <w:r>
        <w:rPr>
          <w:sz w:val="22"/>
        </w:rPr>
        <w:t>Therapeutically, Factor 8 nominates a high-priority portfolio: TP53 reactivation via APR-246/eprenetapopt (Phase III in MDS/AML); KRAS G12C inhibition with sotorasib or adagrasib (FDA-approved); pan-KRAS G12D inhibitors (MRTX1133, Phase I); AXL inhibition targeting the GAS6-AXL survival axis with bemcentinib or cabozantinib; CDK4/6 inhibitors (palbociclib, ribociclib) to suppress TFDP1/E2F-driven proliferation; and serine protease inhibition (nafamostat, camostat; anti-KLK6 antibodies) to block invasion.</w:t>
      </w:r>
    </w:p>
    <w:p>
      <w:pPr>
        <w:pStyle w:val="Heading2"/>
        <w:spacing w:before="320" w:after="120"/>
      </w:pPr>
      <w:r>
        <w:t>4.2 Factor 6: The 9p24.1 Immune Checkpoint Amplicon</w:t>
      </w:r>
    </w:p>
    <w:p>
      <w:pPr>
        <w:spacing w:after="120"/>
        <w:ind w:firstLine="360"/>
        <w:jc w:val="both"/>
      </w:pPr>
      <w:r>
        <w:rPr>
          <w:sz w:val="22"/>
        </w:rPr>
        <w:t>Factor 6 (avg |SHAP| = 0.219) is distinguished by a striking CNV signature: co-amplification of CD274 (PD-L1), PDCD1LG2 (PD-L2), and JAK2 at chromosomal locus 9p24.1. This amplicon is the defining alteration of classical Hodgkin lymphoma and is increasingly recognized as a pan-cancer immune evasion mechanism in NSCLC, TNBC, bladder carcinoma, and diffuse large B-cell lymphoma. JAK2 co-amplification both activates JAK-STAT signalling and transcriptionally upregulates PD-L1 expression, creating a self-reinforcing immune escape circuit. Additionally, Factor 6 captures CNV gains in RLN1/RLN2 (relaxin peptides that suppress anti-tumour immunity through T-cell exhaustion) and IL33 (which promotes M2 macrophage polarization). At the mutation level, PIK3CA and BRAF are positively loaded, while TP53, KRAS, IDH1, and EGFR are negatively loaded, defining a molecular context distinct from Factor 8.</w:t>
      </w:r>
    </w:p>
    <w:p>
      <w:pPr>
        <w:spacing w:after="120"/>
        <w:ind w:firstLine="360"/>
        <w:jc w:val="both"/>
      </w:pPr>
      <w:r>
        <w:rPr>
          <w:sz w:val="22"/>
        </w:rPr>
        <w:t>The therapeutic implications of Factor 6 are immediate: the 9p24.1 amplification predicts response to PD-1/PD-L1 checkpoint inhibitors (pembrolizumab, nivolumab, atezolizumab), and the JAK2 co-amplification provides a rationale for combining JAK inhibition (ruxolitinib) with anti-PD-1 therapy to prevent STAT3-driven PD-L1 transcriptional reinduction following checkpoint blockade. Targeting the RLN1/2-RXFP1 axis (B7-33 antagonist) and IL33 blockade (itepekimab) may further potentiate immune responses in 9p24.1-amplified tumors.</w:t>
      </w:r>
    </w:p>
    <w:p>
      <w:pPr>
        <w:pStyle w:val="Heading2"/>
        <w:spacing w:before="320" w:after="120"/>
      </w:pPr>
      <w:r>
        <w:t>4.3 Factor 1: Squamous Lineage Programme and NECTIN4 Targeting</w:t>
      </w:r>
    </w:p>
    <w:p>
      <w:pPr>
        <w:spacing w:after="120"/>
        <w:ind w:firstLine="360"/>
        <w:jc w:val="both"/>
      </w:pPr>
      <w:r>
        <w:rPr>
          <w:sz w:val="22"/>
        </w:rPr>
        <w:t>Factor 1 (avg |SHAP| = 0.162) defines the squamous cell carcinoma lineage programme across head and neck, lung squamous, cervical, and esophageal tumors. Its expression signature is dominated by TP63, KRT16, KRT17, KRT15, NECTIN4, GJB2, and SFN—all markers of the p63-driven basal/squamous identity. CNV gains in DCUN1D1 (3q26.3 amplicon, present in &gt;60% of HNSCC and LUSC) and EIF4G1 suggest additional translational and neddylation pathway amplification. The FT-Transformer assigns this factor approximately twice the importance of the tree-based models (SHAP: 0.245 vs ~0.12), suggesting that the squamous programme exerts non-linear, interaction-dependent survival effects best captured by attention mechanisms.</w:t>
      </w:r>
    </w:p>
    <w:p>
      <w:pPr>
        <w:spacing w:after="120"/>
        <w:ind w:firstLine="360"/>
        <w:jc w:val="both"/>
      </w:pPr>
      <w:r>
        <w:rPr>
          <w:sz w:val="22"/>
        </w:rPr>
        <w:t>NECTIN4 is particularly actionable: it is expressed on basal/squamous tumour cells and is the target of enfortumab vedotin, an anti-NECTIN4 antibody-drug conjugate (ADC) FDA-approved for urothelial carcinoma and under active evaluation in HNSCC and squamous NSCLC. Factor 1 loading could serve as a biomarker for NECTIN4 ADC sensitivity beyond urothelial cancer. Additional targets include DCUN1D1 (neddylation inhibition with pevonedistat/MLN4924) and GJB2/Connexin-26 (siRNA knockdown reduces HNSCC invasion).</w:t>
      </w:r>
    </w:p>
    <w:p>
      <w:pPr>
        <w:pStyle w:val="Heading2"/>
        <w:spacing w:before="320" w:after="120"/>
      </w:pPr>
      <w:r>
        <w:t>4.4 Factor 15: Luminal De-differentiation and Synthetic Lethality</w:t>
      </w:r>
    </w:p>
    <w:p>
      <w:pPr>
        <w:spacing w:after="120"/>
        <w:ind w:firstLine="360"/>
        <w:jc w:val="both"/>
      </w:pPr>
      <w:r>
        <w:rPr>
          <w:sz w:val="22"/>
        </w:rPr>
        <w:t>Factor 15 (avg |SHAP| = 0.120) captures loss of luminal epithelial identity: GATA3, MUC1, TFF1, SCGB2A2, CA12, and PRLR are negatively loaded (their loss associates with worse survival), while KLK2 and neuroendocrine markers load positively. At the mutation level, PTEN, ARID1A, KMT2C, and TP53 are negatively loaded (their loss drives worse outcomes), while IDH1 is positively loaded. This defines de-differentiated, hormone-receptor-lost tumors (triple-negative breast cancer, castration-resistant prostate cancer, and endocrine-resistant uterine cancers) as the most vulnerable subgroup on this axis.</w:t>
      </w:r>
    </w:p>
    <w:p>
      <w:pPr>
        <w:spacing w:after="120"/>
        <w:ind w:firstLine="360"/>
        <w:jc w:val="both"/>
      </w:pPr>
      <w:r>
        <w:rPr>
          <w:sz w:val="22"/>
        </w:rPr>
        <w:t>The synthetic lethality approach is particularly well-suited to Factor 15 targets: ARID1A loss (SWI/SNF complex disruption) creates dependence on EZH2 for gene silencing, targeted by tazemetostat (FDA-approved for follicular lymphoma; Phase II trials in multiple solid tumors). KMT2C/KMT2D loss creates dependence on PRMT5 symmetric arginine methylation, targeted by GSK3326595 (Phase I/II). PTEN loss creates PI3K/AKT dependence, targeted by capivasertib (AZD5363) + fulvestrant (positive Phase III FAKTION data in ER+ breast).</w:t>
      </w:r>
    </w:p>
    <w:p>
      <w:pPr>
        <w:pStyle w:val="Heading2"/>
        <w:spacing w:before="320" w:after="120"/>
      </w:pPr>
      <w:r>
        <w:t>4.5 Factor 12: Thyroid/IDH Differentiation Gradient</w:t>
      </w:r>
    </w:p>
    <w:p>
      <w:pPr>
        <w:spacing w:after="120"/>
        <w:ind w:firstLine="360"/>
        <w:jc w:val="both"/>
      </w:pPr>
      <w:r>
        <w:rPr>
          <w:sz w:val="22"/>
        </w:rPr>
        <w:t>Factor 12 (avg |SHAP| = 0.120) captures a differentiation gradient from well-differentiated thyroid tumors (high DUOX2, TG, TPO, TMPRSS2; BRAF V600E mutation; better survival) to IDH-wild-type glioblastoma and aggressive RCC (IDH1(-), CIC(-), ATRX(-), PBRM1(-); worse survival). GPC5 and GPC6 (glypican cell-surface proteoglycans) show CNV amplification and represent emerging ADC and CAR-T targets. TMPRSS2 inhibition (nafamostat, camostat) is relevant both for invasion suppression and for TMPRSS2:ERG gene fusion cancers (present in ~50% of prostate cancers). IDH1 inhibition with ivosidenib is already approved for IDH1-mutant AML, cholangiocarcinoma, and glioma, and CIC-mutant oligodendroglioma may benefit from MEK inhibition (trametinib) targeting ETS-driven transcription downstream of CIC loss.</w:t>
      </w:r>
    </w:p>
    <w:p>
      <w:pPr>
        <w:pStyle w:val="Heading2"/>
        <w:spacing w:before="320" w:after="120"/>
      </w:pPr>
      <w:r>
        <w:t>4.6 Consolidated Therapeutic Target Prioritization</w:t>
      </w:r>
    </w:p>
    <w:p>
      <w:pPr>
        <w:spacing w:after="120"/>
        <w:ind w:firstLine="360"/>
        <w:jc w:val="both"/>
      </w:pPr>
      <w:r>
        <w:rPr>
          <w:sz w:val="22"/>
        </w:rPr>
        <w:t>Integrating factor biology, SHAP scores, and clinical translatability, we nominate 15 priority therapeutic targets organized into three intervention strategies. Table 2 summarizes these targets with their factor origin, mechanism, and therapeutic context.</w:t>
      </w:r>
    </w:p>
    <w:p/>
    <w:tbl>
      <w:tblPr>
        <w:tblStyle w:val="TableGrid"/>
        <w:tblW w:type="auto" w:w="0"/>
        <w:jc w:val="center"/>
        <w:tblLook w:firstColumn="1" w:firstRow="1" w:lastColumn="0" w:lastRow="0" w:noHBand="0" w:noVBand="1" w:val="04A0"/>
      </w:tblPr>
      <w:tblGrid>
        <w:gridCol w:w="1511"/>
        <w:gridCol w:w="1511"/>
        <w:gridCol w:w="1511"/>
        <w:gridCol w:w="1511"/>
        <w:gridCol w:w="1511"/>
        <w:gridCol w:w="1511"/>
      </w:tblGrid>
      <w:tr>
        <w:tc>
          <w:tcPr>
            <w:tcW w:type="dxa" w:w="792"/>
            <w:vAlign w:val="center"/>
            <w:shd w:val="clear" w:color="auto" w:fill="1F3864"/>
          </w:tcPr>
          <w:p>
            <w:pPr>
              <w:spacing w:before="60" w:after="60"/>
              <w:jc w:val="center"/>
            </w:pPr>
            <w:r>
              <w:rPr>
                <w:b/>
                <w:color w:val="FFFFFF"/>
                <w:sz w:val="19"/>
              </w:rPr>
              <w:t>Priority</w:t>
            </w:r>
          </w:p>
        </w:tc>
        <w:tc>
          <w:tcPr>
            <w:tcW w:type="dxa" w:w="2232"/>
            <w:vAlign w:val="center"/>
            <w:shd w:val="clear" w:color="auto" w:fill="1F3864"/>
          </w:tcPr>
          <w:p>
            <w:pPr>
              <w:spacing w:before="60" w:after="60"/>
              <w:jc w:val="center"/>
            </w:pPr>
            <w:r>
              <w:rPr>
                <w:b/>
                <w:color w:val="FFFFFF"/>
                <w:sz w:val="19"/>
              </w:rPr>
              <w:t>Target / Mechanism</w:t>
            </w:r>
          </w:p>
        </w:tc>
        <w:tc>
          <w:tcPr>
            <w:tcW w:type="dxa" w:w="1584"/>
            <w:vAlign w:val="center"/>
            <w:shd w:val="clear" w:color="auto" w:fill="1F3864"/>
          </w:tcPr>
          <w:p>
            <w:pPr>
              <w:spacing w:before="60" w:after="60"/>
              <w:jc w:val="center"/>
            </w:pPr>
            <w:r>
              <w:rPr>
                <w:b/>
                <w:color w:val="FFFFFF"/>
                <w:sz w:val="19"/>
              </w:rPr>
              <w:t>Factor Origin</w:t>
            </w:r>
          </w:p>
        </w:tc>
        <w:tc>
          <w:tcPr>
            <w:tcW w:type="dxa" w:w="2016"/>
            <w:vAlign w:val="center"/>
            <w:shd w:val="clear" w:color="auto" w:fill="1F3864"/>
          </w:tcPr>
          <w:p>
            <w:pPr>
              <w:spacing w:before="60" w:after="60"/>
              <w:jc w:val="center"/>
            </w:pPr>
            <w:r>
              <w:rPr>
                <w:b/>
                <w:color w:val="FFFFFF"/>
                <w:sz w:val="19"/>
              </w:rPr>
              <w:t>Intervention Strategy</w:t>
            </w:r>
          </w:p>
        </w:tc>
        <w:tc>
          <w:tcPr>
            <w:tcW w:type="dxa" w:w="2448"/>
            <w:vAlign w:val="center"/>
            <w:shd w:val="clear" w:color="auto" w:fill="1F3864"/>
          </w:tcPr>
          <w:p>
            <w:pPr>
              <w:spacing w:before="60" w:after="60"/>
              <w:jc w:val="center"/>
            </w:pPr>
            <w:r>
              <w:rPr>
                <w:b/>
                <w:color w:val="FFFFFF"/>
                <w:sz w:val="19"/>
              </w:rPr>
              <w:t>Lead Therapy</w:t>
            </w:r>
          </w:p>
        </w:tc>
        <w:tc>
          <w:tcPr>
            <w:tcW w:type="dxa" w:w="1440"/>
            <w:vAlign w:val="center"/>
            <w:shd w:val="clear" w:color="auto" w:fill="1F3864"/>
          </w:tcPr>
          <w:p>
            <w:pPr>
              <w:spacing w:before="60" w:after="60"/>
              <w:jc w:val="center"/>
            </w:pPr>
            <w:r>
              <w:rPr>
                <w:b/>
                <w:color w:val="FFFFFF"/>
                <w:sz w:val="19"/>
              </w:rPr>
              <w:t>Stage</w:t>
            </w:r>
          </w:p>
        </w:tc>
      </w:tr>
      <w:tr>
        <w:tc>
          <w:tcPr>
            <w:tcW w:type="dxa" w:w="792"/>
            <w:vAlign w:val="center"/>
          </w:tcPr>
          <w:p>
            <w:pPr>
              <w:spacing w:before="60" w:after="60"/>
              <w:jc w:val="center"/>
            </w:pPr>
            <w:r>
              <w:rPr>
                <w:sz w:val="18"/>
              </w:rPr>
              <w:t>1</w:t>
            </w:r>
          </w:p>
        </w:tc>
        <w:tc>
          <w:tcPr>
            <w:tcW w:type="dxa" w:w="2232"/>
            <w:vAlign w:val="center"/>
          </w:tcPr>
          <w:p>
            <w:pPr>
              <w:spacing w:before="60" w:after="60"/>
              <w:jc w:val="center"/>
            </w:pPr>
            <w:r>
              <w:rPr>
                <w:sz w:val="18"/>
              </w:rPr>
              <w:t>TP53 reactivation</w:t>
            </w:r>
          </w:p>
        </w:tc>
        <w:tc>
          <w:tcPr>
            <w:tcW w:type="dxa" w:w="1584"/>
            <w:vAlign w:val="center"/>
          </w:tcPr>
          <w:p>
            <w:pPr>
              <w:spacing w:before="60" w:after="60"/>
              <w:jc w:val="center"/>
            </w:pPr>
            <w:r>
              <w:rPr>
                <w:sz w:val="18"/>
              </w:rPr>
              <w:t>F8,F6,F1,F15,F12</w:t>
            </w:r>
          </w:p>
        </w:tc>
        <w:tc>
          <w:tcPr>
            <w:tcW w:type="dxa" w:w="2016"/>
            <w:vAlign w:val="center"/>
          </w:tcPr>
          <w:p>
            <w:pPr>
              <w:spacing w:before="60" w:after="60"/>
              <w:jc w:val="center"/>
            </w:pPr>
            <w:r>
              <w:rPr>
                <w:sz w:val="18"/>
              </w:rPr>
              <w:t>TSG Restoration</w:t>
            </w:r>
          </w:p>
        </w:tc>
        <w:tc>
          <w:tcPr>
            <w:tcW w:type="dxa" w:w="2448"/>
            <w:vAlign w:val="center"/>
          </w:tcPr>
          <w:p>
            <w:pPr>
              <w:spacing w:before="60" w:after="60"/>
              <w:jc w:val="center"/>
            </w:pPr>
            <w:r>
              <w:rPr>
                <w:sz w:val="18"/>
              </w:rPr>
              <w:t>APR-246 (eprenetapopt); MDM2 inhibitors</w:t>
            </w:r>
          </w:p>
        </w:tc>
        <w:tc>
          <w:tcPr>
            <w:tcW w:type="dxa" w:w="1440"/>
            <w:vAlign w:val="center"/>
          </w:tcPr>
          <w:p>
            <w:pPr>
              <w:spacing w:before="60" w:after="60"/>
              <w:jc w:val="center"/>
            </w:pPr>
            <w:r>
              <w:rPr>
                <w:sz w:val="18"/>
              </w:rPr>
              <w:t>Phase II/III</w:t>
            </w:r>
          </w:p>
        </w:tc>
      </w:tr>
      <w:tr>
        <w:tc>
          <w:tcPr>
            <w:tcW w:type="dxa" w:w="792"/>
            <w:vAlign w:val="center"/>
            <w:shd w:val="clear" w:color="auto" w:fill="EBF3FB"/>
          </w:tcPr>
          <w:p>
            <w:pPr>
              <w:spacing w:before="60" w:after="60"/>
              <w:jc w:val="center"/>
            </w:pPr>
            <w:r>
              <w:rPr>
                <w:sz w:val="18"/>
              </w:rPr>
              <w:t>2</w:t>
            </w:r>
          </w:p>
        </w:tc>
        <w:tc>
          <w:tcPr>
            <w:tcW w:type="dxa" w:w="2232"/>
            <w:vAlign w:val="center"/>
            <w:shd w:val="clear" w:color="auto" w:fill="EBF3FB"/>
          </w:tcPr>
          <w:p>
            <w:pPr>
              <w:spacing w:before="60" w:after="60"/>
              <w:jc w:val="center"/>
            </w:pPr>
            <w:r>
              <w:rPr>
                <w:sz w:val="18"/>
              </w:rPr>
              <w:t>9p24.1: CD274+JAK2 CNV</w:t>
            </w:r>
          </w:p>
        </w:tc>
        <w:tc>
          <w:tcPr>
            <w:tcW w:type="dxa" w:w="1584"/>
            <w:vAlign w:val="center"/>
            <w:shd w:val="clear" w:color="auto" w:fill="EBF3FB"/>
          </w:tcPr>
          <w:p>
            <w:pPr>
              <w:spacing w:before="60" w:after="60"/>
              <w:jc w:val="center"/>
            </w:pPr>
            <w:r>
              <w:rPr>
                <w:sz w:val="18"/>
              </w:rPr>
              <w:t>F6 CNV</w:t>
            </w:r>
          </w:p>
        </w:tc>
        <w:tc>
          <w:tcPr>
            <w:tcW w:type="dxa" w:w="2016"/>
            <w:vAlign w:val="center"/>
            <w:shd w:val="clear" w:color="auto" w:fill="EBF3FB"/>
          </w:tcPr>
          <w:p>
            <w:pPr>
              <w:spacing w:before="60" w:after="60"/>
              <w:jc w:val="center"/>
            </w:pPr>
            <w:r>
              <w:rPr>
                <w:sz w:val="18"/>
              </w:rPr>
              <w:t>Oncogene Inhibition</w:t>
            </w:r>
          </w:p>
        </w:tc>
        <w:tc>
          <w:tcPr>
            <w:tcW w:type="dxa" w:w="2448"/>
            <w:vAlign w:val="center"/>
            <w:shd w:val="clear" w:color="auto" w:fill="EBF3FB"/>
          </w:tcPr>
          <w:p>
            <w:pPr>
              <w:spacing w:before="60" w:after="60"/>
              <w:jc w:val="center"/>
            </w:pPr>
            <w:r>
              <w:rPr>
                <w:sz w:val="18"/>
              </w:rPr>
              <w:t>Anti-PD-1 + ruxolitinib</w:t>
            </w:r>
          </w:p>
        </w:tc>
        <w:tc>
          <w:tcPr>
            <w:tcW w:type="dxa" w:w="1440"/>
            <w:vAlign w:val="center"/>
            <w:shd w:val="clear" w:color="auto" w:fill="EBF3FB"/>
          </w:tcPr>
          <w:p>
            <w:pPr>
              <w:spacing w:before="60" w:after="60"/>
              <w:jc w:val="center"/>
            </w:pPr>
            <w:r>
              <w:rPr>
                <w:sz w:val="18"/>
              </w:rPr>
              <w:t>Phase II</w:t>
            </w:r>
          </w:p>
        </w:tc>
      </w:tr>
      <w:tr>
        <w:tc>
          <w:tcPr>
            <w:tcW w:type="dxa" w:w="792"/>
            <w:vAlign w:val="center"/>
          </w:tcPr>
          <w:p>
            <w:pPr>
              <w:spacing w:before="60" w:after="60"/>
              <w:jc w:val="center"/>
            </w:pPr>
            <w:r>
              <w:rPr>
                <w:sz w:val="18"/>
              </w:rPr>
              <w:t>3</w:t>
            </w:r>
          </w:p>
        </w:tc>
        <w:tc>
          <w:tcPr>
            <w:tcW w:type="dxa" w:w="2232"/>
            <w:vAlign w:val="center"/>
          </w:tcPr>
          <w:p>
            <w:pPr>
              <w:spacing w:before="60" w:after="60"/>
              <w:jc w:val="center"/>
            </w:pPr>
            <w:r>
              <w:rPr>
                <w:sz w:val="18"/>
              </w:rPr>
              <w:t>KRAS G12C/G12D</w:t>
            </w:r>
          </w:p>
        </w:tc>
        <w:tc>
          <w:tcPr>
            <w:tcW w:type="dxa" w:w="1584"/>
            <w:vAlign w:val="center"/>
          </w:tcPr>
          <w:p>
            <w:pPr>
              <w:spacing w:before="60" w:after="60"/>
              <w:jc w:val="center"/>
            </w:pPr>
            <w:r>
              <w:rPr>
                <w:sz w:val="18"/>
              </w:rPr>
              <w:t>F8,F6</w:t>
            </w:r>
          </w:p>
        </w:tc>
        <w:tc>
          <w:tcPr>
            <w:tcW w:type="dxa" w:w="2016"/>
            <w:vAlign w:val="center"/>
          </w:tcPr>
          <w:p>
            <w:pPr>
              <w:spacing w:before="60" w:after="60"/>
              <w:jc w:val="center"/>
            </w:pPr>
            <w:r>
              <w:rPr>
                <w:sz w:val="18"/>
              </w:rPr>
              <w:t>Oncogene Inhibition</w:t>
            </w:r>
          </w:p>
        </w:tc>
        <w:tc>
          <w:tcPr>
            <w:tcW w:type="dxa" w:w="2448"/>
            <w:vAlign w:val="center"/>
          </w:tcPr>
          <w:p>
            <w:pPr>
              <w:spacing w:before="60" w:after="60"/>
              <w:jc w:val="center"/>
            </w:pPr>
            <w:r>
              <w:rPr>
                <w:sz w:val="18"/>
              </w:rPr>
              <w:t>Sotorasib; adagrasib; MRTX1133</w:t>
            </w:r>
          </w:p>
        </w:tc>
        <w:tc>
          <w:tcPr>
            <w:tcW w:type="dxa" w:w="1440"/>
            <w:vAlign w:val="center"/>
          </w:tcPr>
          <w:p>
            <w:pPr>
              <w:spacing w:before="60" w:after="60"/>
              <w:jc w:val="center"/>
            </w:pPr>
            <w:r>
              <w:rPr>
                <w:sz w:val="18"/>
              </w:rPr>
              <w:t>Approved/Phase I</w:t>
            </w:r>
          </w:p>
        </w:tc>
      </w:tr>
      <w:tr>
        <w:tc>
          <w:tcPr>
            <w:tcW w:type="dxa" w:w="792"/>
            <w:vAlign w:val="center"/>
            <w:shd w:val="clear" w:color="auto" w:fill="EBF3FB"/>
          </w:tcPr>
          <w:p>
            <w:pPr>
              <w:spacing w:before="60" w:after="60"/>
              <w:jc w:val="center"/>
            </w:pPr>
            <w:r>
              <w:rPr>
                <w:sz w:val="18"/>
              </w:rPr>
              <w:t>4</w:t>
            </w:r>
          </w:p>
        </w:tc>
        <w:tc>
          <w:tcPr>
            <w:tcW w:type="dxa" w:w="2232"/>
            <w:vAlign w:val="center"/>
            <w:shd w:val="clear" w:color="auto" w:fill="EBF3FB"/>
          </w:tcPr>
          <w:p>
            <w:pPr>
              <w:spacing w:before="60" w:after="60"/>
              <w:jc w:val="center"/>
            </w:pPr>
            <w:r>
              <w:rPr>
                <w:sz w:val="18"/>
              </w:rPr>
              <w:t>IDH1 neomorphic mutation</w:t>
            </w:r>
          </w:p>
        </w:tc>
        <w:tc>
          <w:tcPr>
            <w:tcW w:type="dxa" w:w="1584"/>
            <w:vAlign w:val="center"/>
            <w:shd w:val="clear" w:color="auto" w:fill="EBF3FB"/>
          </w:tcPr>
          <w:p>
            <w:pPr>
              <w:spacing w:before="60" w:after="60"/>
              <w:jc w:val="center"/>
            </w:pPr>
            <w:r>
              <w:rPr>
                <w:sz w:val="18"/>
              </w:rPr>
              <w:t>F8,F12,F15</w:t>
            </w:r>
          </w:p>
        </w:tc>
        <w:tc>
          <w:tcPr>
            <w:tcW w:type="dxa" w:w="2016"/>
            <w:vAlign w:val="center"/>
            <w:shd w:val="clear" w:color="auto" w:fill="EBF3FB"/>
          </w:tcPr>
          <w:p>
            <w:pPr>
              <w:spacing w:before="60" w:after="60"/>
              <w:jc w:val="center"/>
            </w:pPr>
            <w:r>
              <w:rPr>
                <w:sz w:val="18"/>
              </w:rPr>
              <w:t>Oncogene Inhibition</w:t>
            </w:r>
          </w:p>
        </w:tc>
        <w:tc>
          <w:tcPr>
            <w:tcW w:type="dxa" w:w="2448"/>
            <w:vAlign w:val="center"/>
            <w:shd w:val="clear" w:color="auto" w:fill="EBF3FB"/>
          </w:tcPr>
          <w:p>
            <w:pPr>
              <w:spacing w:before="60" w:after="60"/>
              <w:jc w:val="center"/>
            </w:pPr>
            <w:r>
              <w:rPr>
                <w:sz w:val="18"/>
              </w:rPr>
              <w:t>Ivosidenib</w:t>
            </w:r>
          </w:p>
        </w:tc>
        <w:tc>
          <w:tcPr>
            <w:tcW w:type="dxa" w:w="1440"/>
            <w:vAlign w:val="center"/>
            <w:shd w:val="clear" w:color="auto" w:fill="EBF3FB"/>
          </w:tcPr>
          <w:p>
            <w:pPr>
              <w:spacing w:before="60" w:after="60"/>
              <w:jc w:val="center"/>
            </w:pPr>
            <w:r>
              <w:rPr>
                <w:sz w:val="18"/>
              </w:rPr>
              <w:t>Approved</w:t>
            </w:r>
          </w:p>
        </w:tc>
      </w:tr>
      <w:tr>
        <w:tc>
          <w:tcPr>
            <w:tcW w:type="dxa" w:w="792"/>
            <w:vAlign w:val="center"/>
          </w:tcPr>
          <w:p>
            <w:pPr>
              <w:spacing w:before="60" w:after="60"/>
              <w:jc w:val="center"/>
            </w:pPr>
            <w:r>
              <w:rPr>
                <w:sz w:val="18"/>
              </w:rPr>
              <w:t>5</w:t>
            </w:r>
          </w:p>
        </w:tc>
        <w:tc>
          <w:tcPr>
            <w:tcW w:type="dxa" w:w="2232"/>
            <w:vAlign w:val="center"/>
          </w:tcPr>
          <w:p>
            <w:pPr>
              <w:spacing w:before="60" w:after="60"/>
              <w:jc w:val="center"/>
            </w:pPr>
            <w:r>
              <w:rPr>
                <w:sz w:val="18"/>
              </w:rPr>
              <w:t>GAS6-AXL survival axis</w:t>
            </w:r>
          </w:p>
        </w:tc>
        <w:tc>
          <w:tcPr>
            <w:tcW w:type="dxa" w:w="1584"/>
            <w:vAlign w:val="center"/>
          </w:tcPr>
          <w:p>
            <w:pPr>
              <w:spacing w:before="60" w:after="60"/>
              <w:jc w:val="center"/>
            </w:pPr>
            <w:r>
              <w:rPr>
                <w:sz w:val="18"/>
              </w:rPr>
              <w:t>F8,F12,F15 CNV</w:t>
            </w:r>
          </w:p>
        </w:tc>
        <w:tc>
          <w:tcPr>
            <w:tcW w:type="dxa" w:w="2016"/>
            <w:vAlign w:val="center"/>
          </w:tcPr>
          <w:p>
            <w:pPr>
              <w:spacing w:before="60" w:after="60"/>
              <w:jc w:val="center"/>
            </w:pPr>
            <w:r>
              <w:rPr>
                <w:sz w:val="18"/>
              </w:rPr>
              <w:t>Oncogene Inhibition</w:t>
            </w:r>
          </w:p>
        </w:tc>
        <w:tc>
          <w:tcPr>
            <w:tcW w:type="dxa" w:w="2448"/>
            <w:vAlign w:val="center"/>
          </w:tcPr>
          <w:p>
            <w:pPr>
              <w:spacing w:before="60" w:after="60"/>
              <w:jc w:val="center"/>
            </w:pPr>
            <w:r>
              <w:rPr>
                <w:sz w:val="18"/>
              </w:rPr>
              <w:t>Bemcentinib; cabozantinib</w:t>
            </w:r>
          </w:p>
        </w:tc>
        <w:tc>
          <w:tcPr>
            <w:tcW w:type="dxa" w:w="1440"/>
            <w:vAlign w:val="center"/>
          </w:tcPr>
          <w:p>
            <w:pPr>
              <w:spacing w:before="60" w:after="60"/>
              <w:jc w:val="center"/>
            </w:pPr>
            <w:r>
              <w:rPr>
                <w:sz w:val="18"/>
              </w:rPr>
              <w:t>Phase I/II</w:t>
            </w:r>
          </w:p>
        </w:tc>
      </w:tr>
      <w:tr>
        <w:tc>
          <w:tcPr>
            <w:tcW w:type="dxa" w:w="792"/>
            <w:vAlign w:val="center"/>
            <w:shd w:val="clear" w:color="auto" w:fill="EBF3FB"/>
          </w:tcPr>
          <w:p>
            <w:pPr>
              <w:spacing w:before="60" w:after="60"/>
              <w:jc w:val="center"/>
            </w:pPr>
            <w:r>
              <w:rPr>
                <w:sz w:val="18"/>
              </w:rPr>
              <w:t>6</w:t>
            </w:r>
          </w:p>
        </w:tc>
        <w:tc>
          <w:tcPr>
            <w:tcW w:type="dxa" w:w="2232"/>
            <w:vAlign w:val="center"/>
            <w:shd w:val="clear" w:color="auto" w:fill="EBF3FB"/>
          </w:tcPr>
          <w:p>
            <w:pPr>
              <w:spacing w:before="60" w:after="60"/>
              <w:jc w:val="center"/>
            </w:pPr>
            <w:r>
              <w:rPr>
                <w:sz w:val="18"/>
              </w:rPr>
              <w:t>PIK3CA H1047R/E545K</w:t>
            </w:r>
          </w:p>
        </w:tc>
        <w:tc>
          <w:tcPr>
            <w:tcW w:type="dxa" w:w="1584"/>
            <w:vAlign w:val="center"/>
            <w:shd w:val="clear" w:color="auto" w:fill="EBF3FB"/>
          </w:tcPr>
          <w:p>
            <w:pPr>
              <w:spacing w:before="60" w:after="60"/>
              <w:jc w:val="center"/>
            </w:pPr>
            <w:r>
              <w:rPr>
                <w:sz w:val="18"/>
              </w:rPr>
              <w:t>F6,F15</w:t>
            </w:r>
          </w:p>
        </w:tc>
        <w:tc>
          <w:tcPr>
            <w:tcW w:type="dxa" w:w="2016"/>
            <w:vAlign w:val="center"/>
            <w:shd w:val="clear" w:color="auto" w:fill="EBF3FB"/>
          </w:tcPr>
          <w:p>
            <w:pPr>
              <w:spacing w:before="60" w:after="60"/>
              <w:jc w:val="center"/>
            </w:pPr>
            <w:r>
              <w:rPr>
                <w:sz w:val="18"/>
              </w:rPr>
              <w:t>Oncogene Inhibition</w:t>
            </w:r>
          </w:p>
        </w:tc>
        <w:tc>
          <w:tcPr>
            <w:tcW w:type="dxa" w:w="2448"/>
            <w:vAlign w:val="center"/>
            <w:shd w:val="clear" w:color="auto" w:fill="EBF3FB"/>
          </w:tcPr>
          <w:p>
            <w:pPr>
              <w:spacing w:before="60" w:after="60"/>
              <w:jc w:val="center"/>
            </w:pPr>
            <w:r>
              <w:rPr>
                <w:sz w:val="18"/>
              </w:rPr>
              <w:t>Alpelisib; capivasertib</w:t>
            </w:r>
          </w:p>
        </w:tc>
        <w:tc>
          <w:tcPr>
            <w:tcW w:type="dxa" w:w="1440"/>
            <w:vAlign w:val="center"/>
            <w:shd w:val="clear" w:color="auto" w:fill="EBF3FB"/>
          </w:tcPr>
          <w:p>
            <w:pPr>
              <w:spacing w:before="60" w:after="60"/>
              <w:jc w:val="center"/>
            </w:pPr>
            <w:r>
              <w:rPr>
                <w:sz w:val="18"/>
              </w:rPr>
              <w:t>Approved/Phase III</w:t>
            </w:r>
          </w:p>
        </w:tc>
      </w:tr>
      <w:tr>
        <w:tc>
          <w:tcPr>
            <w:tcW w:type="dxa" w:w="792"/>
            <w:vAlign w:val="center"/>
          </w:tcPr>
          <w:p>
            <w:pPr>
              <w:spacing w:before="60" w:after="60"/>
              <w:jc w:val="center"/>
            </w:pPr>
            <w:r>
              <w:rPr>
                <w:sz w:val="18"/>
              </w:rPr>
              <w:t>7</w:t>
            </w:r>
          </w:p>
        </w:tc>
        <w:tc>
          <w:tcPr>
            <w:tcW w:type="dxa" w:w="2232"/>
            <w:vAlign w:val="center"/>
          </w:tcPr>
          <w:p>
            <w:pPr>
              <w:spacing w:before="60" w:after="60"/>
              <w:jc w:val="center"/>
            </w:pPr>
            <w:r>
              <w:rPr>
                <w:sz w:val="18"/>
              </w:rPr>
              <w:t>BRAF V600E</w:t>
            </w:r>
          </w:p>
        </w:tc>
        <w:tc>
          <w:tcPr>
            <w:tcW w:type="dxa" w:w="1584"/>
            <w:vAlign w:val="center"/>
          </w:tcPr>
          <w:p>
            <w:pPr>
              <w:spacing w:before="60" w:after="60"/>
              <w:jc w:val="center"/>
            </w:pPr>
            <w:r>
              <w:rPr>
                <w:sz w:val="18"/>
              </w:rPr>
              <w:t>F8,F6,F12</w:t>
            </w:r>
          </w:p>
        </w:tc>
        <w:tc>
          <w:tcPr>
            <w:tcW w:type="dxa" w:w="2016"/>
            <w:vAlign w:val="center"/>
          </w:tcPr>
          <w:p>
            <w:pPr>
              <w:spacing w:before="60" w:after="60"/>
              <w:jc w:val="center"/>
            </w:pPr>
            <w:r>
              <w:rPr>
                <w:sz w:val="18"/>
              </w:rPr>
              <w:t>Oncogene Inhibition</w:t>
            </w:r>
          </w:p>
        </w:tc>
        <w:tc>
          <w:tcPr>
            <w:tcW w:type="dxa" w:w="2448"/>
            <w:vAlign w:val="center"/>
          </w:tcPr>
          <w:p>
            <w:pPr>
              <w:spacing w:before="60" w:after="60"/>
              <w:jc w:val="center"/>
            </w:pPr>
            <w:r>
              <w:rPr>
                <w:sz w:val="18"/>
              </w:rPr>
              <w:t>Dabrafenib+trametinib; encorafenib</w:t>
            </w:r>
          </w:p>
        </w:tc>
        <w:tc>
          <w:tcPr>
            <w:tcW w:type="dxa" w:w="1440"/>
            <w:vAlign w:val="center"/>
          </w:tcPr>
          <w:p>
            <w:pPr>
              <w:spacing w:before="60" w:after="60"/>
              <w:jc w:val="center"/>
            </w:pPr>
            <w:r>
              <w:rPr>
                <w:sz w:val="18"/>
              </w:rPr>
              <w:t>Approved</w:t>
            </w:r>
          </w:p>
        </w:tc>
      </w:tr>
      <w:tr>
        <w:tc>
          <w:tcPr>
            <w:tcW w:type="dxa" w:w="792"/>
            <w:vAlign w:val="center"/>
            <w:shd w:val="clear" w:color="auto" w:fill="EBF3FB"/>
          </w:tcPr>
          <w:p>
            <w:pPr>
              <w:spacing w:before="60" w:after="60"/>
              <w:jc w:val="center"/>
            </w:pPr>
            <w:r>
              <w:rPr>
                <w:sz w:val="18"/>
              </w:rPr>
              <w:t>8</w:t>
            </w:r>
          </w:p>
        </w:tc>
        <w:tc>
          <w:tcPr>
            <w:tcW w:type="dxa" w:w="2232"/>
            <w:vAlign w:val="center"/>
            <w:shd w:val="clear" w:color="auto" w:fill="EBF3FB"/>
          </w:tcPr>
          <w:p>
            <w:pPr>
              <w:spacing w:before="60" w:after="60"/>
              <w:jc w:val="center"/>
            </w:pPr>
            <w:r>
              <w:rPr>
                <w:sz w:val="18"/>
              </w:rPr>
              <w:t>ARID1A loss (SWI/SNF)</w:t>
            </w:r>
          </w:p>
        </w:tc>
        <w:tc>
          <w:tcPr>
            <w:tcW w:type="dxa" w:w="1584"/>
            <w:vAlign w:val="center"/>
            <w:shd w:val="clear" w:color="auto" w:fill="EBF3FB"/>
          </w:tcPr>
          <w:p>
            <w:pPr>
              <w:spacing w:before="60" w:after="60"/>
              <w:jc w:val="center"/>
            </w:pPr>
            <w:r>
              <w:rPr>
                <w:sz w:val="18"/>
              </w:rPr>
              <w:t>F15</w:t>
            </w:r>
          </w:p>
        </w:tc>
        <w:tc>
          <w:tcPr>
            <w:tcW w:type="dxa" w:w="2016"/>
            <w:vAlign w:val="center"/>
            <w:shd w:val="clear" w:color="auto" w:fill="EBF3FB"/>
          </w:tcPr>
          <w:p>
            <w:pPr>
              <w:spacing w:before="60" w:after="60"/>
              <w:jc w:val="center"/>
            </w:pPr>
            <w:r>
              <w:rPr>
                <w:sz w:val="18"/>
              </w:rPr>
              <w:t>Synthetic Lethality</w:t>
            </w:r>
          </w:p>
        </w:tc>
        <w:tc>
          <w:tcPr>
            <w:tcW w:type="dxa" w:w="2448"/>
            <w:vAlign w:val="center"/>
            <w:shd w:val="clear" w:color="auto" w:fill="EBF3FB"/>
          </w:tcPr>
          <w:p>
            <w:pPr>
              <w:spacing w:before="60" w:after="60"/>
              <w:jc w:val="center"/>
            </w:pPr>
            <w:r>
              <w:rPr>
                <w:sz w:val="18"/>
              </w:rPr>
              <w:t>Tazemetostat (EZH2 inhibitor)</w:t>
            </w:r>
          </w:p>
        </w:tc>
        <w:tc>
          <w:tcPr>
            <w:tcW w:type="dxa" w:w="1440"/>
            <w:vAlign w:val="center"/>
            <w:shd w:val="clear" w:color="auto" w:fill="EBF3FB"/>
          </w:tcPr>
          <w:p>
            <w:pPr>
              <w:spacing w:before="60" w:after="60"/>
              <w:jc w:val="center"/>
            </w:pPr>
            <w:r>
              <w:rPr>
                <w:sz w:val="18"/>
              </w:rPr>
              <w:t>Phase II (solid)</w:t>
            </w:r>
          </w:p>
        </w:tc>
      </w:tr>
      <w:tr>
        <w:tc>
          <w:tcPr>
            <w:tcW w:type="dxa" w:w="792"/>
            <w:vAlign w:val="center"/>
          </w:tcPr>
          <w:p>
            <w:pPr>
              <w:spacing w:before="60" w:after="60"/>
              <w:jc w:val="center"/>
            </w:pPr>
            <w:r>
              <w:rPr>
                <w:sz w:val="18"/>
              </w:rPr>
              <w:t>9</w:t>
            </w:r>
          </w:p>
        </w:tc>
        <w:tc>
          <w:tcPr>
            <w:tcW w:type="dxa" w:w="2232"/>
            <w:vAlign w:val="center"/>
          </w:tcPr>
          <w:p>
            <w:pPr>
              <w:spacing w:before="60" w:after="60"/>
              <w:jc w:val="center"/>
            </w:pPr>
            <w:r>
              <w:rPr>
                <w:sz w:val="18"/>
              </w:rPr>
              <w:t>ATRX loss (ALT)</w:t>
            </w:r>
          </w:p>
        </w:tc>
        <w:tc>
          <w:tcPr>
            <w:tcW w:type="dxa" w:w="1584"/>
            <w:vAlign w:val="center"/>
          </w:tcPr>
          <w:p>
            <w:pPr>
              <w:spacing w:before="60" w:after="60"/>
              <w:jc w:val="center"/>
            </w:pPr>
            <w:r>
              <w:rPr>
                <w:sz w:val="18"/>
              </w:rPr>
              <w:t>F8,F15,F12</w:t>
            </w:r>
          </w:p>
        </w:tc>
        <w:tc>
          <w:tcPr>
            <w:tcW w:type="dxa" w:w="2016"/>
            <w:vAlign w:val="center"/>
          </w:tcPr>
          <w:p>
            <w:pPr>
              <w:spacing w:before="60" w:after="60"/>
              <w:jc w:val="center"/>
            </w:pPr>
            <w:r>
              <w:rPr>
                <w:sz w:val="18"/>
              </w:rPr>
              <w:t>Synthetic Lethality</w:t>
            </w:r>
          </w:p>
        </w:tc>
        <w:tc>
          <w:tcPr>
            <w:tcW w:type="dxa" w:w="2448"/>
            <w:vAlign w:val="center"/>
          </w:tcPr>
          <w:p>
            <w:pPr>
              <w:spacing w:before="60" w:after="60"/>
              <w:jc w:val="center"/>
            </w:pPr>
            <w:r>
              <w:rPr>
                <w:sz w:val="18"/>
              </w:rPr>
              <w:t>Olaparib + berzosertib (ATR inh.)</w:t>
            </w:r>
          </w:p>
        </w:tc>
        <w:tc>
          <w:tcPr>
            <w:tcW w:type="dxa" w:w="1440"/>
            <w:vAlign w:val="center"/>
          </w:tcPr>
          <w:p>
            <w:pPr>
              <w:spacing w:before="60" w:after="60"/>
              <w:jc w:val="center"/>
            </w:pPr>
            <w:r>
              <w:rPr>
                <w:sz w:val="18"/>
              </w:rPr>
              <w:t>Phase I</w:t>
            </w:r>
          </w:p>
        </w:tc>
      </w:tr>
      <w:tr>
        <w:tc>
          <w:tcPr>
            <w:tcW w:type="dxa" w:w="792"/>
            <w:vAlign w:val="center"/>
            <w:shd w:val="clear" w:color="auto" w:fill="EBF3FB"/>
          </w:tcPr>
          <w:p>
            <w:pPr>
              <w:spacing w:before="60" w:after="60"/>
              <w:jc w:val="center"/>
            </w:pPr>
            <w:r>
              <w:rPr>
                <w:sz w:val="18"/>
              </w:rPr>
              <w:t>10</w:t>
            </w:r>
          </w:p>
        </w:tc>
        <w:tc>
          <w:tcPr>
            <w:tcW w:type="dxa" w:w="2232"/>
            <w:vAlign w:val="center"/>
            <w:shd w:val="clear" w:color="auto" w:fill="EBF3FB"/>
          </w:tcPr>
          <w:p>
            <w:pPr>
              <w:spacing w:before="60" w:after="60"/>
              <w:jc w:val="center"/>
            </w:pPr>
            <w:r>
              <w:rPr>
                <w:sz w:val="18"/>
              </w:rPr>
              <w:t>NECTIN4 expression</w:t>
            </w:r>
          </w:p>
        </w:tc>
        <w:tc>
          <w:tcPr>
            <w:tcW w:type="dxa" w:w="1584"/>
            <w:vAlign w:val="center"/>
            <w:shd w:val="clear" w:color="auto" w:fill="EBF3FB"/>
          </w:tcPr>
          <w:p>
            <w:pPr>
              <w:spacing w:before="60" w:after="60"/>
              <w:jc w:val="center"/>
            </w:pPr>
            <w:r>
              <w:rPr>
                <w:sz w:val="18"/>
              </w:rPr>
              <w:t>F1 Expression</w:t>
            </w:r>
          </w:p>
        </w:tc>
        <w:tc>
          <w:tcPr>
            <w:tcW w:type="dxa" w:w="2016"/>
            <w:vAlign w:val="center"/>
            <w:shd w:val="clear" w:color="auto" w:fill="EBF3FB"/>
          </w:tcPr>
          <w:p>
            <w:pPr>
              <w:spacing w:before="60" w:after="60"/>
              <w:jc w:val="center"/>
            </w:pPr>
            <w:r>
              <w:rPr>
                <w:sz w:val="18"/>
              </w:rPr>
              <w:t>ADC Targeting</w:t>
            </w:r>
          </w:p>
        </w:tc>
        <w:tc>
          <w:tcPr>
            <w:tcW w:type="dxa" w:w="2448"/>
            <w:vAlign w:val="center"/>
            <w:shd w:val="clear" w:color="auto" w:fill="EBF3FB"/>
          </w:tcPr>
          <w:p>
            <w:pPr>
              <w:spacing w:before="60" w:after="60"/>
              <w:jc w:val="center"/>
            </w:pPr>
            <w:r>
              <w:rPr>
                <w:sz w:val="18"/>
              </w:rPr>
              <w:t>Enfortumab vedotin</w:t>
            </w:r>
          </w:p>
        </w:tc>
        <w:tc>
          <w:tcPr>
            <w:tcW w:type="dxa" w:w="1440"/>
            <w:vAlign w:val="center"/>
            <w:shd w:val="clear" w:color="auto" w:fill="EBF3FB"/>
          </w:tcPr>
          <w:p>
            <w:pPr>
              <w:spacing w:before="60" w:after="60"/>
              <w:jc w:val="center"/>
            </w:pPr>
            <w:r>
              <w:rPr>
                <w:sz w:val="18"/>
              </w:rPr>
              <w:t>Approved/Phase II</w:t>
            </w:r>
          </w:p>
        </w:tc>
      </w:tr>
      <w:tr>
        <w:tc>
          <w:tcPr>
            <w:tcW w:type="dxa" w:w="792"/>
            <w:vAlign w:val="center"/>
          </w:tcPr>
          <w:p>
            <w:pPr>
              <w:spacing w:before="60" w:after="60"/>
              <w:jc w:val="center"/>
            </w:pPr>
            <w:r>
              <w:rPr>
                <w:sz w:val="18"/>
              </w:rPr>
              <w:t>11</w:t>
            </w:r>
          </w:p>
        </w:tc>
        <w:tc>
          <w:tcPr>
            <w:tcW w:type="dxa" w:w="2232"/>
            <w:vAlign w:val="center"/>
          </w:tcPr>
          <w:p>
            <w:pPr>
              <w:spacing w:before="60" w:after="60"/>
              <w:jc w:val="center"/>
            </w:pPr>
            <w:r>
              <w:rPr>
                <w:sz w:val="18"/>
              </w:rPr>
              <w:t>IL1A cytokine (TME)</w:t>
            </w:r>
          </w:p>
        </w:tc>
        <w:tc>
          <w:tcPr>
            <w:tcW w:type="dxa" w:w="1584"/>
            <w:vAlign w:val="center"/>
          </w:tcPr>
          <w:p>
            <w:pPr>
              <w:spacing w:before="60" w:after="60"/>
              <w:jc w:val="center"/>
            </w:pPr>
            <w:r>
              <w:rPr>
                <w:sz w:val="18"/>
              </w:rPr>
              <w:t>F8 Expression</w:t>
            </w:r>
          </w:p>
        </w:tc>
        <w:tc>
          <w:tcPr>
            <w:tcW w:type="dxa" w:w="2016"/>
            <w:vAlign w:val="center"/>
          </w:tcPr>
          <w:p>
            <w:pPr>
              <w:spacing w:before="60" w:after="60"/>
              <w:jc w:val="center"/>
            </w:pPr>
            <w:r>
              <w:rPr>
                <w:sz w:val="18"/>
              </w:rPr>
              <w:t>Cytokine Blockade</w:t>
            </w:r>
          </w:p>
        </w:tc>
        <w:tc>
          <w:tcPr>
            <w:tcW w:type="dxa" w:w="2448"/>
            <w:vAlign w:val="center"/>
          </w:tcPr>
          <w:p>
            <w:pPr>
              <w:spacing w:before="60" w:after="60"/>
              <w:jc w:val="center"/>
            </w:pPr>
            <w:r>
              <w:rPr>
                <w:sz w:val="18"/>
              </w:rPr>
              <w:t>Bermekimab; canakinumab</w:t>
            </w:r>
          </w:p>
        </w:tc>
        <w:tc>
          <w:tcPr>
            <w:tcW w:type="dxa" w:w="1440"/>
            <w:vAlign w:val="center"/>
          </w:tcPr>
          <w:p>
            <w:pPr>
              <w:spacing w:before="60" w:after="60"/>
              <w:jc w:val="center"/>
            </w:pPr>
            <w:r>
              <w:rPr>
                <w:sz w:val="18"/>
              </w:rPr>
              <w:t>Phase II</w:t>
            </w:r>
          </w:p>
        </w:tc>
      </w:tr>
      <w:tr>
        <w:tc>
          <w:tcPr>
            <w:tcW w:type="dxa" w:w="792"/>
            <w:vAlign w:val="center"/>
            <w:shd w:val="clear" w:color="auto" w:fill="EBF3FB"/>
          </w:tcPr>
          <w:p>
            <w:pPr>
              <w:spacing w:before="60" w:after="60"/>
              <w:jc w:val="center"/>
            </w:pPr>
            <w:r>
              <w:rPr>
                <w:sz w:val="18"/>
              </w:rPr>
              <w:t>12</w:t>
            </w:r>
          </w:p>
        </w:tc>
        <w:tc>
          <w:tcPr>
            <w:tcW w:type="dxa" w:w="2232"/>
            <w:vAlign w:val="center"/>
            <w:shd w:val="clear" w:color="auto" w:fill="EBF3FB"/>
          </w:tcPr>
          <w:p>
            <w:pPr>
              <w:spacing w:before="60" w:after="60"/>
              <w:jc w:val="center"/>
            </w:pPr>
            <w:r>
              <w:rPr>
                <w:sz w:val="18"/>
              </w:rPr>
              <w:t>KMT2D/KMT2C loss</w:t>
            </w:r>
          </w:p>
        </w:tc>
        <w:tc>
          <w:tcPr>
            <w:tcW w:type="dxa" w:w="1584"/>
            <w:vAlign w:val="center"/>
            <w:shd w:val="clear" w:color="auto" w:fill="EBF3FB"/>
          </w:tcPr>
          <w:p>
            <w:pPr>
              <w:spacing w:before="60" w:after="60"/>
              <w:jc w:val="center"/>
            </w:pPr>
            <w:r>
              <w:rPr>
                <w:sz w:val="18"/>
              </w:rPr>
              <w:t>F8,F1,F15</w:t>
            </w:r>
          </w:p>
        </w:tc>
        <w:tc>
          <w:tcPr>
            <w:tcW w:type="dxa" w:w="2016"/>
            <w:vAlign w:val="center"/>
            <w:shd w:val="clear" w:color="auto" w:fill="EBF3FB"/>
          </w:tcPr>
          <w:p>
            <w:pPr>
              <w:spacing w:before="60" w:after="60"/>
              <w:jc w:val="center"/>
            </w:pPr>
            <w:r>
              <w:rPr>
                <w:sz w:val="18"/>
              </w:rPr>
              <w:t>Synthetic Lethality</w:t>
            </w:r>
          </w:p>
        </w:tc>
        <w:tc>
          <w:tcPr>
            <w:tcW w:type="dxa" w:w="2448"/>
            <w:vAlign w:val="center"/>
            <w:shd w:val="clear" w:color="auto" w:fill="EBF3FB"/>
          </w:tcPr>
          <w:p>
            <w:pPr>
              <w:spacing w:before="60" w:after="60"/>
              <w:jc w:val="center"/>
            </w:pPr>
            <w:r>
              <w:rPr>
                <w:sz w:val="18"/>
              </w:rPr>
              <w:t>GSK3326595 (PRMT5 inhibitor)</w:t>
            </w:r>
          </w:p>
        </w:tc>
        <w:tc>
          <w:tcPr>
            <w:tcW w:type="dxa" w:w="1440"/>
            <w:vAlign w:val="center"/>
            <w:shd w:val="clear" w:color="auto" w:fill="EBF3FB"/>
          </w:tcPr>
          <w:p>
            <w:pPr>
              <w:spacing w:before="60" w:after="60"/>
              <w:jc w:val="center"/>
            </w:pPr>
            <w:r>
              <w:rPr>
                <w:sz w:val="18"/>
              </w:rPr>
              <w:t>Phase I/II</w:t>
            </w:r>
          </w:p>
        </w:tc>
      </w:tr>
      <w:tr>
        <w:tc>
          <w:tcPr>
            <w:tcW w:type="dxa" w:w="792"/>
            <w:vAlign w:val="center"/>
          </w:tcPr>
          <w:p>
            <w:pPr>
              <w:spacing w:before="60" w:after="60"/>
              <w:jc w:val="center"/>
            </w:pPr>
            <w:r>
              <w:rPr>
                <w:sz w:val="18"/>
              </w:rPr>
              <w:t>13</w:t>
            </w:r>
          </w:p>
        </w:tc>
        <w:tc>
          <w:tcPr>
            <w:tcW w:type="dxa" w:w="2232"/>
            <w:vAlign w:val="center"/>
          </w:tcPr>
          <w:p>
            <w:pPr>
              <w:spacing w:before="60" w:after="60"/>
              <w:jc w:val="center"/>
            </w:pPr>
            <w:r>
              <w:rPr>
                <w:sz w:val="18"/>
              </w:rPr>
              <w:t>PRSS3/KLK6 serine proteases</w:t>
            </w:r>
          </w:p>
        </w:tc>
        <w:tc>
          <w:tcPr>
            <w:tcW w:type="dxa" w:w="1584"/>
            <w:vAlign w:val="center"/>
          </w:tcPr>
          <w:p>
            <w:pPr>
              <w:spacing w:before="60" w:after="60"/>
              <w:jc w:val="center"/>
            </w:pPr>
            <w:r>
              <w:rPr>
                <w:sz w:val="18"/>
              </w:rPr>
              <w:t>F8 Expression</w:t>
            </w:r>
          </w:p>
        </w:tc>
        <w:tc>
          <w:tcPr>
            <w:tcW w:type="dxa" w:w="2016"/>
            <w:vAlign w:val="center"/>
          </w:tcPr>
          <w:p>
            <w:pPr>
              <w:spacing w:before="60" w:after="60"/>
              <w:jc w:val="center"/>
            </w:pPr>
            <w:r>
              <w:rPr>
                <w:sz w:val="18"/>
              </w:rPr>
              <w:t>Knockdown / Inhibition</w:t>
            </w:r>
          </w:p>
        </w:tc>
        <w:tc>
          <w:tcPr>
            <w:tcW w:type="dxa" w:w="2448"/>
            <w:vAlign w:val="center"/>
          </w:tcPr>
          <w:p>
            <w:pPr>
              <w:spacing w:before="60" w:after="60"/>
              <w:jc w:val="center"/>
            </w:pPr>
            <w:r>
              <w:rPr>
                <w:sz w:val="18"/>
              </w:rPr>
              <w:t>Nafamostat; siRNA-KLK6</w:t>
            </w:r>
          </w:p>
        </w:tc>
        <w:tc>
          <w:tcPr>
            <w:tcW w:type="dxa" w:w="1440"/>
            <w:vAlign w:val="center"/>
          </w:tcPr>
          <w:p>
            <w:pPr>
              <w:spacing w:before="60" w:after="60"/>
              <w:jc w:val="center"/>
            </w:pPr>
            <w:r>
              <w:rPr>
                <w:sz w:val="18"/>
              </w:rPr>
              <w:t>Preclinical/Phase I</w:t>
            </w:r>
          </w:p>
        </w:tc>
      </w:tr>
      <w:tr>
        <w:tc>
          <w:tcPr>
            <w:tcW w:type="dxa" w:w="792"/>
            <w:vAlign w:val="center"/>
            <w:shd w:val="clear" w:color="auto" w:fill="EBF3FB"/>
          </w:tcPr>
          <w:p>
            <w:pPr>
              <w:spacing w:before="60" w:after="60"/>
              <w:jc w:val="center"/>
            </w:pPr>
            <w:r>
              <w:rPr>
                <w:sz w:val="18"/>
              </w:rPr>
              <w:t>14</w:t>
            </w:r>
          </w:p>
        </w:tc>
        <w:tc>
          <w:tcPr>
            <w:tcW w:type="dxa" w:w="2232"/>
            <w:vAlign w:val="center"/>
            <w:shd w:val="clear" w:color="auto" w:fill="EBF3FB"/>
          </w:tcPr>
          <w:p>
            <w:pPr>
              <w:spacing w:before="60" w:after="60"/>
              <w:jc w:val="center"/>
            </w:pPr>
            <w:r>
              <w:rPr>
                <w:sz w:val="18"/>
              </w:rPr>
              <w:t>GPC5/GPC6 glypicans</w:t>
            </w:r>
          </w:p>
        </w:tc>
        <w:tc>
          <w:tcPr>
            <w:tcW w:type="dxa" w:w="1584"/>
            <w:vAlign w:val="center"/>
            <w:shd w:val="clear" w:color="auto" w:fill="EBF3FB"/>
          </w:tcPr>
          <w:p>
            <w:pPr>
              <w:spacing w:before="60" w:after="60"/>
              <w:jc w:val="center"/>
            </w:pPr>
            <w:r>
              <w:rPr>
                <w:sz w:val="18"/>
              </w:rPr>
              <w:t>F12,F15 CNV</w:t>
            </w:r>
          </w:p>
        </w:tc>
        <w:tc>
          <w:tcPr>
            <w:tcW w:type="dxa" w:w="2016"/>
            <w:vAlign w:val="center"/>
            <w:shd w:val="clear" w:color="auto" w:fill="EBF3FB"/>
          </w:tcPr>
          <w:p>
            <w:pPr>
              <w:spacing w:before="60" w:after="60"/>
              <w:jc w:val="center"/>
            </w:pPr>
            <w:r>
              <w:rPr>
                <w:sz w:val="18"/>
              </w:rPr>
              <w:t>ADC / CAR-T</w:t>
            </w:r>
          </w:p>
        </w:tc>
        <w:tc>
          <w:tcPr>
            <w:tcW w:type="dxa" w:w="2448"/>
            <w:vAlign w:val="center"/>
            <w:shd w:val="clear" w:color="auto" w:fill="EBF3FB"/>
          </w:tcPr>
          <w:p>
            <w:pPr>
              <w:spacing w:before="60" w:after="60"/>
              <w:jc w:val="center"/>
            </w:pPr>
            <w:r>
              <w:rPr>
                <w:sz w:val="18"/>
              </w:rPr>
              <w:t>Anti-GPC ADC; GPC5 CAR-T</w:t>
            </w:r>
          </w:p>
        </w:tc>
        <w:tc>
          <w:tcPr>
            <w:tcW w:type="dxa" w:w="1440"/>
            <w:vAlign w:val="center"/>
            <w:shd w:val="clear" w:color="auto" w:fill="EBF3FB"/>
          </w:tcPr>
          <w:p>
            <w:pPr>
              <w:spacing w:before="60" w:after="60"/>
              <w:jc w:val="center"/>
            </w:pPr>
            <w:r>
              <w:rPr>
                <w:sz w:val="18"/>
              </w:rPr>
              <w:t>Preclinical</w:t>
            </w:r>
          </w:p>
        </w:tc>
      </w:tr>
      <w:tr>
        <w:tc>
          <w:tcPr>
            <w:tcW w:type="dxa" w:w="792"/>
            <w:vAlign w:val="center"/>
          </w:tcPr>
          <w:p>
            <w:pPr>
              <w:spacing w:before="60" w:after="60"/>
              <w:jc w:val="center"/>
            </w:pPr>
            <w:r>
              <w:rPr>
                <w:sz w:val="18"/>
              </w:rPr>
              <w:t>15</w:t>
            </w:r>
          </w:p>
        </w:tc>
        <w:tc>
          <w:tcPr>
            <w:tcW w:type="dxa" w:w="2232"/>
            <w:vAlign w:val="center"/>
          </w:tcPr>
          <w:p>
            <w:pPr>
              <w:spacing w:before="60" w:after="60"/>
              <w:jc w:val="center"/>
            </w:pPr>
            <w:r>
              <w:rPr>
                <w:sz w:val="18"/>
              </w:rPr>
              <w:t>RLN1/RLN2-RXFP1 axis</w:t>
            </w:r>
          </w:p>
        </w:tc>
        <w:tc>
          <w:tcPr>
            <w:tcW w:type="dxa" w:w="1584"/>
            <w:vAlign w:val="center"/>
          </w:tcPr>
          <w:p>
            <w:pPr>
              <w:spacing w:before="60" w:after="60"/>
              <w:jc w:val="center"/>
            </w:pPr>
            <w:r>
              <w:rPr>
                <w:sz w:val="18"/>
              </w:rPr>
              <w:t>F6 CNV</w:t>
            </w:r>
          </w:p>
        </w:tc>
        <w:tc>
          <w:tcPr>
            <w:tcW w:type="dxa" w:w="2016"/>
            <w:vAlign w:val="center"/>
          </w:tcPr>
          <w:p>
            <w:pPr>
              <w:spacing w:before="60" w:after="60"/>
              <w:jc w:val="center"/>
            </w:pPr>
            <w:r>
              <w:rPr>
                <w:sz w:val="18"/>
              </w:rPr>
              <w:t>Lineage Reprogramming</w:t>
            </w:r>
          </w:p>
        </w:tc>
        <w:tc>
          <w:tcPr>
            <w:tcW w:type="dxa" w:w="2448"/>
            <w:vAlign w:val="center"/>
          </w:tcPr>
          <w:p>
            <w:pPr>
              <w:spacing w:before="60" w:after="60"/>
              <w:jc w:val="center"/>
            </w:pPr>
            <w:r>
              <w:rPr>
                <w:sz w:val="18"/>
              </w:rPr>
              <w:t>B7-33 RXFP1 antagonist</w:t>
            </w:r>
          </w:p>
        </w:tc>
        <w:tc>
          <w:tcPr>
            <w:tcW w:type="dxa" w:w="1440"/>
            <w:vAlign w:val="center"/>
          </w:tcPr>
          <w:p>
            <w:pPr>
              <w:spacing w:before="60" w:after="60"/>
              <w:jc w:val="center"/>
            </w:pPr>
            <w:r>
              <w:rPr>
                <w:sz w:val="18"/>
              </w:rPr>
              <w:t>Preclinical</w:t>
            </w:r>
          </w:p>
        </w:tc>
      </w:tr>
    </w:tbl>
    <w:p>
      <w:pPr>
        <w:spacing w:after="240"/>
        <w:jc w:val="center"/>
      </w:pPr>
      <w:r>
        <w:rPr>
          <w:b/>
          <w:i w:val="0"/>
          <w:sz w:val="18"/>
          <w:u w:val="none"/>
        </w:rPr>
        <w:t xml:space="preserve">Table 2. </w:t>
      </w:r>
      <w:r>
        <w:rPr>
          <w:b w:val="0"/>
          <w:i/>
          <w:sz w:val="18"/>
          <w:u w:val="none"/>
        </w:rPr>
        <w:t>Priority therapeutic targets identified from MOFA+ factor decoding and SHAP attribution. Targets are ranked by combined factor SHAP score, clinical actionability, and mechanism novelty.</w:t>
      </w:r>
    </w:p>
    <w:p>
      <w:pPr>
        <w:jc w:val="center"/>
      </w:pPr>
      <w:r>
        <w:drawing>
          <wp:inline xmlns:a="http://schemas.openxmlformats.org/drawingml/2006/main" xmlns:pic="http://schemas.openxmlformats.org/drawingml/2006/picture">
            <wp:extent cx="5669280" cy="4643768"/>
            <wp:docPr id="14" name="Picture 14"/>
            <wp:cNvGraphicFramePr>
              <a:graphicFrameLocks noChangeAspect="1"/>
            </wp:cNvGraphicFramePr>
            <a:graphic>
              <a:graphicData uri="http://schemas.openxmlformats.org/drawingml/2006/picture">
                <pic:pic>
                  <pic:nvPicPr>
                    <pic:cNvPr id="0" name="marker_actionable_targets.png"/>
                    <pic:cNvPicPr/>
                  </pic:nvPicPr>
                  <pic:blipFill>
                    <a:blip r:embed="rId22"/>
                    <a:stretch>
                      <a:fillRect/>
                    </a:stretch>
                  </pic:blipFill>
                  <pic:spPr>
                    <a:xfrm>
                      <a:off x="0" y="0"/>
                      <a:ext cx="5669280" cy="4643768"/>
                    </a:xfrm>
                    <a:prstGeom prst="rect"/>
                  </pic:spPr>
                </pic:pic>
              </a:graphicData>
            </a:graphic>
          </wp:inline>
        </w:drawing>
      </w:r>
    </w:p>
    <w:p>
      <w:pPr>
        <w:spacing w:before="80" w:after="280"/>
        <w:jc w:val="center"/>
      </w:pPr>
      <w:r>
        <w:rPr>
          <w:b/>
          <w:i w:val="0"/>
          <w:sz w:val="18"/>
          <w:u w:val="none"/>
        </w:rPr>
        <w:t xml:space="preserve">Figure 9. </w:t>
      </w:r>
      <w:r>
        <w:rPr>
          <w:b w:val="0"/>
          <w:i/>
          <w:sz w:val="18"/>
          <w:u w:val="none"/>
        </w:rPr>
        <w:t>Top 30 actionable therapeutic targets ranked by gene-level SHAP contribution (|MOFA+ weight| x factor SHAP score, summed across top factors). Color indicates molecular role: red = oncogene (knockdown/inhibit), blue = tumour suppressor gene (restore/synthetic lethality), orange = gain-of-function TSG. Modality of evidence (EXP = expression, MUT = mutation, CNV = copy number) is annotated per target.</w:t>
      </w:r>
    </w:p>
    <w:p>
      <w:pPr>
        <w:pStyle w:val="Heading2"/>
        <w:spacing w:before="320" w:after="120"/>
      </w:pPr>
      <w:r>
        <w:t>4.7 Revised Therapeutic Prioritization After Causal Validation</w:t>
      </w:r>
    </w:p>
    <w:p>
      <w:pPr>
        <w:spacing w:after="120"/>
        <w:ind w:firstLine="360"/>
        <w:jc w:val="both"/>
      </w:pPr>
      <w:r>
        <w:rPr>
          <w:sz w:val="22"/>
        </w:rPr>
        <w:t>The DiD causal validation layer materially revises the prioritization of therapeutic targets derived from SHAP analysis alone. Factor 8, which ranked first by SHAP score (avg |SHAP| = 0.283), does not demonstrate a robust aggregate-level causal survival effect. Its predictive dominance is explained by cancer-type composition confounding: it is the most informative predictor of survival because it correlates with which cancer type a patient has—not because high Factor 8 within a cancer type independently causes mortality. Accordingly, Factor 8-based targets (PRSS3/KLK6 serine proteases, GAS6-AXL axis) are reclassified from co-primary to secondary priority, warranting within-cancer-type validation before advancing to clinical targeting.</w:t>
      </w:r>
    </w:p>
    <w:p>
      <w:pPr>
        <w:spacing w:after="120"/>
        <w:ind w:firstLine="360"/>
        <w:jc w:val="both"/>
      </w:pPr>
      <w:r>
        <w:rPr>
          <w:sz w:val="22"/>
        </w:rPr>
        <w:t>Factor 6 (9p24.1 immune checkpoint amplicon; ATT = −0.486; p &lt; 10⁻¹²) and Factor 15 (luminal de-differentiation; ATT = −0.285; p &lt; 10⁻¹⁷) are elevated to co-primary targets based on causal evidence. The Factor 6 causal validation strengthens the rationale for anti-PD-1 + JAK inhibitor combination trials in 9p24.1-amplified tumors: the Factor 6 program causally impairs survival, suggesting checkpoint blockade will modify survival trajectories rather than merely correlate with them. The Factor 15 causal validation substantially increases confidence in EZH2 inhibition (tazemetostat) for ARID1A-loss tumors and PRMT5 inhibition (GSK3326595) for KMT2C/D-loss tumors as potentially survival-modifying rather than merely biomarker-selected strategies.</w:t>
      </w:r>
    </w:p>
    <w:p>
      <w:pPr>
        <w:spacing w:after="120"/>
        <w:ind w:firstLine="360"/>
        <w:jc w:val="both"/>
      </w:pPr>
      <w:r>
        <w:rPr>
          <w:sz w:val="22"/>
        </w:rPr>
        <w:t>The KRAS × Factor 8 Triple Difference finding (DDD = −0.472; p = 0.022) carries distinct clinical significance. It identifies a pan-cancer synthetic co-dependency in which KRAS mutation and protease-driven invasion programming combine synergistically to impair survival. This provides a causal mechanistic basis for the clinical hypothesis that KRAS-inhibitor monotherapy resistance may be driven by compensatory upregulation of invasion programmes, and nominates the combination of KRAS G12C/G12D inhibition (sotorasib, adagrasib, MRTX1133) with serine protease inhibitors (nafamostat, camostat) or AXL inhibitors (bemcentinib) as the highest-priority combination to evaluate in KRAS-mutant solid tumors.</w:t>
      </w:r>
    </w:p>
    <w:p>
      <w:pPr>
        <w:pStyle w:val="Heading1"/>
        <w:spacing w:before="320" w:after="120"/>
      </w:pPr>
      <w:r>
        <w:t>5. Conclusion</w:t>
      </w:r>
    </w:p>
    <w:p>
      <w:pPr>
        <w:spacing w:after="120"/>
        <w:ind w:firstLine="360"/>
        <w:jc w:val="both"/>
      </w:pPr>
      <w:r>
        <w:rPr>
          <w:sz w:val="22"/>
        </w:rPr>
        <w:t>This study demonstrates that MOFA+-driven multi-omics factor analysis, combined with transformer-based survival prediction and SHAP attribution, constitutes a powerful and fully interpretable framework for pan-cancer target discovery. Applied to 7,787 TCGA samples across 31 cancer types, the approach achieves a mean C-index of 0.751 while simultaneously identifying five biologically distinct survival factors that map directly to therapeutic strategies.</w:t>
      </w:r>
    </w:p>
    <w:p>
      <w:pPr>
        <w:spacing w:after="120"/>
        <w:ind w:firstLine="360"/>
        <w:jc w:val="both"/>
      </w:pPr>
      <w:r>
        <w:rPr>
          <w:sz w:val="22"/>
        </w:rPr>
        <w:t>Three key methodological findings emerge. First, MOFA+ factors substantially outperform raw PCA features as survival model inputs, improving mean C-index from 0.724 to 0.751 and reducing cross-validation variance 7-fold—indicating that biologically structured latent representations are preferable to generic dimensionality reduction for prognostic modelling. Second, the FT-Transformer outperforms gradient boosting trees on MOFA+ features, with the largest advantage on factors with high inter-model discordance (e.g., Factor 1, squamous programme), suggesting that attention mechanisms capture synergistic effects between lineage identity and cancer-type covariates that trees miss. Third, SHAP scores computed on latent factors are not equivalent to variance explained: Factor 8, the top survival predictor, explains only 3.2% of cross-modal variance, while Factor 1, which explains 6.1%, ranks third in SHAP importance. This dissociation is biologically meaningful—prognostic factors need not be the largest sources of variation, only the most consistent ones.</w:t>
      </w:r>
    </w:p>
    <w:p>
      <w:pPr>
        <w:spacing w:after="120"/>
        <w:ind w:firstLine="360"/>
        <w:jc w:val="both"/>
      </w:pPr>
      <w:r>
        <w:rPr>
          <w:sz w:val="22"/>
        </w:rPr>
        <w:t>Four major biological insights emerge from factor decoding, refined by causal validation. The 9p24.1 immune checkpoint amplicon (CD274/PDCD1LG2/JAK2 in Factor 6) represents the strongest causally validated pan-cancer survival determinant (ATT = −0.486; p &lt; 10⁻¹²), representing a molecularly homogeneous immunological axis amenable to checkpoint blockade combined with JAK inhibition. Epigenetic tumour suppressor loss (ARID1A/KMT2C/PTEN in Factor 15) is the second causally confirmed axis (ATT = −0.285; p &lt; 10⁻¹⁷), defining a synthetic lethality landscape for EZH2 and PRMT5 inhibitors with direct causal survival evidence. Squamous lineage identity (Factor 1, TP63/KRT/NECTIN4) is causally validated at conventional significance (ATT = −0.129; p = 0.028). The pan-driver mutation axis (TP53/KRAS/APC/IDH1/ATRX in Factor 8) is the dominant predictive signal by SHAP but does not achieve causal identification in the aggregate pseudo-panel, with its survival signal attributable primarily to cancer-type composition—an important limitation that motivates within-type validation before clinical targeting.</w:t>
      </w:r>
    </w:p>
    <w:p>
      <w:pPr>
        <w:spacing w:after="120"/>
        <w:ind w:firstLine="360"/>
        <w:jc w:val="both"/>
      </w:pPr>
      <w:r>
        <w:rPr>
          <w:sz w:val="22"/>
        </w:rPr>
        <w:t>The Triple Difference analysis yields the most immediately actionable clinical finding: KRAS mutation and Factor 8 protease-invasion activation combine synergistically to impair survival (DDD = −0.472; p = 0.022), providing a causal mechanistic rationale for combining KRAS inhibitors with invasion-targeting agents in KRAS-mutant tumors. Clinically, the most immediately translatable findings are: (i) Factor 6's 9p24.1 amplicon as a causally validated pan-cancer biomarker for anti-PD-1 + JAK inhibitor combination trials; (ii) ARID1A and KMT2C loss as causally validated dual biomarkers for tazemetostat (EZH2 inhibitor) and GSK3326595 (PRMT5 inhibitor) trials in solid tumors; (iii) NECTIN4 ADC (enfortumab vedotin) eligibility predicted by Factor 1 loading score independently of histologic type; and (iv) KRAS × Factor 8 synergy as the causal rationale for KRAS inhibitor + serine protease/AXL inhibitor combination trials. Cancer-type-stratified DiD models built on individual MOFA+ factor axes should yield within-type causal ATT estimates and enable patient-level therapeutic stratification based on individual factor score profiles.</w:t>
      </w:r>
    </w:p>
    <w:p>
      <w:pPr>
        <w:spacing w:after="120"/>
        <w:ind w:firstLine="360"/>
        <w:jc w:val="both"/>
      </w:pPr>
      <w:r>
        <w:rPr>
          <w:sz w:val="22"/>
        </w:rPr>
        <w:t>This pipeline is fully open, reproducible, and extensible. The causal inference layer demonstrates that pairing SHAP-based predictive attribution with quasi-experimental DiD estimation is a tractable and informative strategy for elevating multiomics target nominations from correlational to causal. Future work will integrate methylation and miRNA modalities into the MOFA+ views, apply drug sensitivity data (GDSC, CCLE) to validate therapeutic nominations, and use the factor scores for patient stratification in prospective study design. Individual-level causal methods (instrumental variables, regression discontinuity) applied to clinical trial data representing Factor 6 and Factor 15 high patients would represent the ultimate validation of these findings. The framework represents a general-purpose architecture for multi-omics survival analysis and target discovery applicable to any cancer cohort with comprehensive molecular profiling.</w:t>
      </w:r>
    </w:p>
    <w:p>
      <w:pPr>
        <w:pStyle w:val="Heading1"/>
        <w:spacing w:before="320" w:after="120"/>
      </w:pPr>
      <w:r>
        <w:t>References</w:t>
      </w:r>
    </w:p>
    <w:p>
      <w:pPr>
        <w:spacing w:after="80"/>
        <w:ind w:left="340" w:hanging="340"/>
      </w:pPr>
      <w:r>
        <w:rPr>
          <w:b/>
          <w:i w:val="0"/>
          <w:sz w:val="20"/>
          <w:u w:val="none"/>
        </w:rPr>
        <w:t xml:space="preserve">1. </w:t>
      </w:r>
      <w:r>
        <w:rPr>
          <w:b w:val="0"/>
          <w:i w:val="0"/>
          <w:sz w:val="20"/>
          <w:u w:val="none"/>
        </w:rPr>
        <w:t>Argelaguet R, et al. (2020). MOFA+: a statistical framework for comprehensive integration of multi-modal single-cell data. Genome Biology, 21(1), 111.</w:t>
      </w:r>
    </w:p>
    <w:p>
      <w:pPr>
        <w:spacing w:after="80"/>
        <w:ind w:left="340" w:hanging="340"/>
      </w:pPr>
      <w:r>
        <w:rPr>
          <w:b/>
          <w:i w:val="0"/>
          <w:sz w:val="20"/>
          <w:u w:val="none"/>
        </w:rPr>
        <w:t xml:space="preserve">2. </w:t>
      </w:r>
      <w:r>
        <w:rPr>
          <w:b w:val="0"/>
          <w:i w:val="0"/>
          <w:sz w:val="20"/>
          <w:u w:val="none"/>
        </w:rPr>
        <w:t>Gorishniy Y, et al. (2021). Revisiting Deep Learning Models for Tabular Data. Advances in Neural Information Processing Systems (NeurIPS), 34.</w:t>
      </w:r>
    </w:p>
    <w:p>
      <w:pPr>
        <w:spacing w:after="80"/>
        <w:ind w:left="340" w:hanging="340"/>
      </w:pPr>
      <w:r>
        <w:rPr>
          <w:b/>
          <w:i w:val="0"/>
          <w:sz w:val="20"/>
          <w:u w:val="none"/>
        </w:rPr>
        <w:t xml:space="preserve">3. </w:t>
      </w:r>
      <w:r>
        <w:rPr>
          <w:b w:val="0"/>
          <w:i w:val="0"/>
          <w:sz w:val="20"/>
          <w:u w:val="none"/>
        </w:rPr>
        <w:t>Liu J, et al. (2018). An Integrated TCGA Pan-Cancer Clinical Data Resource to Drive High-Quality Survival Outcome Analytics. Cell, 173(2), 400-416.e11.</w:t>
      </w:r>
    </w:p>
    <w:p>
      <w:pPr>
        <w:spacing w:after="80"/>
        <w:ind w:left="340" w:hanging="340"/>
      </w:pPr>
      <w:r>
        <w:rPr>
          <w:b/>
          <w:i w:val="0"/>
          <w:sz w:val="20"/>
          <w:u w:val="none"/>
        </w:rPr>
        <w:t xml:space="preserve">4. </w:t>
      </w:r>
      <w:r>
        <w:rPr>
          <w:b w:val="0"/>
          <w:i w:val="0"/>
          <w:sz w:val="20"/>
          <w:u w:val="none"/>
        </w:rPr>
        <w:t>Lundberg SM &amp; Lee SI (2017). A unified approach to interpreting model predictions. NeurIPS, 30.</w:t>
      </w:r>
    </w:p>
    <w:p>
      <w:pPr>
        <w:spacing w:after="80"/>
        <w:ind w:left="340" w:hanging="340"/>
      </w:pPr>
      <w:r>
        <w:rPr>
          <w:b/>
          <w:i w:val="0"/>
          <w:sz w:val="20"/>
          <w:u w:val="none"/>
        </w:rPr>
        <w:t xml:space="preserve">5. </w:t>
      </w:r>
      <w:r>
        <w:rPr>
          <w:b w:val="0"/>
          <w:i w:val="0"/>
          <w:sz w:val="20"/>
          <w:u w:val="none"/>
        </w:rPr>
        <w:t>TCGA Research Network (2013). The Cancer Genome Atlas Pan-Cancer analysis project. Nature Genetics, 45(10), 1113-1120.</w:t>
      </w:r>
    </w:p>
    <w:p>
      <w:pPr>
        <w:spacing w:after="80"/>
        <w:ind w:left="340" w:hanging="340"/>
      </w:pPr>
      <w:r>
        <w:rPr>
          <w:b/>
          <w:i w:val="0"/>
          <w:sz w:val="20"/>
          <w:u w:val="none"/>
        </w:rPr>
        <w:t xml:space="preserve">6. </w:t>
      </w:r>
      <w:r>
        <w:rPr>
          <w:b w:val="0"/>
          <w:i w:val="0"/>
          <w:sz w:val="20"/>
          <w:u w:val="none"/>
        </w:rPr>
        <w:t>Chen T &amp; Guestrin C (2016). XGBoost: A Scalable Tree Boosting System. KDD 2016.</w:t>
      </w:r>
    </w:p>
    <w:p>
      <w:pPr>
        <w:spacing w:after="80"/>
        <w:ind w:left="340" w:hanging="340"/>
      </w:pPr>
      <w:r>
        <w:rPr>
          <w:b/>
          <w:i w:val="0"/>
          <w:sz w:val="20"/>
          <w:u w:val="none"/>
        </w:rPr>
        <w:t xml:space="preserve">7. </w:t>
      </w:r>
      <w:r>
        <w:rPr>
          <w:b w:val="0"/>
          <w:i w:val="0"/>
          <w:sz w:val="20"/>
          <w:u w:val="none"/>
        </w:rPr>
        <w:t>Ke G, et al. (2017). LightGBM: A Highly Efficient Gradient Boosting Decision Tree. NeurIPS, 30.</w:t>
      </w:r>
    </w:p>
    <w:p>
      <w:pPr>
        <w:spacing w:after="80"/>
        <w:ind w:left="340" w:hanging="340"/>
      </w:pPr>
      <w:r>
        <w:rPr>
          <w:b/>
          <w:i w:val="0"/>
          <w:sz w:val="20"/>
          <w:u w:val="none"/>
        </w:rPr>
        <w:t xml:space="preserve">8. </w:t>
      </w:r>
      <w:r>
        <w:rPr>
          <w:b w:val="0"/>
          <w:i w:val="0"/>
          <w:sz w:val="20"/>
          <w:u w:val="none"/>
        </w:rPr>
        <w:t>Davidson-Pilon C (2019). lifelines: survival analysis in Python. Journal of Open Source Software, 4(40), 1317.</w:t>
      </w:r>
    </w:p>
    <w:p>
      <w:pPr>
        <w:spacing w:after="80"/>
        <w:ind w:left="340" w:hanging="340"/>
      </w:pPr>
      <w:r>
        <w:rPr>
          <w:b/>
          <w:i w:val="0"/>
          <w:sz w:val="20"/>
          <w:u w:val="none"/>
        </w:rPr>
        <w:t xml:space="preserve">9. </w:t>
      </w:r>
      <w:r>
        <w:rPr>
          <w:b w:val="0"/>
          <w:i w:val="0"/>
          <w:sz w:val="20"/>
          <w:u w:val="none"/>
        </w:rPr>
        <w:t>Breiman L (2001). Random Forests. Machine Learning, 45(1), 5-32.</w:t>
      </w:r>
    </w:p>
    <w:p>
      <w:pPr>
        <w:spacing w:after="80"/>
        <w:ind w:left="340" w:hanging="340"/>
      </w:pPr>
      <w:r>
        <w:rPr>
          <w:b/>
          <w:i w:val="0"/>
          <w:sz w:val="20"/>
          <w:u w:val="none"/>
        </w:rPr>
        <w:t xml:space="preserve">10. </w:t>
      </w:r>
      <w:r>
        <w:rPr>
          <w:b w:val="0"/>
          <w:i w:val="0"/>
          <w:sz w:val="20"/>
          <w:u w:val="none"/>
        </w:rPr>
        <w:t>Harrell FE, et al. (1982). Evaluating the yield of medical tests. JAMA, 247(18), 2543-2546.</w:t>
      </w:r>
    </w:p>
    <w:p>
      <w:pPr>
        <w:spacing w:after="80"/>
        <w:ind w:left="340" w:hanging="340"/>
      </w:pPr>
      <w:r>
        <w:rPr>
          <w:b/>
          <w:i w:val="0"/>
          <w:sz w:val="20"/>
          <w:u w:val="none"/>
        </w:rPr>
        <w:t xml:space="preserve">11. </w:t>
      </w:r>
      <w:r>
        <w:rPr>
          <w:b w:val="0"/>
          <w:i w:val="0"/>
          <w:sz w:val="20"/>
          <w:u w:val="none"/>
        </w:rPr>
        <w:t>Callaway B &amp; Sant'Anna PHC (2021). Difference-in-Differences with multiple time periods. Journal of Econometrics, 225(2), 200-230.</w:t>
      </w:r>
    </w:p>
    <w:p>
      <w:pPr>
        <w:spacing w:after="80"/>
        <w:ind w:left="340" w:hanging="340"/>
      </w:pPr>
      <w:r>
        <w:rPr>
          <w:b/>
          <w:i w:val="0"/>
          <w:sz w:val="20"/>
          <w:u w:val="none"/>
        </w:rPr>
        <w:t xml:space="preserve">12. </w:t>
      </w:r>
      <w:r>
        <w:rPr>
          <w:b w:val="0"/>
          <w:i w:val="0"/>
          <w:sz w:val="20"/>
          <w:u w:val="none"/>
        </w:rPr>
        <w:t>Rambachan A &amp; Roth J (2023). A More Credible Approach to Parallel Trends. Review of Economic Studies, 90(5), 2555-2591.</w:t>
      </w:r>
    </w:p>
    <w:p>
      <w:pPr>
        <w:spacing w:after="80"/>
        <w:ind w:left="340" w:hanging="340"/>
      </w:pPr>
      <w:r>
        <w:rPr>
          <w:b/>
          <w:i w:val="0"/>
          <w:sz w:val="20"/>
          <w:u w:val="none"/>
        </w:rPr>
        <w:t xml:space="preserve">13. </w:t>
      </w:r>
      <w:r>
        <w:rPr>
          <w:b w:val="0"/>
          <w:i w:val="0"/>
          <w:sz w:val="20"/>
          <w:u w:val="none"/>
        </w:rPr>
        <w:t>Gerber I (2025). diff-diff: A Python library for modern causal DiD estimation (v3.3). GitHub: https://github.com/igerber/diff-diff.</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