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jc w:val="center"/>
      </w:pPr>
      <w:r>
        <w:rPr>
          <w:b/>
          <w:i w:val="0"/>
          <w:sz w:val="36"/>
          <w:u w:val="none"/>
        </w:rPr>
        <w:t>Supplementary Materials</w:t>
      </w:r>
    </w:p>
    <w:p>
      <w:pPr>
        <w:spacing w:after="400"/>
        <w:jc w:val="center"/>
      </w:pPr>
      <w:r>
        <w:rPr>
          <w:b w:val="0"/>
          <w:i/>
          <w:sz w:val="22"/>
          <w:u w:val="none"/>
        </w:rPr>
        <w:t>Pan-Cancer Multi-Omics Survival Analysis Using MOFA+ and Transformer-Based Deep Learning</w:t>
      </w:r>
    </w:p>
    <w:p>
      <w:pPr>
        <w:spacing w:before="40" w:after="40"/>
        <w:pBdr>
          <w:bottom w:val="single" w:sz="6" w:space="1" w:color="999999"/>
        </w:pBdr>
      </w:pPr>
    </w:p>
    <w:p>
      <w:pPr>
        <w:spacing w:before="280"/>
      </w:pPr>
      <w:r>
        <w:rPr>
          <w:b/>
          <w:i w:val="0"/>
          <w:sz w:val="26"/>
          <w:u w:val="none"/>
        </w:rPr>
        <w:t>Contents</w:t>
      </w:r>
    </w:p>
    <w:p>
      <w:pPr>
        <w:pStyle w:val="ListBullet"/>
        <w:spacing w:after="60"/>
      </w:pPr>
      <w:r>
        <w:rPr>
          <w:sz w:val="21"/>
        </w:rPr>
        <w:t>Section S1: Extended Methods</w:t>
      </w:r>
    </w:p>
    <w:p>
      <w:pPr>
        <w:pStyle w:val="ListBullet"/>
        <w:spacing w:after="60"/>
      </w:pPr>
      <w:r>
        <w:rPr>
          <w:sz w:val="21"/>
        </w:rPr>
        <w:t>Section S2: Data Quality and Cohort Statistics (Tables S1-S3)</w:t>
      </w:r>
    </w:p>
    <w:p>
      <w:pPr>
        <w:pStyle w:val="ListBullet"/>
        <w:spacing w:after="60"/>
      </w:pPr>
      <w:r>
        <w:rPr>
          <w:sz w:val="21"/>
        </w:rPr>
        <w:t>Section S3: Dimensionality Reduction Figures (Figures S1-S3)</w:t>
      </w:r>
    </w:p>
    <w:p>
      <w:pPr>
        <w:pStyle w:val="ListBullet"/>
        <w:spacing w:after="60"/>
      </w:pPr>
      <w:r>
        <w:rPr>
          <w:sz w:val="21"/>
        </w:rPr>
        <w:t>Section S4: Unsupervised Clustering Results (Figures S4-S9)</w:t>
      </w:r>
    </w:p>
    <w:p>
      <w:pPr>
        <w:pStyle w:val="ListBullet"/>
        <w:spacing w:after="60"/>
      </w:pPr>
      <w:r>
        <w:rPr>
          <w:sz w:val="21"/>
        </w:rPr>
        <w:t>Section S5: MOFA+ Extended Results (Figures S10-S17, Table S4)</w:t>
      </w:r>
    </w:p>
    <w:p>
      <w:pPr>
        <w:pStyle w:val="ListBullet"/>
        <w:spacing w:after="60"/>
      </w:pPr>
      <w:r>
        <w:rPr>
          <w:sz w:val="21"/>
        </w:rPr>
        <w:t>Section S6: Cox and DeepSurv Baseline Models (Figures S18-S21)</w:t>
      </w:r>
    </w:p>
    <w:p>
      <w:pPr>
        <w:pStyle w:val="ListBullet"/>
        <w:spacing w:after="60"/>
      </w:pPr>
      <w:r>
        <w:rPr>
          <w:sz w:val="21"/>
        </w:rPr>
        <w:t>Section S7: Full SHAP Analyses per Model (Figures S22-S27)</w:t>
      </w:r>
    </w:p>
    <w:p>
      <w:pPr>
        <w:pStyle w:val="ListBullet"/>
        <w:spacing w:after="60"/>
      </w:pPr>
      <w:r>
        <w:rPr>
          <w:sz w:val="21"/>
        </w:rPr>
        <w:t>Section S8: Multiomics Marker Analysis (Figures S28-S31, Tables S5-S7)</w:t>
      </w:r>
    </w:p>
    <w:p>
      <w:pPr>
        <w:pStyle w:val="ListBullet"/>
        <w:spacing w:after="60"/>
      </w:pPr>
      <w:r>
        <w:rPr>
          <w:sz w:val="21"/>
        </w:rPr>
        <w:t>Section S9: Model Consistency Analysis (Figure S32)</w:t>
      </w:r>
    </w:p>
    <w:p>
      <w:pPr>
        <w:pStyle w:val="ListBullet"/>
        <w:spacing w:after="60"/>
      </w:pPr>
      <w:r>
        <w:rPr>
          <w:sz w:val="21"/>
        </w:rPr>
        <w:t>Section S10: Software and Reproducibility</w:t>
      </w:r>
    </w:p>
    <w:p>
      <w:r>
        <w:br w:type="page"/>
      </w:r>
    </w:p>
    <w:p>
      <w:pPr>
        <w:pStyle w:val="Heading1"/>
        <w:spacing w:before="320" w:after="120"/>
      </w:pPr>
      <w:r>
        <w:t>Section S1: Extended Methods</w:t>
      </w:r>
    </w:p>
    <w:p>
      <w:pPr>
        <w:pStyle w:val="Heading2"/>
        <w:spacing w:before="320" w:after="120"/>
      </w:pPr>
      <w:r>
        <w:t>S1.1 Data Sources and Download Protocol</w:t>
      </w:r>
    </w:p>
    <w:p>
      <w:pPr>
        <w:spacing w:after="120"/>
        <w:jc w:val="both"/>
      </w:pPr>
      <w:r>
        <w:rPr>
          <w:sz w:val="22"/>
        </w:rPr>
        <w:t>All data were downloaded programmatically using a custom Python script (download_tcga.py) with resume-safe chunked streaming (8 MB chunks), automatic retry on network failure (3 attempts with exponential backoff), and SHA256 checksum verification. Downloads sourced from three hubs:</w:t>
      </w:r>
    </w:p>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160"/>
            <w:vAlign w:val="center"/>
            <w:shd w:val="clear" w:color="auto" w:fill="1F3864"/>
          </w:tcPr>
          <w:p>
            <w:pPr>
              <w:spacing w:before="60" w:after="60"/>
              <w:jc w:val="center"/>
            </w:pPr>
            <w:r>
              <w:rPr>
                <w:b/>
                <w:color w:val="FFFFFF"/>
                <w:sz w:val="19"/>
              </w:rPr>
              <w:t>Modality</w:t>
            </w:r>
          </w:p>
        </w:tc>
        <w:tc>
          <w:tcPr>
            <w:tcW w:type="dxa" w:w="2592"/>
            <w:vAlign w:val="center"/>
            <w:shd w:val="clear" w:color="auto" w:fill="1F3864"/>
          </w:tcPr>
          <w:p>
            <w:pPr>
              <w:spacing w:before="60" w:after="60"/>
              <w:jc w:val="center"/>
            </w:pPr>
            <w:r>
              <w:rPr>
                <w:b/>
                <w:color w:val="FFFFFF"/>
                <w:sz w:val="19"/>
              </w:rPr>
              <w:t>Hub</w:t>
            </w:r>
          </w:p>
        </w:tc>
        <w:tc>
          <w:tcPr>
            <w:tcW w:type="dxa" w:w="4320"/>
            <w:vAlign w:val="center"/>
            <w:shd w:val="clear" w:color="auto" w:fill="1F3864"/>
          </w:tcPr>
          <w:p>
            <w:pPr>
              <w:spacing w:before="60" w:after="60"/>
              <w:jc w:val="center"/>
            </w:pPr>
            <w:r>
              <w:rPr>
                <w:b/>
                <w:color w:val="FFFFFF"/>
                <w:sz w:val="19"/>
              </w:rPr>
              <w:t>Filename</w:t>
            </w:r>
          </w:p>
        </w:tc>
        <w:tc>
          <w:tcPr>
            <w:tcW w:type="dxa" w:w="1296"/>
            <w:vAlign w:val="center"/>
            <w:shd w:val="clear" w:color="auto" w:fill="1F3864"/>
          </w:tcPr>
          <w:p>
            <w:pPr>
              <w:spacing w:before="60" w:after="60"/>
              <w:jc w:val="center"/>
            </w:pPr>
            <w:r>
              <w:rPr>
                <w:b/>
                <w:color w:val="FFFFFF"/>
                <w:sz w:val="19"/>
              </w:rPr>
              <w:t>Size</w:t>
            </w:r>
          </w:p>
        </w:tc>
      </w:tr>
      <w:tr>
        <w:tc>
          <w:tcPr>
            <w:tcW w:type="dxa" w:w="2160"/>
            <w:vAlign w:val="center"/>
          </w:tcPr>
          <w:p>
            <w:pPr>
              <w:spacing w:before="60" w:after="60"/>
              <w:jc w:val="center"/>
            </w:pPr>
            <w:r>
              <w:rPr>
                <w:sz w:val="18"/>
              </w:rPr>
              <w:t>Expression (RNA-seq)</w:t>
            </w:r>
          </w:p>
        </w:tc>
        <w:tc>
          <w:tcPr>
            <w:tcW w:type="dxa" w:w="2592"/>
            <w:vAlign w:val="center"/>
          </w:tcPr>
          <w:p>
            <w:pPr>
              <w:spacing w:before="60" w:after="60"/>
              <w:jc w:val="center"/>
            </w:pPr>
            <w:r>
              <w:rPr>
                <w:sz w:val="18"/>
              </w:rPr>
              <w:t>UCSC TOIL</w:t>
            </w:r>
          </w:p>
        </w:tc>
        <w:tc>
          <w:tcPr>
            <w:tcW w:type="dxa" w:w="4320"/>
            <w:vAlign w:val="center"/>
          </w:tcPr>
          <w:p>
            <w:pPr>
              <w:spacing w:before="60" w:after="60"/>
              <w:jc w:val="center"/>
            </w:pPr>
            <w:r>
              <w:rPr>
                <w:sz w:val="18"/>
              </w:rPr>
              <w:t>tcga_RSEM_gene_tpm.gz</w:t>
            </w:r>
          </w:p>
        </w:tc>
        <w:tc>
          <w:tcPr>
            <w:tcW w:type="dxa" w:w="1296"/>
            <w:vAlign w:val="center"/>
          </w:tcPr>
          <w:p>
            <w:pPr>
              <w:spacing w:before="60" w:after="60"/>
              <w:jc w:val="center"/>
            </w:pPr>
            <w:r>
              <w:rPr>
                <w:sz w:val="18"/>
              </w:rPr>
              <w:t>~1.8 GB</w:t>
            </w:r>
          </w:p>
        </w:tc>
      </w:tr>
      <w:tr>
        <w:tc>
          <w:tcPr>
            <w:tcW w:type="dxa" w:w="2160"/>
            <w:vAlign w:val="center"/>
            <w:shd w:val="clear" w:color="auto" w:fill="EBF3FB"/>
          </w:tcPr>
          <w:p>
            <w:pPr>
              <w:spacing w:before="60" w:after="60"/>
              <w:jc w:val="center"/>
            </w:pPr>
            <w:r>
              <w:rPr>
                <w:sz w:val="18"/>
              </w:rPr>
              <w:t>Somatic Mutations</w:t>
            </w:r>
          </w:p>
        </w:tc>
        <w:tc>
          <w:tcPr>
            <w:tcW w:type="dxa" w:w="2592"/>
            <w:vAlign w:val="center"/>
            <w:shd w:val="clear" w:color="auto" w:fill="EBF3FB"/>
          </w:tcPr>
          <w:p>
            <w:pPr>
              <w:spacing w:before="60" w:after="60"/>
              <w:jc w:val="center"/>
            </w:pPr>
            <w:r>
              <w:rPr>
                <w:sz w:val="18"/>
              </w:rPr>
              <w:t>UCSC Xena PanCan</w:t>
            </w:r>
          </w:p>
        </w:tc>
        <w:tc>
          <w:tcPr>
            <w:tcW w:type="dxa" w:w="4320"/>
            <w:vAlign w:val="center"/>
            <w:shd w:val="clear" w:color="auto" w:fill="EBF3FB"/>
          </w:tcPr>
          <w:p>
            <w:pPr>
              <w:spacing w:before="60" w:after="60"/>
              <w:jc w:val="center"/>
            </w:pPr>
            <w:r>
              <w:rPr>
                <w:sz w:val="18"/>
              </w:rPr>
              <w:t>mc3.v0.2.8.PUBLIC.xena.gz</w:t>
            </w:r>
          </w:p>
        </w:tc>
        <w:tc>
          <w:tcPr>
            <w:tcW w:type="dxa" w:w="1296"/>
            <w:vAlign w:val="center"/>
            <w:shd w:val="clear" w:color="auto" w:fill="EBF3FB"/>
          </w:tcPr>
          <w:p>
            <w:pPr>
              <w:spacing w:before="60" w:after="60"/>
              <w:jc w:val="center"/>
            </w:pPr>
            <w:r>
              <w:rPr>
                <w:sz w:val="18"/>
              </w:rPr>
              <w:t>~80 MB</w:t>
            </w:r>
          </w:p>
        </w:tc>
      </w:tr>
      <w:tr>
        <w:tc>
          <w:tcPr>
            <w:tcW w:type="dxa" w:w="2160"/>
            <w:vAlign w:val="center"/>
          </w:tcPr>
          <w:p>
            <w:pPr>
              <w:spacing w:before="60" w:after="60"/>
              <w:jc w:val="center"/>
            </w:pPr>
            <w:r>
              <w:rPr>
                <w:sz w:val="18"/>
              </w:rPr>
              <w:t>CNV (GISTIC2)</w:t>
            </w:r>
          </w:p>
        </w:tc>
        <w:tc>
          <w:tcPr>
            <w:tcW w:type="dxa" w:w="2592"/>
            <w:vAlign w:val="center"/>
          </w:tcPr>
          <w:p>
            <w:pPr>
              <w:spacing w:before="60" w:after="60"/>
              <w:jc w:val="center"/>
            </w:pPr>
            <w:r>
              <w:rPr>
                <w:sz w:val="18"/>
              </w:rPr>
              <w:t>UCSC Xena Legacy</w:t>
            </w:r>
          </w:p>
        </w:tc>
        <w:tc>
          <w:tcPr>
            <w:tcW w:type="dxa" w:w="4320"/>
            <w:vAlign w:val="center"/>
          </w:tcPr>
          <w:p>
            <w:pPr>
              <w:spacing w:before="60" w:after="60"/>
              <w:jc w:val="center"/>
            </w:pPr>
            <w:r>
              <w:rPr>
                <w:sz w:val="18"/>
              </w:rPr>
              <w:t>Gistic2_CopyNumber_Gistic2_all_thresholded.by_genes.gz</w:t>
            </w:r>
          </w:p>
        </w:tc>
        <w:tc>
          <w:tcPr>
            <w:tcW w:type="dxa" w:w="1296"/>
            <w:vAlign w:val="center"/>
          </w:tcPr>
          <w:p>
            <w:pPr>
              <w:spacing w:before="60" w:after="60"/>
              <w:jc w:val="center"/>
            </w:pPr>
            <w:r>
              <w:rPr>
                <w:sz w:val="18"/>
              </w:rPr>
              <w:t>~60 MB</w:t>
            </w:r>
          </w:p>
        </w:tc>
      </w:tr>
      <w:tr>
        <w:tc>
          <w:tcPr>
            <w:tcW w:type="dxa" w:w="2160"/>
            <w:vAlign w:val="center"/>
            <w:shd w:val="clear" w:color="auto" w:fill="EBF3FB"/>
          </w:tcPr>
          <w:p>
            <w:pPr>
              <w:spacing w:before="60" w:after="60"/>
              <w:jc w:val="center"/>
            </w:pPr>
            <w:r>
              <w:rPr>
                <w:sz w:val="18"/>
              </w:rPr>
              <w:t>Clinical Phenotype</w:t>
            </w:r>
          </w:p>
        </w:tc>
        <w:tc>
          <w:tcPr>
            <w:tcW w:type="dxa" w:w="2592"/>
            <w:vAlign w:val="center"/>
            <w:shd w:val="clear" w:color="auto" w:fill="EBF3FB"/>
          </w:tcPr>
          <w:p>
            <w:pPr>
              <w:spacing w:before="60" w:after="60"/>
              <w:jc w:val="center"/>
            </w:pPr>
            <w:r>
              <w:rPr>
                <w:sz w:val="18"/>
              </w:rPr>
              <w:t>UCSC Xena PanCan</w:t>
            </w:r>
          </w:p>
        </w:tc>
        <w:tc>
          <w:tcPr>
            <w:tcW w:type="dxa" w:w="4320"/>
            <w:vAlign w:val="center"/>
            <w:shd w:val="clear" w:color="auto" w:fill="EBF3FB"/>
          </w:tcPr>
          <w:p>
            <w:pPr>
              <w:spacing w:before="60" w:after="60"/>
              <w:jc w:val="center"/>
            </w:pPr>
            <w:r>
              <w:rPr>
                <w:sz w:val="18"/>
              </w:rPr>
              <w:t>TCGA_phenotype_denseDataOnlyDownload.tsv.gz</w:t>
            </w:r>
          </w:p>
        </w:tc>
        <w:tc>
          <w:tcPr>
            <w:tcW w:type="dxa" w:w="1296"/>
            <w:vAlign w:val="center"/>
            <w:shd w:val="clear" w:color="auto" w:fill="EBF3FB"/>
          </w:tcPr>
          <w:p>
            <w:pPr>
              <w:spacing w:before="60" w:after="60"/>
              <w:jc w:val="center"/>
            </w:pPr>
            <w:r>
              <w:rPr>
                <w:sz w:val="18"/>
              </w:rPr>
              <w:t>~2 MB</w:t>
            </w:r>
          </w:p>
        </w:tc>
      </w:tr>
      <w:tr>
        <w:tc>
          <w:tcPr>
            <w:tcW w:type="dxa" w:w="2160"/>
            <w:vAlign w:val="center"/>
          </w:tcPr>
          <w:p>
            <w:pPr>
              <w:spacing w:before="60" w:after="60"/>
              <w:jc w:val="center"/>
            </w:pPr>
            <w:r>
              <w:rPr>
                <w:sz w:val="18"/>
              </w:rPr>
              <w:t>Survival (CDR)</w:t>
            </w:r>
          </w:p>
        </w:tc>
        <w:tc>
          <w:tcPr>
            <w:tcW w:type="dxa" w:w="2592"/>
            <w:vAlign w:val="center"/>
          </w:tcPr>
          <w:p>
            <w:pPr>
              <w:spacing w:before="60" w:after="60"/>
              <w:jc w:val="center"/>
            </w:pPr>
            <w:r>
              <w:rPr>
                <w:sz w:val="18"/>
              </w:rPr>
              <w:t>UCSC Xena PanCan</w:t>
            </w:r>
          </w:p>
        </w:tc>
        <w:tc>
          <w:tcPr>
            <w:tcW w:type="dxa" w:w="4320"/>
            <w:vAlign w:val="center"/>
          </w:tcPr>
          <w:p>
            <w:pPr>
              <w:spacing w:before="60" w:after="60"/>
              <w:jc w:val="center"/>
            </w:pPr>
            <w:r>
              <w:rPr>
                <w:sz w:val="18"/>
              </w:rPr>
              <w:t>Survival_SupplementalTable_S1_20171025_xena_sp</w:t>
            </w:r>
          </w:p>
        </w:tc>
        <w:tc>
          <w:tcPr>
            <w:tcW w:type="dxa" w:w="1296"/>
            <w:vAlign w:val="center"/>
          </w:tcPr>
          <w:p>
            <w:pPr>
              <w:spacing w:before="60" w:after="60"/>
              <w:jc w:val="center"/>
            </w:pPr>
            <w:r>
              <w:rPr>
                <w:sz w:val="18"/>
              </w:rPr>
              <w:t>~1 MB</w:t>
            </w:r>
          </w:p>
        </w:tc>
      </w:tr>
    </w:tbl>
    <w:p>
      <w:pPr>
        <w:spacing w:after="240"/>
      </w:pPr>
      <w:r>
        <w:rPr>
          <w:b/>
          <w:i w:val="0"/>
          <w:sz w:val="18"/>
          <w:u w:val="none"/>
        </w:rPr>
        <w:t xml:space="preserve">Table S1. </w:t>
      </w:r>
      <w:r>
        <w:rPr>
          <w:b w:val="0"/>
          <w:i/>
          <w:sz w:val="18"/>
          <w:u w:val="none"/>
        </w:rPr>
        <w:t>Data sources and file sizes for all downloaded modalities.</w:t>
      </w:r>
    </w:p>
    <w:p>
      <w:pPr>
        <w:pStyle w:val="Heading2"/>
        <w:spacing w:before="320" w:after="120"/>
      </w:pPr>
      <w:r>
        <w:t>S1.2 Expression Preprocessing Details</w:t>
      </w:r>
    </w:p>
    <w:p>
      <w:pPr>
        <w:spacing w:after="120"/>
        <w:jc w:val="both"/>
      </w:pPr>
      <w:r>
        <w:rPr>
          <w:sz w:val="22"/>
        </w:rPr>
        <w:t>TOIL recomputed expression values are stored as log2(TPM + 0.001). The TOIL floor sentinel value of log2(0.001) = -9.965 was replaced with 0 to avoid inflating variance estimates for unexpressed genes. Ensembl gene IDs were stripped of version suffixes (e.g., ENSG00000001234.5 -&gt; ENSG00000001234). Gene symbol mapping used the mygene.info REST API with batched queries (1,000 genes/request), mapping ENSG IDs to HGNC symbols and resolving 4,389 of 5,000 selected gene IDs. Unmapped IDs were retained with their Ensembl identifier. The top-5,000 variance genes were selected by computing inter-sample variance across all 10,535 samples in the expression matrix prior to alignment.</w:t>
      </w:r>
    </w:p>
    <w:p>
      <w:pPr>
        <w:pStyle w:val="Heading2"/>
        <w:spacing w:before="320" w:after="120"/>
      </w:pPr>
      <w:r>
        <w:t>S1.3 Mutation Preprocessing Details</w:t>
      </w:r>
    </w:p>
    <w:p>
      <w:pPr>
        <w:spacing w:after="120"/>
        <w:jc w:val="both"/>
      </w:pPr>
      <w:r>
        <w:rPr>
          <w:sz w:val="22"/>
        </w:rPr>
        <w:t>The MC3 MAF was filtered to retain only functional non-synonymous variant types: Missense_Mutation, Nonsense_Mutation, Frame_Shift_Del, Frame_Shift_Ins, Splice_Site, In_Frame_Del, In_Frame_Ins, Nonstop_Mutation, Translation_Start_Site, De_novo_Start_OutOfFrame. Barcodes were truncated to 15 characters to reconcile TCGA barcode formats across MAF and clinical files. Mutation calls were pivoted to a binary sample x gene presence/absence matrix using pandas pivot_table. Genes mutated in fewer than 2% of samples were excluded, yielding 1,490 retained genes from the original ~18,000 mutated genes in the MAF.</w:t>
      </w:r>
    </w:p>
    <w:p>
      <w:pPr>
        <w:pStyle w:val="Heading2"/>
        <w:spacing w:before="320" w:after="120"/>
      </w:pPr>
      <w:r>
        <w:t>S1.4 MOFA+ Implementation Details</w:t>
      </w:r>
    </w:p>
    <w:p>
      <w:pPr>
        <w:spacing w:after="120"/>
        <w:jc w:val="both"/>
      </w:pPr>
      <w:r>
        <w:rPr>
          <w:sz w:val="22"/>
        </w:rPr>
        <w:t>MOFA+ was implemented using mofapy2 version 0.7.4 (pure Python, no R dependency). Data was provided in the MOFA+ matrix API format: data[view_index][group_index]. Feature names were made globally unique across views by prefixing: expression genes kept their HGNC symbols (no prefix), mutation genes were prefixed 'M_', and CNV genes were prefixed 'C_'. This global uniqueness requirement is enforced by mofapy2 internally. Training options: ard_factors=True, ard_weights=True, spikeslab_factors=False, spikeslab_weights=True, convergence_mode='fast', iter=400, seed=42, verbose=False. Factor pruning by ARD eliminated 2 of 20 requested factors (those with zero variance explained after convergence), yielding 18 retained factors.</w:t>
      </w:r>
    </w:p>
    <w:p>
      <w:pPr>
        <w:pStyle w:val="Heading2"/>
        <w:spacing w:before="320" w:after="120"/>
      </w:pPr>
      <w:r>
        <w:t>S1.5 FT-Transformer Architecture</w:t>
      </w:r>
    </w:p>
    <w:p>
      <w:pPr>
        <w:spacing w:after="120"/>
        <w:jc w:val="both"/>
      </w:pPr>
      <w:r>
        <w:rPr>
          <w:sz w:val="22"/>
        </w:rPr>
        <w:t>The FT-Transformer consists of: (1) FeatureTokenizer: for each of n=50 input features, a learnable d_token=64 dimensional embedding computed as W_j * x_j + b_j, where W_j and b_j are per-feature learned parameters; (2) a learnable [CLS] token prepended to the feature token sequence; (3) n_layers=2 pre-norm transformer blocks, each containing: LayerNorm -&gt; MultiHeadAttention(n_heads=4) -&gt; residual, LayerNorm -&gt; FFN(d_ffn=256, GELU, dropout=0.2) -&gt; residual; (4) final LayerNorm on the [CLS] token; (5) Linear(64, 1) head outputting a scalar log-hazard ratio. Total parameters: approximately 68,000. Trained with negative Breslow-approximated Cox partial log-likelihood loss implemented in PyTorch using torch.logcumsumexp for numerical stability.</w:t>
      </w:r>
    </w:p>
    <w:p>
      <w:pPr>
        <w:pStyle w:val="Heading2"/>
        <w:spacing w:before="320" w:after="120"/>
      </w:pPr>
      <w:r>
        <w:t>S1.6 LightGBM Custom Cox Objective</w:t>
      </w:r>
    </w:p>
    <w:p>
      <w:pPr>
        <w:spacing w:after="120"/>
        <w:jc w:val="both"/>
      </w:pPr>
      <w:r>
        <w:rPr>
          <w:sz w:val="22"/>
        </w:rPr>
        <w:t>LightGBM version 4.x removed the built-in cox survival objective. A custom Breslow approximation was implemented via the params['objective'] API (not the deprecated fobj= keyword argument). The gradient and Hessian for sample i are: grad_i = -event_i + exp(f_i) * sum_{j: t_j &gt;= t_i}(event_j / sum_{k: t_k &gt;= t_j} exp(f_k)), hess_i = max(exp(f_i) * cumulative_weight_i, 1e-6). Survival labels are encoded as: label = +OS_time if OS_event==1, -OS_time if OS_event==0 (censored). The concordance index was used as the validation metric via a custom feval function.</w:t>
      </w:r>
    </w:p>
    <w:p>
      <w:r>
        <w:br w:type="page"/>
      </w:r>
    </w:p>
    <w:p>
      <w:pPr>
        <w:pStyle w:val="Heading1"/>
        <w:spacing w:before="320" w:after="120"/>
      </w:pPr>
      <w:r>
        <w:t>Section S2: Data Quality and Cohort Statistics</w:t>
      </w:r>
    </w:p>
    <w:tbl>
      <w:tblPr>
        <w:tblStyle w:val="TableGrid"/>
        <w:tblW w:type="auto" w:w="0"/>
        <w:jc w:val="center"/>
        <w:tblLook w:firstColumn="1" w:firstRow="1" w:lastColumn="0" w:lastRow="0" w:noHBand="0" w:noVBand="1" w:val="04A0"/>
      </w:tblPr>
      <w:tblGrid>
        <w:gridCol w:w="4533"/>
        <w:gridCol w:w="4533"/>
      </w:tblGrid>
      <w:tr>
        <w:tc>
          <w:tcPr>
            <w:tcW w:type="dxa" w:w="5040"/>
            <w:vAlign w:val="center"/>
            <w:shd w:val="clear" w:color="auto" w:fill="1F3864"/>
          </w:tcPr>
          <w:p>
            <w:pPr>
              <w:spacing w:before="60" w:after="60"/>
              <w:jc w:val="center"/>
            </w:pPr>
            <w:r>
              <w:rPr>
                <w:b/>
                <w:color w:val="FFFFFF"/>
                <w:sz w:val="19"/>
              </w:rPr>
              <w:t>Metric</w:t>
            </w:r>
          </w:p>
        </w:tc>
        <w:tc>
          <w:tcPr>
            <w:tcW w:type="dxa" w:w="4320"/>
            <w:vAlign w:val="center"/>
            <w:shd w:val="clear" w:color="auto" w:fill="1F3864"/>
          </w:tcPr>
          <w:p>
            <w:pPr>
              <w:spacing w:before="60" w:after="60"/>
              <w:jc w:val="center"/>
            </w:pPr>
            <w:r>
              <w:rPr>
                <w:b/>
                <w:color w:val="FFFFFF"/>
                <w:sz w:val="19"/>
              </w:rPr>
              <w:t>Value</w:t>
            </w:r>
          </w:p>
        </w:tc>
      </w:tr>
      <w:tr>
        <w:tc>
          <w:tcPr>
            <w:tcW w:type="dxa" w:w="5040"/>
            <w:vAlign w:val="center"/>
          </w:tcPr>
          <w:p>
            <w:pPr>
              <w:spacing w:before="60" w:after="60"/>
              <w:jc w:val="center"/>
            </w:pPr>
            <w:r>
              <w:rPr>
                <w:sz w:val="18"/>
              </w:rPr>
              <w:t>Total TCGA samples (expression matrix)</w:t>
            </w:r>
          </w:p>
        </w:tc>
        <w:tc>
          <w:tcPr>
            <w:tcW w:type="dxa" w:w="4320"/>
            <w:vAlign w:val="center"/>
          </w:tcPr>
          <w:p>
            <w:pPr>
              <w:spacing w:before="60" w:after="60"/>
              <w:jc w:val="center"/>
            </w:pPr>
            <w:r>
              <w:rPr>
                <w:sz w:val="18"/>
              </w:rPr>
              <w:t>10,535</w:t>
            </w:r>
          </w:p>
        </w:tc>
      </w:tr>
      <w:tr>
        <w:tc>
          <w:tcPr>
            <w:tcW w:type="dxa" w:w="5040"/>
            <w:vAlign w:val="center"/>
            <w:shd w:val="clear" w:color="auto" w:fill="EBF3FB"/>
          </w:tcPr>
          <w:p>
            <w:pPr>
              <w:spacing w:before="60" w:after="60"/>
              <w:jc w:val="center"/>
            </w:pPr>
            <w:r>
              <w:rPr>
                <w:sz w:val="18"/>
              </w:rPr>
              <w:t>Samples after multi-modal alignment</w:t>
            </w:r>
          </w:p>
        </w:tc>
        <w:tc>
          <w:tcPr>
            <w:tcW w:type="dxa" w:w="4320"/>
            <w:vAlign w:val="center"/>
            <w:shd w:val="clear" w:color="auto" w:fill="EBF3FB"/>
          </w:tcPr>
          <w:p>
            <w:pPr>
              <w:spacing w:before="60" w:after="60"/>
              <w:jc w:val="center"/>
            </w:pPr>
            <w:r>
              <w:rPr>
                <w:sz w:val="18"/>
              </w:rPr>
              <w:t>7,902</w:t>
            </w:r>
          </w:p>
        </w:tc>
      </w:tr>
      <w:tr>
        <w:tc>
          <w:tcPr>
            <w:tcW w:type="dxa" w:w="5040"/>
            <w:vAlign w:val="center"/>
          </w:tcPr>
          <w:p>
            <w:pPr>
              <w:spacing w:before="60" w:after="60"/>
              <w:jc w:val="center"/>
            </w:pPr>
            <w:r>
              <w:rPr>
                <w:sz w:val="18"/>
              </w:rPr>
              <w:t>Cancer types represented</w:t>
            </w:r>
          </w:p>
        </w:tc>
        <w:tc>
          <w:tcPr>
            <w:tcW w:type="dxa" w:w="4320"/>
            <w:vAlign w:val="center"/>
          </w:tcPr>
          <w:p>
            <w:pPr>
              <w:spacing w:before="60" w:after="60"/>
              <w:jc w:val="center"/>
            </w:pPr>
            <w:r>
              <w:rPr>
                <w:sz w:val="18"/>
              </w:rPr>
              <w:t>31</w:t>
            </w:r>
          </w:p>
        </w:tc>
      </w:tr>
      <w:tr>
        <w:tc>
          <w:tcPr>
            <w:tcW w:type="dxa" w:w="5040"/>
            <w:vAlign w:val="center"/>
            <w:shd w:val="clear" w:color="auto" w:fill="EBF3FB"/>
          </w:tcPr>
          <w:p>
            <w:pPr>
              <w:spacing w:before="60" w:after="60"/>
              <w:jc w:val="center"/>
            </w:pPr>
            <w:r>
              <w:rPr>
                <w:sz w:val="18"/>
              </w:rPr>
              <w:t>Samples with valid OS data (CDR)</w:t>
            </w:r>
          </w:p>
        </w:tc>
        <w:tc>
          <w:tcPr>
            <w:tcW w:type="dxa" w:w="4320"/>
            <w:vAlign w:val="center"/>
            <w:shd w:val="clear" w:color="auto" w:fill="EBF3FB"/>
          </w:tcPr>
          <w:p>
            <w:pPr>
              <w:spacing w:before="60" w:after="60"/>
              <w:jc w:val="center"/>
            </w:pPr>
            <w:r>
              <w:rPr>
                <w:sz w:val="18"/>
              </w:rPr>
              <w:t>7,787</w:t>
            </w:r>
          </w:p>
        </w:tc>
      </w:tr>
      <w:tr>
        <w:tc>
          <w:tcPr>
            <w:tcW w:type="dxa" w:w="5040"/>
            <w:vAlign w:val="center"/>
          </w:tcPr>
          <w:p>
            <w:pPr>
              <w:spacing w:before="60" w:after="60"/>
              <w:jc w:val="center"/>
            </w:pPr>
            <w:r>
              <w:rPr>
                <w:sz w:val="18"/>
              </w:rPr>
              <w:t>OS events (deaths)</w:t>
            </w:r>
          </w:p>
        </w:tc>
        <w:tc>
          <w:tcPr>
            <w:tcW w:type="dxa" w:w="4320"/>
            <w:vAlign w:val="center"/>
          </w:tcPr>
          <w:p>
            <w:pPr>
              <w:spacing w:before="60" w:after="60"/>
              <w:jc w:val="center"/>
            </w:pPr>
            <w:r>
              <w:rPr>
                <w:sz w:val="18"/>
              </w:rPr>
              <w:t>2,170 (27.9%)</w:t>
            </w:r>
          </w:p>
        </w:tc>
      </w:tr>
      <w:tr>
        <w:tc>
          <w:tcPr>
            <w:tcW w:type="dxa" w:w="5040"/>
            <w:vAlign w:val="center"/>
            <w:shd w:val="clear" w:color="auto" w:fill="EBF3FB"/>
          </w:tcPr>
          <w:p>
            <w:pPr>
              <w:spacing w:before="60" w:after="60"/>
              <w:jc w:val="center"/>
            </w:pPr>
            <w:r>
              <w:rPr>
                <w:sz w:val="18"/>
              </w:rPr>
              <w:t>Median OS time (days)</w:t>
            </w:r>
          </w:p>
        </w:tc>
        <w:tc>
          <w:tcPr>
            <w:tcW w:type="dxa" w:w="4320"/>
            <w:vAlign w:val="center"/>
            <w:shd w:val="clear" w:color="auto" w:fill="EBF3FB"/>
          </w:tcPr>
          <w:p>
            <w:pPr>
              <w:spacing w:before="60" w:after="60"/>
              <w:jc w:val="center"/>
            </w:pPr>
            <w:r>
              <w:rPr>
                <w:sz w:val="18"/>
              </w:rPr>
              <w:t>~1,423</w:t>
            </w:r>
          </w:p>
        </w:tc>
      </w:tr>
      <w:tr>
        <w:tc>
          <w:tcPr>
            <w:tcW w:type="dxa" w:w="5040"/>
            <w:vAlign w:val="center"/>
          </w:tcPr>
          <w:p>
            <w:pPr>
              <w:spacing w:before="60" w:after="60"/>
              <w:jc w:val="center"/>
            </w:pPr>
            <w:r>
              <w:rPr>
                <w:sz w:val="18"/>
              </w:rPr>
              <w:t>Expression genes (post-QC, top variance)</w:t>
            </w:r>
          </w:p>
        </w:tc>
        <w:tc>
          <w:tcPr>
            <w:tcW w:type="dxa" w:w="4320"/>
            <w:vAlign w:val="center"/>
          </w:tcPr>
          <w:p>
            <w:pPr>
              <w:spacing w:before="60" w:after="60"/>
              <w:jc w:val="center"/>
            </w:pPr>
            <w:r>
              <w:rPr>
                <w:sz w:val="18"/>
              </w:rPr>
              <w:t>5,000</w:t>
            </w:r>
          </w:p>
        </w:tc>
      </w:tr>
      <w:tr>
        <w:tc>
          <w:tcPr>
            <w:tcW w:type="dxa" w:w="5040"/>
            <w:vAlign w:val="center"/>
            <w:shd w:val="clear" w:color="auto" w:fill="EBF3FB"/>
          </w:tcPr>
          <w:p>
            <w:pPr>
              <w:spacing w:before="60" w:after="60"/>
              <w:jc w:val="center"/>
            </w:pPr>
            <w:r>
              <w:rPr>
                <w:sz w:val="18"/>
              </w:rPr>
              <w:t>Ensembl IDs mapped to HGNC symbols</w:t>
            </w:r>
          </w:p>
        </w:tc>
        <w:tc>
          <w:tcPr>
            <w:tcW w:type="dxa" w:w="4320"/>
            <w:vAlign w:val="center"/>
            <w:shd w:val="clear" w:color="auto" w:fill="EBF3FB"/>
          </w:tcPr>
          <w:p>
            <w:pPr>
              <w:spacing w:before="60" w:after="60"/>
              <w:jc w:val="center"/>
            </w:pPr>
            <w:r>
              <w:rPr>
                <w:sz w:val="18"/>
              </w:rPr>
              <w:t>4,389 / 5,000 (87.8%)</w:t>
            </w:r>
          </w:p>
        </w:tc>
      </w:tr>
      <w:tr>
        <w:tc>
          <w:tcPr>
            <w:tcW w:type="dxa" w:w="5040"/>
            <w:vAlign w:val="center"/>
          </w:tcPr>
          <w:p>
            <w:pPr>
              <w:spacing w:before="60" w:after="60"/>
              <w:jc w:val="center"/>
            </w:pPr>
            <w:r>
              <w:rPr>
                <w:sz w:val="18"/>
              </w:rPr>
              <w:t>Mutation genes (&gt;=2% frequency)</w:t>
            </w:r>
          </w:p>
        </w:tc>
        <w:tc>
          <w:tcPr>
            <w:tcW w:type="dxa" w:w="4320"/>
            <w:vAlign w:val="center"/>
          </w:tcPr>
          <w:p>
            <w:pPr>
              <w:spacing w:before="60" w:after="60"/>
              <w:jc w:val="center"/>
            </w:pPr>
            <w:r>
              <w:rPr>
                <w:sz w:val="18"/>
              </w:rPr>
              <w:t>1,490</w:t>
            </w:r>
          </w:p>
        </w:tc>
      </w:tr>
      <w:tr>
        <w:tc>
          <w:tcPr>
            <w:tcW w:type="dxa" w:w="5040"/>
            <w:vAlign w:val="center"/>
            <w:shd w:val="clear" w:color="auto" w:fill="EBF3FB"/>
          </w:tcPr>
          <w:p>
            <w:pPr>
              <w:spacing w:before="60" w:after="60"/>
              <w:jc w:val="center"/>
            </w:pPr>
            <w:r>
              <w:rPr>
                <w:sz w:val="18"/>
              </w:rPr>
              <w:t>CNV genes</w:t>
            </w:r>
          </w:p>
        </w:tc>
        <w:tc>
          <w:tcPr>
            <w:tcW w:type="dxa" w:w="4320"/>
            <w:vAlign w:val="center"/>
            <w:shd w:val="clear" w:color="auto" w:fill="EBF3FB"/>
          </w:tcPr>
          <w:p>
            <w:pPr>
              <w:spacing w:before="60" w:after="60"/>
              <w:jc w:val="center"/>
            </w:pPr>
            <w:r>
              <w:rPr>
                <w:sz w:val="18"/>
              </w:rPr>
              <w:t>24,776</w:t>
            </w:r>
          </w:p>
        </w:tc>
      </w:tr>
      <w:tr>
        <w:tc>
          <w:tcPr>
            <w:tcW w:type="dxa" w:w="5040"/>
            <w:vAlign w:val="center"/>
          </w:tcPr>
          <w:p>
            <w:pPr>
              <w:spacing w:before="60" w:after="60"/>
              <w:jc w:val="center"/>
            </w:pPr>
            <w:r>
              <w:rPr>
                <w:sz w:val="18"/>
              </w:rPr>
              <w:t>MOFA+ input genes (expression view)</w:t>
            </w:r>
          </w:p>
        </w:tc>
        <w:tc>
          <w:tcPr>
            <w:tcW w:type="dxa" w:w="4320"/>
            <w:vAlign w:val="center"/>
          </w:tcPr>
          <w:p>
            <w:pPr>
              <w:spacing w:before="60" w:after="60"/>
              <w:jc w:val="center"/>
            </w:pPr>
            <w:r>
              <w:rPr>
                <w:sz w:val="18"/>
              </w:rPr>
              <w:t>1,000</w:t>
            </w:r>
          </w:p>
        </w:tc>
      </w:tr>
      <w:tr>
        <w:tc>
          <w:tcPr>
            <w:tcW w:type="dxa" w:w="5040"/>
            <w:vAlign w:val="center"/>
            <w:shd w:val="clear" w:color="auto" w:fill="EBF3FB"/>
          </w:tcPr>
          <w:p>
            <w:pPr>
              <w:spacing w:before="60" w:after="60"/>
              <w:jc w:val="center"/>
            </w:pPr>
            <w:r>
              <w:rPr>
                <w:sz w:val="18"/>
              </w:rPr>
              <w:t>MOFA+ input genes (mutation view)</w:t>
            </w:r>
          </w:p>
        </w:tc>
        <w:tc>
          <w:tcPr>
            <w:tcW w:type="dxa" w:w="4320"/>
            <w:vAlign w:val="center"/>
            <w:shd w:val="clear" w:color="auto" w:fill="EBF3FB"/>
          </w:tcPr>
          <w:p>
            <w:pPr>
              <w:spacing w:before="60" w:after="60"/>
              <w:jc w:val="center"/>
            </w:pPr>
            <w:r>
              <w:rPr>
                <w:sz w:val="18"/>
              </w:rPr>
              <w:t>300</w:t>
            </w:r>
          </w:p>
        </w:tc>
      </w:tr>
      <w:tr>
        <w:tc>
          <w:tcPr>
            <w:tcW w:type="dxa" w:w="5040"/>
            <w:vAlign w:val="center"/>
          </w:tcPr>
          <w:p>
            <w:pPr>
              <w:spacing w:before="60" w:after="60"/>
              <w:jc w:val="center"/>
            </w:pPr>
            <w:r>
              <w:rPr>
                <w:sz w:val="18"/>
              </w:rPr>
              <w:t>MOFA+ input genes (CNV view)</w:t>
            </w:r>
          </w:p>
        </w:tc>
        <w:tc>
          <w:tcPr>
            <w:tcW w:type="dxa" w:w="4320"/>
            <w:vAlign w:val="center"/>
          </w:tcPr>
          <w:p>
            <w:pPr>
              <w:spacing w:before="60" w:after="60"/>
              <w:jc w:val="center"/>
            </w:pPr>
            <w:r>
              <w:rPr>
                <w:sz w:val="18"/>
              </w:rPr>
              <w:t>1,000</w:t>
            </w:r>
          </w:p>
        </w:tc>
      </w:tr>
      <w:tr>
        <w:tc>
          <w:tcPr>
            <w:tcW w:type="dxa" w:w="5040"/>
            <w:vAlign w:val="center"/>
            <w:shd w:val="clear" w:color="auto" w:fill="EBF3FB"/>
          </w:tcPr>
          <w:p>
            <w:pPr>
              <w:spacing w:before="60" w:after="60"/>
              <w:jc w:val="center"/>
            </w:pPr>
            <w:r>
              <w:rPr>
                <w:sz w:val="18"/>
              </w:rPr>
              <w:t>MOFA+ factors retained</w:t>
            </w:r>
          </w:p>
        </w:tc>
        <w:tc>
          <w:tcPr>
            <w:tcW w:type="dxa" w:w="4320"/>
            <w:vAlign w:val="center"/>
            <w:shd w:val="clear" w:color="auto" w:fill="EBF3FB"/>
          </w:tcPr>
          <w:p>
            <w:pPr>
              <w:spacing w:before="60" w:after="60"/>
              <w:jc w:val="center"/>
            </w:pPr>
            <w:r>
              <w:rPr>
                <w:sz w:val="18"/>
              </w:rPr>
              <w:t>18 (of 20 requested)</w:t>
            </w:r>
          </w:p>
        </w:tc>
      </w:tr>
      <w:tr>
        <w:tc>
          <w:tcPr>
            <w:tcW w:type="dxa" w:w="5040"/>
            <w:vAlign w:val="center"/>
          </w:tcPr>
          <w:p>
            <w:pPr>
              <w:spacing w:before="60" w:after="60"/>
              <w:jc w:val="center"/>
            </w:pPr>
            <w:r>
              <w:rPr>
                <w:sz w:val="18"/>
              </w:rPr>
              <w:t>Survival model training samples</w:t>
            </w:r>
          </w:p>
        </w:tc>
        <w:tc>
          <w:tcPr>
            <w:tcW w:type="dxa" w:w="4320"/>
            <w:vAlign w:val="center"/>
          </w:tcPr>
          <w:p>
            <w:pPr>
              <w:spacing w:before="60" w:after="60"/>
              <w:jc w:val="center"/>
            </w:pPr>
            <w:r>
              <w:rPr>
                <w:sz w:val="18"/>
              </w:rPr>
              <w:t>7,787</w:t>
            </w:r>
          </w:p>
        </w:tc>
      </w:tr>
      <w:tr>
        <w:tc>
          <w:tcPr>
            <w:tcW w:type="dxa" w:w="5040"/>
            <w:vAlign w:val="center"/>
            <w:shd w:val="clear" w:color="auto" w:fill="EBF3FB"/>
          </w:tcPr>
          <w:p>
            <w:pPr>
              <w:spacing w:before="60" w:after="60"/>
              <w:jc w:val="center"/>
            </w:pPr>
            <w:r>
              <w:rPr>
                <w:sz w:val="18"/>
              </w:rPr>
              <w:t>5-fold CV folds</w:t>
            </w:r>
          </w:p>
        </w:tc>
        <w:tc>
          <w:tcPr>
            <w:tcW w:type="dxa" w:w="4320"/>
            <w:vAlign w:val="center"/>
            <w:shd w:val="clear" w:color="auto" w:fill="EBF3FB"/>
          </w:tcPr>
          <w:p>
            <w:pPr>
              <w:spacing w:before="60" w:after="60"/>
              <w:jc w:val="center"/>
            </w:pPr>
            <w:r>
              <w:rPr>
                <w:sz w:val="18"/>
              </w:rPr>
              <w:t>5 (stratified by OS event)</w:t>
            </w:r>
          </w:p>
        </w:tc>
      </w:tr>
    </w:tbl>
    <w:p>
      <w:pPr>
        <w:spacing w:after="240"/>
      </w:pPr>
      <w:r>
        <w:rPr>
          <w:b/>
          <w:i w:val="0"/>
          <w:sz w:val="18"/>
          <w:u w:val="none"/>
        </w:rPr>
        <w:t xml:space="preserve">Table S2. </w:t>
      </w:r>
      <w:r>
        <w:rPr>
          <w:b w:val="0"/>
          <w:i/>
          <w:sz w:val="18"/>
          <w:u w:val="none"/>
        </w:rPr>
        <w:t>Complete cohort statistics and data dimensions across all processing stages.</w:t>
      </w:r>
    </w:p>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3168"/>
            <w:vAlign w:val="center"/>
            <w:shd w:val="clear" w:color="auto" w:fill="1F3864"/>
          </w:tcPr>
          <w:p>
            <w:pPr>
              <w:spacing w:before="60" w:after="60"/>
              <w:jc w:val="center"/>
            </w:pPr>
            <w:r>
              <w:rPr>
                <w:b/>
                <w:color w:val="FFFFFF"/>
                <w:sz w:val="19"/>
              </w:rPr>
              <w:t>Cancer Type</w:t>
            </w:r>
          </w:p>
        </w:tc>
        <w:tc>
          <w:tcPr>
            <w:tcW w:type="dxa" w:w="1584"/>
            <w:vAlign w:val="center"/>
            <w:shd w:val="clear" w:color="auto" w:fill="1F3864"/>
          </w:tcPr>
          <w:p>
            <w:pPr>
              <w:spacing w:before="60" w:after="60"/>
              <w:jc w:val="center"/>
            </w:pPr>
            <w:r>
              <w:rPr>
                <w:b/>
                <w:color w:val="FFFFFF"/>
                <w:sz w:val="19"/>
              </w:rPr>
              <w:t>TCGA Code</w:t>
            </w:r>
          </w:p>
        </w:tc>
        <w:tc>
          <w:tcPr>
            <w:tcW w:type="dxa" w:w="1440"/>
            <w:vAlign w:val="center"/>
            <w:shd w:val="clear" w:color="auto" w:fill="1F3864"/>
          </w:tcPr>
          <w:p>
            <w:pPr>
              <w:spacing w:before="60" w:after="60"/>
              <w:jc w:val="center"/>
            </w:pPr>
            <w:r>
              <w:rPr>
                <w:b/>
                <w:color w:val="FFFFFF"/>
                <w:sz w:val="19"/>
              </w:rPr>
              <w:t>N Samples</w:t>
            </w:r>
          </w:p>
        </w:tc>
        <w:tc>
          <w:tcPr>
            <w:tcW w:type="dxa" w:w="1440"/>
            <w:vAlign w:val="center"/>
            <w:shd w:val="clear" w:color="auto" w:fill="1F3864"/>
          </w:tcPr>
          <w:p>
            <w:pPr>
              <w:spacing w:before="60" w:after="60"/>
              <w:jc w:val="center"/>
            </w:pPr>
            <w:r>
              <w:rPr>
                <w:b/>
                <w:color w:val="FFFFFF"/>
                <w:sz w:val="19"/>
              </w:rPr>
              <w:t>N Events</w:t>
            </w:r>
          </w:p>
        </w:tc>
        <w:tc>
          <w:tcPr>
            <w:tcW w:type="dxa" w:w="1440"/>
            <w:vAlign w:val="center"/>
            <w:shd w:val="clear" w:color="auto" w:fill="1F3864"/>
          </w:tcPr>
          <w:p>
            <w:pPr>
              <w:spacing w:before="60" w:after="60"/>
              <w:jc w:val="center"/>
            </w:pPr>
            <w:r>
              <w:rPr>
                <w:b/>
                <w:color w:val="FFFFFF"/>
                <w:sz w:val="19"/>
              </w:rPr>
              <w:t>Event Rate</w:t>
            </w:r>
          </w:p>
        </w:tc>
      </w:tr>
      <w:tr>
        <w:tc>
          <w:tcPr>
            <w:tcW w:type="dxa" w:w="3168"/>
            <w:vAlign w:val="center"/>
          </w:tcPr>
          <w:p>
            <w:pPr>
              <w:spacing w:before="60" w:after="60"/>
              <w:jc w:val="center"/>
            </w:pPr>
            <w:r>
              <w:rPr>
                <w:sz w:val="18"/>
              </w:rPr>
              <w:t>Breast Invasive Carcinoma</w:t>
            </w:r>
          </w:p>
        </w:tc>
        <w:tc>
          <w:tcPr>
            <w:tcW w:type="dxa" w:w="1584"/>
            <w:vAlign w:val="center"/>
          </w:tcPr>
          <w:p>
            <w:pPr>
              <w:spacing w:before="60" w:after="60"/>
              <w:jc w:val="center"/>
            </w:pPr>
            <w:r>
              <w:rPr>
                <w:sz w:val="18"/>
              </w:rPr>
              <w:t>BRCA</w:t>
            </w:r>
          </w:p>
        </w:tc>
        <w:tc>
          <w:tcPr>
            <w:tcW w:type="dxa" w:w="1440"/>
            <w:vAlign w:val="center"/>
          </w:tcPr>
          <w:p>
            <w:pPr>
              <w:spacing w:before="60" w:after="60"/>
              <w:jc w:val="center"/>
            </w:pPr>
            <w:r>
              <w:rPr>
                <w:sz w:val="18"/>
              </w:rPr>
              <w:t>~1,030</w:t>
            </w:r>
          </w:p>
        </w:tc>
        <w:tc>
          <w:tcPr>
            <w:tcW w:type="dxa" w:w="1440"/>
            <w:vAlign w:val="center"/>
          </w:tcPr>
          <w:p>
            <w:pPr>
              <w:spacing w:before="60" w:after="60"/>
              <w:jc w:val="center"/>
            </w:pPr>
            <w:r>
              <w:rPr>
                <w:sz w:val="18"/>
              </w:rPr>
              <w:t>~121</w:t>
            </w:r>
          </w:p>
        </w:tc>
        <w:tc>
          <w:tcPr>
            <w:tcW w:type="dxa" w:w="1440"/>
            <w:vAlign w:val="center"/>
          </w:tcPr>
          <w:p>
            <w:pPr>
              <w:spacing w:before="60" w:after="60"/>
              <w:jc w:val="center"/>
            </w:pPr>
            <w:r>
              <w:rPr>
                <w:sz w:val="18"/>
              </w:rPr>
              <w:t>11.7%</w:t>
            </w:r>
          </w:p>
        </w:tc>
      </w:tr>
      <w:tr>
        <w:tc>
          <w:tcPr>
            <w:tcW w:type="dxa" w:w="3168"/>
            <w:vAlign w:val="center"/>
            <w:shd w:val="clear" w:color="auto" w:fill="EBF3FB"/>
          </w:tcPr>
          <w:p>
            <w:pPr>
              <w:spacing w:before="60" w:after="60"/>
              <w:jc w:val="center"/>
            </w:pPr>
            <w:r>
              <w:rPr>
                <w:sz w:val="18"/>
              </w:rPr>
              <w:t>Kidney Clear Cell Carcinoma</w:t>
            </w:r>
          </w:p>
        </w:tc>
        <w:tc>
          <w:tcPr>
            <w:tcW w:type="dxa" w:w="1584"/>
            <w:vAlign w:val="center"/>
            <w:shd w:val="clear" w:color="auto" w:fill="EBF3FB"/>
          </w:tcPr>
          <w:p>
            <w:pPr>
              <w:spacing w:before="60" w:after="60"/>
              <w:jc w:val="center"/>
            </w:pPr>
            <w:r>
              <w:rPr>
                <w:sz w:val="18"/>
              </w:rPr>
              <w:t>KIRC</w:t>
            </w:r>
          </w:p>
        </w:tc>
        <w:tc>
          <w:tcPr>
            <w:tcW w:type="dxa" w:w="1440"/>
            <w:vAlign w:val="center"/>
            <w:shd w:val="clear" w:color="auto" w:fill="EBF3FB"/>
          </w:tcPr>
          <w:p>
            <w:pPr>
              <w:spacing w:before="60" w:after="60"/>
              <w:jc w:val="center"/>
            </w:pPr>
            <w:r>
              <w:rPr>
                <w:sz w:val="18"/>
              </w:rPr>
              <w:t>~530</w:t>
            </w:r>
          </w:p>
        </w:tc>
        <w:tc>
          <w:tcPr>
            <w:tcW w:type="dxa" w:w="1440"/>
            <w:vAlign w:val="center"/>
            <w:shd w:val="clear" w:color="auto" w:fill="EBF3FB"/>
          </w:tcPr>
          <w:p>
            <w:pPr>
              <w:spacing w:before="60" w:after="60"/>
              <w:jc w:val="center"/>
            </w:pPr>
            <w:r>
              <w:rPr>
                <w:sz w:val="18"/>
              </w:rPr>
              <w:t>~178</w:t>
            </w:r>
          </w:p>
        </w:tc>
        <w:tc>
          <w:tcPr>
            <w:tcW w:type="dxa" w:w="1440"/>
            <w:vAlign w:val="center"/>
            <w:shd w:val="clear" w:color="auto" w:fill="EBF3FB"/>
          </w:tcPr>
          <w:p>
            <w:pPr>
              <w:spacing w:before="60" w:after="60"/>
              <w:jc w:val="center"/>
            </w:pPr>
            <w:r>
              <w:rPr>
                <w:sz w:val="18"/>
              </w:rPr>
              <w:t>33.6%</w:t>
            </w:r>
          </w:p>
        </w:tc>
      </w:tr>
      <w:tr>
        <w:tc>
          <w:tcPr>
            <w:tcW w:type="dxa" w:w="3168"/>
            <w:vAlign w:val="center"/>
          </w:tcPr>
          <w:p>
            <w:pPr>
              <w:spacing w:before="60" w:after="60"/>
              <w:jc w:val="center"/>
            </w:pPr>
            <w:r>
              <w:rPr>
                <w:sz w:val="18"/>
              </w:rPr>
              <w:t>Uterine Corpus Endometrioid</w:t>
            </w:r>
          </w:p>
        </w:tc>
        <w:tc>
          <w:tcPr>
            <w:tcW w:type="dxa" w:w="1584"/>
            <w:vAlign w:val="center"/>
          </w:tcPr>
          <w:p>
            <w:pPr>
              <w:spacing w:before="60" w:after="60"/>
              <w:jc w:val="center"/>
            </w:pPr>
            <w:r>
              <w:rPr>
                <w:sz w:val="18"/>
              </w:rPr>
              <w:t>UCEC</w:t>
            </w:r>
          </w:p>
        </w:tc>
        <w:tc>
          <w:tcPr>
            <w:tcW w:type="dxa" w:w="1440"/>
            <w:vAlign w:val="center"/>
          </w:tcPr>
          <w:p>
            <w:pPr>
              <w:spacing w:before="60" w:after="60"/>
              <w:jc w:val="center"/>
            </w:pPr>
            <w:r>
              <w:rPr>
                <w:sz w:val="18"/>
              </w:rPr>
              <w:t>~530</w:t>
            </w:r>
          </w:p>
        </w:tc>
        <w:tc>
          <w:tcPr>
            <w:tcW w:type="dxa" w:w="1440"/>
            <w:vAlign w:val="center"/>
          </w:tcPr>
          <w:p>
            <w:pPr>
              <w:spacing w:before="60" w:after="60"/>
              <w:jc w:val="center"/>
            </w:pPr>
            <w:r>
              <w:rPr>
                <w:sz w:val="18"/>
              </w:rPr>
              <w:t>~77</w:t>
            </w:r>
          </w:p>
        </w:tc>
        <w:tc>
          <w:tcPr>
            <w:tcW w:type="dxa" w:w="1440"/>
            <w:vAlign w:val="center"/>
          </w:tcPr>
          <w:p>
            <w:pPr>
              <w:spacing w:before="60" w:after="60"/>
              <w:jc w:val="center"/>
            </w:pPr>
            <w:r>
              <w:rPr>
                <w:sz w:val="18"/>
              </w:rPr>
              <w:t>14.5%</w:t>
            </w:r>
          </w:p>
        </w:tc>
      </w:tr>
      <w:tr>
        <w:tc>
          <w:tcPr>
            <w:tcW w:type="dxa" w:w="3168"/>
            <w:vAlign w:val="center"/>
            <w:shd w:val="clear" w:color="auto" w:fill="EBF3FB"/>
          </w:tcPr>
          <w:p>
            <w:pPr>
              <w:spacing w:before="60" w:after="60"/>
              <w:jc w:val="center"/>
            </w:pPr>
            <w:r>
              <w:rPr>
                <w:sz w:val="18"/>
              </w:rPr>
              <w:t>Lung Adenocarcinoma</w:t>
            </w:r>
          </w:p>
        </w:tc>
        <w:tc>
          <w:tcPr>
            <w:tcW w:type="dxa" w:w="1584"/>
            <w:vAlign w:val="center"/>
            <w:shd w:val="clear" w:color="auto" w:fill="EBF3FB"/>
          </w:tcPr>
          <w:p>
            <w:pPr>
              <w:spacing w:before="60" w:after="60"/>
              <w:jc w:val="center"/>
            </w:pPr>
            <w:r>
              <w:rPr>
                <w:sz w:val="18"/>
              </w:rPr>
              <w:t>LUAD</w:t>
            </w:r>
          </w:p>
        </w:tc>
        <w:tc>
          <w:tcPr>
            <w:tcW w:type="dxa" w:w="1440"/>
            <w:vAlign w:val="center"/>
            <w:shd w:val="clear" w:color="auto" w:fill="EBF3FB"/>
          </w:tcPr>
          <w:p>
            <w:pPr>
              <w:spacing w:before="60" w:after="60"/>
              <w:jc w:val="center"/>
            </w:pPr>
            <w:r>
              <w:rPr>
                <w:sz w:val="18"/>
              </w:rPr>
              <w:t>~510</w:t>
            </w:r>
          </w:p>
        </w:tc>
        <w:tc>
          <w:tcPr>
            <w:tcW w:type="dxa" w:w="1440"/>
            <w:vAlign w:val="center"/>
            <w:shd w:val="clear" w:color="auto" w:fill="EBF3FB"/>
          </w:tcPr>
          <w:p>
            <w:pPr>
              <w:spacing w:before="60" w:after="60"/>
              <w:jc w:val="center"/>
            </w:pPr>
            <w:r>
              <w:rPr>
                <w:sz w:val="18"/>
              </w:rPr>
              <w:t>~180</w:t>
            </w:r>
          </w:p>
        </w:tc>
        <w:tc>
          <w:tcPr>
            <w:tcW w:type="dxa" w:w="1440"/>
            <w:vAlign w:val="center"/>
            <w:shd w:val="clear" w:color="auto" w:fill="EBF3FB"/>
          </w:tcPr>
          <w:p>
            <w:pPr>
              <w:spacing w:before="60" w:after="60"/>
              <w:jc w:val="center"/>
            </w:pPr>
            <w:r>
              <w:rPr>
                <w:sz w:val="18"/>
              </w:rPr>
              <w:t>35.3%</w:t>
            </w:r>
          </w:p>
        </w:tc>
      </w:tr>
      <w:tr>
        <w:tc>
          <w:tcPr>
            <w:tcW w:type="dxa" w:w="3168"/>
            <w:vAlign w:val="center"/>
          </w:tcPr>
          <w:p>
            <w:pPr>
              <w:spacing w:before="60" w:after="60"/>
              <w:jc w:val="center"/>
            </w:pPr>
            <w:r>
              <w:rPr>
                <w:sz w:val="18"/>
              </w:rPr>
              <w:t>Thyroid Carcinoma</w:t>
            </w:r>
          </w:p>
        </w:tc>
        <w:tc>
          <w:tcPr>
            <w:tcW w:type="dxa" w:w="1584"/>
            <w:vAlign w:val="center"/>
          </w:tcPr>
          <w:p>
            <w:pPr>
              <w:spacing w:before="60" w:after="60"/>
              <w:jc w:val="center"/>
            </w:pPr>
            <w:r>
              <w:rPr>
                <w:sz w:val="18"/>
              </w:rPr>
              <w:t>THCA</w:t>
            </w:r>
          </w:p>
        </w:tc>
        <w:tc>
          <w:tcPr>
            <w:tcW w:type="dxa" w:w="1440"/>
            <w:vAlign w:val="center"/>
          </w:tcPr>
          <w:p>
            <w:pPr>
              <w:spacing w:before="60" w:after="60"/>
              <w:jc w:val="center"/>
            </w:pPr>
            <w:r>
              <w:rPr>
                <w:sz w:val="18"/>
              </w:rPr>
              <w:t>~500</w:t>
            </w:r>
          </w:p>
        </w:tc>
        <w:tc>
          <w:tcPr>
            <w:tcW w:type="dxa" w:w="1440"/>
            <w:vAlign w:val="center"/>
          </w:tcPr>
          <w:p>
            <w:pPr>
              <w:spacing w:before="60" w:after="60"/>
              <w:jc w:val="center"/>
            </w:pPr>
            <w:r>
              <w:rPr>
                <w:sz w:val="18"/>
              </w:rPr>
              <w:t>~14</w:t>
            </w:r>
          </w:p>
        </w:tc>
        <w:tc>
          <w:tcPr>
            <w:tcW w:type="dxa" w:w="1440"/>
            <w:vAlign w:val="center"/>
          </w:tcPr>
          <w:p>
            <w:pPr>
              <w:spacing w:before="60" w:after="60"/>
              <w:jc w:val="center"/>
            </w:pPr>
            <w:r>
              <w:rPr>
                <w:sz w:val="18"/>
              </w:rPr>
              <w:t>2.8%</w:t>
            </w:r>
          </w:p>
        </w:tc>
      </w:tr>
      <w:tr>
        <w:tc>
          <w:tcPr>
            <w:tcW w:type="dxa" w:w="3168"/>
            <w:vAlign w:val="center"/>
            <w:shd w:val="clear" w:color="auto" w:fill="EBF3FB"/>
          </w:tcPr>
          <w:p>
            <w:pPr>
              <w:spacing w:before="60" w:after="60"/>
              <w:jc w:val="center"/>
            </w:pPr>
            <w:r>
              <w:rPr>
                <w:sz w:val="18"/>
              </w:rPr>
              <w:t>Head &amp; Neck Squamous</w:t>
            </w:r>
          </w:p>
        </w:tc>
        <w:tc>
          <w:tcPr>
            <w:tcW w:type="dxa" w:w="1584"/>
            <w:vAlign w:val="center"/>
            <w:shd w:val="clear" w:color="auto" w:fill="EBF3FB"/>
          </w:tcPr>
          <w:p>
            <w:pPr>
              <w:spacing w:before="60" w:after="60"/>
              <w:jc w:val="center"/>
            </w:pPr>
            <w:r>
              <w:rPr>
                <w:sz w:val="18"/>
              </w:rPr>
              <w:t>HNSC</w:t>
            </w:r>
          </w:p>
        </w:tc>
        <w:tc>
          <w:tcPr>
            <w:tcW w:type="dxa" w:w="1440"/>
            <w:vAlign w:val="center"/>
            <w:shd w:val="clear" w:color="auto" w:fill="EBF3FB"/>
          </w:tcPr>
          <w:p>
            <w:pPr>
              <w:spacing w:before="60" w:after="60"/>
              <w:jc w:val="center"/>
            </w:pPr>
            <w:r>
              <w:rPr>
                <w:sz w:val="18"/>
              </w:rPr>
              <w:t>~500</w:t>
            </w:r>
          </w:p>
        </w:tc>
        <w:tc>
          <w:tcPr>
            <w:tcW w:type="dxa" w:w="1440"/>
            <w:vAlign w:val="center"/>
            <w:shd w:val="clear" w:color="auto" w:fill="EBF3FB"/>
          </w:tcPr>
          <w:p>
            <w:pPr>
              <w:spacing w:before="60" w:after="60"/>
              <w:jc w:val="center"/>
            </w:pPr>
            <w:r>
              <w:rPr>
                <w:sz w:val="18"/>
              </w:rPr>
              <w:t>~224</w:t>
            </w:r>
          </w:p>
        </w:tc>
        <w:tc>
          <w:tcPr>
            <w:tcW w:type="dxa" w:w="1440"/>
            <w:vAlign w:val="center"/>
            <w:shd w:val="clear" w:color="auto" w:fill="EBF3FB"/>
          </w:tcPr>
          <w:p>
            <w:pPr>
              <w:spacing w:before="60" w:after="60"/>
              <w:jc w:val="center"/>
            </w:pPr>
            <w:r>
              <w:rPr>
                <w:sz w:val="18"/>
              </w:rPr>
              <w:t>44.8%</w:t>
            </w:r>
          </w:p>
        </w:tc>
      </w:tr>
      <w:tr>
        <w:tc>
          <w:tcPr>
            <w:tcW w:type="dxa" w:w="3168"/>
            <w:vAlign w:val="center"/>
          </w:tcPr>
          <w:p>
            <w:pPr>
              <w:spacing w:before="60" w:after="60"/>
              <w:jc w:val="center"/>
            </w:pPr>
            <w:r>
              <w:rPr>
                <w:sz w:val="18"/>
              </w:rPr>
              <w:t>Colon Adenocarcinoma</w:t>
            </w:r>
          </w:p>
        </w:tc>
        <w:tc>
          <w:tcPr>
            <w:tcW w:type="dxa" w:w="1584"/>
            <w:vAlign w:val="center"/>
          </w:tcPr>
          <w:p>
            <w:pPr>
              <w:spacing w:before="60" w:after="60"/>
              <w:jc w:val="center"/>
            </w:pPr>
            <w:r>
              <w:rPr>
                <w:sz w:val="18"/>
              </w:rPr>
              <w:t>COAD</w:t>
            </w:r>
          </w:p>
        </w:tc>
        <w:tc>
          <w:tcPr>
            <w:tcW w:type="dxa" w:w="1440"/>
            <w:vAlign w:val="center"/>
          </w:tcPr>
          <w:p>
            <w:pPr>
              <w:spacing w:before="60" w:after="60"/>
              <w:jc w:val="center"/>
            </w:pPr>
            <w:r>
              <w:rPr>
                <w:sz w:val="18"/>
              </w:rPr>
              <w:t>~455</w:t>
            </w:r>
          </w:p>
        </w:tc>
        <w:tc>
          <w:tcPr>
            <w:tcW w:type="dxa" w:w="1440"/>
            <w:vAlign w:val="center"/>
          </w:tcPr>
          <w:p>
            <w:pPr>
              <w:spacing w:before="60" w:after="60"/>
              <w:jc w:val="center"/>
            </w:pPr>
            <w:r>
              <w:rPr>
                <w:sz w:val="18"/>
              </w:rPr>
              <w:t>~100</w:t>
            </w:r>
          </w:p>
        </w:tc>
        <w:tc>
          <w:tcPr>
            <w:tcW w:type="dxa" w:w="1440"/>
            <w:vAlign w:val="center"/>
          </w:tcPr>
          <w:p>
            <w:pPr>
              <w:spacing w:before="60" w:after="60"/>
              <w:jc w:val="center"/>
            </w:pPr>
            <w:r>
              <w:rPr>
                <w:sz w:val="18"/>
              </w:rPr>
              <w:t>22.0%</w:t>
            </w:r>
          </w:p>
        </w:tc>
      </w:tr>
      <w:tr>
        <w:tc>
          <w:tcPr>
            <w:tcW w:type="dxa" w:w="3168"/>
            <w:vAlign w:val="center"/>
            <w:shd w:val="clear" w:color="auto" w:fill="EBF3FB"/>
          </w:tcPr>
          <w:p>
            <w:pPr>
              <w:spacing w:before="60" w:after="60"/>
              <w:jc w:val="center"/>
            </w:pPr>
            <w:r>
              <w:rPr>
                <w:sz w:val="18"/>
              </w:rPr>
              <w:t>Low Grade Glioma</w:t>
            </w:r>
          </w:p>
        </w:tc>
        <w:tc>
          <w:tcPr>
            <w:tcW w:type="dxa" w:w="1584"/>
            <w:vAlign w:val="center"/>
            <w:shd w:val="clear" w:color="auto" w:fill="EBF3FB"/>
          </w:tcPr>
          <w:p>
            <w:pPr>
              <w:spacing w:before="60" w:after="60"/>
              <w:jc w:val="center"/>
            </w:pPr>
            <w:r>
              <w:rPr>
                <w:sz w:val="18"/>
              </w:rPr>
              <w:t>LGG</w:t>
            </w:r>
          </w:p>
        </w:tc>
        <w:tc>
          <w:tcPr>
            <w:tcW w:type="dxa" w:w="1440"/>
            <w:vAlign w:val="center"/>
            <w:shd w:val="clear" w:color="auto" w:fill="EBF3FB"/>
          </w:tcPr>
          <w:p>
            <w:pPr>
              <w:spacing w:before="60" w:after="60"/>
              <w:jc w:val="center"/>
            </w:pPr>
            <w:r>
              <w:rPr>
                <w:sz w:val="18"/>
              </w:rPr>
              <w:t>~510</w:t>
            </w:r>
          </w:p>
        </w:tc>
        <w:tc>
          <w:tcPr>
            <w:tcW w:type="dxa" w:w="1440"/>
            <w:vAlign w:val="center"/>
            <w:shd w:val="clear" w:color="auto" w:fill="EBF3FB"/>
          </w:tcPr>
          <w:p>
            <w:pPr>
              <w:spacing w:before="60" w:after="60"/>
              <w:jc w:val="center"/>
            </w:pPr>
            <w:r>
              <w:rPr>
                <w:sz w:val="18"/>
              </w:rPr>
              <w:t>~96</w:t>
            </w:r>
          </w:p>
        </w:tc>
        <w:tc>
          <w:tcPr>
            <w:tcW w:type="dxa" w:w="1440"/>
            <w:vAlign w:val="center"/>
            <w:shd w:val="clear" w:color="auto" w:fill="EBF3FB"/>
          </w:tcPr>
          <w:p>
            <w:pPr>
              <w:spacing w:before="60" w:after="60"/>
              <w:jc w:val="center"/>
            </w:pPr>
            <w:r>
              <w:rPr>
                <w:sz w:val="18"/>
              </w:rPr>
              <w:t>18.8%</w:t>
            </w:r>
          </w:p>
        </w:tc>
      </w:tr>
      <w:tr>
        <w:tc>
          <w:tcPr>
            <w:tcW w:type="dxa" w:w="3168"/>
            <w:vAlign w:val="center"/>
          </w:tcPr>
          <w:p>
            <w:pPr>
              <w:spacing w:before="60" w:after="60"/>
              <w:jc w:val="center"/>
            </w:pPr>
            <w:r>
              <w:rPr>
                <w:sz w:val="18"/>
              </w:rPr>
              <w:t>Prostate Adenocarcinoma</w:t>
            </w:r>
          </w:p>
        </w:tc>
        <w:tc>
          <w:tcPr>
            <w:tcW w:type="dxa" w:w="1584"/>
            <w:vAlign w:val="center"/>
          </w:tcPr>
          <w:p>
            <w:pPr>
              <w:spacing w:before="60" w:after="60"/>
              <w:jc w:val="center"/>
            </w:pPr>
            <w:r>
              <w:rPr>
                <w:sz w:val="18"/>
              </w:rPr>
              <w:t>PRAD</w:t>
            </w:r>
          </w:p>
        </w:tc>
        <w:tc>
          <w:tcPr>
            <w:tcW w:type="dxa" w:w="1440"/>
            <w:vAlign w:val="center"/>
          </w:tcPr>
          <w:p>
            <w:pPr>
              <w:spacing w:before="60" w:after="60"/>
              <w:jc w:val="center"/>
            </w:pPr>
            <w:r>
              <w:rPr>
                <w:sz w:val="18"/>
              </w:rPr>
              <w:t>~495</w:t>
            </w:r>
          </w:p>
        </w:tc>
        <w:tc>
          <w:tcPr>
            <w:tcW w:type="dxa" w:w="1440"/>
            <w:vAlign w:val="center"/>
          </w:tcPr>
          <w:p>
            <w:pPr>
              <w:spacing w:before="60" w:after="60"/>
              <w:jc w:val="center"/>
            </w:pPr>
            <w:r>
              <w:rPr>
                <w:sz w:val="18"/>
              </w:rPr>
              <w:t>~20</w:t>
            </w:r>
          </w:p>
        </w:tc>
        <w:tc>
          <w:tcPr>
            <w:tcW w:type="dxa" w:w="1440"/>
            <w:vAlign w:val="center"/>
          </w:tcPr>
          <w:p>
            <w:pPr>
              <w:spacing w:before="60" w:after="60"/>
              <w:jc w:val="center"/>
            </w:pPr>
            <w:r>
              <w:rPr>
                <w:sz w:val="18"/>
              </w:rPr>
              <w:t>4.0%</w:t>
            </w:r>
          </w:p>
        </w:tc>
      </w:tr>
      <w:tr>
        <w:tc>
          <w:tcPr>
            <w:tcW w:type="dxa" w:w="3168"/>
            <w:vAlign w:val="center"/>
            <w:shd w:val="clear" w:color="auto" w:fill="EBF3FB"/>
          </w:tcPr>
          <w:p>
            <w:pPr>
              <w:spacing w:before="60" w:after="60"/>
              <w:jc w:val="center"/>
            </w:pPr>
            <w:r>
              <w:rPr>
                <w:sz w:val="18"/>
              </w:rPr>
              <w:t>Lung Squamous Cell</w:t>
            </w:r>
          </w:p>
        </w:tc>
        <w:tc>
          <w:tcPr>
            <w:tcW w:type="dxa" w:w="1584"/>
            <w:vAlign w:val="center"/>
            <w:shd w:val="clear" w:color="auto" w:fill="EBF3FB"/>
          </w:tcPr>
          <w:p>
            <w:pPr>
              <w:spacing w:before="60" w:after="60"/>
              <w:jc w:val="center"/>
            </w:pPr>
            <w:r>
              <w:rPr>
                <w:sz w:val="18"/>
              </w:rPr>
              <w:t>LUSC</w:t>
            </w:r>
          </w:p>
        </w:tc>
        <w:tc>
          <w:tcPr>
            <w:tcW w:type="dxa" w:w="1440"/>
            <w:vAlign w:val="center"/>
            <w:shd w:val="clear" w:color="auto" w:fill="EBF3FB"/>
          </w:tcPr>
          <w:p>
            <w:pPr>
              <w:spacing w:before="60" w:after="60"/>
              <w:jc w:val="center"/>
            </w:pPr>
            <w:r>
              <w:rPr>
                <w:sz w:val="18"/>
              </w:rPr>
              <w:t>~490</w:t>
            </w:r>
          </w:p>
        </w:tc>
        <w:tc>
          <w:tcPr>
            <w:tcW w:type="dxa" w:w="1440"/>
            <w:vAlign w:val="center"/>
            <w:shd w:val="clear" w:color="auto" w:fill="EBF3FB"/>
          </w:tcPr>
          <w:p>
            <w:pPr>
              <w:spacing w:before="60" w:after="60"/>
              <w:jc w:val="center"/>
            </w:pPr>
            <w:r>
              <w:rPr>
                <w:sz w:val="18"/>
              </w:rPr>
              <w:t>~198</w:t>
            </w:r>
          </w:p>
        </w:tc>
        <w:tc>
          <w:tcPr>
            <w:tcW w:type="dxa" w:w="1440"/>
            <w:vAlign w:val="center"/>
            <w:shd w:val="clear" w:color="auto" w:fill="EBF3FB"/>
          </w:tcPr>
          <w:p>
            <w:pPr>
              <w:spacing w:before="60" w:after="60"/>
              <w:jc w:val="center"/>
            </w:pPr>
            <w:r>
              <w:rPr>
                <w:sz w:val="18"/>
              </w:rPr>
              <w:t>40.4%</w:t>
            </w:r>
          </w:p>
        </w:tc>
      </w:tr>
      <w:tr>
        <w:tc>
          <w:tcPr>
            <w:tcW w:type="dxa" w:w="3168"/>
            <w:vAlign w:val="center"/>
          </w:tcPr>
          <w:p>
            <w:pPr>
              <w:spacing w:before="60" w:after="60"/>
              <w:jc w:val="center"/>
            </w:pPr>
            <w:r>
              <w:rPr>
                <w:sz w:val="18"/>
              </w:rPr>
              <w:t>... (21 additional types)</w:t>
            </w:r>
          </w:p>
        </w:tc>
        <w:tc>
          <w:tcPr>
            <w:tcW w:type="dxa" w:w="1584"/>
            <w:vAlign w:val="center"/>
          </w:tcPr>
          <w:p>
            <w:pPr>
              <w:spacing w:before="60" w:after="60"/>
              <w:jc w:val="center"/>
            </w:pPr>
            <w:r>
              <w:rPr>
                <w:sz w:val="18"/>
              </w:rPr>
              <w:t>...</w:t>
            </w:r>
          </w:p>
        </w:tc>
        <w:tc>
          <w:tcPr>
            <w:tcW w:type="dxa" w:w="1440"/>
            <w:vAlign w:val="center"/>
          </w:tcPr>
          <w:p>
            <w:pPr>
              <w:spacing w:before="60" w:after="60"/>
              <w:jc w:val="center"/>
            </w:pPr>
            <w:r>
              <w:rPr>
                <w:sz w:val="18"/>
              </w:rPr>
              <w:t>...</w:t>
            </w:r>
          </w:p>
        </w:tc>
        <w:tc>
          <w:tcPr>
            <w:tcW w:type="dxa" w:w="1440"/>
            <w:vAlign w:val="center"/>
          </w:tcPr>
          <w:p>
            <w:pPr>
              <w:spacing w:before="60" w:after="60"/>
              <w:jc w:val="center"/>
            </w:pPr>
            <w:r>
              <w:rPr>
                <w:sz w:val="18"/>
              </w:rPr>
              <w:t>...</w:t>
            </w:r>
          </w:p>
        </w:tc>
        <w:tc>
          <w:tcPr>
            <w:tcW w:type="dxa" w:w="1440"/>
            <w:vAlign w:val="center"/>
          </w:tcPr>
          <w:p>
            <w:pPr>
              <w:spacing w:before="60" w:after="60"/>
              <w:jc w:val="center"/>
            </w:pPr>
            <w:r>
              <w:rPr>
                <w:sz w:val="18"/>
              </w:rPr>
              <w:t>...</w:t>
            </w:r>
          </w:p>
        </w:tc>
      </w:tr>
    </w:tbl>
    <w:p>
      <w:pPr>
        <w:spacing w:after="280"/>
      </w:pPr>
      <w:r>
        <w:rPr>
          <w:b/>
          <w:i w:val="0"/>
          <w:sz w:val="18"/>
          <w:u w:val="none"/>
        </w:rPr>
        <w:t xml:space="preserve">Table S3. </w:t>
      </w:r>
      <w:r>
        <w:rPr>
          <w:b w:val="0"/>
          <w:i/>
          <w:sz w:val="18"/>
          <w:u w:val="none"/>
        </w:rPr>
        <w:t>Sample counts and event rates for the 10 most-represented cancer types (31 total).</w:t>
      </w:r>
    </w:p>
    <w:p>
      <w:r>
        <w:br w:type="page"/>
      </w:r>
    </w:p>
    <w:p>
      <w:pPr>
        <w:pStyle w:val="Heading1"/>
        <w:spacing w:before="320" w:after="120"/>
      </w:pPr>
      <w:r>
        <w:t>Section S3: Dimensionality Reduction</w:t>
      </w:r>
    </w:p>
    <w:p>
      <w:pPr>
        <w:spacing w:after="120"/>
        <w:jc w:val="both"/>
      </w:pPr>
      <w:r>
        <w:rPr>
          <w:sz w:val="22"/>
        </w:rPr>
        <w:t>Principal component analysis (PCA) and Uniform Manifold Approximation and Projection (UMAP) were applied to the top-5,000-variance gene expression matrix. PCA used sklearn.decomposition.PCA with n_components=50 after StandardScaler normalization. UMAP was applied to the 50 PCA components with n_neighbors=30, min_dist=0.3, random_state=42, using the umap-learn library.</w:t>
      </w:r>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pca_scree.png"/>
                    <pic:cNvPicPr/>
                  </pic:nvPicPr>
                  <pic:blipFill>
                    <a:blip r:embed="rId9"/>
                    <a:stretch>
                      <a:fillRect/>
                    </a:stretch>
                  </pic:blipFill>
                  <pic:spPr>
                    <a:xfrm>
                      <a:off x="0" y="0"/>
                      <a:ext cx="5029200" cy="2514600"/>
                    </a:xfrm>
                    <a:prstGeom prst="rect"/>
                  </pic:spPr>
                </pic:pic>
              </a:graphicData>
            </a:graphic>
          </wp:inline>
        </w:drawing>
      </w:r>
    </w:p>
    <w:p>
      <w:pPr>
        <w:spacing w:before="80" w:after="280"/>
        <w:jc w:val="center"/>
      </w:pPr>
      <w:r>
        <w:rPr>
          <w:b/>
          <w:i w:val="0"/>
          <w:sz w:val="18"/>
          <w:u w:val="none"/>
        </w:rPr>
        <w:t xml:space="preserve">Figure S1. </w:t>
      </w:r>
      <w:r>
        <w:rPr>
          <w:b w:val="0"/>
          <w:i/>
          <w:sz w:val="18"/>
          <w:u w:val="none"/>
        </w:rPr>
        <w:t>PCA scree plot showing variance explained by each of the top 50 principal components. The elbow at PC5-PC8 reflects the dominance of cancer-type identity in the first few components.</w:t>
      </w:r>
    </w:p>
    <w:p>
      <w:pPr>
        <w:jc w:val="center"/>
      </w:pPr>
      <w:r>
        <w:drawing>
          <wp:inline xmlns:a="http://schemas.openxmlformats.org/drawingml/2006/main" xmlns:pic="http://schemas.openxmlformats.org/drawingml/2006/picture">
            <wp:extent cx="5029200" cy="3576374"/>
            <wp:docPr id="2" name="Picture 2"/>
            <wp:cNvGraphicFramePr>
              <a:graphicFrameLocks noChangeAspect="1"/>
            </wp:cNvGraphicFramePr>
            <a:graphic>
              <a:graphicData uri="http://schemas.openxmlformats.org/drawingml/2006/picture">
                <pic:pic>
                  <pic:nvPicPr>
                    <pic:cNvPr id="0" name="umap_cancer_type.png"/>
                    <pic:cNvPicPr/>
                  </pic:nvPicPr>
                  <pic:blipFill>
                    <a:blip r:embed="rId10"/>
                    <a:stretch>
                      <a:fillRect/>
                    </a:stretch>
                  </pic:blipFill>
                  <pic:spPr>
                    <a:xfrm>
                      <a:off x="0" y="0"/>
                      <a:ext cx="5029200" cy="3576374"/>
                    </a:xfrm>
                    <a:prstGeom prst="rect"/>
                  </pic:spPr>
                </pic:pic>
              </a:graphicData>
            </a:graphic>
          </wp:inline>
        </w:drawing>
      </w:r>
    </w:p>
    <w:p>
      <w:pPr>
        <w:spacing w:before="80" w:after="280"/>
        <w:jc w:val="center"/>
      </w:pPr>
      <w:r>
        <w:rPr>
          <w:b/>
          <w:i w:val="0"/>
          <w:sz w:val="18"/>
          <w:u w:val="none"/>
        </w:rPr>
        <w:t xml:space="preserve">Figure S2. </w:t>
      </w:r>
      <w:r>
        <w:rPr>
          <w:b w:val="0"/>
          <w:i/>
          <w:sz w:val="18"/>
          <w:u w:val="none"/>
        </w:rPr>
        <w:t>UMAP embedding of 7,902 samples colored by TCGA cancer type. Distinct clusters correspond to major lineage groups: epithelial carcinomas, gliomas, sarcomas, and hematological malignancies.</w:t>
      </w:r>
    </w:p>
    <w:p>
      <w:pPr>
        <w:jc w:val="center"/>
      </w:pPr>
      <w:r>
        <w:drawing>
          <wp:inline xmlns:a="http://schemas.openxmlformats.org/drawingml/2006/main" xmlns:pic="http://schemas.openxmlformats.org/drawingml/2006/picture">
            <wp:extent cx="5029200" cy="2031500"/>
            <wp:docPr id="3" name="Picture 3"/>
            <wp:cNvGraphicFramePr>
              <a:graphicFrameLocks noChangeAspect="1"/>
            </wp:cNvGraphicFramePr>
            <a:graphic>
              <a:graphicData uri="http://schemas.openxmlformats.org/drawingml/2006/picture">
                <pic:pic>
                  <pic:nvPicPr>
                    <pic:cNvPr id="0" name="umap_survival.png"/>
                    <pic:cNvPicPr/>
                  </pic:nvPicPr>
                  <pic:blipFill>
                    <a:blip r:embed="rId11"/>
                    <a:stretch>
                      <a:fillRect/>
                    </a:stretch>
                  </pic:blipFill>
                  <pic:spPr>
                    <a:xfrm>
                      <a:off x="0" y="0"/>
                      <a:ext cx="5029200" cy="2031500"/>
                    </a:xfrm>
                    <a:prstGeom prst="rect"/>
                  </pic:spPr>
                </pic:pic>
              </a:graphicData>
            </a:graphic>
          </wp:inline>
        </w:drawing>
      </w:r>
    </w:p>
    <w:p>
      <w:pPr>
        <w:spacing w:before="80" w:after="280"/>
        <w:jc w:val="center"/>
      </w:pPr>
      <w:r>
        <w:rPr>
          <w:b/>
          <w:i w:val="0"/>
          <w:sz w:val="18"/>
          <w:u w:val="none"/>
        </w:rPr>
        <w:t xml:space="preserve">Figure S3. </w:t>
      </w:r>
      <w:r>
        <w:rPr>
          <w:b w:val="0"/>
          <w:i/>
          <w:sz w:val="18"/>
          <w:u w:val="none"/>
        </w:rPr>
        <w:t>UMAP embedding colored by overall survival time (OS_time, days). Gradient from short (red) to long (blue) survival is overlaid on the cancer-type structure, revealing that within-type variation in survival is substantial.</w:t>
      </w:r>
    </w:p>
    <w:p>
      <w:r>
        <w:br w:type="page"/>
      </w:r>
    </w:p>
    <w:p>
      <w:pPr>
        <w:pStyle w:val="Heading1"/>
        <w:spacing w:before="320" w:after="120"/>
      </w:pPr>
      <w:r>
        <w:t>Section S4: Unsupervised Clustering Results</w:t>
      </w:r>
    </w:p>
    <w:p>
      <w:pPr>
        <w:spacing w:after="120"/>
        <w:jc w:val="both"/>
      </w:pPr>
      <w:r>
        <w:rPr>
          <w:sz w:val="22"/>
        </w:rPr>
        <w:t>Two clustering approaches were applied to the UMAP-reduced expression space: MiniBatchKMeans (k=2-25, silhouette score optimization on 3,000-sample subsample) and graph-based Leiden clustering (sklearn NearestNeighbors k=15 -&gt; igraph -&gt; leidenalg RBConfigurationVertexPartition, resolution=0.4). Leiden clustering identified 22 clusters with a log-rank survival separation of p=2.02e-24.</w:t>
      </w:r>
    </w:p>
    <w:p>
      <w:pPr>
        <w:jc w:val="center"/>
      </w:pPr>
      <w:r>
        <w:drawing>
          <wp:inline xmlns:a="http://schemas.openxmlformats.org/drawingml/2006/main" xmlns:pic="http://schemas.openxmlformats.org/drawingml/2006/picture">
            <wp:extent cx="5029200" cy="1676400"/>
            <wp:docPr id="4" name="Picture 4"/>
            <wp:cNvGraphicFramePr>
              <a:graphicFrameLocks noChangeAspect="1"/>
            </wp:cNvGraphicFramePr>
            <a:graphic>
              <a:graphicData uri="http://schemas.openxmlformats.org/drawingml/2006/picture">
                <pic:pic>
                  <pic:nvPicPr>
                    <pic:cNvPr id="0" name="kmeans_selection.png"/>
                    <pic:cNvPicPr/>
                  </pic:nvPicPr>
                  <pic:blipFill>
                    <a:blip r:embed="rId12"/>
                    <a:stretch>
                      <a:fillRect/>
                    </a:stretch>
                  </pic:blipFill>
                  <pic:spPr>
                    <a:xfrm>
                      <a:off x="0" y="0"/>
                      <a:ext cx="5029200" cy="1676400"/>
                    </a:xfrm>
                    <a:prstGeom prst="rect"/>
                  </pic:spPr>
                </pic:pic>
              </a:graphicData>
            </a:graphic>
          </wp:inline>
        </w:drawing>
      </w:r>
    </w:p>
    <w:p>
      <w:pPr>
        <w:spacing w:before="80" w:after="280"/>
        <w:jc w:val="center"/>
      </w:pPr>
      <w:r>
        <w:rPr>
          <w:b/>
          <w:i w:val="0"/>
          <w:sz w:val="18"/>
          <w:u w:val="none"/>
        </w:rPr>
        <w:t xml:space="preserve">Figure S4. </w:t>
      </w:r>
      <w:r>
        <w:rPr>
          <w:b w:val="0"/>
          <w:i/>
          <w:sz w:val="18"/>
          <w:u w:val="none"/>
        </w:rPr>
        <w:t>Silhouette score vs. number of clusters (k) for MiniBatchKMeans. Optimal k=2 by silhouette reflects pan-cancer artifact (epithelial vs. non-epithelial lineage) rather than biologically meaningful substructure.</w:t>
      </w:r>
    </w:p>
    <w:p>
      <w:pPr>
        <w:jc w:val="center"/>
      </w:pPr>
      <w:r>
        <w:drawing>
          <wp:inline xmlns:a="http://schemas.openxmlformats.org/drawingml/2006/main" xmlns:pic="http://schemas.openxmlformats.org/drawingml/2006/picture">
            <wp:extent cx="5029200" cy="3999653"/>
            <wp:docPr id="5" name="Picture 5"/>
            <wp:cNvGraphicFramePr>
              <a:graphicFrameLocks noChangeAspect="1"/>
            </wp:cNvGraphicFramePr>
            <a:graphic>
              <a:graphicData uri="http://schemas.openxmlformats.org/drawingml/2006/picture">
                <pic:pic>
                  <pic:nvPicPr>
                    <pic:cNvPr id="0" name="umap_kmeans.png"/>
                    <pic:cNvPicPr/>
                  </pic:nvPicPr>
                  <pic:blipFill>
                    <a:blip r:embed="rId13"/>
                    <a:stretch>
                      <a:fillRect/>
                    </a:stretch>
                  </pic:blipFill>
                  <pic:spPr>
                    <a:xfrm>
                      <a:off x="0" y="0"/>
                      <a:ext cx="5029200" cy="3999653"/>
                    </a:xfrm>
                    <a:prstGeom prst="rect"/>
                  </pic:spPr>
                </pic:pic>
              </a:graphicData>
            </a:graphic>
          </wp:inline>
        </w:drawing>
      </w:r>
    </w:p>
    <w:p>
      <w:pPr>
        <w:spacing w:before="80" w:after="280"/>
        <w:jc w:val="center"/>
      </w:pPr>
      <w:r>
        <w:rPr>
          <w:b/>
          <w:i w:val="0"/>
          <w:sz w:val="18"/>
          <w:u w:val="none"/>
        </w:rPr>
        <w:t xml:space="preserve">Figure S5. </w:t>
      </w:r>
      <w:r>
        <w:rPr>
          <w:b w:val="0"/>
          <w:i/>
          <w:sz w:val="18"/>
          <w:u w:val="none"/>
        </w:rPr>
        <w:t>UMAP colored by KMeans cluster assignment (k=2, optimal silhouette). The two clusters broadly separate gliomas/neuroendocrine from epithelial carcinomas.</w:t>
      </w:r>
    </w:p>
    <w:p>
      <w:pPr>
        <w:jc w:val="center"/>
      </w:pPr>
      <w:r>
        <w:drawing>
          <wp:inline xmlns:a="http://schemas.openxmlformats.org/drawingml/2006/main" xmlns:pic="http://schemas.openxmlformats.org/drawingml/2006/picture">
            <wp:extent cx="5029200" cy="2494778"/>
            <wp:docPr id="6" name="Picture 6"/>
            <wp:cNvGraphicFramePr>
              <a:graphicFrameLocks noChangeAspect="1"/>
            </wp:cNvGraphicFramePr>
            <a:graphic>
              <a:graphicData uri="http://schemas.openxmlformats.org/drawingml/2006/picture">
                <pic:pic>
                  <pic:nvPicPr>
                    <pic:cNvPr id="0" name="cluster_cancer_type_kmeans.png"/>
                    <pic:cNvPicPr/>
                  </pic:nvPicPr>
                  <pic:blipFill>
                    <a:blip r:embed="rId14"/>
                    <a:stretch>
                      <a:fillRect/>
                    </a:stretch>
                  </pic:blipFill>
                  <pic:spPr>
                    <a:xfrm>
                      <a:off x="0" y="0"/>
                      <a:ext cx="5029200" cy="2494778"/>
                    </a:xfrm>
                    <a:prstGeom prst="rect"/>
                  </pic:spPr>
                </pic:pic>
              </a:graphicData>
            </a:graphic>
          </wp:inline>
        </w:drawing>
      </w:r>
    </w:p>
    <w:p>
      <w:pPr>
        <w:spacing w:before="80" w:after="280"/>
        <w:jc w:val="center"/>
      </w:pPr>
      <w:r>
        <w:rPr>
          <w:b/>
          <w:i w:val="0"/>
          <w:sz w:val="18"/>
          <w:u w:val="none"/>
        </w:rPr>
        <w:t xml:space="preserve">Figure S6. </w:t>
      </w:r>
      <w:r>
        <w:rPr>
          <w:b w:val="0"/>
          <w:i/>
          <w:sz w:val="18"/>
          <w:u w:val="none"/>
        </w:rPr>
        <w:t>Cancer type composition per KMeans cluster. Cluster 1 is dominated by GBMLGG/gliomas; Cluster 2 by all major carcinoma types.</w:t>
      </w:r>
    </w:p>
    <w:p>
      <w:pPr>
        <w:jc w:val="center"/>
      </w:pPr>
      <w:r>
        <w:drawing>
          <wp:inline xmlns:a="http://schemas.openxmlformats.org/drawingml/2006/main" xmlns:pic="http://schemas.openxmlformats.org/drawingml/2006/picture">
            <wp:extent cx="5029200" cy="2985664"/>
            <wp:docPr id="7" name="Picture 7"/>
            <wp:cNvGraphicFramePr>
              <a:graphicFrameLocks noChangeAspect="1"/>
            </wp:cNvGraphicFramePr>
            <a:graphic>
              <a:graphicData uri="http://schemas.openxmlformats.org/drawingml/2006/picture">
                <pic:pic>
                  <pic:nvPicPr>
                    <pic:cNvPr id="0" name="cluster_survival_kmeans.png"/>
                    <pic:cNvPicPr/>
                  </pic:nvPicPr>
                  <pic:blipFill>
                    <a:blip r:embed="rId15"/>
                    <a:stretch>
                      <a:fillRect/>
                    </a:stretch>
                  </pic:blipFill>
                  <pic:spPr>
                    <a:xfrm>
                      <a:off x="0" y="0"/>
                      <a:ext cx="5029200" cy="2985664"/>
                    </a:xfrm>
                    <a:prstGeom prst="rect"/>
                  </pic:spPr>
                </pic:pic>
              </a:graphicData>
            </a:graphic>
          </wp:inline>
        </w:drawing>
      </w:r>
    </w:p>
    <w:p>
      <w:pPr>
        <w:spacing w:before="80" w:after="280"/>
        <w:jc w:val="center"/>
      </w:pPr>
      <w:r>
        <w:rPr>
          <w:b/>
          <w:i w:val="0"/>
          <w:sz w:val="18"/>
          <w:u w:val="none"/>
        </w:rPr>
        <w:t xml:space="preserve">Figure S7. </w:t>
      </w:r>
      <w:r>
        <w:rPr>
          <w:b w:val="0"/>
          <w:i/>
          <w:sz w:val="18"/>
          <w:u w:val="none"/>
        </w:rPr>
        <w:t>Kaplan-Meier survival curves by KMeans cluster. Despite poor silhouette, the two clusters show statistically significant OS separation (p &lt; 0.001), primarily driven by the well-known glioma survival advantage.</w:t>
      </w:r>
    </w:p>
    <w:p>
      <w:pPr>
        <w:jc w:val="center"/>
      </w:pPr>
      <w:r>
        <w:drawing>
          <wp:inline xmlns:a="http://schemas.openxmlformats.org/drawingml/2006/main" xmlns:pic="http://schemas.openxmlformats.org/drawingml/2006/picture">
            <wp:extent cx="5029200" cy="3999653"/>
            <wp:docPr id="8" name="Picture 8"/>
            <wp:cNvGraphicFramePr>
              <a:graphicFrameLocks noChangeAspect="1"/>
            </wp:cNvGraphicFramePr>
            <a:graphic>
              <a:graphicData uri="http://schemas.openxmlformats.org/drawingml/2006/picture">
                <pic:pic>
                  <pic:nvPicPr>
                    <pic:cNvPr id="0" name="umap_leiden.png"/>
                    <pic:cNvPicPr/>
                  </pic:nvPicPr>
                  <pic:blipFill>
                    <a:blip r:embed="rId16"/>
                    <a:stretch>
                      <a:fillRect/>
                    </a:stretch>
                  </pic:blipFill>
                  <pic:spPr>
                    <a:xfrm>
                      <a:off x="0" y="0"/>
                      <a:ext cx="5029200" cy="3999653"/>
                    </a:xfrm>
                    <a:prstGeom prst="rect"/>
                  </pic:spPr>
                </pic:pic>
              </a:graphicData>
            </a:graphic>
          </wp:inline>
        </w:drawing>
      </w:r>
    </w:p>
    <w:p>
      <w:pPr>
        <w:spacing w:before="80" w:after="280"/>
        <w:jc w:val="center"/>
      </w:pPr>
      <w:r>
        <w:rPr>
          <w:b/>
          <w:i w:val="0"/>
          <w:sz w:val="18"/>
          <w:u w:val="none"/>
        </w:rPr>
        <w:t xml:space="preserve">Figure S8. </w:t>
      </w:r>
      <w:r>
        <w:rPr>
          <w:b w:val="0"/>
          <w:i/>
          <w:sz w:val="18"/>
          <w:u w:val="none"/>
        </w:rPr>
        <w:t>UMAP colored by Leiden cluster assignment (22 clusters, resolution=0.4). Fine-grained substructure within major cancer types is captured, particularly within breast, lung, and kidney carcinomas.</w:t>
      </w:r>
    </w:p>
    <w:p>
      <w:pPr>
        <w:jc w:val="center"/>
      </w:pPr>
      <w:r>
        <w:drawing>
          <wp:inline xmlns:a="http://schemas.openxmlformats.org/drawingml/2006/main" xmlns:pic="http://schemas.openxmlformats.org/drawingml/2006/picture">
            <wp:extent cx="5029200" cy="2985664"/>
            <wp:docPr id="9" name="Picture 9"/>
            <wp:cNvGraphicFramePr>
              <a:graphicFrameLocks noChangeAspect="1"/>
            </wp:cNvGraphicFramePr>
            <a:graphic>
              <a:graphicData uri="http://schemas.openxmlformats.org/drawingml/2006/picture">
                <pic:pic>
                  <pic:nvPicPr>
                    <pic:cNvPr id="0" name="cluster_survival_leiden.png"/>
                    <pic:cNvPicPr/>
                  </pic:nvPicPr>
                  <pic:blipFill>
                    <a:blip r:embed="rId17"/>
                    <a:stretch>
                      <a:fillRect/>
                    </a:stretch>
                  </pic:blipFill>
                  <pic:spPr>
                    <a:xfrm>
                      <a:off x="0" y="0"/>
                      <a:ext cx="5029200" cy="2985664"/>
                    </a:xfrm>
                    <a:prstGeom prst="rect"/>
                  </pic:spPr>
                </pic:pic>
              </a:graphicData>
            </a:graphic>
          </wp:inline>
        </w:drawing>
      </w:r>
    </w:p>
    <w:p>
      <w:pPr>
        <w:spacing w:before="80" w:after="280"/>
        <w:jc w:val="center"/>
      </w:pPr>
      <w:r>
        <w:rPr>
          <w:b/>
          <w:i w:val="0"/>
          <w:sz w:val="18"/>
          <w:u w:val="none"/>
        </w:rPr>
        <w:t xml:space="preserve">Figure S9. </w:t>
      </w:r>
      <w:r>
        <w:rPr>
          <w:b w:val="0"/>
          <w:i/>
          <w:sz w:val="18"/>
          <w:u w:val="none"/>
        </w:rPr>
        <w:t>Kaplan-Meier survival curves for all 22 Leiden clusters. Log-rank p=2.02e-24. Graph-based clustering substantially outperforms K-means for survival stratification, confirming the multi-modal density structure in pan-cancer data.</w:t>
      </w:r>
    </w:p>
    <w:p>
      <w:r>
        <w:br w:type="page"/>
      </w:r>
    </w:p>
    <w:p>
      <w:pPr>
        <w:pStyle w:val="Heading1"/>
        <w:spacing w:before="320" w:after="120"/>
      </w:pPr>
      <w:r>
        <w:t>Section S5: MOFA+ Extended Results</w:t>
      </w:r>
    </w:p>
    <w:p>
      <w:pPr>
        <w:jc w:val="center"/>
      </w:pPr>
      <w:r>
        <w:drawing>
          <wp:inline xmlns:a="http://schemas.openxmlformats.org/drawingml/2006/main" xmlns:pic="http://schemas.openxmlformats.org/drawingml/2006/picture">
            <wp:extent cx="5486400" cy="1745456"/>
            <wp:docPr id="10" name="Picture 10"/>
            <wp:cNvGraphicFramePr>
              <a:graphicFrameLocks noChangeAspect="1"/>
            </wp:cNvGraphicFramePr>
            <a:graphic>
              <a:graphicData uri="http://schemas.openxmlformats.org/drawingml/2006/picture">
                <pic:pic>
                  <pic:nvPicPr>
                    <pic:cNvPr id="0" name="mofa_factor_cancer_type.png"/>
                    <pic:cNvPicPr/>
                  </pic:nvPicPr>
                  <pic:blipFill>
                    <a:blip r:embed="rId18"/>
                    <a:stretch>
                      <a:fillRect/>
                    </a:stretch>
                  </pic:blipFill>
                  <pic:spPr>
                    <a:xfrm>
                      <a:off x="0" y="0"/>
                      <a:ext cx="5486400" cy="1745456"/>
                    </a:xfrm>
                    <a:prstGeom prst="rect"/>
                  </pic:spPr>
                </pic:pic>
              </a:graphicData>
            </a:graphic>
          </wp:inline>
        </w:drawing>
      </w:r>
    </w:p>
    <w:p>
      <w:pPr>
        <w:spacing w:before="80" w:after="280"/>
        <w:jc w:val="center"/>
      </w:pPr>
      <w:r>
        <w:rPr>
          <w:b/>
          <w:i w:val="0"/>
          <w:sz w:val="18"/>
          <w:u w:val="none"/>
        </w:rPr>
        <w:t xml:space="preserve">Figure S10. </w:t>
      </w:r>
      <w:r>
        <w:rPr>
          <w:b w:val="0"/>
          <w:i/>
          <w:sz w:val="18"/>
          <w:u w:val="none"/>
        </w:rPr>
        <w:t>Heatmap of mean MOFA+ factor scores per cancer type. Factors with strong cancer-type associations (e.g., Factor 1 in HNSC/LUSC/CESC; Factor 9 in BRCA; Factor 4 in LIHC) reflect known lineage-defining transcriptional programmes.</w:t>
      </w:r>
    </w:p>
    <w:p>
      <w:pPr>
        <w:jc w:val="center"/>
      </w:pPr>
      <w:r>
        <w:drawing>
          <wp:inline xmlns:a="http://schemas.openxmlformats.org/drawingml/2006/main" xmlns:pic="http://schemas.openxmlformats.org/drawingml/2006/picture">
            <wp:extent cx="5029200" cy="3352800"/>
            <wp:docPr id="11" name="Picture 11"/>
            <wp:cNvGraphicFramePr>
              <a:graphicFrameLocks noChangeAspect="1"/>
            </wp:cNvGraphicFramePr>
            <a:graphic>
              <a:graphicData uri="http://schemas.openxmlformats.org/drawingml/2006/picture">
                <pic:pic>
                  <pic:nvPicPr>
                    <pic:cNvPr id="0" name="mofa_factor_survival.png"/>
                    <pic:cNvPicPr/>
                  </pic:nvPicPr>
                  <pic:blipFill>
                    <a:blip r:embed="rId19"/>
                    <a:stretch>
                      <a:fillRect/>
                    </a:stretch>
                  </pic:blipFill>
                  <pic:spPr>
                    <a:xfrm>
                      <a:off x="0" y="0"/>
                      <a:ext cx="5029200" cy="3352800"/>
                    </a:xfrm>
                    <a:prstGeom prst="rect"/>
                  </pic:spPr>
                </pic:pic>
              </a:graphicData>
            </a:graphic>
          </wp:inline>
        </w:drawing>
      </w:r>
    </w:p>
    <w:p>
      <w:pPr>
        <w:spacing w:before="80" w:after="280"/>
        <w:jc w:val="center"/>
      </w:pPr>
      <w:r>
        <w:rPr>
          <w:b/>
          <w:i w:val="0"/>
          <w:sz w:val="18"/>
          <w:u w:val="none"/>
        </w:rPr>
        <w:t xml:space="preserve">Figure S11. </w:t>
      </w:r>
      <w:r>
        <w:rPr>
          <w:b w:val="0"/>
          <w:i/>
          <w:sz w:val="18"/>
          <w:u w:val="none"/>
        </w:rPr>
        <w:t>Spearman correlations between MOFA+ factor scores and OS time across all survival-annotated samples. Factor 8 shows the strongest negative correlation with OS time (higher factor score = shorter survival).</w:t>
      </w:r>
    </w:p>
    <w:p>
      <w:pPr>
        <w:jc w:val="center"/>
      </w:pPr>
      <w:r>
        <w:drawing>
          <wp:inline xmlns:a="http://schemas.openxmlformats.org/drawingml/2006/main" xmlns:pic="http://schemas.openxmlformats.org/drawingml/2006/picture">
            <wp:extent cx="5029200" cy="1386590"/>
            <wp:docPr id="12" name="Picture 12"/>
            <wp:cNvGraphicFramePr>
              <a:graphicFrameLocks noChangeAspect="1"/>
            </wp:cNvGraphicFramePr>
            <a:graphic>
              <a:graphicData uri="http://schemas.openxmlformats.org/drawingml/2006/picture">
                <pic:pic>
                  <pic:nvPicPr>
                    <pic:cNvPr id="0" name="mofa_top_weights_Factor1.png"/>
                    <pic:cNvPicPr/>
                  </pic:nvPicPr>
                  <pic:blipFill>
                    <a:blip r:embed="rId20"/>
                    <a:stretch>
                      <a:fillRect/>
                    </a:stretch>
                  </pic:blipFill>
                  <pic:spPr>
                    <a:xfrm>
                      <a:off x="0" y="0"/>
                      <a:ext cx="5029200" cy="1386590"/>
                    </a:xfrm>
                    <a:prstGeom prst="rect"/>
                  </pic:spPr>
                </pic:pic>
              </a:graphicData>
            </a:graphic>
          </wp:inline>
        </w:drawing>
      </w:r>
    </w:p>
    <w:p>
      <w:pPr>
        <w:spacing w:before="80" w:after="280"/>
        <w:jc w:val="center"/>
      </w:pPr>
      <w:r>
        <w:rPr>
          <w:b/>
          <w:i w:val="0"/>
          <w:sz w:val="18"/>
          <w:u w:val="none"/>
        </w:rPr>
        <w:t xml:space="preserve">Figure S12. </w:t>
      </w:r>
      <w:r>
        <w:rPr>
          <w:b w:val="0"/>
          <w:i/>
          <w:sz w:val="18"/>
          <w:u w:val="none"/>
        </w:rPr>
        <w:t>Top 20 gene loadings for MOFA+ Factor 1 (expression view). KRT-family genes, TP63, SFN, NECTIN4, and GJB2 dominate, defining the squamous/basal lineage programme.</w:t>
      </w:r>
    </w:p>
    <w:p>
      <w:pPr>
        <w:jc w:val="center"/>
      </w:pPr>
      <w:r>
        <w:drawing>
          <wp:inline xmlns:a="http://schemas.openxmlformats.org/drawingml/2006/main" xmlns:pic="http://schemas.openxmlformats.org/drawingml/2006/picture">
            <wp:extent cx="5029200" cy="1386590"/>
            <wp:docPr id="13" name="Picture 13"/>
            <wp:cNvGraphicFramePr>
              <a:graphicFrameLocks noChangeAspect="1"/>
            </wp:cNvGraphicFramePr>
            <a:graphic>
              <a:graphicData uri="http://schemas.openxmlformats.org/drawingml/2006/picture">
                <pic:pic>
                  <pic:nvPicPr>
                    <pic:cNvPr id="0" name="mofa_top_weights_Factor4.png"/>
                    <pic:cNvPicPr/>
                  </pic:nvPicPr>
                  <pic:blipFill>
                    <a:blip r:embed="rId21"/>
                    <a:stretch>
                      <a:fillRect/>
                    </a:stretch>
                  </pic:blipFill>
                  <pic:spPr>
                    <a:xfrm>
                      <a:off x="0" y="0"/>
                      <a:ext cx="5029200" cy="1386590"/>
                    </a:xfrm>
                    <a:prstGeom prst="rect"/>
                  </pic:spPr>
                </pic:pic>
              </a:graphicData>
            </a:graphic>
          </wp:inline>
        </w:drawing>
      </w:r>
    </w:p>
    <w:p>
      <w:pPr>
        <w:spacing w:before="80" w:after="280"/>
        <w:jc w:val="center"/>
      </w:pPr>
      <w:r>
        <w:rPr>
          <w:b/>
          <w:i w:val="0"/>
          <w:sz w:val="18"/>
          <w:u w:val="none"/>
        </w:rPr>
        <w:t xml:space="preserve">Figure S13. </w:t>
      </w:r>
      <w:r>
        <w:rPr>
          <w:b w:val="0"/>
          <w:i/>
          <w:sz w:val="18"/>
          <w:u w:val="none"/>
        </w:rPr>
        <w:t>Top 20 gene loadings for MOFA+ Factor 4. ALDOB, HNF4A, CDHR5, and ALB define a hepatocyte/GI differentiation programme associated with LIHC and COAD.</w:t>
      </w:r>
    </w:p>
    <w:p>
      <w:pPr>
        <w:jc w:val="center"/>
      </w:pPr>
      <w:r>
        <w:drawing>
          <wp:inline xmlns:a="http://schemas.openxmlformats.org/drawingml/2006/main" xmlns:pic="http://schemas.openxmlformats.org/drawingml/2006/picture">
            <wp:extent cx="5029200" cy="1386590"/>
            <wp:docPr id="14" name="Picture 14"/>
            <wp:cNvGraphicFramePr>
              <a:graphicFrameLocks noChangeAspect="1"/>
            </wp:cNvGraphicFramePr>
            <a:graphic>
              <a:graphicData uri="http://schemas.openxmlformats.org/drawingml/2006/picture">
                <pic:pic>
                  <pic:nvPicPr>
                    <pic:cNvPr id="0" name="mofa_top_weights_Factor7.png"/>
                    <pic:cNvPicPr/>
                  </pic:nvPicPr>
                  <pic:blipFill>
                    <a:blip r:embed="rId22"/>
                    <a:stretch>
                      <a:fillRect/>
                    </a:stretch>
                  </pic:blipFill>
                  <pic:spPr>
                    <a:xfrm>
                      <a:off x="0" y="0"/>
                      <a:ext cx="5029200" cy="1386590"/>
                    </a:xfrm>
                    <a:prstGeom prst="rect"/>
                  </pic:spPr>
                </pic:pic>
              </a:graphicData>
            </a:graphic>
          </wp:inline>
        </w:drawing>
      </w:r>
    </w:p>
    <w:p>
      <w:pPr>
        <w:spacing w:before="80" w:after="280"/>
        <w:jc w:val="center"/>
      </w:pPr>
      <w:r>
        <w:rPr>
          <w:b/>
          <w:i w:val="0"/>
          <w:sz w:val="18"/>
          <w:u w:val="none"/>
        </w:rPr>
        <w:t xml:space="preserve">Figure S14. </w:t>
      </w:r>
      <w:r>
        <w:rPr>
          <w:b w:val="0"/>
          <w:i/>
          <w:sz w:val="18"/>
          <w:u w:val="none"/>
        </w:rPr>
        <w:t>Top 20 gene loadings for Factor 7. GFAP, BCAN, PTPRZ1, and MIR9-1HG define the glioma/astrocyte axis; IDH1 and ATRX mutations co-load on this factor.</w:t>
      </w:r>
    </w:p>
    <w:p>
      <w:pPr>
        <w:jc w:val="center"/>
      </w:pPr>
      <w:r>
        <w:drawing>
          <wp:inline xmlns:a="http://schemas.openxmlformats.org/drawingml/2006/main" xmlns:pic="http://schemas.openxmlformats.org/drawingml/2006/picture">
            <wp:extent cx="5029200" cy="1386074"/>
            <wp:docPr id="15" name="Picture 15"/>
            <wp:cNvGraphicFramePr>
              <a:graphicFrameLocks noChangeAspect="1"/>
            </wp:cNvGraphicFramePr>
            <a:graphic>
              <a:graphicData uri="http://schemas.openxmlformats.org/drawingml/2006/picture">
                <pic:pic>
                  <pic:nvPicPr>
                    <pic:cNvPr id="0" name="mofa_top_weights_Factor9.png"/>
                    <pic:cNvPicPr/>
                  </pic:nvPicPr>
                  <pic:blipFill>
                    <a:blip r:embed="rId23"/>
                    <a:stretch>
                      <a:fillRect/>
                    </a:stretch>
                  </pic:blipFill>
                  <pic:spPr>
                    <a:xfrm>
                      <a:off x="0" y="0"/>
                      <a:ext cx="5029200" cy="1386074"/>
                    </a:xfrm>
                    <a:prstGeom prst="rect"/>
                  </pic:spPr>
                </pic:pic>
              </a:graphicData>
            </a:graphic>
          </wp:inline>
        </w:drawing>
      </w:r>
    </w:p>
    <w:p>
      <w:pPr>
        <w:spacing w:before="80" w:after="280"/>
        <w:jc w:val="center"/>
      </w:pPr>
      <w:r>
        <w:rPr>
          <w:b/>
          <w:i w:val="0"/>
          <w:sz w:val="18"/>
          <w:u w:val="none"/>
        </w:rPr>
        <w:t xml:space="preserve">Figure S15. </w:t>
      </w:r>
      <w:r>
        <w:rPr>
          <w:b w:val="0"/>
          <w:i/>
          <w:sz w:val="18"/>
          <w:u w:val="none"/>
        </w:rPr>
        <w:t>Top 20 gene loadings for Factor 9. IGHG1, IGHA1, IGLC1-3, IGKC, IGHG2-4 define a B-cell/immunoglobulin infiltration programme prominent in BRCA and STAD.</w:t>
      </w:r>
    </w:p>
    <w:p>
      <w:pPr>
        <w:jc w:val="center"/>
      </w:pPr>
      <w:r>
        <w:drawing>
          <wp:inline xmlns:a="http://schemas.openxmlformats.org/drawingml/2006/main" xmlns:pic="http://schemas.openxmlformats.org/drawingml/2006/picture">
            <wp:extent cx="5029200" cy="1386590"/>
            <wp:docPr id="16" name="Picture 16"/>
            <wp:cNvGraphicFramePr>
              <a:graphicFrameLocks noChangeAspect="1"/>
            </wp:cNvGraphicFramePr>
            <a:graphic>
              <a:graphicData uri="http://schemas.openxmlformats.org/drawingml/2006/picture">
                <pic:pic>
                  <pic:nvPicPr>
                    <pic:cNvPr id="0" name="mofa_top_weights_Factor12.png"/>
                    <pic:cNvPicPr/>
                  </pic:nvPicPr>
                  <pic:blipFill>
                    <a:blip r:embed="rId24"/>
                    <a:stretch>
                      <a:fillRect/>
                    </a:stretch>
                  </pic:blipFill>
                  <pic:spPr>
                    <a:xfrm>
                      <a:off x="0" y="0"/>
                      <a:ext cx="5029200" cy="1386590"/>
                    </a:xfrm>
                    <a:prstGeom prst="rect"/>
                  </pic:spPr>
                </pic:pic>
              </a:graphicData>
            </a:graphic>
          </wp:inline>
        </w:drawing>
      </w:r>
    </w:p>
    <w:p>
      <w:pPr>
        <w:spacing w:before="80" w:after="280"/>
        <w:jc w:val="center"/>
      </w:pPr>
      <w:r>
        <w:rPr>
          <w:b/>
          <w:i w:val="0"/>
          <w:sz w:val="18"/>
          <w:u w:val="none"/>
        </w:rPr>
        <w:t xml:space="preserve">Figure S16. </w:t>
      </w:r>
      <w:r>
        <w:rPr>
          <w:b w:val="0"/>
          <w:i/>
          <w:sz w:val="18"/>
          <w:u w:val="none"/>
        </w:rPr>
        <w:t>Top 20 gene loadings for Factor 12. TG, TPO, DUOX2, DUOXA1 define thyroid differentiation; TMPRSS2 and CLDN1 also load prominently.</w:t>
      </w:r>
    </w:p>
    <w:p>
      <w:pPr>
        <w:jc w:val="center"/>
      </w:pPr>
      <w:r>
        <w:drawing>
          <wp:inline xmlns:a="http://schemas.openxmlformats.org/drawingml/2006/main" xmlns:pic="http://schemas.openxmlformats.org/drawingml/2006/picture">
            <wp:extent cx="5029200" cy="3352800"/>
            <wp:docPr id="17" name="Picture 17"/>
            <wp:cNvGraphicFramePr>
              <a:graphicFrameLocks noChangeAspect="1"/>
            </wp:cNvGraphicFramePr>
            <a:graphic>
              <a:graphicData uri="http://schemas.openxmlformats.org/drawingml/2006/picture">
                <pic:pic>
                  <pic:nvPicPr>
                    <pic:cNvPr id="0" name="mofa_factor_survival_Factor4.png"/>
                    <pic:cNvPicPr/>
                  </pic:nvPicPr>
                  <pic:blipFill>
                    <a:blip r:embed="rId25"/>
                    <a:stretch>
                      <a:fillRect/>
                    </a:stretch>
                  </pic:blipFill>
                  <pic:spPr>
                    <a:xfrm>
                      <a:off x="0" y="0"/>
                      <a:ext cx="5029200" cy="3352800"/>
                    </a:xfrm>
                    <a:prstGeom prst="rect"/>
                  </pic:spPr>
                </pic:pic>
              </a:graphicData>
            </a:graphic>
          </wp:inline>
        </w:drawing>
      </w:r>
    </w:p>
    <w:p>
      <w:pPr>
        <w:spacing w:before="80" w:after="280"/>
        <w:jc w:val="center"/>
      </w:pPr>
      <w:r>
        <w:rPr>
          <w:b/>
          <w:i w:val="0"/>
          <w:sz w:val="18"/>
          <w:u w:val="none"/>
        </w:rPr>
        <w:t xml:space="preserve">Figure S17a. </w:t>
      </w:r>
      <w:r>
        <w:rPr>
          <w:b w:val="0"/>
          <w:i/>
          <w:sz w:val="18"/>
          <w:u w:val="none"/>
        </w:rPr>
        <w:t>Kaplan-Meier plot splitting samples at median Factor 4 score. High Factor 4 (hepatocyte/GI programme) associates with longer OS.</w:t>
      </w:r>
    </w:p>
    <w:p>
      <w:pPr>
        <w:jc w:val="center"/>
      </w:pPr>
      <w:r>
        <w:drawing>
          <wp:inline xmlns:a="http://schemas.openxmlformats.org/drawingml/2006/main" xmlns:pic="http://schemas.openxmlformats.org/drawingml/2006/picture">
            <wp:extent cx="5029200" cy="3352800"/>
            <wp:docPr id="18" name="Picture 18"/>
            <wp:cNvGraphicFramePr>
              <a:graphicFrameLocks noChangeAspect="1"/>
            </wp:cNvGraphicFramePr>
            <a:graphic>
              <a:graphicData uri="http://schemas.openxmlformats.org/drawingml/2006/picture">
                <pic:pic>
                  <pic:nvPicPr>
                    <pic:cNvPr id="0" name="mofa_factor_survival_Factor12.png"/>
                    <pic:cNvPicPr/>
                  </pic:nvPicPr>
                  <pic:blipFill>
                    <a:blip r:embed="rId26"/>
                    <a:stretch>
                      <a:fillRect/>
                    </a:stretch>
                  </pic:blipFill>
                  <pic:spPr>
                    <a:xfrm>
                      <a:off x="0" y="0"/>
                      <a:ext cx="5029200" cy="3352800"/>
                    </a:xfrm>
                    <a:prstGeom prst="rect"/>
                  </pic:spPr>
                </pic:pic>
              </a:graphicData>
            </a:graphic>
          </wp:inline>
        </w:drawing>
      </w:r>
    </w:p>
    <w:p>
      <w:pPr>
        <w:spacing w:before="80" w:after="280"/>
        <w:jc w:val="center"/>
      </w:pPr>
      <w:r>
        <w:rPr>
          <w:b/>
          <w:i w:val="0"/>
          <w:sz w:val="18"/>
          <w:u w:val="none"/>
        </w:rPr>
        <w:t xml:space="preserve">Figure S17b. </w:t>
      </w:r>
      <w:r>
        <w:rPr>
          <w:b w:val="0"/>
          <w:i/>
          <w:sz w:val="18"/>
          <w:u w:val="none"/>
        </w:rPr>
        <w:t>Kaplan-Meier plot splitting samples at median Factor 12 score. High Factor 12 (thyroid differentiation) associates with significantly longer OS (p &lt; 0.001).</w:t>
      </w:r>
    </w:p>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720"/>
            <w:vAlign w:val="center"/>
            <w:shd w:val="clear" w:color="auto" w:fill="1F3864"/>
          </w:tcPr>
          <w:p>
            <w:pPr>
              <w:spacing w:before="60" w:after="60"/>
              <w:jc w:val="center"/>
            </w:pPr>
            <w:r>
              <w:rPr>
                <w:b/>
                <w:color w:val="FFFFFF"/>
                <w:sz w:val="19"/>
              </w:rPr>
              <w:t>Factor</w:t>
            </w:r>
          </w:p>
        </w:tc>
        <w:tc>
          <w:tcPr>
            <w:tcW w:type="dxa" w:w="1440"/>
            <w:vAlign w:val="center"/>
            <w:shd w:val="clear" w:color="auto" w:fill="1F3864"/>
          </w:tcPr>
          <w:p>
            <w:pPr>
              <w:spacing w:before="60" w:after="60"/>
              <w:jc w:val="center"/>
            </w:pPr>
            <w:r>
              <w:rPr>
                <w:b/>
                <w:color w:val="FFFFFF"/>
                <w:sz w:val="19"/>
              </w:rPr>
              <w:t>Var Expl (%)</w:t>
            </w:r>
          </w:p>
        </w:tc>
        <w:tc>
          <w:tcPr>
            <w:tcW w:type="dxa" w:w="1440"/>
            <w:vAlign w:val="center"/>
            <w:shd w:val="clear" w:color="auto" w:fill="1F3864"/>
          </w:tcPr>
          <w:p>
            <w:pPr>
              <w:spacing w:before="60" w:after="60"/>
              <w:jc w:val="center"/>
            </w:pPr>
            <w:r>
              <w:rPr>
                <w:b/>
                <w:color w:val="FFFFFF"/>
                <w:sz w:val="19"/>
              </w:rPr>
              <w:t>Avg |SHAP|</w:t>
            </w:r>
          </w:p>
        </w:tc>
        <w:tc>
          <w:tcPr>
            <w:tcW w:type="dxa" w:w="1440"/>
            <w:vAlign w:val="center"/>
            <w:shd w:val="clear" w:color="auto" w:fill="1F3864"/>
          </w:tcPr>
          <w:p>
            <w:pPr>
              <w:spacing w:before="60" w:after="60"/>
              <w:jc w:val="center"/>
            </w:pPr>
            <w:r>
              <w:rPr>
                <w:b/>
                <w:color w:val="FFFFFF"/>
                <w:sz w:val="19"/>
              </w:rPr>
              <w:t>SHAP Rank</w:t>
            </w:r>
          </w:p>
        </w:tc>
        <w:tc>
          <w:tcPr>
            <w:tcW w:type="dxa" w:w="2592"/>
            <w:vAlign w:val="center"/>
            <w:shd w:val="clear" w:color="auto" w:fill="1F3864"/>
          </w:tcPr>
          <w:p>
            <w:pPr>
              <w:spacing w:before="60" w:after="60"/>
              <w:jc w:val="center"/>
            </w:pPr>
            <w:r>
              <w:rPr>
                <w:b/>
                <w:color w:val="FFFFFF"/>
                <w:sz w:val="19"/>
              </w:rPr>
              <w:t>Primary Biology</w:t>
            </w:r>
          </w:p>
        </w:tc>
        <w:tc>
          <w:tcPr>
            <w:tcW w:type="dxa" w:w="3168"/>
            <w:vAlign w:val="center"/>
            <w:shd w:val="clear" w:color="auto" w:fill="1F3864"/>
          </w:tcPr>
          <w:p>
            <w:pPr>
              <w:spacing w:before="60" w:after="60"/>
              <w:jc w:val="center"/>
            </w:pPr>
            <w:r>
              <w:rPr>
                <w:b/>
                <w:color w:val="FFFFFF"/>
                <w:sz w:val="19"/>
              </w:rPr>
              <w:t>Key Genes</w:t>
            </w:r>
          </w:p>
        </w:tc>
      </w:tr>
      <w:tr>
        <w:tc>
          <w:tcPr>
            <w:tcW w:type="dxa" w:w="720"/>
            <w:vAlign w:val="center"/>
          </w:tcPr>
          <w:p>
            <w:pPr>
              <w:spacing w:before="60" w:after="60"/>
              <w:jc w:val="center"/>
            </w:pPr>
            <w:r>
              <w:rPr>
                <w:sz w:val="18"/>
              </w:rPr>
              <w:t>F1</w:t>
            </w:r>
          </w:p>
        </w:tc>
        <w:tc>
          <w:tcPr>
            <w:tcW w:type="dxa" w:w="1440"/>
            <w:vAlign w:val="center"/>
          </w:tcPr>
          <w:p>
            <w:pPr>
              <w:spacing w:before="60" w:after="60"/>
              <w:jc w:val="center"/>
            </w:pPr>
            <w:r>
              <w:rPr>
                <w:sz w:val="18"/>
              </w:rPr>
              <w:t>6.1</w:t>
            </w:r>
          </w:p>
        </w:tc>
        <w:tc>
          <w:tcPr>
            <w:tcW w:type="dxa" w:w="1440"/>
            <w:vAlign w:val="center"/>
          </w:tcPr>
          <w:p>
            <w:pPr>
              <w:spacing w:before="60" w:after="60"/>
              <w:jc w:val="center"/>
            </w:pPr>
            <w:r>
              <w:rPr>
                <w:sz w:val="18"/>
              </w:rPr>
              <w:t>0.162</w:t>
            </w:r>
          </w:p>
        </w:tc>
        <w:tc>
          <w:tcPr>
            <w:tcW w:type="dxa" w:w="1440"/>
            <w:vAlign w:val="center"/>
          </w:tcPr>
          <w:p>
            <w:pPr>
              <w:spacing w:before="60" w:after="60"/>
              <w:jc w:val="center"/>
            </w:pPr>
            <w:r>
              <w:rPr>
                <w:sz w:val="18"/>
              </w:rPr>
              <w:t>3</w:t>
            </w:r>
          </w:p>
        </w:tc>
        <w:tc>
          <w:tcPr>
            <w:tcW w:type="dxa" w:w="2592"/>
            <w:vAlign w:val="center"/>
          </w:tcPr>
          <w:p>
            <w:pPr>
              <w:spacing w:before="60" w:after="60"/>
              <w:jc w:val="center"/>
            </w:pPr>
            <w:r>
              <w:rPr>
                <w:sz w:val="18"/>
              </w:rPr>
              <w:t>Squamous/basal lineage</w:t>
            </w:r>
          </w:p>
        </w:tc>
        <w:tc>
          <w:tcPr>
            <w:tcW w:type="dxa" w:w="3168"/>
            <w:vAlign w:val="center"/>
          </w:tcPr>
          <w:p>
            <w:pPr>
              <w:spacing w:before="60" w:after="60"/>
              <w:jc w:val="center"/>
            </w:pPr>
            <w:r>
              <w:rPr>
                <w:sz w:val="18"/>
              </w:rPr>
              <w:t>KRT16/17, TP63, NECTIN4, SFN</w:t>
            </w:r>
          </w:p>
        </w:tc>
      </w:tr>
      <w:tr>
        <w:tc>
          <w:tcPr>
            <w:tcW w:type="dxa" w:w="720"/>
            <w:vAlign w:val="center"/>
            <w:shd w:val="clear" w:color="auto" w:fill="EBF3FB"/>
          </w:tcPr>
          <w:p>
            <w:pPr>
              <w:spacing w:before="60" w:after="60"/>
              <w:jc w:val="center"/>
            </w:pPr>
            <w:r>
              <w:rPr>
                <w:sz w:val="18"/>
              </w:rPr>
              <w:t>F4</w:t>
            </w:r>
          </w:p>
        </w:tc>
        <w:tc>
          <w:tcPr>
            <w:tcW w:type="dxa" w:w="1440"/>
            <w:vAlign w:val="center"/>
            <w:shd w:val="clear" w:color="auto" w:fill="EBF3FB"/>
          </w:tcPr>
          <w:p>
            <w:pPr>
              <w:spacing w:before="60" w:after="60"/>
              <w:jc w:val="center"/>
            </w:pPr>
            <w:r>
              <w:rPr>
                <w:sz w:val="18"/>
              </w:rPr>
              <w:t>5.8</w:t>
            </w:r>
          </w:p>
        </w:tc>
        <w:tc>
          <w:tcPr>
            <w:tcW w:type="dxa" w:w="1440"/>
            <w:vAlign w:val="center"/>
            <w:shd w:val="clear" w:color="auto" w:fill="EBF3FB"/>
          </w:tcPr>
          <w:p>
            <w:pPr>
              <w:spacing w:before="60" w:after="60"/>
              <w:jc w:val="center"/>
            </w:pPr>
            <w:r>
              <w:rPr>
                <w:sz w:val="18"/>
              </w:rPr>
              <w:t>0.068</w:t>
            </w:r>
          </w:p>
        </w:tc>
        <w:tc>
          <w:tcPr>
            <w:tcW w:type="dxa" w:w="1440"/>
            <w:vAlign w:val="center"/>
            <w:shd w:val="clear" w:color="auto" w:fill="EBF3FB"/>
          </w:tcPr>
          <w:p>
            <w:pPr>
              <w:spacing w:before="60" w:after="60"/>
              <w:jc w:val="center"/>
            </w:pPr>
            <w:r>
              <w:rPr>
                <w:sz w:val="18"/>
              </w:rPr>
              <w:t>14</w:t>
            </w:r>
          </w:p>
        </w:tc>
        <w:tc>
          <w:tcPr>
            <w:tcW w:type="dxa" w:w="2592"/>
            <w:vAlign w:val="center"/>
            <w:shd w:val="clear" w:color="auto" w:fill="EBF3FB"/>
          </w:tcPr>
          <w:p>
            <w:pPr>
              <w:spacing w:before="60" w:after="60"/>
              <w:jc w:val="center"/>
            </w:pPr>
            <w:r>
              <w:rPr>
                <w:sz w:val="18"/>
              </w:rPr>
              <w:t>Hepatocyte/GI</w:t>
            </w:r>
          </w:p>
        </w:tc>
        <w:tc>
          <w:tcPr>
            <w:tcW w:type="dxa" w:w="3168"/>
            <w:vAlign w:val="center"/>
            <w:shd w:val="clear" w:color="auto" w:fill="EBF3FB"/>
          </w:tcPr>
          <w:p>
            <w:pPr>
              <w:spacing w:before="60" w:after="60"/>
              <w:jc w:val="center"/>
            </w:pPr>
            <w:r>
              <w:rPr>
                <w:sz w:val="18"/>
              </w:rPr>
              <w:t>ALDOB, HNF4A, CDHR5, ALB</w:t>
            </w:r>
          </w:p>
        </w:tc>
      </w:tr>
      <w:tr>
        <w:tc>
          <w:tcPr>
            <w:tcW w:type="dxa" w:w="720"/>
            <w:vAlign w:val="center"/>
          </w:tcPr>
          <w:p>
            <w:pPr>
              <w:spacing w:before="60" w:after="60"/>
              <w:jc w:val="center"/>
            </w:pPr>
            <w:r>
              <w:rPr>
                <w:sz w:val="18"/>
              </w:rPr>
              <w:t>F9</w:t>
            </w:r>
          </w:p>
        </w:tc>
        <w:tc>
          <w:tcPr>
            <w:tcW w:type="dxa" w:w="1440"/>
            <w:vAlign w:val="center"/>
          </w:tcPr>
          <w:p>
            <w:pPr>
              <w:spacing w:before="60" w:after="60"/>
              <w:jc w:val="center"/>
            </w:pPr>
            <w:r>
              <w:rPr>
                <w:sz w:val="18"/>
              </w:rPr>
              <w:t>5.1</w:t>
            </w:r>
          </w:p>
        </w:tc>
        <w:tc>
          <w:tcPr>
            <w:tcW w:type="dxa" w:w="1440"/>
            <w:vAlign w:val="center"/>
          </w:tcPr>
          <w:p>
            <w:pPr>
              <w:spacing w:before="60" w:after="60"/>
              <w:jc w:val="center"/>
            </w:pPr>
            <w:r>
              <w:rPr>
                <w:sz w:val="18"/>
              </w:rPr>
              <w:t>0.088</w:t>
            </w:r>
          </w:p>
        </w:tc>
        <w:tc>
          <w:tcPr>
            <w:tcW w:type="dxa" w:w="1440"/>
            <w:vAlign w:val="center"/>
          </w:tcPr>
          <w:p>
            <w:pPr>
              <w:spacing w:before="60" w:after="60"/>
              <w:jc w:val="center"/>
            </w:pPr>
            <w:r>
              <w:rPr>
                <w:sz w:val="18"/>
              </w:rPr>
              <w:t>6</w:t>
            </w:r>
          </w:p>
        </w:tc>
        <w:tc>
          <w:tcPr>
            <w:tcW w:type="dxa" w:w="2592"/>
            <w:vAlign w:val="center"/>
          </w:tcPr>
          <w:p>
            <w:pPr>
              <w:spacing w:before="60" w:after="60"/>
              <w:jc w:val="center"/>
            </w:pPr>
            <w:r>
              <w:rPr>
                <w:sz w:val="18"/>
              </w:rPr>
              <w:t>B-cell infiltration</w:t>
            </w:r>
          </w:p>
        </w:tc>
        <w:tc>
          <w:tcPr>
            <w:tcW w:type="dxa" w:w="3168"/>
            <w:vAlign w:val="center"/>
          </w:tcPr>
          <w:p>
            <w:pPr>
              <w:spacing w:before="60" w:after="60"/>
              <w:jc w:val="center"/>
            </w:pPr>
            <w:r>
              <w:rPr>
                <w:sz w:val="18"/>
              </w:rPr>
              <w:t>IGHG1-4, IGHA1, IGLC1-3</w:t>
            </w:r>
          </w:p>
        </w:tc>
      </w:tr>
      <w:tr>
        <w:tc>
          <w:tcPr>
            <w:tcW w:type="dxa" w:w="720"/>
            <w:vAlign w:val="center"/>
            <w:shd w:val="clear" w:color="auto" w:fill="EBF3FB"/>
          </w:tcPr>
          <w:p>
            <w:pPr>
              <w:spacing w:before="60" w:after="60"/>
              <w:jc w:val="center"/>
            </w:pPr>
            <w:r>
              <w:rPr>
                <w:sz w:val="18"/>
              </w:rPr>
              <w:t>F7</w:t>
            </w:r>
          </w:p>
        </w:tc>
        <w:tc>
          <w:tcPr>
            <w:tcW w:type="dxa" w:w="1440"/>
            <w:vAlign w:val="center"/>
            <w:shd w:val="clear" w:color="auto" w:fill="EBF3FB"/>
          </w:tcPr>
          <w:p>
            <w:pPr>
              <w:spacing w:before="60" w:after="60"/>
              <w:jc w:val="center"/>
            </w:pPr>
            <w:r>
              <w:rPr>
                <w:sz w:val="18"/>
              </w:rPr>
              <w:t>4.7</w:t>
            </w:r>
          </w:p>
        </w:tc>
        <w:tc>
          <w:tcPr>
            <w:tcW w:type="dxa" w:w="1440"/>
            <w:vAlign w:val="center"/>
            <w:shd w:val="clear" w:color="auto" w:fill="EBF3FB"/>
          </w:tcPr>
          <w:p>
            <w:pPr>
              <w:spacing w:before="60" w:after="60"/>
              <w:jc w:val="center"/>
            </w:pPr>
            <w:r>
              <w:rPr>
                <w:sz w:val="18"/>
              </w:rPr>
              <w:t>0.062</w:t>
            </w:r>
          </w:p>
        </w:tc>
        <w:tc>
          <w:tcPr>
            <w:tcW w:type="dxa" w:w="1440"/>
            <w:vAlign w:val="center"/>
            <w:shd w:val="clear" w:color="auto" w:fill="EBF3FB"/>
          </w:tcPr>
          <w:p>
            <w:pPr>
              <w:spacing w:before="60" w:after="60"/>
              <w:jc w:val="center"/>
            </w:pPr>
            <w:r>
              <w:rPr>
                <w:sz w:val="18"/>
              </w:rPr>
              <w:t>16</w:t>
            </w:r>
          </w:p>
        </w:tc>
        <w:tc>
          <w:tcPr>
            <w:tcW w:type="dxa" w:w="2592"/>
            <w:vAlign w:val="center"/>
            <w:shd w:val="clear" w:color="auto" w:fill="EBF3FB"/>
          </w:tcPr>
          <w:p>
            <w:pPr>
              <w:spacing w:before="60" w:after="60"/>
              <w:jc w:val="center"/>
            </w:pPr>
            <w:r>
              <w:rPr>
                <w:sz w:val="18"/>
              </w:rPr>
              <w:t>Glioma/neural</w:t>
            </w:r>
          </w:p>
        </w:tc>
        <w:tc>
          <w:tcPr>
            <w:tcW w:type="dxa" w:w="3168"/>
            <w:vAlign w:val="center"/>
            <w:shd w:val="clear" w:color="auto" w:fill="EBF3FB"/>
          </w:tcPr>
          <w:p>
            <w:pPr>
              <w:spacing w:before="60" w:after="60"/>
              <w:jc w:val="center"/>
            </w:pPr>
            <w:r>
              <w:rPr>
                <w:sz w:val="18"/>
              </w:rPr>
              <w:t>GFAP, BCAN, PTPRZ1, IDH1 mut</w:t>
            </w:r>
          </w:p>
        </w:tc>
      </w:tr>
      <w:tr>
        <w:tc>
          <w:tcPr>
            <w:tcW w:type="dxa" w:w="720"/>
            <w:vAlign w:val="center"/>
          </w:tcPr>
          <w:p>
            <w:pPr>
              <w:spacing w:before="60" w:after="60"/>
              <w:jc w:val="center"/>
            </w:pPr>
            <w:r>
              <w:rPr>
                <w:sz w:val="18"/>
              </w:rPr>
              <w:t>F12</w:t>
            </w:r>
          </w:p>
        </w:tc>
        <w:tc>
          <w:tcPr>
            <w:tcW w:type="dxa" w:w="1440"/>
            <w:vAlign w:val="center"/>
          </w:tcPr>
          <w:p>
            <w:pPr>
              <w:spacing w:before="60" w:after="60"/>
              <w:jc w:val="center"/>
            </w:pPr>
            <w:r>
              <w:rPr>
                <w:sz w:val="18"/>
              </w:rPr>
              <w:t>5.3</w:t>
            </w:r>
          </w:p>
        </w:tc>
        <w:tc>
          <w:tcPr>
            <w:tcW w:type="dxa" w:w="1440"/>
            <w:vAlign w:val="center"/>
          </w:tcPr>
          <w:p>
            <w:pPr>
              <w:spacing w:before="60" w:after="60"/>
              <w:jc w:val="center"/>
            </w:pPr>
            <w:r>
              <w:rPr>
                <w:sz w:val="18"/>
              </w:rPr>
              <w:t>0.120</w:t>
            </w:r>
          </w:p>
        </w:tc>
        <w:tc>
          <w:tcPr>
            <w:tcW w:type="dxa" w:w="1440"/>
            <w:vAlign w:val="center"/>
          </w:tcPr>
          <w:p>
            <w:pPr>
              <w:spacing w:before="60" w:after="60"/>
              <w:jc w:val="center"/>
            </w:pPr>
            <w:r>
              <w:rPr>
                <w:sz w:val="18"/>
              </w:rPr>
              <w:t>5</w:t>
            </w:r>
          </w:p>
        </w:tc>
        <w:tc>
          <w:tcPr>
            <w:tcW w:type="dxa" w:w="2592"/>
            <w:vAlign w:val="center"/>
          </w:tcPr>
          <w:p>
            <w:pPr>
              <w:spacing w:before="60" w:after="60"/>
              <w:jc w:val="center"/>
            </w:pPr>
            <w:r>
              <w:rPr>
                <w:sz w:val="18"/>
              </w:rPr>
              <w:t>Thyroid/IDH differentiation</w:t>
            </w:r>
          </w:p>
        </w:tc>
        <w:tc>
          <w:tcPr>
            <w:tcW w:type="dxa" w:w="3168"/>
            <w:vAlign w:val="center"/>
          </w:tcPr>
          <w:p>
            <w:pPr>
              <w:spacing w:before="60" w:after="60"/>
              <w:jc w:val="center"/>
            </w:pPr>
            <w:r>
              <w:rPr>
                <w:sz w:val="18"/>
              </w:rPr>
              <w:t>TG, TPO, DUOX2, BRAF mut</w:t>
            </w:r>
          </w:p>
        </w:tc>
      </w:tr>
      <w:tr>
        <w:tc>
          <w:tcPr>
            <w:tcW w:type="dxa" w:w="720"/>
            <w:vAlign w:val="center"/>
            <w:shd w:val="clear" w:color="auto" w:fill="EBF3FB"/>
          </w:tcPr>
          <w:p>
            <w:pPr>
              <w:spacing w:before="60" w:after="60"/>
              <w:jc w:val="center"/>
            </w:pPr>
            <w:r>
              <w:rPr>
                <w:sz w:val="18"/>
              </w:rPr>
              <w:t>F8</w:t>
            </w:r>
          </w:p>
        </w:tc>
        <w:tc>
          <w:tcPr>
            <w:tcW w:type="dxa" w:w="1440"/>
            <w:vAlign w:val="center"/>
            <w:shd w:val="clear" w:color="auto" w:fill="EBF3FB"/>
          </w:tcPr>
          <w:p>
            <w:pPr>
              <w:spacing w:before="60" w:after="60"/>
              <w:jc w:val="center"/>
            </w:pPr>
            <w:r>
              <w:rPr>
                <w:sz w:val="18"/>
              </w:rPr>
              <w:t>3.2</w:t>
            </w:r>
          </w:p>
        </w:tc>
        <w:tc>
          <w:tcPr>
            <w:tcW w:type="dxa" w:w="1440"/>
            <w:vAlign w:val="center"/>
            <w:shd w:val="clear" w:color="auto" w:fill="EBF3FB"/>
          </w:tcPr>
          <w:p>
            <w:pPr>
              <w:spacing w:before="60" w:after="60"/>
              <w:jc w:val="center"/>
            </w:pPr>
            <w:r>
              <w:rPr>
                <w:sz w:val="18"/>
              </w:rPr>
              <w:t>0.283</w:t>
            </w:r>
          </w:p>
        </w:tc>
        <w:tc>
          <w:tcPr>
            <w:tcW w:type="dxa" w:w="1440"/>
            <w:vAlign w:val="center"/>
            <w:shd w:val="clear" w:color="auto" w:fill="EBF3FB"/>
          </w:tcPr>
          <w:p>
            <w:pPr>
              <w:spacing w:before="60" w:after="60"/>
              <w:jc w:val="center"/>
            </w:pPr>
            <w:r>
              <w:rPr>
                <w:sz w:val="18"/>
              </w:rPr>
              <w:t>1</w:t>
            </w:r>
          </w:p>
        </w:tc>
        <w:tc>
          <w:tcPr>
            <w:tcW w:type="dxa" w:w="2592"/>
            <w:vAlign w:val="center"/>
            <w:shd w:val="clear" w:color="auto" w:fill="EBF3FB"/>
          </w:tcPr>
          <w:p>
            <w:pPr>
              <w:spacing w:before="60" w:after="60"/>
              <w:jc w:val="center"/>
            </w:pPr>
            <w:r>
              <w:rPr>
                <w:sz w:val="18"/>
              </w:rPr>
              <w:t>Protease invasion + driver muts</w:t>
            </w:r>
          </w:p>
        </w:tc>
        <w:tc>
          <w:tcPr>
            <w:tcW w:type="dxa" w:w="3168"/>
            <w:vAlign w:val="center"/>
            <w:shd w:val="clear" w:color="auto" w:fill="EBF3FB"/>
          </w:tcPr>
          <w:p>
            <w:pPr>
              <w:spacing w:before="60" w:after="60"/>
              <w:jc w:val="center"/>
            </w:pPr>
            <w:r>
              <w:rPr>
                <w:sz w:val="18"/>
              </w:rPr>
              <w:t>PRSS3, KLK6, TP53/KRAS mut</w:t>
            </w:r>
          </w:p>
        </w:tc>
      </w:tr>
      <w:tr>
        <w:tc>
          <w:tcPr>
            <w:tcW w:type="dxa" w:w="720"/>
            <w:vAlign w:val="center"/>
          </w:tcPr>
          <w:p>
            <w:pPr>
              <w:spacing w:before="60" w:after="60"/>
              <w:jc w:val="center"/>
            </w:pPr>
            <w:r>
              <w:rPr>
                <w:sz w:val="18"/>
              </w:rPr>
              <w:t>F6</w:t>
            </w:r>
          </w:p>
        </w:tc>
        <w:tc>
          <w:tcPr>
            <w:tcW w:type="dxa" w:w="1440"/>
            <w:vAlign w:val="center"/>
          </w:tcPr>
          <w:p>
            <w:pPr>
              <w:spacing w:before="60" w:after="60"/>
              <w:jc w:val="center"/>
            </w:pPr>
            <w:r>
              <w:rPr>
                <w:sz w:val="18"/>
              </w:rPr>
              <w:t>0.8</w:t>
            </w:r>
          </w:p>
        </w:tc>
        <w:tc>
          <w:tcPr>
            <w:tcW w:type="dxa" w:w="1440"/>
            <w:vAlign w:val="center"/>
          </w:tcPr>
          <w:p>
            <w:pPr>
              <w:spacing w:before="60" w:after="60"/>
              <w:jc w:val="center"/>
            </w:pPr>
            <w:r>
              <w:rPr>
                <w:sz w:val="18"/>
              </w:rPr>
              <w:t>0.219</w:t>
            </w:r>
          </w:p>
        </w:tc>
        <w:tc>
          <w:tcPr>
            <w:tcW w:type="dxa" w:w="1440"/>
            <w:vAlign w:val="center"/>
          </w:tcPr>
          <w:p>
            <w:pPr>
              <w:spacing w:before="60" w:after="60"/>
              <w:jc w:val="center"/>
            </w:pPr>
            <w:r>
              <w:rPr>
                <w:sz w:val="18"/>
              </w:rPr>
              <w:t>2</w:t>
            </w:r>
          </w:p>
        </w:tc>
        <w:tc>
          <w:tcPr>
            <w:tcW w:type="dxa" w:w="2592"/>
            <w:vAlign w:val="center"/>
          </w:tcPr>
          <w:p>
            <w:pPr>
              <w:spacing w:before="60" w:after="60"/>
              <w:jc w:val="center"/>
            </w:pPr>
            <w:r>
              <w:rPr>
                <w:sz w:val="18"/>
              </w:rPr>
              <w:t>Immune checkpoint (9p24.1)</w:t>
            </w:r>
          </w:p>
        </w:tc>
        <w:tc>
          <w:tcPr>
            <w:tcW w:type="dxa" w:w="3168"/>
            <w:vAlign w:val="center"/>
          </w:tcPr>
          <w:p>
            <w:pPr>
              <w:spacing w:before="60" w:after="60"/>
              <w:jc w:val="center"/>
            </w:pPr>
            <w:r>
              <w:rPr>
                <w:sz w:val="18"/>
              </w:rPr>
              <w:t>CD274, PDCD1LG2, JAK2 CNV</w:t>
            </w:r>
          </w:p>
        </w:tc>
      </w:tr>
      <w:tr>
        <w:tc>
          <w:tcPr>
            <w:tcW w:type="dxa" w:w="720"/>
            <w:vAlign w:val="center"/>
            <w:shd w:val="clear" w:color="auto" w:fill="EBF3FB"/>
          </w:tcPr>
          <w:p>
            <w:pPr>
              <w:spacing w:before="60" w:after="60"/>
              <w:jc w:val="center"/>
            </w:pPr>
            <w:r>
              <w:rPr>
                <w:sz w:val="18"/>
              </w:rPr>
              <w:t>F15</w:t>
            </w:r>
          </w:p>
        </w:tc>
        <w:tc>
          <w:tcPr>
            <w:tcW w:type="dxa" w:w="1440"/>
            <w:vAlign w:val="center"/>
            <w:shd w:val="clear" w:color="auto" w:fill="EBF3FB"/>
          </w:tcPr>
          <w:p>
            <w:pPr>
              <w:spacing w:before="60" w:after="60"/>
              <w:jc w:val="center"/>
            </w:pPr>
            <w:r>
              <w:rPr>
                <w:sz w:val="18"/>
              </w:rPr>
              <w:t>2.5</w:t>
            </w:r>
          </w:p>
        </w:tc>
        <w:tc>
          <w:tcPr>
            <w:tcW w:type="dxa" w:w="1440"/>
            <w:vAlign w:val="center"/>
            <w:shd w:val="clear" w:color="auto" w:fill="EBF3FB"/>
          </w:tcPr>
          <w:p>
            <w:pPr>
              <w:spacing w:before="60" w:after="60"/>
              <w:jc w:val="center"/>
            </w:pPr>
            <w:r>
              <w:rPr>
                <w:sz w:val="18"/>
              </w:rPr>
              <w:t>0.120</w:t>
            </w:r>
          </w:p>
        </w:tc>
        <w:tc>
          <w:tcPr>
            <w:tcW w:type="dxa" w:w="1440"/>
            <w:vAlign w:val="center"/>
            <w:shd w:val="clear" w:color="auto" w:fill="EBF3FB"/>
          </w:tcPr>
          <w:p>
            <w:pPr>
              <w:spacing w:before="60" w:after="60"/>
              <w:jc w:val="center"/>
            </w:pPr>
            <w:r>
              <w:rPr>
                <w:sz w:val="18"/>
              </w:rPr>
              <w:t>4</w:t>
            </w:r>
          </w:p>
        </w:tc>
        <w:tc>
          <w:tcPr>
            <w:tcW w:type="dxa" w:w="2592"/>
            <w:vAlign w:val="center"/>
            <w:shd w:val="clear" w:color="auto" w:fill="EBF3FB"/>
          </w:tcPr>
          <w:p>
            <w:pPr>
              <w:spacing w:before="60" w:after="60"/>
              <w:jc w:val="center"/>
            </w:pPr>
            <w:r>
              <w:rPr>
                <w:sz w:val="18"/>
              </w:rPr>
              <w:t>Luminal de-differentiation</w:t>
            </w:r>
          </w:p>
        </w:tc>
        <w:tc>
          <w:tcPr>
            <w:tcW w:type="dxa" w:w="3168"/>
            <w:vAlign w:val="center"/>
            <w:shd w:val="clear" w:color="auto" w:fill="EBF3FB"/>
          </w:tcPr>
          <w:p>
            <w:pPr>
              <w:spacing w:before="60" w:after="60"/>
              <w:jc w:val="center"/>
            </w:pPr>
            <w:r>
              <w:rPr>
                <w:sz w:val="18"/>
              </w:rPr>
              <w:t>GATA3, MUC1, ARID1A mut loss</w:t>
            </w:r>
          </w:p>
        </w:tc>
      </w:tr>
      <w:tr>
        <w:tc>
          <w:tcPr>
            <w:tcW w:type="dxa" w:w="720"/>
            <w:vAlign w:val="center"/>
          </w:tcPr>
          <w:p>
            <w:pPr>
              <w:spacing w:before="60" w:after="60"/>
              <w:jc w:val="center"/>
            </w:pPr>
            <w:r>
              <w:rPr>
                <w:sz w:val="18"/>
              </w:rPr>
              <w:t>F11</w:t>
            </w:r>
          </w:p>
        </w:tc>
        <w:tc>
          <w:tcPr>
            <w:tcW w:type="dxa" w:w="1440"/>
            <w:vAlign w:val="center"/>
          </w:tcPr>
          <w:p>
            <w:pPr>
              <w:spacing w:before="60" w:after="60"/>
              <w:jc w:val="center"/>
            </w:pPr>
            <w:r>
              <w:rPr>
                <w:sz w:val="18"/>
              </w:rPr>
              <w:t>4.3</w:t>
            </w:r>
          </w:p>
        </w:tc>
        <w:tc>
          <w:tcPr>
            <w:tcW w:type="dxa" w:w="1440"/>
            <w:vAlign w:val="center"/>
          </w:tcPr>
          <w:p>
            <w:pPr>
              <w:spacing w:before="60" w:after="60"/>
              <w:jc w:val="center"/>
            </w:pPr>
            <w:r>
              <w:rPr>
                <w:sz w:val="18"/>
              </w:rPr>
              <w:t>0.078</w:t>
            </w:r>
          </w:p>
        </w:tc>
        <w:tc>
          <w:tcPr>
            <w:tcW w:type="dxa" w:w="1440"/>
            <w:vAlign w:val="center"/>
          </w:tcPr>
          <w:p>
            <w:pPr>
              <w:spacing w:before="60" w:after="60"/>
              <w:jc w:val="center"/>
            </w:pPr>
            <w:r>
              <w:rPr>
                <w:sz w:val="18"/>
              </w:rPr>
              <w:t>9</w:t>
            </w:r>
          </w:p>
        </w:tc>
        <w:tc>
          <w:tcPr>
            <w:tcW w:type="dxa" w:w="2592"/>
            <w:vAlign w:val="center"/>
          </w:tcPr>
          <w:p>
            <w:pPr>
              <w:spacing w:before="60" w:after="60"/>
              <w:jc w:val="center"/>
            </w:pPr>
            <w:r>
              <w:rPr>
                <w:sz w:val="18"/>
              </w:rPr>
              <w:t>Mixed epithelial</w:t>
            </w:r>
          </w:p>
        </w:tc>
        <w:tc>
          <w:tcPr>
            <w:tcW w:type="dxa" w:w="3168"/>
            <w:vAlign w:val="center"/>
          </w:tcPr>
          <w:p>
            <w:pPr>
              <w:spacing w:before="60" w:after="60"/>
              <w:jc w:val="center"/>
            </w:pPr>
            <w:r>
              <w:rPr>
                <w:sz w:val="18"/>
              </w:rPr>
              <w:t>Various KRT, mucin genes</w:t>
            </w:r>
          </w:p>
        </w:tc>
      </w:tr>
      <w:tr>
        <w:tc>
          <w:tcPr>
            <w:tcW w:type="dxa" w:w="720"/>
            <w:vAlign w:val="center"/>
            <w:shd w:val="clear" w:color="auto" w:fill="EBF3FB"/>
          </w:tcPr>
          <w:p>
            <w:pPr>
              <w:spacing w:before="60" w:after="60"/>
              <w:jc w:val="center"/>
            </w:pPr>
            <w:r>
              <w:rPr>
                <w:sz w:val="18"/>
              </w:rPr>
              <w:t>F16</w:t>
            </w:r>
          </w:p>
        </w:tc>
        <w:tc>
          <w:tcPr>
            <w:tcW w:type="dxa" w:w="1440"/>
            <w:vAlign w:val="center"/>
            <w:shd w:val="clear" w:color="auto" w:fill="EBF3FB"/>
          </w:tcPr>
          <w:p>
            <w:pPr>
              <w:spacing w:before="60" w:after="60"/>
              <w:jc w:val="center"/>
            </w:pPr>
            <w:r>
              <w:rPr>
                <w:sz w:val="18"/>
              </w:rPr>
              <w:t>3.6</w:t>
            </w:r>
          </w:p>
        </w:tc>
        <w:tc>
          <w:tcPr>
            <w:tcW w:type="dxa" w:w="1440"/>
            <w:vAlign w:val="center"/>
            <w:shd w:val="clear" w:color="auto" w:fill="EBF3FB"/>
          </w:tcPr>
          <w:p>
            <w:pPr>
              <w:spacing w:before="60" w:after="60"/>
              <w:jc w:val="center"/>
            </w:pPr>
            <w:r>
              <w:rPr>
                <w:sz w:val="18"/>
              </w:rPr>
              <w:t>0.064</w:t>
            </w:r>
          </w:p>
        </w:tc>
        <w:tc>
          <w:tcPr>
            <w:tcW w:type="dxa" w:w="1440"/>
            <w:vAlign w:val="center"/>
            <w:shd w:val="clear" w:color="auto" w:fill="EBF3FB"/>
          </w:tcPr>
          <w:p>
            <w:pPr>
              <w:spacing w:before="60" w:after="60"/>
              <w:jc w:val="center"/>
            </w:pPr>
            <w:r>
              <w:rPr>
                <w:sz w:val="18"/>
              </w:rPr>
              <w:t>15</w:t>
            </w:r>
          </w:p>
        </w:tc>
        <w:tc>
          <w:tcPr>
            <w:tcW w:type="dxa" w:w="2592"/>
            <w:vAlign w:val="center"/>
            <w:shd w:val="clear" w:color="auto" w:fill="EBF3FB"/>
          </w:tcPr>
          <w:p>
            <w:pPr>
              <w:spacing w:before="60" w:after="60"/>
              <w:jc w:val="center"/>
            </w:pPr>
            <w:r>
              <w:rPr>
                <w:sz w:val="18"/>
              </w:rPr>
              <w:t>Stromal/fibroblast</w:t>
            </w:r>
          </w:p>
        </w:tc>
        <w:tc>
          <w:tcPr>
            <w:tcW w:type="dxa" w:w="3168"/>
            <w:vAlign w:val="center"/>
            <w:shd w:val="clear" w:color="auto" w:fill="EBF3FB"/>
          </w:tcPr>
          <w:p>
            <w:pPr>
              <w:spacing w:before="60" w:after="60"/>
              <w:jc w:val="center"/>
            </w:pPr>
            <w:r>
              <w:rPr>
                <w:sz w:val="18"/>
              </w:rPr>
              <w:t>GPC5/6, KLF5</w:t>
            </w:r>
          </w:p>
        </w:tc>
      </w:tr>
    </w:tbl>
    <w:p>
      <w:pPr>
        <w:spacing w:after="280"/>
      </w:pPr>
      <w:r>
        <w:rPr>
          <w:b/>
          <w:i w:val="0"/>
          <w:sz w:val="18"/>
          <w:u w:val="none"/>
        </w:rPr>
        <w:t xml:space="preserve">Table S4. </w:t>
      </w:r>
      <w:r>
        <w:rPr>
          <w:b w:val="0"/>
          <w:i/>
          <w:sz w:val="18"/>
          <w:u w:val="none"/>
        </w:rPr>
        <w:t>Summary of all retained MOFA+ factors: variance explained, SHAP score, SHAP rank, primary biological annotation, and representative genes.</w:t>
      </w:r>
    </w:p>
    <w:p>
      <w:r>
        <w:br w:type="page"/>
      </w:r>
    </w:p>
    <w:p>
      <w:pPr>
        <w:pStyle w:val="Heading1"/>
        <w:spacing w:before="320" w:after="120"/>
      </w:pPr>
      <w:r>
        <w:t>Section S6: Cox Ridge and DeepSurv Baseline Models</w:t>
      </w:r>
    </w:p>
    <w:p>
      <w:pPr>
        <w:spacing w:after="120"/>
        <w:jc w:val="both"/>
      </w:pPr>
      <w:r>
        <w:rPr>
          <w:sz w:val="22"/>
        </w:rPr>
        <w:t>Prior to the final MOFA+-based model comparison, two baseline survival models were developed on raw PCA features: (1) a Cox ridge regression using 80 ElasticNet-selected features from expression PCA(50) + top-100 mutation genes + CNV PCA(30); and (2) a DeepSurv neural network (3 hidden layers: 256-128-64 units with BatchNorm, ReLU, and Dropout 0.4) trained on the same 80-feature set. These baseline experiments established the performance ceiling of raw-feature approaches before MOFA+ integration.</w:t>
      </w:r>
    </w:p>
    <w:p>
      <w:pPr>
        <w:jc w:val="center"/>
      </w:pPr>
      <w:r>
        <w:drawing>
          <wp:inline xmlns:a="http://schemas.openxmlformats.org/drawingml/2006/main" xmlns:pic="http://schemas.openxmlformats.org/drawingml/2006/picture">
            <wp:extent cx="5029200" cy="2873829"/>
            <wp:docPr id="19" name="Picture 19"/>
            <wp:cNvGraphicFramePr>
              <a:graphicFrameLocks noChangeAspect="1"/>
            </wp:cNvGraphicFramePr>
            <a:graphic>
              <a:graphicData uri="http://schemas.openxmlformats.org/drawingml/2006/picture">
                <pic:pic>
                  <pic:nvPicPr>
                    <pic:cNvPr id="0" name="cox_cv_cindex.png"/>
                    <pic:cNvPicPr/>
                  </pic:nvPicPr>
                  <pic:blipFill>
                    <a:blip r:embed="rId27"/>
                    <a:stretch>
                      <a:fillRect/>
                    </a:stretch>
                  </pic:blipFill>
                  <pic:spPr>
                    <a:xfrm>
                      <a:off x="0" y="0"/>
                      <a:ext cx="5029200" cy="2873829"/>
                    </a:xfrm>
                    <a:prstGeom prst="rect"/>
                  </pic:spPr>
                </pic:pic>
              </a:graphicData>
            </a:graphic>
          </wp:inline>
        </w:drawing>
      </w:r>
    </w:p>
    <w:p>
      <w:pPr>
        <w:spacing w:before="80" w:after="280"/>
        <w:jc w:val="center"/>
      </w:pPr>
      <w:r>
        <w:rPr>
          <w:b/>
          <w:i w:val="0"/>
          <w:sz w:val="18"/>
          <w:u w:val="none"/>
        </w:rPr>
        <w:t xml:space="preserve">Figure S18. </w:t>
      </w:r>
      <w:r>
        <w:rPr>
          <w:b w:val="0"/>
          <w:i/>
          <w:sz w:val="18"/>
          <w:u w:val="none"/>
        </w:rPr>
        <w:t>Cox ridge regression 5-fold CV C-index. Mean = 0.679 +/- 0.035 on 80 ElasticNet-selected features from raw PCA. High fold-to-fold variance reflects instability of raw features.</w:t>
      </w:r>
    </w:p>
    <w:p>
      <w:pPr>
        <w:jc w:val="center"/>
      </w:pPr>
      <w:r>
        <w:drawing>
          <wp:inline xmlns:a="http://schemas.openxmlformats.org/drawingml/2006/main" xmlns:pic="http://schemas.openxmlformats.org/drawingml/2006/picture">
            <wp:extent cx="5029200" cy="5267068"/>
            <wp:docPr id="20" name="Picture 20"/>
            <wp:cNvGraphicFramePr>
              <a:graphicFrameLocks noChangeAspect="1"/>
            </wp:cNvGraphicFramePr>
            <a:graphic>
              <a:graphicData uri="http://schemas.openxmlformats.org/drawingml/2006/picture">
                <pic:pic>
                  <pic:nvPicPr>
                    <pic:cNvPr id="0" name="cox_hazard_ratios.png"/>
                    <pic:cNvPicPr/>
                  </pic:nvPicPr>
                  <pic:blipFill>
                    <a:blip r:embed="rId28"/>
                    <a:stretch>
                      <a:fillRect/>
                    </a:stretch>
                  </pic:blipFill>
                  <pic:spPr>
                    <a:xfrm>
                      <a:off x="0" y="0"/>
                      <a:ext cx="5029200" cy="5267068"/>
                    </a:xfrm>
                    <a:prstGeom prst="rect"/>
                  </pic:spPr>
                </pic:pic>
              </a:graphicData>
            </a:graphic>
          </wp:inline>
        </w:drawing>
      </w:r>
    </w:p>
    <w:p>
      <w:pPr>
        <w:spacing w:before="80" w:after="280"/>
        <w:jc w:val="center"/>
      </w:pPr>
      <w:r>
        <w:rPr>
          <w:b/>
          <w:i w:val="0"/>
          <w:sz w:val="18"/>
          <w:u w:val="none"/>
        </w:rPr>
        <w:t xml:space="preserve">Figure S19. </w:t>
      </w:r>
      <w:r>
        <w:rPr>
          <w:b w:val="0"/>
          <w:i/>
          <w:sz w:val="18"/>
          <w:u w:val="none"/>
        </w:rPr>
        <w:t>Cox model top 20 feature hazard ratios with 95% confidence intervals. EXPR_PC14 is the top predictor (HR = 1.18, 95% CI: 1.12-1.25), followed by CNV_PC15 and MUT_USH2A.</w:t>
      </w:r>
    </w:p>
    <w:p>
      <w:pPr>
        <w:jc w:val="center"/>
      </w:pPr>
      <w:r>
        <w:drawing>
          <wp:inline xmlns:a="http://schemas.openxmlformats.org/drawingml/2006/main" xmlns:pic="http://schemas.openxmlformats.org/drawingml/2006/picture">
            <wp:extent cx="5029200" cy="3352800"/>
            <wp:docPr id="21" name="Picture 21"/>
            <wp:cNvGraphicFramePr>
              <a:graphicFrameLocks noChangeAspect="1"/>
            </wp:cNvGraphicFramePr>
            <a:graphic>
              <a:graphicData uri="http://schemas.openxmlformats.org/drawingml/2006/picture">
                <pic:pic>
                  <pic:nvPicPr>
                    <pic:cNvPr id="0" name="cox_risk_km.png"/>
                    <pic:cNvPicPr/>
                  </pic:nvPicPr>
                  <pic:blipFill>
                    <a:blip r:embed="rId29"/>
                    <a:stretch>
                      <a:fillRect/>
                    </a:stretch>
                  </pic:blipFill>
                  <pic:spPr>
                    <a:xfrm>
                      <a:off x="0" y="0"/>
                      <a:ext cx="5029200" cy="3352800"/>
                    </a:xfrm>
                    <a:prstGeom prst="rect"/>
                  </pic:spPr>
                </pic:pic>
              </a:graphicData>
            </a:graphic>
          </wp:inline>
        </w:drawing>
      </w:r>
    </w:p>
    <w:p>
      <w:pPr>
        <w:spacing w:before="80" w:after="280"/>
        <w:jc w:val="center"/>
      </w:pPr>
      <w:r>
        <w:rPr>
          <w:b/>
          <w:i w:val="0"/>
          <w:sz w:val="18"/>
          <w:u w:val="none"/>
        </w:rPr>
        <w:t xml:space="preserve">Figure S20. </w:t>
      </w:r>
      <w:r>
        <w:rPr>
          <w:b w:val="0"/>
          <w:i/>
          <w:sz w:val="18"/>
          <w:u w:val="none"/>
        </w:rPr>
        <w:t>Kaplan-Meier survival curves for high vs. low-risk groups by Cox model risk score (median split).</w:t>
      </w:r>
    </w:p>
    <w:p>
      <w:pPr>
        <w:jc w:val="center"/>
      </w:pPr>
      <w:r>
        <w:drawing>
          <wp:inline xmlns:a="http://schemas.openxmlformats.org/drawingml/2006/main" xmlns:pic="http://schemas.openxmlformats.org/drawingml/2006/picture">
            <wp:extent cx="5029200" cy="2514600"/>
            <wp:docPr id="22" name="Picture 22"/>
            <wp:cNvGraphicFramePr>
              <a:graphicFrameLocks noChangeAspect="1"/>
            </wp:cNvGraphicFramePr>
            <a:graphic>
              <a:graphicData uri="http://schemas.openxmlformats.org/drawingml/2006/picture">
                <pic:pic>
                  <pic:nvPicPr>
                    <pic:cNvPr id="0" name="deepsurv_loss_curve.png"/>
                    <pic:cNvPicPr/>
                  </pic:nvPicPr>
                  <pic:blipFill>
                    <a:blip r:embed="rId30"/>
                    <a:stretch>
                      <a:fillRect/>
                    </a:stretch>
                  </pic:blipFill>
                  <pic:spPr>
                    <a:xfrm>
                      <a:off x="0" y="0"/>
                      <a:ext cx="5029200" cy="2514600"/>
                    </a:xfrm>
                    <a:prstGeom prst="rect"/>
                  </pic:spPr>
                </pic:pic>
              </a:graphicData>
            </a:graphic>
          </wp:inline>
        </w:drawing>
      </w:r>
    </w:p>
    <w:p>
      <w:pPr>
        <w:spacing w:before="80" w:after="280"/>
        <w:jc w:val="center"/>
      </w:pPr>
      <w:r>
        <w:rPr>
          <w:b/>
          <w:i w:val="0"/>
          <w:sz w:val="18"/>
          <w:u w:val="none"/>
        </w:rPr>
        <w:t xml:space="preserve">Figure S21a. </w:t>
      </w:r>
      <w:r>
        <w:rPr>
          <w:b w:val="0"/>
          <w:i/>
          <w:sz w:val="18"/>
          <w:u w:val="none"/>
        </w:rPr>
        <w:t>DeepSurv training and validation loss curves across 5 cross-validation folds. Early stopping (patience=20) is triggered between epochs 40-80 across folds.</w:t>
      </w:r>
    </w:p>
    <w:p>
      <w:pPr>
        <w:jc w:val="center"/>
      </w:pPr>
      <w:r>
        <w:drawing>
          <wp:inline xmlns:a="http://schemas.openxmlformats.org/drawingml/2006/main" xmlns:pic="http://schemas.openxmlformats.org/drawingml/2006/picture">
            <wp:extent cx="5029200" cy="2873829"/>
            <wp:docPr id="23" name="Picture 23"/>
            <wp:cNvGraphicFramePr>
              <a:graphicFrameLocks noChangeAspect="1"/>
            </wp:cNvGraphicFramePr>
            <a:graphic>
              <a:graphicData uri="http://schemas.openxmlformats.org/drawingml/2006/picture">
                <pic:pic>
                  <pic:nvPicPr>
                    <pic:cNvPr id="0" name="deepsurv_cv_cindex.png"/>
                    <pic:cNvPicPr/>
                  </pic:nvPicPr>
                  <pic:blipFill>
                    <a:blip r:embed="rId31"/>
                    <a:stretch>
                      <a:fillRect/>
                    </a:stretch>
                  </pic:blipFill>
                  <pic:spPr>
                    <a:xfrm>
                      <a:off x="0" y="0"/>
                      <a:ext cx="5029200" cy="2873829"/>
                    </a:xfrm>
                    <a:prstGeom prst="rect"/>
                  </pic:spPr>
                </pic:pic>
              </a:graphicData>
            </a:graphic>
          </wp:inline>
        </w:drawing>
      </w:r>
    </w:p>
    <w:p>
      <w:pPr>
        <w:spacing w:before="80" w:after="280"/>
        <w:jc w:val="center"/>
      </w:pPr>
      <w:r>
        <w:rPr>
          <w:b/>
          <w:i w:val="0"/>
          <w:sz w:val="18"/>
          <w:u w:val="none"/>
        </w:rPr>
        <w:t xml:space="preserve">Figure S21b. </w:t>
      </w:r>
      <w:r>
        <w:rPr>
          <w:b w:val="0"/>
          <w:i/>
          <w:sz w:val="18"/>
          <w:u w:val="none"/>
        </w:rPr>
        <w:t>DeepSurv 5-fold CV C-index. Mean = 0.683 +/- 0.026. The deep network marginally outperforms Cox ridge on the same 80-feature set.</w:t>
      </w:r>
    </w:p>
    <w:p>
      <w:r>
        <w:br w:type="page"/>
      </w:r>
    </w:p>
    <w:p>
      <w:pPr>
        <w:pStyle w:val="Heading1"/>
        <w:spacing w:before="320" w:after="120"/>
      </w:pPr>
      <w:r>
        <w:t>Section S7: Full SHAP Analyses per Model</w:t>
      </w:r>
    </w:p>
    <w:p>
      <w:pPr>
        <w:spacing w:after="120"/>
        <w:jc w:val="both"/>
      </w:pPr>
      <w:r>
        <w:rPr>
          <w:sz w:val="22"/>
        </w:rPr>
        <w:t>SHAP (SHapley Additive exPlanations) was computed for all three MOFA+-based models and the two baseline models. The following figures show beeswarm plots (feature impact on model output for each sample) and bar plots (mean absolute SHAP per feature) for each model.</w:t>
      </w:r>
    </w:p>
    <w:p>
      <w:pPr>
        <w:jc w:val="center"/>
      </w:pPr>
      <w:r>
        <w:drawing>
          <wp:inline xmlns:a="http://schemas.openxmlformats.org/drawingml/2006/main" xmlns:pic="http://schemas.openxmlformats.org/drawingml/2006/picture">
            <wp:extent cx="5303520" cy="4177966"/>
            <wp:docPr id="24" name="Picture 24"/>
            <wp:cNvGraphicFramePr>
              <a:graphicFrameLocks noChangeAspect="1"/>
            </wp:cNvGraphicFramePr>
            <a:graphic>
              <a:graphicData uri="http://schemas.openxmlformats.org/drawingml/2006/picture">
                <pic:pic>
                  <pic:nvPicPr>
                    <pic:cNvPr id="0" name="shap_ftt_beeswarm.png"/>
                    <pic:cNvPicPr/>
                  </pic:nvPicPr>
                  <pic:blipFill>
                    <a:blip r:embed="rId32"/>
                    <a:stretch>
                      <a:fillRect/>
                    </a:stretch>
                  </pic:blipFill>
                  <pic:spPr>
                    <a:xfrm>
                      <a:off x="0" y="0"/>
                      <a:ext cx="5303520" cy="4177966"/>
                    </a:xfrm>
                    <a:prstGeom prst="rect"/>
                  </pic:spPr>
                </pic:pic>
              </a:graphicData>
            </a:graphic>
          </wp:inline>
        </w:drawing>
      </w:r>
    </w:p>
    <w:p>
      <w:pPr>
        <w:spacing w:before="80" w:after="280"/>
        <w:jc w:val="center"/>
      </w:pPr>
      <w:r>
        <w:rPr>
          <w:b/>
          <w:i w:val="0"/>
          <w:sz w:val="18"/>
          <w:u w:val="none"/>
        </w:rPr>
        <w:t xml:space="preserve">Figure S22. </w:t>
      </w:r>
      <w:r>
        <w:rPr>
          <w:b w:val="0"/>
          <w:i/>
          <w:sz w:val="18"/>
          <w:u w:val="none"/>
        </w:rPr>
        <w:t>FT-Transformer SHAP beeswarm plot. Each dot is one sample; color indicates feature value (red=high, blue=low); x-position shows SHAP value (impact on predicted log-hazard). Factor 8 and age_at_dx show the widest SHAP spread, confirming their dominance.</w:t>
      </w:r>
    </w:p>
    <w:p>
      <w:pPr>
        <w:jc w:val="center"/>
      </w:pPr>
      <w:r>
        <w:drawing>
          <wp:inline xmlns:a="http://schemas.openxmlformats.org/drawingml/2006/main" xmlns:pic="http://schemas.openxmlformats.org/drawingml/2006/picture">
            <wp:extent cx="5303520" cy="4622087"/>
            <wp:docPr id="25" name="Picture 25"/>
            <wp:cNvGraphicFramePr>
              <a:graphicFrameLocks noChangeAspect="1"/>
            </wp:cNvGraphicFramePr>
            <a:graphic>
              <a:graphicData uri="http://schemas.openxmlformats.org/drawingml/2006/picture">
                <pic:pic>
                  <pic:nvPicPr>
                    <pic:cNvPr id="0" name="shap_ftt_bar.png"/>
                    <pic:cNvPicPr/>
                  </pic:nvPicPr>
                  <pic:blipFill>
                    <a:blip r:embed="rId33"/>
                    <a:stretch>
                      <a:fillRect/>
                    </a:stretch>
                  </pic:blipFill>
                  <pic:spPr>
                    <a:xfrm>
                      <a:off x="0" y="0"/>
                      <a:ext cx="5303520" cy="4622087"/>
                    </a:xfrm>
                    <a:prstGeom prst="rect"/>
                  </pic:spPr>
                </pic:pic>
              </a:graphicData>
            </a:graphic>
          </wp:inline>
        </w:drawing>
      </w:r>
    </w:p>
    <w:p>
      <w:pPr>
        <w:spacing w:before="80" w:after="280"/>
        <w:jc w:val="center"/>
      </w:pPr>
      <w:r>
        <w:rPr>
          <w:b/>
          <w:i w:val="0"/>
          <w:sz w:val="18"/>
          <w:u w:val="none"/>
        </w:rPr>
        <w:t xml:space="preserve">Figure S23. </w:t>
      </w:r>
      <w:r>
        <w:rPr>
          <w:b w:val="0"/>
          <w:i/>
          <w:sz w:val="18"/>
          <w:u w:val="none"/>
        </w:rPr>
        <w:t>FT-Transformer mean absolute SHAP bar chart. Top 20 features ranked by mean |SHAP|. The molecular factors (Factor 8, 6, 1) are clearly separated from lower-ranked factors.</w:t>
      </w:r>
    </w:p>
    <w:p>
      <w:pPr>
        <w:jc w:val="center"/>
      </w:pPr>
      <w:r>
        <w:drawing>
          <wp:inline xmlns:a="http://schemas.openxmlformats.org/drawingml/2006/main" xmlns:pic="http://schemas.openxmlformats.org/drawingml/2006/picture">
            <wp:extent cx="5303520" cy="4177966"/>
            <wp:docPr id="26" name="Picture 26"/>
            <wp:cNvGraphicFramePr>
              <a:graphicFrameLocks noChangeAspect="1"/>
            </wp:cNvGraphicFramePr>
            <a:graphic>
              <a:graphicData uri="http://schemas.openxmlformats.org/drawingml/2006/picture">
                <pic:pic>
                  <pic:nvPicPr>
                    <pic:cNvPr id="0" name="shap_xgb_beeswarm.png"/>
                    <pic:cNvPicPr/>
                  </pic:nvPicPr>
                  <pic:blipFill>
                    <a:blip r:embed="rId34"/>
                    <a:stretch>
                      <a:fillRect/>
                    </a:stretch>
                  </pic:blipFill>
                  <pic:spPr>
                    <a:xfrm>
                      <a:off x="0" y="0"/>
                      <a:ext cx="5303520" cy="4177966"/>
                    </a:xfrm>
                    <a:prstGeom prst="rect"/>
                  </pic:spPr>
                </pic:pic>
              </a:graphicData>
            </a:graphic>
          </wp:inline>
        </w:drawing>
      </w:r>
    </w:p>
    <w:p>
      <w:pPr>
        <w:spacing w:before="80" w:after="280"/>
        <w:jc w:val="center"/>
      </w:pPr>
      <w:r>
        <w:rPr>
          <w:b/>
          <w:i w:val="0"/>
          <w:sz w:val="18"/>
          <w:u w:val="none"/>
        </w:rPr>
        <w:t xml:space="preserve">Figure S24. </w:t>
      </w:r>
      <w:r>
        <w:rPr>
          <w:b w:val="0"/>
          <w:i/>
          <w:sz w:val="18"/>
          <w:u w:val="none"/>
        </w:rPr>
        <w:t>XGBoost SHAP beeswarm plot (TreeExplainer, exact). Factor 8 again dominates; cancer-type dummies (CT_prostate, CT_breast) play a larger role than in FTT.</w:t>
      </w:r>
    </w:p>
    <w:p>
      <w:pPr>
        <w:jc w:val="center"/>
      </w:pPr>
      <w:r>
        <w:drawing>
          <wp:inline xmlns:a="http://schemas.openxmlformats.org/drawingml/2006/main" xmlns:pic="http://schemas.openxmlformats.org/drawingml/2006/picture">
            <wp:extent cx="5303520" cy="4622087"/>
            <wp:docPr id="27" name="Picture 27"/>
            <wp:cNvGraphicFramePr>
              <a:graphicFrameLocks noChangeAspect="1"/>
            </wp:cNvGraphicFramePr>
            <a:graphic>
              <a:graphicData uri="http://schemas.openxmlformats.org/drawingml/2006/picture">
                <pic:pic>
                  <pic:nvPicPr>
                    <pic:cNvPr id="0" name="shap_xgb_bar.png"/>
                    <pic:cNvPicPr/>
                  </pic:nvPicPr>
                  <pic:blipFill>
                    <a:blip r:embed="rId35"/>
                    <a:stretch>
                      <a:fillRect/>
                    </a:stretch>
                  </pic:blipFill>
                  <pic:spPr>
                    <a:xfrm>
                      <a:off x="0" y="0"/>
                      <a:ext cx="5303520" cy="4622087"/>
                    </a:xfrm>
                    <a:prstGeom prst="rect"/>
                  </pic:spPr>
                </pic:pic>
              </a:graphicData>
            </a:graphic>
          </wp:inline>
        </w:drawing>
      </w:r>
    </w:p>
    <w:p>
      <w:pPr>
        <w:spacing w:before="80" w:after="280"/>
        <w:jc w:val="center"/>
      </w:pPr>
      <w:r>
        <w:rPr>
          <w:b/>
          <w:i w:val="0"/>
          <w:sz w:val="18"/>
          <w:u w:val="none"/>
        </w:rPr>
        <w:t xml:space="preserve">Figure S25. </w:t>
      </w:r>
      <w:r>
        <w:rPr>
          <w:b w:val="0"/>
          <w:i/>
          <w:sz w:val="18"/>
          <w:u w:val="none"/>
        </w:rPr>
        <w:t>XGBoost mean absolute SHAP bar chart. Factor 8 and age are top features; Factor 6 ranks higher relative to FTT compared to Factor 1.</w:t>
      </w:r>
    </w:p>
    <w:p>
      <w:pPr>
        <w:jc w:val="center"/>
      </w:pPr>
      <w:r>
        <w:drawing>
          <wp:inline xmlns:a="http://schemas.openxmlformats.org/drawingml/2006/main" xmlns:pic="http://schemas.openxmlformats.org/drawingml/2006/picture">
            <wp:extent cx="5303520" cy="4177966"/>
            <wp:docPr id="28" name="Picture 28"/>
            <wp:cNvGraphicFramePr>
              <a:graphicFrameLocks noChangeAspect="1"/>
            </wp:cNvGraphicFramePr>
            <a:graphic>
              <a:graphicData uri="http://schemas.openxmlformats.org/drawingml/2006/picture">
                <pic:pic>
                  <pic:nvPicPr>
                    <pic:cNvPr id="0" name="shap_lgb_beeswarm.png"/>
                    <pic:cNvPicPr/>
                  </pic:nvPicPr>
                  <pic:blipFill>
                    <a:blip r:embed="rId36"/>
                    <a:stretch>
                      <a:fillRect/>
                    </a:stretch>
                  </pic:blipFill>
                  <pic:spPr>
                    <a:xfrm>
                      <a:off x="0" y="0"/>
                      <a:ext cx="5303520" cy="4177966"/>
                    </a:xfrm>
                    <a:prstGeom prst="rect"/>
                  </pic:spPr>
                </pic:pic>
              </a:graphicData>
            </a:graphic>
          </wp:inline>
        </w:drawing>
      </w:r>
    </w:p>
    <w:p>
      <w:pPr>
        <w:spacing w:before="80" w:after="280"/>
        <w:jc w:val="center"/>
      </w:pPr>
      <w:r>
        <w:rPr>
          <w:b/>
          <w:i w:val="0"/>
          <w:sz w:val="18"/>
          <w:u w:val="none"/>
        </w:rPr>
        <w:t xml:space="preserve">Figure S26. </w:t>
      </w:r>
      <w:r>
        <w:rPr>
          <w:b w:val="0"/>
          <w:i/>
          <w:sz w:val="18"/>
          <w:u w:val="none"/>
        </w:rPr>
        <w:t>LightGBM SHAP beeswarm plot (TreeExplainer). Pattern is closely consistent with XGBoost, confirming robustness of factor importance ranking across tree architectures.</w:t>
      </w:r>
    </w:p>
    <w:p>
      <w:pPr>
        <w:jc w:val="center"/>
      </w:pPr>
      <w:r>
        <w:drawing>
          <wp:inline xmlns:a="http://schemas.openxmlformats.org/drawingml/2006/main" xmlns:pic="http://schemas.openxmlformats.org/drawingml/2006/picture">
            <wp:extent cx="5303520" cy="4622087"/>
            <wp:docPr id="29" name="Picture 29"/>
            <wp:cNvGraphicFramePr>
              <a:graphicFrameLocks noChangeAspect="1"/>
            </wp:cNvGraphicFramePr>
            <a:graphic>
              <a:graphicData uri="http://schemas.openxmlformats.org/drawingml/2006/picture">
                <pic:pic>
                  <pic:nvPicPr>
                    <pic:cNvPr id="0" name="shap_lgb_bar.png"/>
                    <pic:cNvPicPr/>
                  </pic:nvPicPr>
                  <pic:blipFill>
                    <a:blip r:embed="rId37"/>
                    <a:stretch>
                      <a:fillRect/>
                    </a:stretch>
                  </pic:blipFill>
                  <pic:spPr>
                    <a:xfrm>
                      <a:off x="0" y="0"/>
                      <a:ext cx="5303520" cy="4622087"/>
                    </a:xfrm>
                    <a:prstGeom prst="rect"/>
                  </pic:spPr>
                </pic:pic>
              </a:graphicData>
            </a:graphic>
          </wp:inline>
        </w:drawing>
      </w:r>
    </w:p>
    <w:p>
      <w:pPr>
        <w:spacing w:before="80" w:after="280"/>
        <w:jc w:val="center"/>
      </w:pPr>
      <w:r>
        <w:rPr>
          <w:b/>
          <w:i w:val="0"/>
          <w:sz w:val="18"/>
          <w:u w:val="none"/>
        </w:rPr>
        <w:t xml:space="preserve">Figure S27. </w:t>
      </w:r>
      <w:r>
        <w:rPr>
          <w:b w:val="0"/>
          <w:i/>
          <w:sz w:val="18"/>
          <w:u w:val="none"/>
        </w:rPr>
        <w:t>LightGBM mean absolute SHAP bar chart. Factor 8 = 0.293 (highest of any model), confirming LightGBM's strong sensitivity to the protease/invasion signal.</w:t>
      </w:r>
    </w:p>
    <w:p>
      <w:r>
        <w:br w:type="page"/>
      </w:r>
    </w:p>
    <w:p>
      <w:pPr>
        <w:pStyle w:val="Heading1"/>
        <w:spacing w:before="320" w:after="120"/>
      </w:pPr>
      <w:r>
        <w:t>Section S8: Multiomics Marker Analysis</w:t>
      </w:r>
    </w:p>
    <w:p>
      <w:pPr>
        <w:spacing w:after="120"/>
        <w:jc w:val="both"/>
      </w:pPr>
      <w:r>
        <w:rPr>
          <w:sz w:val="22"/>
        </w:rPr>
        <w:t>Gene-level survival marker contributions were quantified by computing the product of each gene's MOFA+ loading magnitude (|weight_ij|) and the corresponding factor's mean absolute SHAP score across all three models, summed across the five top-SHAP factors (Factors 8, 6, 1, 15, 12). This produces a gene-level SHAP contribution score representing the gene's aggregate influence on survival prediction across the full multi-omics framework.</w:t>
      </w:r>
    </w:p>
    <w:p>
      <w:pPr>
        <w:jc w:val="center"/>
      </w:pPr>
      <w:r>
        <w:drawing>
          <wp:inline xmlns:a="http://schemas.openxmlformats.org/drawingml/2006/main" xmlns:pic="http://schemas.openxmlformats.org/drawingml/2006/picture">
            <wp:extent cx="5303520" cy="7443380"/>
            <wp:docPr id="30" name="Picture 30"/>
            <wp:cNvGraphicFramePr>
              <a:graphicFrameLocks noChangeAspect="1"/>
            </wp:cNvGraphicFramePr>
            <a:graphic>
              <a:graphicData uri="http://schemas.openxmlformats.org/drawingml/2006/picture">
                <pic:pic>
                  <pic:nvPicPr>
                    <pic:cNvPr id="0" name="marker_top40_genes.png"/>
                    <pic:cNvPicPr/>
                  </pic:nvPicPr>
                  <pic:blipFill>
                    <a:blip r:embed="rId38"/>
                    <a:stretch>
                      <a:fillRect/>
                    </a:stretch>
                  </pic:blipFill>
                  <pic:spPr>
                    <a:xfrm>
                      <a:off x="0" y="0"/>
                      <a:ext cx="5303520" cy="7443380"/>
                    </a:xfrm>
                    <a:prstGeom prst="rect"/>
                  </pic:spPr>
                </pic:pic>
              </a:graphicData>
            </a:graphic>
          </wp:inline>
        </w:drawing>
      </w:r>
    </w:p>
    <w:p>
      <w:pPr>
        <w:spacing w:before="80" w:after="280"/>
        <w:jc w:val="center"/>
      </w:pPr>
      <w:r>
        <w:rPr>
          <w:b/>
          <w:i w:val="0"/>
          <w:sz w:val="18"/>
          <w:u w:val="none"/>
        </w:rPr>
        <w:t xml:space="preserve">Figure S28. </w:t>
      </w:r>
      <w:r>
        <w:rPr>
          <w:b w:val="0"/>
          <w:i/>
          <w:sz w:val="18"/>
          <w:u w:val="none"/>
        </w:rPr>
        <w:t>Top 40 gene-level markers ranked by aggregate SHAP contribution across all three modalities (expression = blue, mutation = orange, CNV = green). TP53 is the top-ranked gene, appearing across all 5 top factors. The 9p24.1 immune checkpoint genes (CD274, PDCD1LG2, JAK2) cluster prominently in the CNV tier.</w:t>
      </w:r>
    </w:p>
    <w:p>
      <w:pPr>
        <w:jc w:val="center"/>
      </w:pPr>
      <w:r>
        <w:drawing>
          <wp:inline xmlns:a="http://schemas.openxmlformats.org/drawingml/2006/main" xmlns:pic="http://schemas.openxmlformats.org/drawingml/2006/picture">
            <wp:extent cx="5303520" cy="22956085"/>
            <wp:docPr id="31" name="Picture 31"/>
            <wp:cNvGraphicFramePr>
              <a:graphicFrameLocks noChangeAspect="1"/>
            </wp:cNvGraphicFramePr>
            <a:graphic>
              <a:graphicData uri="http://schemas.openxmlformats.org/drawingml/2006/picture">
                <pic:pic>
                  <pic:nvPicPr>
                    <pic:cNvPr id="0" name="marker_gene_heatmap.png"/>
                    <pic:cNvPicPr/>
                  </pic:nvPicPr>
                  <pic:blipFill>
                    <a:blip r:embed="rId39"/>
                    <a:stretch>
                      <a:fillRect/>
                    </a:stretch>
                  </pic:blipFill>
                  <pic:spPr>
                    <a:xfrm>
                      <a:off x="0" y="0"/>
                      <a:ext cx="5303520" cy="22956085"/>
                    </a:xfrm>
                    <a:prstGeom prst="rect"/>
                  </pic:spPr>
                </pic:pic>
              </a:graphicData>
            </a:graphic>
          </wp:inline>
        </w:drawing>
      </w:r>
    </w:p>
    <w:p>
      <w:pPr>
        <w:spacing w:before="80" w:after="280"/>
        <w:jc w:val="center"/>
      </w:pPr>
      <w:r>
        <w:rPr>
          <w:b/>
          <w:i w:val="0"/>
          <w:sz w:val="18"/>
          <w:u w:val="none"/>
        </w:rPr>
        <w:t xml:space="preserve">Figure S29. </w:t>
      </w:r>
      <w:r>
        <w:rPr>
          <w:b w:val="0"/>
          <w:i/>
          <w:sz w:val="18"/>
          <w:u w:val="none"/>
        </w:rPr>
        <w:t>Heatmap of expression gene weights across all five top survival-associated MOFA+ factors. Red = positive loading (high expression loads factor up); blue = negative loading. Distinct gene clusters map to squamous (F1), invasion/protease (F8), and luminal (F15) programmes.</w:t>
      </w:r>
    </w:p>
    <w:p>
      <w:pPr>
        <w:jc w:val="center"/>
      </w:pPr>
      <w:r>
        <w:drawing>
          <wp:inline xmlns:a="http://schemas.openxmlformats.org/drawingml/2006/main" xmlns:pic="http://schemas.openxmlformats.org/drawingml/2006/picture">
            <wp:extent cx="5303520" cy="3013315"/>
            <wp:docPr id="32" name="Picture 32"/>
            <wp:cNvGraphicFramePr>
              <a:graphicFrameLocks noChangeAspect="1"/>
            </wp:cNvGraphicFramePr>
            <a:graphic>
              <a:graphicData uri="http://schemas.openxmlformats.org/drawingml/2006/picture">
                <pic:pic>
                  <pic:nvPicPr>
                    <pic:cNvPr id="0" name="marker_mutation_landscape.png"/>
                    <pic:cNvPicPr/>
                  </pic:nvPicPr>
                  <pic:blipFill>
                    <a:blip r:embed="rId40"/>
                    <a:stretch>
                      <a:fillRect/>
                    </a:stretch>
                  </pic:blipFill>
                  <pic:spPr>
                    <a:xfrm>
                      <a:off x="0" y="0"/>
                      <a:ext cx="5303520" cy="3013315"/>
                    </a:xfrm>
                    <a:prstGeom prst="rect"/>
                  </pic:spPr>
                </pic:pic>
              </a:graphicData>
            </a:graphic>
          </wp:inline>
        </w:drawing>
      </w:r>
    </w:p>
    <w:p>
      <w:pPr>
        <w:spacing w:before="80" w:after="280"/>
        <w:jc w:val="center"/>
      </w:pPr>
      <w:r>
        <w:rPr>
          <w:b/>
          <w:i w:val="0"/>
          <w:sz w:val="18"/>
          <w:u w:val="none"/>
        </w:rPr>
        <w:t xml:space="preserve">Figure S30. </w:t>
      </w:r>
      <w:r>
        <w:rPr>
          <w:b w:val="0"/>
          <w:i/>
          <w:sz w:val="18"/>
          <w:u w:val="none"/>
        </w:rPr>
        <w:t>Left: Top 25 mutation markers ranked by gene-level SHAP contribution (red = known driver). Right: Factor x gene weight heatmap for the top mutation genes across all five top factors. TP53, IDH1, and KRAS are the most recurrent drivers across factors.</w:t>
      </w:r>
    </w:p>
    <w:p>
      <w:pPr>
        <w:jc w:val="center"/>
      </w:pPr>
      <w:r>
        <w:drawing>
          <wp:inline xmlns:a="http://schemas.openxmlformats.org/drawingml/2006/main" xmlns:pic="http://schemas.openxmlformats.org/drawingml/2006/picture">
            <wp:extent cx="5303520" cy="3706793"/>
            <wp:docPr id="33" name="Picture 33"/>
            <wp:cNvGraphicFramePr>
              <a:graphicFrameLocks noChangeAspect="1"/>
            </wp:cNvGraphicFramePr>
            <a:graphic>
              <a:graphicData uri="http://schemas.openxmlformats.org/drawingml/2006/picture">
                <pic:pic>
                  <pic:nvPicPr>
                    <pic:cNvPr id="0" name="marker_pathway_bubble.png"/>
                    <pic:cNvPicPr/>
                  </pic:nvPicPr>
                  <pic:blipFill>
                    <a:blip r:embed="rId41"/>
                    <a:stretch>
                      <a:fillRect/>
                    </a:stretch>
                  </pic:blipFill>
                  <pic:spPr>
                    <a:xfrm>
                      <a:off x="0" y="0"/>
                      <a:ext cx="5303520" cy="3706793"/>
                    </a:xfrm>
                    <a:prstGeom prst="rect"/>
                  </pic:spPr>
                </pic:pic>
              </a:graphicData>
            </a:graphic>
          </wp:inline>
        </w:drawing>
      </w:r>
    </w:p>
    <w:p>
      <w:pPr>
        <w:spacing w:before="80" w:after="280"/>
        <w:jc w:val="center"/>
      </w:pPr>
      <w:r>
        <w:rPr>
          <w:b/>
          <w:i w:val="0"/>
          <w:sz w:val="18"/>
          <w:u w:val="none"/>
        </w:rPr>
        <w:t xml:space="preserve">Figure S31. </w:t>
      </w:r>
      <w:r>
        <w:rPr>
          <w:b w:val="0"/>
          <w:i/>
          <w:sz w:val="18"/>
          <w:u w:val="none"/>
        </w:rPr>
        <w:t>Pathway-level aggregated SHAP contribution. Bubble size indicates number of genes in pathway. The immune checkpoint/B-cell pathway, squamous differentiation, and hepatocyte/GI programmes show the highest aggregate scores.</w:t>
      </w:r>
    </w:p>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728"/>
            <w:vAlign w:val="center"/>
            <w:shd w:val="clear" w:color="auto" w:fill="1F3864"/>
          </w:tcPr>
          <w:p>
            <w:pPr>
              <w:spacing w:before="60" w:after="60"/>
              <w:jc w:val="center"/>
            </w:pPr>
            <w:r>
              <w:rPr>
                <w:b/>
                <w:color w:val="FFFFFF"/>
                <w:sz w:val="19"/>
              </w:rPr>
              <w:t>Gene</w:t>
            </w:r>
          </w:p>
        </w:tc>
        <w:tc>
          <w:tcPr>
            <w:tcW w:type="dxa" w:w="1440"/>
            <w:vAlign w:val="center"/>
            <w:shd w:val="clear" w:color="auto" w:fill="1F3864"/>
          </w:tcPr>
          <w:p>
            <w:pPr>
              <w:spacing w:before="60" w:after="60"/>
              <w:jc w:val="center"/>
            </w:pPr>
            <w:r>
              <w:rPr>
                <w:b/>
                <w:color w:val="FFFFFF"/>
                <w:sz w:val="19"/>
              </w:rPr>
              <w:t>Modality</w:t>
            </w:r>
          </w:p>
        </w:tc>
        <w:tc>
          <w:tcPr>
            <w:tcW w:type="dxa" w:w="1440"/>
            <w:vAlign w:val="center"/>
            <w:shd w:val="clear" w:color="auto" w:fill="1F3864"/>
          </w:tcPr>
          <w:p>
            <w:pPr>
              <w:spacing w:before="60" w:after="60"/>
              <w:jc w:val="center"/>
            </w:pPr>
            <w:r>
              <w:rPr>
                <w:b/>
                <w:color w:val="FFFFFF"/>
                <w:sz w:val="19"/>
              </w:rPr>
              <w:t>SHAP Contrib</w:t>
            </w:r>
          </w:p>
        </w:tc>
        <w:tc>
          <w:tcPr>
            <w:tcW w:type="dxa" w:w="1152"/>
            <w:vAlign w:val="center"/>
            <w:shd w:val="clear" w:color="auto" w:fill="1F3864"/>
          </w:tcPr>
          <w:p>
            <w:pPr>
              <w:spacing w:before="60" w:after="60"/>
              <w:jc w:val="center"/>
            </w:pPr>
            <w:r>
              <w:rPr>
                <w:b/>
                <w:color w:val="FFFFFF"/>
                <w:sz w:val="19"/>
              </w:rPr>
              <w:t>N Factors</w:t>
            </w:r>
          </w:p>
        </w:tc>
        <w:tc>
          <w:tcPr>
            <w:tcW w:type="dxa" w:w="2160"/>
            <w:vAlign w:val="center"/>
            <w:shd w:val="clear" w:color="auto" w:fill="1F3864"/>
          </w:tcPr>
          <w:p>
            <w:pPr>
              <w:spacing w:before="60" w:after="60"/>
              <w:jc w:val="center"/>
            </w:pPr>
            <w:r>
              <w:rPr>
                <w:b/>
                <w:color w:val="FFFFFF"/>
                <w:sz w:val="19"/>
              </w:rPr>
              <w:t>Role</w:t>
            </w:r>
          </w:p>
        </w:tc>
        <w:tc>
          <w:tcPr>
            <w:tcW w:type="dxa" w:w="2736"/>
            <w:vAlign w:val="center"/>
            <w:shd w:val="clear" w:color="auto" w:fill="1F3864"/>
          </w:tcPr>
          <w:p>
            <w:pPr>
              <w:spacing w:before="60" w:after="60"/>
              <w:jc w:val="center"/>
            </w:pPr>
            <w:r>
              <w:rPr>
                <w:b/>
                <w:color w:val="FFFFFF"/>
                <w:sz w:val="19"/>
              </w:rPr>
              <w:t>Pathway</w:t>
            </w:r>
          </w:p>
        </w:tc>
      </w:tr>
      <w:tr>
        <w:tc>
          <w:tcPr>
            <w:tcW w:type="dxa" w:w="1728"/>
            <w:vAlign w:val="center"/>
          </w:tcPr>
          <w:p>
            <w:pPr>
              <w:spacing w:before="60" w:after="60"/>
              <w:jc w:val="center"/>
            </w:pPr>
            <w:r>
              <w:rPr>
                <w:sz w:val="18"/>
              </w:rPr>
              <w:t>TP53</w:t>
            </w:r>
          </w:p>
        </w:tc>
        <w:tc>
          <w:tcPr>
            <w:tcW w:type="dxa" w:w="1440"/>
            <w:vAlign w:val="center"/>
          </w:tcPr>
          <w:p>
            <w:pPr>
              <w:spacing w:before="60" w:after="60"/>
              <w:jc w:val="center"/>
            </w:pPr>
            <w:r>
              <w:rPr>
                <w:sz w:val="18"/>
              </w:rPr>
              <w:t>expression</w:t>
            </w:r>
          </w:p>
        </w:tc>
        <w:tc>
          <w:tcPr>
            <w:tcW w:type="dxa" w:w="1440"/>
            <w:vAlign w:val="center"/>
          </w:tcPr>
          <w:p>
            <w:pPr>
              <w:spacing w:before="60" w:after="60"/>
              <w:jc w:val="center"/>
            </w:pPr>
            <w:r>
              <w:rPr>
                <w:sz w:val="18"/>
              </w:rPr>
              <w:t>0.1196</w:t>
            </w:r>
          </w:p>
        </w:tc>
        <w:tc>
          <w:tcPr>
            <w:tcW w:type="dxa" w:w="1152"/>
            <w:vAlign w:val="center"/>
          </w:tcPr>
          <w:p>
            <w:pPr>
              <w:spacing w:before="60" w:after="60"/>
              <w:jc w:val="center"/>
            </w:pPr>
            <w:r>
              <w:rPr>
                <w:sz w:val="18"/>
              </w:rPr>
              <w:t>5</w:t>
            </w:r>
          </w:p>
        </w:tc>
        <w:tc>
          <w:tcPr>
            <w:tcW w:type="dxa" w:w="2160"/>
            <w:vAlign w:val="center"/>
          </w:tcPr>
          <w:p>
            <w:pPr>
              <w:spacing w:before="60" w:after="60"/>
              <w:jc w:val="center"/>
            </w:pPr>
            <w:r>
              <w:rPr>
                <w:sz w:val="18"/>
              </w:rPr>
              <w:t>TSG/gain-of-function</w:t>
            </w:r>
          </w:p>
        </w:tc>
        <w:tc>
          <w:tcPr>
            <w:tcW w:type="dxa" w:w="2736"/>
            <w:vAlign w:val="center"/>
          </w:tcPr>
          <w:p>
            <w:pPr>
              <w:spacing w:before="60" w:after="60"/>
              <w:jc w:val="center"/>
            </w:pPr>
            <w:r>
              <w:rPr>
                <w:sz w:val="18"/>
              </w:rPr>
              <w:t>DNA damage response</w:t>
            </w:r>
          </w:p>
        </w:tc>
      </w:tr>
      <w:tr>
        <w:tc>
          <w:tcPr>
            <w:tcW w:type="dxa" w:w="1728"/>
            <w:vAlign w:val="center"/>
            <w:shd w:val="clear" w:color="auto" w:fill="EBF3FB"/>
          </w:tcPr>
          <w:p>
            <w:pPr>
              <w:spacing w:before="60" w:after="60"/>
              <w:jc w:val="center"/>
            </w:pPr>
            <w:r>
              <w:rPr>
                <w:sz w:val="18"/>
              </w:rPr>
              <w:t>TTN</w:t>
            </w:r>
          </w:p>
        </w:tc>
        <w:tc>
          <w:tcPr>
            <w:tcW w:type="dxa" w:w="1440"/>
            <w:vAlign w:val="center"/>
            <w:shd w:val="clear" w:color="auto" w:fill="EBF3FB"/>
          </w:tcPr>
          <w:p>
            <w:pPr>
              <w:spacing w:before="60" w:after="60"/>
              <w:jc w:val="center"/>
            </w:pPr>
            <w:r>
              <w:rPr>
                <w:sz w:val="18"/>
              </w:rPr>
              <w:t>expression</w:t>
            </w:r>
          </w:p>
        </w:tc>
        <w:tc>
          <w:tcPr>
            <w:tcW w:type="dxa" w:w="1440"/>
            <w:vAlign w:val="center"/>
            <w:shd w:val="clear" w:color="auto" w:fill="EBF3FB"/>
          </w:tcPr>
          <w:p>
            <w:pPr>
              <w:spacing w:before="60" w:after="60"/>
              <w:jc w:val="center"/>
            </w:pPr>
            <w:r>
              <w:rPr>
                <w:sz w:val="18"/>
              </w:rPr>
              <w:t>0.0716</w:t>
            </w:r>
          </w:p>
        </w:tc>
        <w:tc>
          <w:tcPr>
            <w:tcW w:type="dxa" w:w="1152"/>
            <w:vAlign w:val="center"/>
            <w:shd w:val="clear" w:color="auto" w:fill="EBF3FB"/>
          </w:tcPr>
          <w:p>
            <w:pPr>
              <w:spacing w:before="60" w:after="60"/>
              <w:jc w:val="center"/>
            </w:pPr>
            <w:r>
              <w:rPr>
                <w:sz w:val="18"/>
              </w:rPr>
              <w:t>4</w:t>
            </w:r>
          </w:p>
        </w:tc>
        <w:tc>
          <w:tcPr>
            <w:tcW w:type="dxa" w:w="2160"/>
            <w:vAlign w:val="center"/>
            <w:shd w:val="clear" w:color="auto" w:fill="EBF3FB"/>
          </w:tcPr>
          <w:p>
            <w:pPr>
              <w:spacing w:before="60" w:after="60"/>
              <w:jc w:val="center"/>
            </w:pPr>
            <w:r>
              <w:rPr>
                <w:sz w:val="18"/>
              </w:rPr>
              <w:t>Unknown</w:t>
            </w:r>
          </w:p>
        </w:tc>
        <w:tc>
          <w:tcPr>
            <w:tcW w:type="dxa" w:w="2736"/>
            <w:vAlign w:val="center"/>
            <w:shd w:val="clear" w:color="auto" w:fill="EBF3FB"/>
          </w:tcPr>
          <w:p>
            <w:pPr>
              <w:spacing w:before="60" w:after="60"/>
              <w:jc w:val="center"/>
            </w:pPr>
            <w:r>
              <w:rPr>
                <w:sz w:val="18"/>
              </w:rPr>
              <w:t>Unknown</w:t>
            </w:r>
          </w:p>
        </w:tc>
      </w:tr>
      <w:tr>
        <w:tc>
          <w:tcPr>
            <w:tcW w:type="dxa" w:w="1728"/>
            <w:vAlign w:val="center"/>
          </w:tcPr>
          <w:p>
            <w:pPr>
              <w:spacing w:before="60" w:after="60"/>
              <w:jc w:val="center"/>
            </w:pPr>
            <w:r>
              <w:rPr>
                <w:sz w:val="18"/>
              </w:rPr>
              <w:t>RLN1</w:t>
            </w:r>
          </w:p>
        </w:tc>
        <w:tc>
          <w:tcPr>
            <w:tcW w:type="dxa" w:w="1440"/>
            <w:vAlign w:val="center"/>
          </w:tcPr>
          <w:p>
            <w:pPr>
              <w:spacing w:before="60" w:after="60"/>
              <w:jc w:val="center"/>
            </w:pPr>
            <w:r>
              <w:rPr>
                <w:sz w:val="18"/>
              </w:rPr>
              <w:t>expression</w:t>
            </w:r>
          </w:p>
        </w:tc>
        <w:tc>
          <w:tcPr>
            <w:tcW w:type="dxa" w:w="1440"/>
            <w:vAlign w:val="center"/>
          </w:tcPr>
          <w:p>
            <w:pPr>
              <w:spacing w:before="60" w:after="60"/>
              <w:jc w:val="center"/>
            </w:pPr>
            <w:r>
              <w:rPr>
                <w:sz w:val="18"/>
              </w:rPr>
              <w:t>0.0643</w:t>
            </w:r>
          </w:p>
        </w:tc>
        <w:tc>
          <w:tcPr>
            <w:tcW w:type="dxa" w:w="1152"/>
            <w:vAlign w:val="center"/>
          </w:tcPr>
          <w:p>
            <w:pPr>
              <w:spacing w:before="60" w:after="60"/>
              <w:jc w:val="center"/>
            </w:pPr>
            <w:r>
              <w:rPr>
                <w:sz w:val="18"/>
              </w:rPr>
              <w:t>1</w:t>
            </w:r>
          </w:p>
        </w:tc>
        <w:tc>
          <w:tcPr>
            <w:tcW w:type="dxa" w:w="2160"/>
            <w:vAlign w:val="center"/>
          </w:tcPr>
          <w:p>
            <w:pPr>
              <w:spacing w:before="60" w:after="60"/>
              <w:jc w:val="center"/>
            </w:pPr>
            <w:r>
              <w:rPr>
                <w:sz w:val="18"/>
              </w:rPr>
              <w:t>Unknown</w:t>
            </w:r>
          </w:p>
        </w:tc>
        <w:tc>
          <w:tcPr>
            <w:tcW w:type="dxa" w:w="2736"/>
            <w:vAlign w:val="center"/>
          </w:tcPr>
          <w:p>
            <w:pPr>
              <w:spacing w:before="60" w:after="60"/>
              <w:jc w:val="center"/>
            </w:pPr>
            <w:r>
              <w:rPr>
                <w:sz w:val="18"/>
              </w:rPr>
              <w:t>Unknown</w:t>
            </w:r>
          </w:p>
        </w:tc>
      </w:tr>
      <w:tr>
        <w:tc>
          <w:tcPr>
            <w:tcW w:type="dxa" w:w="1728"/>
            <w:vAlign w:val="center"/>
            <w:shd w:val="clear" w:color="auto" w:fill="EBF3FB"/>
          </w:tcPr>
          <w:p>
            <w:pPr>
              <w:spacing w:before="60" w:after="60"/>
              <w:jc w:val="center"/>
            </w:pPr>
            <w:r>
              <w:rPr>
                <w:sz w:val="18"/>
              </w:rPr>
              <w:t>RLN2</w:t>
            </w:r>
          </w:p>
        </w:tc>
        <w:tc>
          <w:tcPr>
            <w:tcW w:type="dxa" w:w="1440"/>
            <w:vAlign w:val="center"/>
            <w:shd w:val="clear" w:color="auto" w:fill="EBF3FB"/>
          </w:tcPr>
          <w:p>
            <w:pPr>
              <w:spacing w:before="60" w:after="60"/>
              <w:jc w:val="center"/>
            </w:pPr>
            <w:r>
              <w:rPr>
                <w:sz w:val="18"/>
              </w:rPr>
              <w:t>expression</w:t>
            </w:r>
          </w:p>
        </w:tc>
        <w:tc>
          <w:tcPr>
            <w:tcW w:type="dxa" w:w="1440"/>
            <w:vAlign w:val="center"/>
            <w:shd w:val="clear" w:color="auto" w:fill="EBF3FB"/>
          </w:tcPr>
          <w:p>
            <w:pPr>
              <w:spacing w:before="60" w:after="60"/>
              <w:jc w:val="center"/>
            </w:pPr>
            <w:r>
              <w:rPr>
                <w:sz w:val="18"/>
              </w:rPr>
              <w:t>0.0643</w:t>
            </w:r>
          </w:p>
        </w:tc>
        <w:tc>
          <w:tcPr>
            <w:tcW w:type="dxa" w:w="1152"/>
            <w:vAlign w:val="center"/>
            <w:shd w:val="clear" w:color="auto" w:fill="EBF3FB"/>
          </w:tcPr>
          <w:p>
            <w:pPr>
              <w:spacing w:before="60" w:after="60"/>
              <w:jc w:val="center"/>
            </w:pPr>
            <w:r>
              <w:rPr>
                <w:sz w:val="18"/>
              </w:rPr>
              <w:t>1</w:t>
            </w:r>
          </w:p>
        </w:tc>
        <w:tc>
          <w:tcPr>
            <w:tcW w:type="dxa" w:w="2160"/>
            <w:vAlign w:val="center"/>
            <w:shd w:val="clear" w:color="auto" w:fill="EBF3FB"/>
          </w:tcPr>
          <w:p>
            <w:pPr>
              <w:spacing w:before="60" w:after="60"/>
              <w:jc w:val="center"/>
            </w:pPr>
            <w:r>
              <w:rPr>
                <w:sz w:val="18"/>
              </w:rPr>
              <w:t>Unknown</w:t>
            </w:r>
          </w:p>
        </w:tc>
        <w:tc>
          <w:tcPr>
            <w:tcW w:type="dxa" w:w="2736"/>
            <w:vAlign w:val="center"/>
            <w:shd w:val="clear" w:color="auto" w:fill="EBF3FB"/>
          </w:tcPr>
          <w:p>
            <w:pPr>
              <w:spacing w:before="60" w:after="60"/>
              <w:jc w:val="center"/>
            </w:pPr>
            <w:r>
              <w:rPr>
                <w:sz w:val="18"/>
              </w:rPr>
              <w:t>Unknown</w:t>
            </w:r>
          </w:p>
        </w:tc>
      </w:tr>
      <w:tr>
        <w:tc>
          <w:tcPr>
            <w:tcW w:type="dxa" w:w="1728"/>
            <w:vAlign w:val="center"/>
          </w:tcPr>
          <w:p>
            <w:pPr>
              <w:spacing w:before="60" w:after="60"/>
              <w:jc w:val="center"/>
            </w:pPr>
            <w:r>
              <w:rPr>
                <w:sz w:val="18"/>
              </w:rPr>
              <w:t>INSL4</w:t>
            </w:r>
          </w:p>
        </w:tc>
        <w:tc>
          <w:tcPr>
            <w:tcW w:type="dxa" w:w="1440"/>
            <w:vAlign w:val="center"/>
          </w:tcPr>
          <w:p>
            <w:pPr>
              <w:spacing w:before="60" w:after="60"/>
              <w:jc w:val="center"/>
            </w:pPr>
            <w:r>
              <w:rPr>
                <w:sz w:val="18"/>
              </w:rPr>
              <w:t>expression</w:t>
            </w:r>
          </w:p>
        </w:tc>
        <w:tc>
          <w:tcPr>
            <w:tcW w:type="dxa" w:w="1440"/>
            <w:vAlign w:val="center"/>
          </w:tcPr>
          <w:p>
            <w:pPr>
              <w:spacing w:before="60" w:after="60"/>
              <w:jc w:val="center"/>
            </w:pPr>
            <w:r>
              <w:rPr>
                <w:sz w:val="18"/>
              </w:rPr>
              <w:t>0.0642</w:t>
            </w:r>
          </w:p>
        </w:tc>
        <w:tc>
          <w:tcPr>
            <w:tcW w:type="dxa" w:w="1152"/>
            <w:vAlign w:val="center"/>
          </w:tcPr>
          <w:p>
            <w:pPr>
              <w:spacing w:before="60" w:after="60"/>
              <w:jc w:val="center"/>
            </w:pPr>
            <w:r>
              <w:rPr>
                <w:sz w:val="18"/>
              </w:rPr>
              <w:t>1</w:t>
            </w:r>
          </w:p>
        </w:tc>
        <w:tc>
          <w:tcPr>
            <w:tcW w:type="dxa" w:w="2160"/>
            <w:vAlign w:val="center"/>
          </w:tcPr>
          <w:p>
            <w:pPr>
              <w:spacing w:before="60" w:after="60"/>
              <w:jc w:val="center"/>
            </w:pPr>
            <w:r>
              <w:rPr>
                <w:sz w:val="18"/>
              </w:rPr>
              <w:t>Unknown</w:t>
            </w:r>
          </w:p>
        </w:tc>
        <w:tc>
          <w:tcPr>
            <w:tcW w:type="dxa" w:w="2736"/>
            <w:vAlign w:val="center"/>
          </w:tcPr>
          <w:p>
            <w:pPr>
              <w:spacing w:before="60" w:after="60"/>
              <w:jc w:val="center"/>
            </w:pPr>
            <w:r>
              <w:rPr>
                <w:sz w:val="18"/>
              </w:rPr>
              <w:t>Unknown</w:t>
            </w:r>
          </w:p>
        </w:tc>
      </w:tr>
      <w:tr>
        <w:tc>
          <w:tcPr>
            <w:tcW w:type="dxa" w:w="1728"/>
            <w:vAlign w:val="center"/>
            <w:shd w:val="clear" w:color="auto" w:fill="EBF3FB"/>
          </w:tcPr>
          <w:p>
            <w:pPr>
              <w:spacing w:before="60" w:after="60"/>
              <w:jc w:val="center"/>
            </w:pPr>
            <w:r>
              <w:rPr>
                <w:sz w:val="18"/>
              </w:rPr>
              <w:t>PDCD1LG2</w:t>
            </w:r>
          </w:p>
        </w:tc>
        <w:tc>
          <w:tcPr>
            <w:tcW w:type="dxa" w:w="1440"/>
            <w:vAlign w:val="center"/>
            <w:shd w:val="clear" w:color="auto" w:fill="EBF3FB"/>
          </w:tcPr>
          <w:p>
            <w:pPr>
              <w:spacing w:before="60" w:after="60"/>
              <w:jc w:val="center"/>
            </w:pPr>
            <w:r>
              <w:rPr>
                <w:sz w:val="18"/>
              </w:rPr>
              <w:t>expression</w:t>
            </w:r>
          </w:p>
        </w:tc>
        <w:tc>
          <w:tcPr>
            <w:tcW w:type="dxa" w:w="1440"/>
            <w:vAlign w:val="center"/>
            <w:shd w:val="clear" w:color="auto" w:fill="EBF3FB"/>
          </w:tcPr>
          <w:p>
            <w:pPr>
              <w:spacing w:before="60" w:after="60"/>
              <w:jc w:val="center"/>
            </w:pPr>
            <w:r>
              <w:rPr>
                <w:sz w:val="18"/>
              </w:rPr>
              <w:t>0.0641</w:t>
            </w:r>
          </w:p>
        </w:tc>
        <w:tc>
          <w:tcPr>
            <w:tcW w:type="dxa" w:w="1152"/>
            <w:vAlign w:val="center"/>
            <w:shd w:val="clear" w:color="auto" w:fill="EBF3FB"/>
          </w:tcPr>
          <w:p>
            <w:pPr>
              <w:spacing w:before="60" w:after="60"/>
              <w:jc w:val="center"/>
            </w:pPr>
            <w:r>
              <w:rPr>
                <w:sz w:val="18"/>
              </w:rPr>
              <w:t>1</w:t>
            </w:r>
          </w:p>
        </w:tc>
        <w:tc>
          <w:tcPr>
            <w:tcW w:type="dxa" w:w="2160"/>
            <w:vAlign w:val="center"/>
            <w:shd w:val="clear" w:color="auto" w:fill="EBF3FB"/>
          </w:tcPr>
          <w:p>
            <w:pPr>
              <w:spacing w:before="60" w:after="60"/>
              <w:jc w:val="center"/>
            </w:pPr>
            <w:r>
              <w:rPr>
                <w:sz w:val="18"/>
              </w:rPr>
              <w:t>Unknown</w:t>
            </w:r>
          </w:p>
        </w:tc>
        <w:tc>
          <w:tcPr>
            <w:tcW w:type="dxa" w:w="2736"/>
            <w:vAlign w:val="center"/>
            <w:shd w:val="clear" w:color="auto" w:fill="EBF3FB"/>
          </w:tcPr>
          <w:p>
            <w:pPr>
              <w:spacing w:before="60" w:after="60"/>
              <w:jc w:val="center"/>
            </w:pPr>
            <w:r>
              <w:rPr>
                <w:sz w:val="18"/>
              </w:rPr>
              <w:t>Unknown</w:t>
            </w:r>
          </w:p>
        </w:tc>
      </w:tr>
      <w:tr>
        <w:tc>
          <w:tcPr>
            <w:tcW w:type="dxa" w:w="1728"/>
            <w:vAlign w:val="center"/>
          </w:tcPr>
          <w:p>
            <w:pPr>
              <w:spacing w:before="60" w:after="60"/>
              <w:jc w:val="center"/>
            </w:pPr>
            <w:r>
              <w:rPr>
                <w:sz w:val="18"/>
              </w:rPr>
              <w:t>CD274</w:t>
            </w:r>
          </w:p>
        </w:tc>
        <w:tc>
          <w:tcPr>
            <w:tcW w:type="dxa" w:w="1440"/>
            <w:vAlign w:val="center"/>
          </w:tcPr>
          <w:p>
            <w:pPr>
              <w:spacing w:before="60" w:after="60"/>
              <w:jc w:val="center"/>
            </w:pPr>
            <w:r>
              <w:rPr>
                <w:sz w:val="18"/>
              </w:rPr>
              <w:t>expression</w:t>
            </w:r>
          </w:p>
        </w:tc>
        <w:tc>
          <w:tcPr>
            <w:tcW w:type="dxa" w:w="1440"/>
            <w:vAlign w:val="center"/>
          </w:tcPr>
          <w:p>
            <w:pPr>
              <w:spacing w:before="60" w:after="60"/>
              <w:jc w:val="center"/>
            </w:pPr>
            <w:r>
              <w:rPr>
                <w:sz w:val="18"/>
              </w:rPr>
              <w:t>0.0641</w:t>
            </w:r>
          </w:p>
        </w:tc>
        <w:tc>
          <w:tcPr>
            <w:tcW w:type="dxa" w:w="1152"/>
            <w:vAlign w:val="center"/>
          </w:tcPr>
          <w:p>
            <w:pPr>
              <w:spacing w:before="60" w:after="60"/>
              <w:jc w:val="center"/>
            </w:pPr>
            <w:r>
              <w:rPr>
                <w:sz w:val="18"/>
              </w:rPr>
              <w:t>1</w:t>
            </w:r>
          </w:p>
        </w:tc>
        <w:tc>
          <w:tcPr>
            <w:tcW w:type="dxa" w:w="2160"/>
            <w:vAlign w:val="center"/>
          </w:tcPr>
          <w:p>
            <w:pPr>
              <w:spacing w:before="60" w:after="60"/>
              <w:jc w:val="center"/>
            </w:pPr>
            <w:r>
              <w:rPr>
                <w:sz w:val="18"/>
              </w:rPr>
              <w:t>Unknown</w:t>
            </w:r>
          </w:p>
        </w:tc>
        <w:tc>
          <w:tcPr>
            <w:tcW w:type="dxa" w:w="2736"/>
            <w:vAlign w:val="center"/>
          </w:tcPr>
          <w:p>
            <w:pPr>
              <w:spacing w:before="60" w:after="60"/>
              <w:jc w:val="center"/>
            </w:pPr>
            <w:r>
              <w:rPr>
                <w:sz w:val="18"/>
              </w:rPr>
              <w:t>Unknown</w:t>
            </w:r>
          </w:p>
        </w:tc>
      </w:tr>
      <w:tr>
        <w:tc>
          <w:tcPr>
            <w:tcW w:type="dxa" w:w="1728"/>
            <w:vAlign w:val="center"/>
            <w:shd w:val="clear" w:color="auto" w:fill="EBF3FB"/>
          </w:tcPr>
          <w:p>
            <w:pPr>
              <w:spacing w:before="60" w:after="60"/>
              <w:jc w:val="center"/>
            </w:pPr>
            <w:r>
              <w:rPr>
                <w:sz w:val="18"/>
              </w:rPr>
              <w:t>RCL1</w:t>
            </w:r>
          </w:p>
        </w:tc>
        <w:tc>
          <w:tcPr>
            <w:tcW w:type="dxa" w:w="1440"/>
            <w:vAlign w:val="center"/>
            <w:shd w:val="clear" w:color="auto" w:fill="EBF3FB"/>
          </w:tcPr>
          <w:p>
            <w:pPr>
              <w:spacing w:before="60" w:after="60"/>
              <w:jc w:val="center"/>
            </w:pPr>
            <w:r>
              <w:rPr>
                <w:sz w:val="18"/>
              </w:rPr>
              <w:t>expression</w:t>
            </w:r>
          </w:p>
        </w:tc>
        <w:tc>
          <w:tcPr>
            <w:tcW w:type="dxa" w:w="1440"/>
            <w:vAlign w:val="center"/>
            <w:shd w:val="clear" w:color="auto" w:fill="EBF3FB"/>
          </w:tcPr>
          <w:p>
            <w:pPr>
              <w:spacing w:before="60" w:after="60"/>
              <w:jc w:val="center"/>
            </w:pPr>
            <w:r>
              <w:rPr>
                <w:sz w:val="18"/>
              </w:rPr>
              <w:t>0.064</w:t>
            </w:r>
          </w:p>
        </w:tc>
        <w:tc>
          <w:tcPr>
            <w:tcW w:type="dxa" w:w="1152"/>
            <w:vAlign w:val="center"/>
            <w:shd w:val="clear" w:color="auto" w:fill="EBF3FB"/>
          </w:tcPr>
          <w:p>
            <w:pPr>
              <w:spacing w:before="60" w:after="60"/>
              <w:jc w:val="center"/>
            </w:pPr>
            <w:r>
              <w:rPr>
                <w:sz w:val="18"/>
              </w:rPr>
              <w:t>1</w:t>
            </w:r>
          </w:p>
        </w:tc>
        <w:tc>
          <w:tcPr>
            <w:tcW w:type="dxa" w:w="2160"/>
            <w:vAlign w:val="center"/>
            <w:shd w:val="clear" w:color="auto" w:fill="EBF3FB"/>
          </w:tcPr>
          <w:p>
            <w:pPr>
              <w:spacing w:before="60" w:after="60"/>
              <w:jc w:val="center"/>
            </w:pPr>
            <w:r>
              <w:rPr>
                <w:sz w:val="18"/>
              </w:rPr>
              <w:t>Unknown</w:t>
            </w:r>
          </w:p>
        </w:tc>
        <w:tc>
          <w:tcPr>
            <w:tcW w:type="dxa" w:w="2736"/>
            <w:vAlign w:val="center"/>
            <w:shd w:val="clear" w:color="auto" w:fill="EBF3FB"/>
          </w:tcPr>
          <w:p>
            <w:pPr>
              <w:spacing w:before="60" w:after="60"/>
              <w:jc w:val="center"/>
            </w:pPr>
            <w:r>
              <w:rPr>
                <w:sz w:val="18"/>
              </w:rPr>
              <w:t>Unknown</w:t>
            </w:r>
          </w:p>
        </w:tc>
      </w:tr>
      <w:tr>
        <w:tc>
          <w:tcPr>
            <w:tcW w:type="dxa" w:w="1728"/>
            <w:vAlign w:val="center"/>
          </w:tcPr>
          <w:p>
            <w:pPr>
              <w:spacing w:before="60" w:after="60"/>
              <w:jc w:val="center"/>
            </w:pPr>
            <w:r>
              <w:rPr>
                <w:sz w:val="18"/>
              </w:rPr>
              <w:t>PLGRKT</w:t>
            </w:r>
          </w:p>
        </w:tc>
        <w:tc>
          <w:tcPr>
            <w:tcW w:type="dxa" w:w="1440"/>
            <w:vAlign w:val="center"/>
          </w:tcPr>
          <w:p>
            <w:pPr>
              <w:spacing w:before="60" w:after="60"/>
              <w:jc w:val="center"/>
            </w:pPr>
            <w:r>
              <w:rPr>
                <w:sz w:val="18"/>
              </w:rPr>
              <w:t>expression</w:t>
            </w:r>
          </w:p>
        </w:tc>
        <w:tc>
          <w:tcPr>
            <w:tcW w:type="dxa" w:w="1440"/>
            <w:vAlign w:val="center"/>
          </w:tcPr>
          <w:p>
            <w:pPr>
              <w:spacing w:before="60" w:after="60"/>
              <w:jc w:val="center"/>
            </w:pPr>
            <w:r>
              <w:rPr>
                <w:sz w:val="18"/>
              </w:rPr>
              <w:t>0.064</w:t>
            </w:r>
          </w:p>
        </w:tc>
        <w:tc>
          <w:tcPr>
            <w:tcW w:type="dxa" w:w="1152"/>
            <w:vAlign w:val="center"/>
          </w:tcPr>
          <w:p>
            <w:pPr>
              <w:spacing w:before="60" w:after="60"/>
              <w:jc w:val="center"/>
            </w:pPr>
            <w:r>
              <w:rPr>
                <w:sz w:val="18"/>
              </w:rPr>
              <w:t>1</w:t>
            </w:r>
          </w:p>
        </w:tc>
        <w:tc>
          <w:tcPr>
            <w:tcW w:type="dxa" w:w="2160"/>
            <w:vAlign w:val="center"/>
          </w:tcPr>
          <w:p>
            <w:pPr>
              <w:spacing w:before="60" w:after="60"/>
              <w:jc w:val="center"/>
            </w:pPr>
            <w:r>
              <w:rPr>
                <w:sz w:val="18"/>
              </w:rPr>
              <w:t>Unknown</w:t>
            </w:r>
          </w:p>
        </w:tc>
        <w:tc>
          <w:tcPr>
            <w:tcW w:type="dxa" w:w="2736"/>
            <w:vAlign w:val="center"/>
          </w:tcPr>
          <w:p>
            <w:pPr>
              <w:spacing w:before="60" w:after="60"/>
              <w:jc w:val="center"/>
            </w:pPr>
            <w:r>
              <w:rPr>
                <w:sz w:val="18"/>
              </w:rPr>
              <w:t>Unknown</w:t>
            </w:r>
          </w:p>
        </w:tc>
      </w:tr>
      <w:tr>
        <w:tc>
          <w:tcPr>
            <w:tcW w:type="dxa" w:w="1728"/>
            <w:vAlign w:val="center"/>
            <w:shd w:val="clear" w:color="auto" w:fill="EBF3FB"/>
          </w:tcPr>
          <w:p>
            <w:pPr>
              <w:spacing w:before="60" w:after="60"/>
              <w:jc w:val="center"/>
            </w:pPr>
            <w:r>
              <w:rPr>
                <w:sz w:val="18"/>
              </w:rPr>
              <w:t>JAK2</w:t>
            </w:r>
          </w:p>
        </w:tc>
        <w:tc>
          <w:tcPr>
            <w:tcW w:type="dxa" w:w="1440"/>
            <w:vAlign w:val="center"/>
            <w:shd w:val="clear" w:color="auto" w:fill="EBF3FB"/>
          </w:tcPr>
          <w:p>
            <w:pPr>
              <w:spacing w:before="60" w:after="60"/>
              <w:jc w:val="center"/>
            </w:pPr>
            <w:r>
              <w:rPr>
                <w:sz w:val="18"/>
              </w:rPr>
              <w:t>expression</w:t>
            </w:r>
          </w:p>
        </w:tc>
        <w:tc>
          <w:tcPr>
            <w:tcW w:type="dxa" w:w="1440"/>
            <w:vAlign w:val="center"/>
            <w:shd w:val="clear" w:color="auto" w:fill="EBF3FB"/>
          </w:tcPr>
          <w:p>
            <w:pPr>
              <w:spacing w:before="60" w:after="60"/>
              <w:jc w:val="center"/>
            </w:pPr>
            <w:r>
              <w:rPr>
                <w:sz w:val="18"/>
              </w:rPr>
              <w:t>0.0639</w:t>
            </w:r>
          </w:p>
        </w:tc>
        <w:tc>
          <w:tcPr>
            <w:tcW w:type="dxa" w:w="1152"/>
            <w:vAlign w:val="center"/>
            <w:shd w:val="clear" w:color="auto" w:fill="EBF3FB"/>
          </w:tcPr>
          <w:p>
            <w:pPr>
              <w:spacing w:before="60" w:after="60"/>
              <w:jc w:val="center"/>
            </w:pPr>
            <w:r>
              <w:rPr>
                <w:sz w:val="18"/>
              </w:rPr>
              <w:t>1</w:t>
            </w:r>
          </w:p>
        </w:tc>
        <w:tc>
          <w:tcPr>
            <w:tcW w:type="dxa" w:w="2160"/>
            <w:vAlign w:val="center"/>
            <w:shd w:val="clear" w:color="auto" w:fill="EBF3FB"/>
          </w:tcPr>
          <w:p>
            <w:pPr>
              <w:spacing w:before="60" w:after="60"/>
              <w:jc w:val="center"/>
            </w:pPr>
            <w:r>
              <w:rPr>
                <w:sz w:val="18"/>
              </w:rPr>
              <w:t>Unknown</w:t>
            </w:r>
          </w:p>
        </w:tc>
        <w:tc>
          <w:tcPr>
            <w:tcW w:type="dxa" w:w="2736"/>
            <w:vAlign w:val="center"/>
            <w:shd w:val="clear" w:color="auto" w:fill="EBF3FB"/>
          </w:tcPr>
          <w:p>
            <w:pPr>
              <w:spacing w:before="60" w:after="60"/>
              <w:jc w:val="center"/>
            </w:pPr>
            <w:r>
              <w:rPr>
                <w:sz w:val="18"/>
              </w:rPr>
              <w:t>Unknown</w:t>
            </w:r>
          </w:p>
        </w:tc>
      </w:tr>
      <w:tr>
        <w:tc>
          <w:tcPr>
            <w:tcW w:type="dxa" w:w="1728"/>
            <w:vAlign w:val="center"/>
          </w:tcPr>
          <w:p>
            <w:pPr>
              <w:spacing w:before="60" w:after="60"/>
              <w:jc w:val="center"/>
            </w:pPr>
            <w:r>
              <w:rPr>
                <w:sz w:val="18"/>
              </w:rPr>
              <w:t>KIAA1432</w:t>
            </w:r>
          </w:p>
        </w:tc>
        <w:tc>
          <w:tcPr>
            <w:tcW w:type="dxa" w:w="1440"/>
            <w:vAlign w:val="center"/>
          </w:tcPr>
          <w:p>
            <w:pPr>
              <w:spacing w:before="60" w:after="60"/>
              <w:jc w:val="center"/>
            </w:pPr>
            <w:r>
              <w:rPr>
                <w:sz w:val="18"/>
              </w:rPr>
              <w:t>expression</w:t>
            </w:r>
          </w:p>
        </w:tc>
        <w:tc>
          <w:tcPr>
            <w:tcW w:type="dxa" w:w="1440"/>
            <w:vAlign w:val="center"/>
          </w:tcPr>
          <w:p>
            <w:pPr>
              <w:spacing w:before="60" w:after="60"/>
              <w:jc w:val="center"/>
            </w:pPr>
            <w:r>
              <w:rPr>
                <w:sz w:val="18"/>
              </w:rPr>
              <w:t>0.0639</w:t>
            </w:r>
          </w:p>
        </w:tc>
        <w:tc>
          <w:tcPr>
            <w:tcW w:type="dxa" w:w="1152"/>
            <w:vAlign w:val="center"/>
          </w:tcPr>
          <w:p>
            <w:pPr>
              <w:spacing w:before="60" w:after="60"/>
              <w:jc w:val="center"/>
            </w:pPr>
            <w:r>
              <w:rPr>
                <w:sz w:val="18"/>
              </w:rPr>
              <w:t>1</w:t>
            </w:r>
          </w:p>
        </w:tc>
        <w:tc>
          <w:tcPr>
            <w:tcW w:type="dxa" w:w="2160"/>
            <w:vAlign w:val="center"/>
          </w:tcPr>
          <w:p>
            <w:pPr>
              <w:spacing w:before="60" w:after="60"/>
              <w:jc w:val="center"/>
            </w:pPr>
            <w:r>
              <w:rPr>
                <w:sz w:val="18"/>
              </w:rPr>
              <w:t>Unknown</w:t>
            </w:r>
          </w:p>
        </w:tc>
        <w:tc>
          <w:tcPr>
            <w:tcW w:type="dxa" w:w="2736"/>
            <w:vAlign w:val="center"/>
          </w:tcPr>
          <w:p>
            <w:pPr>
              <w:spacing w:before="60" w:after="60"/>
              <w:jc w:val="center"/>
            </w:pPr>
            <w:r>
              <w:rPr>
                <w:sz w:val="18"/>
              </w:rPr>
              <w:t>Unknown</w:t>
            </w:r>
          </w:p>
        </w:tc>
      </w:tr>
      <w:tr>
        <w:tc>
          <w:tcPr>
            <w:tcW w:type="dxa" w:w="1728"/>
            <w:vAlign w:val="center"/>
            <w:shd w:val="clear" w:color="auto" w:fill="EBF3FB"/>
          </w:tcPr>
          <w:p>
            <w:pPr>
              <w:spacing w:before="60" w:after="60"/>
              <w:jc w:val="center"/>
            </w:pPr>
            <w:r>
              <w:rPr>
                <w:sz w:val="18"/>
              </w:rPr>
              <w:t>KRT16</w:t>
            </w:r>
          </w:p>
        </w:tc>
        <w:tc>
          <w:tcPr>
            <w:tcW w:type="dxa" w:w="1440"/>
            <w:vAlign w:val="center"/>
            <w:shd w:val="clear" w:color="auto" w:fill="EBF3FB"/>
          </w:tcPr>
          <w:p>
            <w:pPr>
              <w:spacing w:before="60" w:after="60"/>
              <w:jc w:val="center"/>
            </w:pPr>
            <w:r>
              <w:rPr>
                <w:sz w:val="18"/>
              </w:rPr>
              <w:t>expression</w:t>
            </w:r>
          </w:p>
        </w:tc>
        <w:tc>
          <w:tcPr>
            <w:tcW w:type="dxa" w:w="1440"/>
            <w:vAlign w:val="center"/>
            <w:shd w:val="clear" w:color="auto" w:fill="EBF3FB"/>
          </w:tcPr>
          <w:p>
            <w:pPr>
              <w:spacing w:before="60" w:after="60"/>
              <w:jc w:val="center"/>
            </w:pPr>
            <w:r>
              <w:rPr>
                <w:sz w:val="18"/>
              </w:rPr>
              <w:t>0.0639</w:t>
            </w:r>
          </w:p>
        </w:tc>
        <w:tc>
          <w:tcPr>
            <w:tcW w:type="dxa" w:w="1152"/>
            <w:vAlign w:val="center"/>
            <w:shd w:val="clear" w:color="auto" w:fill="EBF3FB"/>
          </w:tcPr>
          <w:p>
            <w:pPr>
              <w:spacing w:before="60" w:after="60"/>
              <w:jc w:val="center"/>
            </w:pPr>
            <w:r>
              <w:rPr>
                <w:sz w:val="18"/>
              </w:rPr>
              <w:t>2</w:t>
            </w:r>
          </w:p>
        </w:tc>
        <w:tc>
          <w:tcPr>
            <w:tcW w:type="dxa" w:w="2160"/>
            <w:vAlign w:val="center"/>
            <w:shd w:val="clear" w:color="auto" w:fill="EBF3FB"/>
          </w:tcPr>
          <w:p>
            <w:pPr>
              <w:spacing w:before="60" w:after="60"/>
              <w:jc w:val="center"/>
            </w:pPr>
            <w:r>
              <w:rPr>
                <w:sz w:val="18"/>
              </w:rPr>
              <w:t>Unknown</w:t>
            </w:r>
          </w:p>
        </w:tc>
        <w:tc>
          <w:tcPr>
            <w:tcW w:type="dxa" w:w="2736"/>
            <w:vAlign w:val="center"/>
            <w:shd w:val="clear" w:color="auto" w:fill="EBF3FB"/>
          </w:tcPr>
          <w:p>
            <w:pPr>
              <w:spacing w:before="60" w:after="60"/>
              <w:jc w:val="center"/>
            </w:pPr>
            <w:r>
              <w:rPr>
                <w:sz w:val="18"/>
              </w:rPr>
              <w:t>Epithelial differentiation</w:t>
            </w:r>
          </w:p>
        </w:tc>
      </w:tr>
      <w:tr>
        <w:tc>
          <w:tcPr>
            <w:tcW w:type="dxa" w:w="1728"/>
            <w:vAlign w:val="center"/>
          </w:tcPr>
          <w:p>
            <w:pPr>
              <w:spacing w:before="60" w:after="60"/>
              <w:jc w:val="center"/>
            </w:pPr>
            <w:r>
              <w:rPr>
                <w:sz w:val="18"/>
              </w:rPr>
              <w:t>KIAA2026</w:t>
            </w:r>
          </w:p>
        </w:tc>
        <w:tc>
          <w:tcPr>
            <w:tcW w:type="dxa" w:w="1440"/>
            <w:vAlign w:val="center"/>
          </w:tcPr>
          <w:p>
            <w:pPr>
              <w:spacing w:before="60" w:after="60"/>
              <w:jc w:val="center"/>
            </w:pPr>
            <w:r>
              <w:rPr>
                <w:sz w:val="18"/>
              </w:rPr>
              <w:t>expression</w:t>
            </w:r>
          </w:p>
        </w:tc>
        <w:tc>
          <w:tcPr>
            <w:tcW w:type="dxa" w:w="1440"/>
            <w:vAlign w:val="center"/>
          </w:tcPr>
          <w:p>
            <w:pPr>
              <w:spacing w:before="60" w:after="60"/>
              <w:jc w:val="center"/>
            </w:pPr>
            <w:r>
              <w:rPr>
                <w:sz w:val="18"/>
              </w:rPr>
              <w:t>0.0639</w:t>
            </w:r>
          </w:p>
        </w:tc>
        <w:tc>
          <w:tcPr>
            <w:tcW w:type="dxa" w:w="1152"/>
            <w:vAlign w:val="center"/>
          </w:tcPr>
          <w:p>
            <w:pPr>
              <w:spacing w:before="60" w:after="60"/>
              <w:jc w:val="center"/>
            </w:pPr>
            <w:r>
              <w:rPr>
                <w:sz w:val="18"/>
              </w:rPr>
              <w:t>1</w:t>
            </w:r>
          </w:p>
        </w:tc>
        <w:tc>
          <w:tcPr>
            <w:tcW w:type="dxa" w:w="2160"/>
            <w:vAlign w:val="center"/>
          </w:tcPr>
          <w:p>
            <w:pPr>
              <w:spacing w:before="60" w:after="60"/>
              <w:jc w:val="center"/>
            </w:pPr>
            <w:r>
              <w:rPr>
                <w:sz w:val="18"/>
              </w:rPr>
              <w:t>Unknown</w:t>
            </w:r>
          </w:p>
        </w:tc>
        <w:tc>
          <w:tcPr>
            <w:tcW w:type="dxa" w:w="2736"/>
            <w:vAlign w:val="center"/>
          </w:tcPr>
          <w:p>
            <w:pPr>
              <w:spacing w:before="60" w:after="60"/>
              <w:jc w:val="center"/>
            </w:pPr>
            <w:r>
              <w:rPr>
                <w:sz w:val="18"/>
              </w:rPr>
              <w:t>Unknown</w:t>
            </w:r>
          </w:p>
        </w:tc>
      </w:tr>
      <w:tr>
        <w:tc>
          <w:tcPr>
            <w:tcW w:type="dxa" w:w="1728"/>
            <w:vAlign w:val="center"/>
            <w:shd w:val="clear" w:color="auto" w:fill="EBF3FB"/>
          </w:tcPr>
          <w:p>
            <w:pPr>
              <w:spacing w:before="60" w:after="60"/>
              <w:jc w:val="center"/>
            </w:pPr>
            <w:r>
              <w:rPr>
                <w:sz w:val="18"/>
              </w:rPr>
              <w:t>IL33</w:t>
            </w:r>
          </w:p>
        </w:tc>
        <w:tc>
          <w:tcPr>
            <w:tcW w:type="dxa" w:w="1440"/>
            <w:vAlign w:val="center"/>
            <w:shd w:val="clear" w:color="auto" w:fill="EBF3FB"/>
          </w:tcPr>
          <w:p>
            <w:pPr>
              <w:spacing w:before="60" w:after="60"/>
              <w:jc w:val="center"/>
            </w:pPr>
            <w:r>
              <w:rPr>
                <w:sz w:val="18"/>
              </w:rPr>
              <w:t>expression</w:t>
            </w:r>
          </w:p>
        </w:tc>
        <w:tc>
          <w:tcPr>
            <w:tcW w:type="dxa" w:w="1440"/>
            <w:vAlign w:val="center"/>
            <w:shd w:val="clear" w:color="auto" w:fill="EBF3FB"/>
          </w:tcPr>
          <w:p>
            <w:pPr>
              <w:spacing w:before="60" w:after="60"/>
              <w:jc w:val="center"/>
            </w:pPr>
            <w:r>
              <w:rPr>
                <w:sz w:val="18"/>
              </w:rPr>
              <w:t>0.0638</w:t>
            </w:r>
          </w:p>
        </w:tc>
        <w:tc>
          <w:tcPr>
            <w:tcW w:type="dxa" w:w="1152"/>
            <w:vAlign w:val="center"/>
            <w:shd w:val="clear" w:color="auto" w:fill="EBF3FB"/>
          </w:tcPr>
          <w:p>
            <w:pPr>
              <w:spacing w:before="60" w:after="60"/>
              <w:jc w:val="center"/>
            </w:pPr>
            <w:r>
              <w:rPr>
                <w:sz w:val="18"/>
              </w:rPr>
              <w:t>1</w:t>
            </w:r>
          </w:p>
        </w:tc>
        <w:tc>
          <w:tcPr>
            <w:tcW w:type="dxa" w:w="2160"/>
            <w:vAlign w:val="center"/>
            <w:shd w:val="clear" w:color="auto" w:fill="EBF3FB"/>
          </w:tcPr>
          <w:p>
            <w:pPr>
              <w:spacing w:before="60" w:after="60"/>
              <w:jc w:val="center"/>
            </w:pPr>
            <w:r>
              <w:rPr>
                <w:sz w:val="18"/>
              </w:rPr>
              <w:t>Unknown</w:t>
            </w:r>
          </w:p>
        </w:tc>
        <w:tc>
          <w:tcPr>
            <w:tcW w:type="dxa" w:w="2736"/>
            <w:vAlign w:val="center"/>
            <w:shd w:val="clear" w:color="auto" w:fill="EBF3FB"/>
          </w:tcPr>
          <w:p>
            <w:pPr>
              <w:spacing w:before="60" w:after="60"/>
              <w:jc w:val="center"/>
            </w:pPr>
            <w:r>
              <w:rPr>
                <w:sz w:val="18"/>
              </w:rPr>
              <w:t>Unknown</w:t>
            </w:r>
          </w:p>
        </w:tc>
      </w:tr>
      <w:tr>
        <w:tc>
          <w:tcPr>
            <w:tcW w:type="dxa" w:w="1728"/>
            <w:vAlign w:val="center"/>
          </w:tcPr>
          <w:p>
            <w:pPr>
              <w:spacing w:before="60" w:after="60"/>
              <w:jc w:val="center"/>
            </w:pPr>
            <w:r>
              <w:rPr>
                <w:sz w:val="18"/>
              </w:rPr>
              <w:t>snoU13|ENSG00000252110.1</w:t>
            </w:r>
          </w:p>
        </w:tc>
        <w:tc>
          <w:tcPr>
            <w:tcW w:type="dxa" w:w="1440"/>
            <w:vAlign w:val="center"/>
          </w:tcPr>
          <w:p>
            <w:pPr>
              <w:spacing w:before="60" w:after="60"/>
              <w:jc w:val="center"/>
            </w:pPr>
            <w:r>
              <w:rPr>
                <w:sz w:val="18"/>
              </w:rPr>
              <w:t>expression</w:t>
            </w:r>
          </w:p>
        </w:tc>
        <w:tc>
          <w:tcPr>
            <w:tcW w:type="dxa" w:w="1440"/>
            <w:vAlign w:val="center"/>
          </w:tcPr>
          <w:p>
            <w:pPr>
              <w:spacing w:before="60" w:after="60"/>
              <w:jc w:val="center"/>
            </w:pPr>
            <w:r>
              <w:rPr>
                <w:sz w:val="18"/>
              </w:rPr>
              <w:t>0.0638</w:t>
            </w:r>
          </w:p>
        </w:tc>
        <w:tc>
          <w:tcPr>
            <w:tcW w:type="dxa" w:w="1152"/>
            <w:vAlign w:val="center"/>
          </w:tcPr>
          <w:p>
            <w:pPr>
              <w:spacing w:before="60" w:after="60"/>
              <w:jc w:val="center"/>
            </w:pPr>
            <w:r>
              <w:rPr>
                <w:sz w:val="18"/>
              </w:rPr>
              <w:t>1</w:t>
            </w:r>
          </w:p>
        </w:tc>
        <w:tc>
          <w:tcPr>
            <w:tcW w:type="dxa" w:w="2160"/>
            <w:vAlign w:val="center"/>
          </w:tcPr>
          <w:p>
            <w:pPr>
              <w:spacing w:before="60" w:after="60"/>
              <w:jc w:val="center"/>
            </w:pPr>
            <w:r>
              <w:rPr>
                <w:sz w:val="18"/>
              </w:rPr>
              <w:t>Unknown</w:t>
            </w:r>
          </w:p>
        </w:tc>
        <w:tc>
          <w:tcPr>
            <w:tcW w:type="dxa" w:w="2736"/>
            <w:vAlign w:val="center"/>
          </w:tcPr>
          <w:p>
            <w:pPr>
              <w:spacing w:before="60" w:after="60"/>
              <w:jc w:val="center"/>
            </w:pPr>
            <w:r>
              <w:rPr>
                <w:sz w:val="18"/>
              </w:rPr>
              <w:t>Unknown</w:t>
            </w:r>
          </w:p>
        </w:tc>
      </w:tr>
      <w:tr>
        <w:tc>
          <w:tcPr>
            <w:tcW w:type="dxa" w:w="1728"/>
            <w:vAlign w:val="center"/>
            <w:shd w:val="clear" w:color="auto" w:fill="EBF3FB"/>
          </w:tcPr>
          <w:p>
            <w:pPr>
              <w:spacing w:before="60" w:after="60"/>
              <w:jc w:val="center"/>
            </w:pPr>
            <w:r>
              <w:rPr>
                <w:sz w:val="18"/>
              </w:rPr>
              <w:t>RN7SL25P</w:t>
            </w:r>
          </w:p>
        </w:tc>
        <w:tc>
          <w:tcPr>
            <w:tcW w:type="dxa" w:w="1440"/>
            <w:vAlign w:val="center"/>
            <w:shd w:val="clear" w:color="auto" w:fill="EBF3FB"/>
          </w:tcPr>
          <w:p>
            <w:pPr>
              <w:spacing w:before="60" w:after="60"/>
              <w:jc w:val="center"/>
            </w:pPr>
            <w:r>
              <w:rPr>
                <w:sz w:val="18"/>
              </w:rPr>
              <w:t>expression</w:t>
            </w:r>
          </w:p>
        </w:tc>
        <w:tc>
          <w:tcPr>
            <w:tcW w:type="dxa" w:w="1440"/>
            <w:vAlign w:val="center"/>
            <w:shd w:val="clear" w:color="auto" w:fill="EBF3FB"/>
          </w:tcPr>
          <w:p>
            <w:pPr>
              <w:spacing w:before="60" w:after="60"/>
              <w:jc w:val="center"/>
            </w:pPr>
            <w:r>
              <w:rPr>
                <w:sz w:val="18"/>
              </w:rPr>
              <w:t>0.0638</w:t>
            </w:r>
          </w:p>
        </w:tc>
        <w:tc>
          <w:tcPr>
            <w:tcW w:type="dxa" w:w="1152"/>
            <w:vAlign w:val="center"/>
            <w:shd w:val="clear" w:color="auto" w:fill="EBF3FB"/>
          </w:tcPr>
          <w:p>
            <w:pPr>
              <w:spacing w:before="60" w:after="60"/>
              <w:jc w:val="center"/>
            </w:pPr>
            <w:r>
              <w:rPr>
                <w:sz w:val="18"/>
              </w:rPr>
              <w:t>1</w:t>
            </w:r>
          </w:p>
        </w:tc>
        <w:tc>
          <w:tcPr>
            <w:tcW w:type="dxa" w:w="2160"/>
            <w:vAlign w:val="center"/>
            <w:shd w:val="clear" w:color="auto" w:fill="EBF3FB"/>
          </w:tcPr>
          <w:p>
            <w:pPr>
              <w:spacing w:before="60" w:after="60"/>
              <w:jc w:val="center"/>
            </w:pPr>
            <w:r>
              <w:rPr>
                <w:sz w:val="18"/>
              </w:rPr>
              <w:t>Unknown</w:t>
            </w:r>
          </w:p>
        </w:tc>
        <w:tc>
          <w:tcPr>
            <w:tcW w:type="dxa" w:w="2736"/>
            <w:vAlign w:val="center"/>
            <w:shd w:val="clear" w:color="auto" w:fill="EBF3FB"/>
          </w:tcPr>
          <w:p>
            <w:pPr>
              <w:spacing w:before="60" w:after="60"/>
              <w:jc w:val="center"/>
            </w:pPr>
            <w:r>
              <w:rPr>
                <w:sz w:val="18"/>
              </w:rPr>
              <w:t>Unknown</w:t>
            </w:r>
          </w:p>
        </w:tc>
      </w:tr>
      <w:tr>
        <w:tc>
          <w:tcPr>
            <w:tcW w:type="dxa" w:w="1728"/>
            <w:vAlign w:val="center"/>
          </w:tcPr>
          <w:p>
            <w:pPr>
              <w:spacing w:before="60" w:after="60"/>
              <w:jc w:val="center"/>
            </w:pPr>
            <w:r>
              <w:rPr>
                <w:sz w:val="18"/>
              </w:rPr>
              <w:t>TPD52L3</w:t>
            </w:r>
          </w:p>
        </w:tc>
        <w:tc>
          <w:tcPr>
            <w:tcW w:type="dxa" w:w="1440"/>
            <w:vAlign w:val="center"/>
          </w:tcPr>
          <w:p>
            <w:pPr>
              <w:spacing w:before="60" w:after="60"/>
              <w:jc w:val="center"/>
            </w:pPr>
            <w:r>
              <w:rPr>
                <w:sz w:val="18"/>
              </w:rPr>
              <w:t>expression</w:t>
            </w:r>
          </w:p>
        </w:tc>
        <w:tc>
          <w:tcPr>
            <w:tcW w:type="dxa" w:w="1440"/>
            <w:vAlign w:val="center"/>
          </w:tcPr>
          <w:p>
            <w:pPr>
              <w:spacing w:before="60" w:after="60"/>
              <w:jc w:val="center"/>
            </w:pPr>
            <w:r>
              <w:rPr>
                <w:sz w:val="18"/>
              </w:rPr>
              <w:t>0.0638</w:t>
            </w:r>
          </w:p>
        </w:tc>
        <w:tc>
          <w:tcPr>
            <w:tcW w:type="dxa" w:w="1152"/>
            <w:vAlign w:val="center"/>
          </w:tcPr>
          <w:p>
            <w:pPr>
              <w:spacing w:before="60" w:after="60"/>
              <w:jc w:val="center"/>
            </w:pPr>
            <w:r>
              <w:rPr>
                <w:sz w:val="18"/>
              </w:rPr>
              <w:t>1</w:t>
            </w:r>
          </w:p>
        </w:tc>
        <w:tc>
          <w:tcPr>
            <w:tcW w:type="dxa" w:w="2160"/>
            <w:vAlign w:val="center"/>
          </w:tcPr>
          <w:p>
            <w:pPr>
              <w:spacing w:before="60" w:after="60"/>
              <w:jc w:val="center"/>
            </w:pPr>
            <w:r>
              <w:rPr>
                <w:sz w:val="18"/>
              </w:rPr>
              <w:t>Unknown</w:t>
            </w:r>
          </w:p>
        </w:tc>
        <w:tc>
          <w:tcPr>
            <w:tcW w:type="dxa" w:w="2736"/>
            <w:vAlign w:val="center"/>
          </w:tcPr>
          <w:p>
            <w:pPr>
              <w:spacing w:before="60" w:after="60"/>
              <w:jc w:val="center"/>
            </w:pPr>
            <w:r>
              <w:rPr>
                <w:sz w:val="18"/>
              </w:rPr>
              <w:t>Unknown</w:t>
            </w:r>
          </w:p>
        </w:tc>
      </w:tr>
      <w:tr>
        <w:tc>
          <w:tcPr>
            <w:tcW w:type="dxa" w:w="1728"/>
            <w:vAlign w:val="center"/>
            <w:shd w:val="clear" w:color="auto" w:fill="EBF3FB"/>
          </w:tcPr>
          <w:p>
            <w:pPr>
              <w:spacing w:before="60" w:after="60"/>
              <w:jc w:val="center"/>
            </w:pPr>
            <w:r>
              <w:rPr>
                <w:sz w:val="18"/>
              </w:rPr>
              <w:t>RN7SL123P</w:t>
            </w:r>
          </w:p>
        </w:tc>
        <w:tc>
          <w:tcPr>
            <w:tcW w:type="dxa" w:w="1440"/>
            <w:vAlign w:val="center"/>
            <w:shd w:val="clear" w:color="auto" w:fill="EBF3FB"/>
          </w:tcPr>
          <w:p>
            <w:pPr>
              <w:spacing w:before="60" w:after="60"/>
              <w:jc w:val="center"/>
            </w:pPr>
            <w:r>
              <w:rPr>
                <w:sz w:val="18"/>
              </w:rPr>
              <w:t>expression</w:t>
            </w:r>
          </w:p>
        </w:tc>
        <w:tc>
          <w:tcPr>
            <w:tcW w:type="dxa" w:w="1440"/>
            <w:vAlign w:val="center"/>
            <w:shd w:val="clear" w:color="auto" w:fill="EBF3FB"/>
          </w:tcPr>
          <w:p>
            <w:pPr>
              <w:spacing w:before="60" w:after="60"/>
              <w:jc w:val="center"/>
            </w:pPr>
            <w:r>
              <w:rPr>
                <w:sz w:val="18"/>
              </w:rPr>
              <w:t>0.0638</w:t>
            </w:r>
          </w:p>
        </w:tc>
        <w:tc>
          <w:tcPr>
            <w:tcW w:type="dxa" w:w="1152"/>
            <w:vAlign w:val="center"/>
            <w:shd w:val="clear" w:color="auto" w:fill="EBF3FB"/>
          </w:tcPr>
          <w:p>
            <w:pPr>
              <w:spacing w:before="60" w:after="60"/>
              <w:jc w:val="center"/>
            </w:pPr>
            <w:r>
              <w:rPr>
                <w:sz w:val="18"/>
              </w:rPr>
              <w:t>1</w:t>
            </w:r>
          </w:p>
        </w:tc>
        <w:tc>
          <w:tcPr>
            <w:tcW w:type="dxa" w:w="2160"/>
            <w:vAlign w:val="center"/>
            <w:shd w:val="clear" w:color="auto" w:fill="EBF3FB"/>
          </w:tcPr>
          <w:p>
            <w:pPr>
              <w:spacing w:before="60" w:after="60"/>
              <w:jc w:val="center"/>
            </w:pPr>
            <w:r>
              <w:rPr>
                <w:sz w:val="18"/>
              </w:rPr>
              <w:t>Unknown</w:t>
            </w:r>
          </w:p>
        </w:tc>
        <w:tc>
          <w:tcPr>
            <w:tcW w:type="dxa" w:w="2736"/>
            <w:vAlign w:val="center"/>
            <w:shd w:val="clear" w:color="auto" w:fill="EBF3FB"/>
          </w:tcPr>
          <w:p>
            <w:pPr>
              <w:spacing w:before="60" w:after="60"/>
              <w:jc w:val="center"/>
            </w:pPr>
            <w:r>
              <w:rPr>
                <w:sz w:val="18"/>
              </w:rPr>
              <w:t>Unknown</w:t>
            </w:r>
          </w:p>
        </w:tc>
      </w:tr>
      <w:tr>
        <w:tc>
          <w:tcPr>
            <w:tcW w:type="dxa" w:w="1728"/>
            <w:vAlign w:val="center"/>
          </w:tcPr>
          <w:p>
            <w:pPr>
              <w:spacing w:before="60" w:after="60"/>
              <w:jc w:val="center"/>
            </w:pPr>
            <w:r>
              <w:rPr>
                <w:sz w:val="18"/>
              </w:rPr>
              <w:t>C9orf38</w:t>
            </w:r>
          </w:p>
        </w:tc>
        <w:tc>
          <w:tcPr>
            <w:tcW w:type="dxa" w:w="1440"/>
            <w:vAlign w:val="center"/>
          </w:tcPr>
          <w:p>
            <w:pPr>
              <w:spacing w:before="60" w:after="60"/>
              <w:jc w:val="center"/>
            </w:pPr>
            <w:r>
              <w:rPr>
                <w:sz w:val="18"/>
              </w:rPr>
              <w:t>expression</w:t>
            </w:r>
          </w:p>
        </w:tc>
        <w:tc>
          <w:tcPr>
            <w:tcW w:type="dxa" w:w="1440"/>
            <w:vAlign w:val="center"/>
          </w:tcPr>
          <w:p>
            <w:pPr>
              <w:spacing w:before="60" w:after="60"/>
              <w:jc w:val="center"/>
            </w:pPr>
            <w:r>
              <w:rPr>
                <w:sz w:val="18"/>
              </w:rPr>
              <w:t>0.0638</w:t>
            </w:r>
          </w:p>
        </w:tc>
        <w:tc>
          <w:tcPr>
            <w:tcW w:type="dxa" w:w="1152"/>
            <w:vAlign w:val="center"/>
          </w:tcPr>
          <w:p>
            <w:pPr>
              <w:spacing w:before="60" w:after="60"/>
              <w:jc w:val="center"/>
            </w:pPr>
            <w:r>
              <w:rPr>
                <w:sz w:val="18"/>
              </w:rPr>
              <w:t>1</w:t>
            </w:r>
          </w:p>
        </w:tc>
        <w:tc>
          <w:tcPr>
            <w:tcW w:type="dxa" w:w="2160"/>
            <w:vAlign w:val="center"/>
          </w:tcPr>
          <w:p>
            <w:pPr>
              <w:spacing w:before="60" w:after="60"/>
              <w:jc w:val="center"/>
            </w:pPr>
            <w:r>
              <w:rPr>
                <w:sz w:val="18"/>
              </w:rPr>
              <w:t>Unknown</w:t>
            </w:r>
          </w:p>
        </w:tc>
        <w:tc>
          <w:tcPr>
            <w:tcW w:type="dxa" w:w="2736"/>
            <w:vAlign w:val="center"/>
          </w:tcPr>
          <w:p>
            <w:pPr>
              <w:spacing w:before="60" w:after="60"/>
              <w:jc w:val="center"/>
            </w:pPr>
            <w:r>
              <w:rPr>
                <w:sz w:val="18"/>
              </w:rPr>
              <w:t>Unknown</w:t>
            </w:r>
          </w:p>
        </w:tc>
      </w:tr>
      <w:tr>
        <w:tc>
          <w:tcPr>
            <w:tcW w:type="dxa" w:w="1728"/>
            <w:vAlign w:val="center"/>
            <w:shd w:val="clear" w:color="auto" w:fill="EBF3FB"/>
          </w:tcPr>
          <w:p>
            <w:pPr>
              <w:spacing w:before="60" w:after="60"/>
              <w:jc w:val="center"/>
            </w:pPr>
            <w:r>
              <w:rPr>
                <w:sz w:val="18"/>
              </w:rPr>
              <w:t>GLDC</w:t>
            </w:r>
          </w:p>
        </w:tc>
        <w:tc>
          <w:tcPr>
            <w:tcW w:type="dxa" w:w="1440"/>
            <w:vAlign w:val="center"/>
            <w:shd w:val="clear" w:color="auto" w:fill="EBF3FB"/>
          </w:tcPr>
          <w:p>
            <w:pPr>
              <w:spacing w:before="60" w:after="60"/>
              <w:jc w:val="center"/>
            </w:pPr>
            <w:r>
              <w:rPr>
                <w:sz w:val="18"/>
              </w:rPr>
              <w:t>expression</w:t>
            </w:r>
          </w:p>
        </w:tc>
        <w:tc>
          <w:tcPr>
            <w:tcW w:type="dxa" w:w="1440"/>
            <w:vAlign w:val="center"/>
            <w:shd w:val="clear" w:color="auto" w:fill="EBF3FB"/>
          </w:tcPr>
          <w:p>
            <w:pPr>
              <w:spacing w:before="60" w:after="60"/>
              <w:jc w:val="center"/>
            </w:pPr>
            <w:r>
              <w:rPr>
                <w:sz w:val="18"/>
              </w:rPr>
              <w:t>0.0638</w:t>
            </w:r>
          </w:p>
        </w:tc>
        <w:tc>
          <w:tcPr>
            <w:tcW w:type="dxa" w:w="1152"/>
            <w:vAlign w:val="center"/>
            <w:shd w:val="clear" w:color="auto" w:fill="EBF3FB"/>
          </w:tcPr>
          <w:p>
            <w:pPr>
              <w:spacing w:before="60" w:after="60"/>
              <w:jc w:val="center"/>
            </w:pPr>
            <w:r>
              <w:rPr>
                <w:sz w:val="18"/>
              </w:rPr>
              <w:t>1</w:t>
            </w:r>
          </w:p>
        </w:tc>
        <w:tc>
          <w:tcPr>
            <w:tcW w:type="dxa" w:w="2160"/>
            <w:vAlign w:val="center"/>
            <w:shd w:val="clear" w:color="auto" w:fill="EBF3FB"/>
          </w:tcPr>
          <w:p>
            <w:pPr>
              <w:spacing w:before="60" w:after="60"/>
              <w:jc w:val="center"/>
            </w:pPr>
            <w:r>
              <w:rPr>
                <w:sz w:val="18"/>
              </w:rPr>
              <w:t>Unknown</w:t>
            </w:r>
          </w:p>
        </w:tc>
        <w:tc>
          <w:tcPr>
            <w:tcW w:type="dxa" w:w="2736"/>
            <w:vAlign w:val="center"/>
            <w:shd w:val="clear" w:color="auto" w:fill="EBF3FB"/>
          </w:tcPr>
          <w:p>
            <w:pPr>
              <w:spacing w:before="60" w:after="60"/>
              <w:jc w:val="center"/>
            </w:pPr>
            <w:r>
              <w:rPr>
                <w:sz w:val="18"/>
              </w:rPr>
              <w:t>Unknown</w:t>
            </w:r>
          </w:p>
        </w:tc>
      </w:tr>
      <w:tr>
        <w:tc>
          <w:tcPr>
            <w:tcW w:type="dxa" w:w="1728"/>
            <w:vAlign w:val="center"/>
          </w:tcPr>
          <w:p>
            <w:pPr>
              <w:spacing w:before="60" w:after="60"/>
              <w:jc w:val="center"/>
            </w:pPr>
            <w:r>
              <w:rPr>
                <w:sz w:val="18"/>
              </w:rPr>
              <w:t>UHRF2</w:t>
            </w:r>
          </w:p>
        </w:tc>
        <w:tc>
          <w:tcPr>
            <w:tcW w:type="dxa" w:w="1440"/>
            <w:vAlign w:val="center"/>
          </w:tcPr>
          <w:p>
            <w:pPr>
              <w:spacing w:before="60" w:after="60"/>
              <w:jc w:val="center"/>
            </w:pPr>
            <w:r>
              <w:rPr>
                <w:sz w:val="18"/>
              </w:rPr>
              <w:t>expression</w:t>
            </w:r>
          </w:p>
        </w:tc>
        <w:tc>
          <w:tcPr>
            <w:tcW w:type="dxa" w:w="1440"/>
            <w:vAlign w:val="center"/>
          </w:tcPr>
          <w:p>
            <w:pPr>
              <w:spacing w:before="60" w:after="60"/>
              <w:jc w:val="center"/>
            </w:pPr>
            <w:r>
              <w:rPr>
                <w:sz w:val="18"/>
              </w:rPr>
              <w:t>0.0638</w:t>
            </w:r>
          </w:p>
        </w:tc>
        <w:tc>
          <w:tcPr>
            <w:tcW w:type="dxa" w:w="1152"/>
            <w:vAlign w:val="center"/>
          </w:tcPr>
          <w:p>
            <w:pPr>
              <w:spacing w:before="60" w:after="60"/>
              <w:jc w:val="center"/>
            </w:pPr>
            <w:r>
              <w:rPr>
                <w:sz w:val="18"/>
              </w:rPr>
              <w:t>1</w:t>
            </w:r>
          </w:p>
        </w:tc>
        <w:tc>
          <w:tcPr>
            <w:tcW w:type="dxa" w:w="2160"/>
            <w:vAlign w:val="center"/>
          </w:tcPr>
          <w:p>
            <w:pPr>
              <w:spacing w:before="60" w:after="60"/>
              <w:jc w:val="center"/>
            </w:pPr>
            <w:r>
              <w:rPr>
                <w:sz w:val="18"/>
              </w:rPr>
              <w:t>Unknown</w:t>
            </w:r>
          </w:p>
        </w:tc>
        <w:tc>
          <w:tcPr>
            <w:tcW w:type="dxa" w:w="2736"/>
            <w:vAlign w:val="center"/>
          </w:tcPr>
          <w:p>
            <w:pPr>
              <w:spacing w:before="60" w:after="60"/>
              <w:jc w:val="center"/>
            </w:pPr>
            <w:r>
              <w:rPr>
                <w:sz w:val="18"/>
              </w:rPr>
              <w:t>Unknown</w:t>
            </w:r>
          </w:p>
        </w:tc>
      </w:tr>
      <w:tr>
        <w:tc>
          <w:tcPr>
            <w:tcW w:type="dxa" w:w="1728"/>
            <w:vAlign w:val="center"/>
            <w:shd w:val="clear" w:color="auto" w:fill="EBF3FB"/>
          </w:tcPr>
          <w:p>
            <w:pPr>
              <w:spacing w:before="60" w:after="60"/>
              <w:jc w:val="center"/>
            </w:pPr>
            <w:r>
              <w:rPr>
                <w:sz w:val="18"/>
              </w:rPr>
              <w:t>AK3</w:t>
            </w:r>
          </w:p>
        </w:tc>
        <w:tc>
          <w:tcPr>
            <w:tcW w:type="dxa" w:w="1440"/>
            <w:vAlign w:val="center"/>
            <w:shd w:val="clear" w:color="auto" w:fill="EBF3FB"/>
          </w:tcPr>
          <w:p>
            <w:pPr>
              <w:spacing w:before="60" w:after="60"/>
              <w:jc w:val="center"/>
            </w:pPr>
            <w:r>
              <w:rPr>
                <w:sz w:val="18"/>
              </w:rPr>
              <w:t>expression</w:t>
            </w:r>
          </w:p>
        </w:tc>
        <w:tc>
          <w:tcPr>
            <w:tcW w:type="dxa" w:w="1440"/>
            <w:vAlign w:val="center"/>
            <w:shd w:val="clear" w:color="auto" w:fill="EBF3FB"/>
          </w:tcPr>
          <w:p>
            <w:pPr>
              <w:spacing w:before="60" w:after="60"/>
              <w:jc w:val="center"/>
            </w:pPr>
            <w:r>
              <w:rPr>
                <w:sz w:val="18"/>
              </w:rPr>
              <w:t>0.0638</w:t>
            </w:r>
          </w:p>
        </w:tc>
        <w:tc>
          <w:tcPr>
            <w:tcW w:type="dxa" w:w="1152"/>
            <w:vAlign w:val="center"/>
            <w:shd w:val="clear" w:color="auto" w:fill="EBF3FB"/>
          </w:tcPr>
          <w:p>
            <w:pPr>
              <w:spacing w:before="60" w:after="60"/>
              <w:jc w:val="center"/>
            </w:pPr>
            <w:r>
              <w:rPr>
                <w:sz w:val="18"/>
              </w:rPr>
              <w:t>1</w:t>
            </w:r>
          </w:p>
        </w:tc>
        <w:tc>
          <w:tcPr>
            <w:tcW w:type="dxa" w:w="2160"/>
            <w:vAlign w:val="center"/>
            <w:shd w:val="clear" w:color="auto" w:fill="EBF3FB"/>
          </w:tcPr>
          <w:p>
            <w:pPr>
              <w:spacing w:before="60" w:after="60"/>
              <w:jc w:val="center"/>
            </w:pPr>
            <w:r>
              <w:rPr>
                <w:sz w:val="18"/>
              </w:rPr>
              <w:t>Unknown</w:t>
            </w:r>
          </w:p>
        </w:tc>
        <w:tc>
          <w:tcPr>
            <w:tcW w:type="dxa" w:w="2736"/>
            <w:vAlign w:val="center"/>
            <w:shd w:val="clear" w:color="auto" w:fill="EBF3FB"/>
          </w:tcPr>
          <w:p>
            <w:pPr>
              <w:spacing w:before="60" w:after="60"/>
              <w:jc w:val="center"/>
            </w:pPr>
            <w:r>
              <w:rPr>
                <w:sz w:val="18"/>
              </w:rPr>
              <w:t>Unknown</w:t>
            </w:r>
          </w:p>
        </w:tc>
      </w:tr>
      <w:tr>
        <w:tc>
          <w:tcPr>
            <w:tcW w:type="dxa" w:w="1728"/>
            <w:vAlign w:val="center"/>
          </w:tcPr>
          <w:p>
            <w:pPr>
              <w:spacing w:before="60" w:after="60"/>
              <w:jc w:val="center"/>
            </w:pPr>
            <w:r>
              <w:rPr>
                <w:sz w:val="18"/>
              </w:rPr>
              <w:t>PPAPDC2</w:t>
            </w:r>
          </w:p>
        </w:tc>
        <w:tc>
          <w:tcPr>
            <w:tcW w:type="dxa" w:w="1440"/>
            <w:vAlign w:val="center"/>
          </w:tcPr>
          <w:p>
            <w:pPr>
              <w:spacing w:before="60" w:after="60"/>
              <w:jc w:val="center"/>
            </w:pPr>
            <w:r>
              <w:rPr>
                <w:sz w:val="18"/>
              </w:rPr>
              <w:t>expression</w:t>
            </w:r>
          </w:p>
        </w:tc>
        <w:tc>
          <w:tcPr>
            <w:tcW w:type="dxa" w:w="1440"/>
            <w:vAlign w:val="center"/>
          </w:tcPr>
          <w:p>
            <w:pPr>
              <w:spacing w:before="60" w:after="60"/>
              <w:jc w:val="center"/>
            </w:pPr>
            <w:r>
              <w:rPr>
                <w:sz w:val="18"/>
              </w:rPr>
              <w:t>0.0637</w:t>
            </w:r>
          </w:p>
        </w:tc>
        <w:tc>
          <w:tcPr>
            <w:tcW w:type="dxa" w:w="1152"/>
            <w:vAlign w:val="center"/>
          </w:tcPr>
          <w:p>
            <w:pPr>
              <w:spacing w:before="60" w:after="60"/>
              <w:jc w:val="center"/>
            </w:pPr>
            <w:r>
              <w:rPr>
                <w:sz w:val="18"/>
              </w:rPr>
              <w:t>1</w:t>
            </w:r>
          </w:p>
        </w:tc>
        <w:tc>
          <w:tcPr>
            <w:tcW w:type="dxa" w:w="2160"/>
            <w:vAlign w:val="center"/>
          </w:tcPr>
          <w:p>
            <w:pPr>
              <w:spacing w:before="60" w:after="60"/>
              <w:jc w:val="center"/>
            </w:pPr>
            <w:r>
              <w:rPr>
                <w:sz w:val="18"/>
              </w:rPr>
              <w:t>Unknown</w:t>
            </w:r>
          </w:p>
        </w:tc>
        <w:tc>
          <w:tcPr>
            <w:tcW w:type="dxa" w:w="2736"/>
            <w:vAlign w:val="center"/>
          </w:tcPr>
          <w:p>
            <w:pPr>
              <w:spacing w:before="60" w:after="60"/>
              <w:jc w:val="center"/>
            </w:pPr>
            <w:r>
              <w:rPr>
                <w:sz w:val="18"/>
              </w:rPr>
              <w:t>Unknown</w:t>
            </w:r>
          </w:p>
        </w:tc>
      </w:tr>
      <w:tr>
        <w:tc>
          <w:tcPr>
            <w:tcW w:type="dxa" w:w="1728"/>
            <w:vAlign w:val="center"/>
            <w:shd w:val="clear" w:color="auto" w:fill="EBF3FB"/>
          </w:tcPr>
          <w:p>
            <w:pPr>
              <w:spacing w:before="60" w:after="60"/>
              <w:jc w:val="center"/>
            </w:pPr>
            <w:r>
              <w:rPr>
                <w:sz w:val="18"/>
              </w:rPr>
              <w:t>CDC37L1</w:t>
            </w:r>
          </w:p>
        </w:tc>
        <w:tc>
          <w:tcPr>
            <w:tcW w:type="dxa" w:w="1440"/>
            <w:vAlign w:val="center"/>
            <w:shd w:val="clear" w:color="auto" w:fill="EBF3FB"/>
          </w:tcPr>
          <w:p>
            <w:pPr>
              <w:spacing w:before="60" w:after="60"/>
              <w:jc w:val="center"/>
            </w:pPr>
            <w:r>
              <w:rPr>
                <w:sz w:val="18"/>
              </w:rPr>
              <w:t>expression</w:t>
            </w:r>
          </w:p>
        </w:tc>
        <w:tc>
          <w:tcPr>
            <w:tcW w:type="dxa" w:w="1440"/>
            <w:vAlign w:val="center"/>
            <w:shd w:val="clear" w:color="auto" w:fill="EBF3FB"/>
          </w:tcPr>
          <w:p>
            <w:pPr>
              <w:spacing w:before="60" w:after="60"/>
              <w:jc w:val="center"/>
            </w:pPr>
            <w:r>
              <w:rPr>
                <w:sz w:val="18"/>
              </w:rPr>
              <w:t>0.0637</w:t>
            </w:r>
          </w:p>
        </w:tc>
        <w:tc>
          <w:tcPr>
            <w:tcW w:type="dxa" w:w="1152"/>
            <w:vAlign w:val="center"/>
            <w:shd w:val="clear" w:color="auto" w:fill="EBF3FB"/>
          </w:tcPr>
          <w:p>
            <w:pPr>
              <w:spacing w:before="60" w:after="60"/>
              <w:jc w:val="center"/>
            </w:pPr>
            <w:r>
              <w:rPr>
                <w:sz w:val="18"/>
              </w:rPr>
              <w:t>1</w:t>
            </w:r>
          </w:p>
        </w:tc>
        <w:tc>
          <w:tcPr>
            <w:tcW w:type="dxa" w:w="2160"/>
            <w:vAlign w:val="center"/>
            <w:shd w:val="clear" w:color="auto" w:fill="EBF3FB"/>
          </w:tcPr>
          <w:p>
            <w:pPr>
              <w:spacing w:before="60" w:after="60"/>
              <w:jc w:val="center"/>
            </w:pPr>
            <w:r>
              <w:rPr>
                <w:sz w:val="18"/>
              </w:rPr>
              <w:t>Unknown</w:t>
            </w:r>
          </w:p>
        </w:tc>
        <w:tc>
          <w:tcPr>
            <w:tcW w:type="dxa" w:w="2736"/>
            <w:vAlign w:val="center"/>
            <w:shd w:val="clear" w:color="auto" w:fill="EBF3FB"/>
          </w:tcPr>
          <w:p>
            <w:pPr>
              <w:spacing w:before="60" w:after="60"/>
              <w:jc w:val="center"/>
            </w:pPr>
            <w:r>
              <w:rPr>
                <w:sz w:val="18"/>
              </w:rPr>
              <w:t>Unknown</w:t>
            </w:r>
          </w:p>
        </w:tc>
      </w:tr>
      <w:tr>
        <w:tc>
          <w:tcPr>
            <w:tcW w:type="dxa" w:w="1728"/>
            <w:vAlign w:val="center"/>
          </w:tcPr>
          <w:p>
            <w:pPr>
              <w:spacing w:before="60" w:after="60"/>
              <w:jc w:val="center"/>
            </w:pPr>
            <w:r>
              <w:rPr>
                <w:sz w:val="18"/>
              </w:rPr>
              <w:t>SLC1A1</w:t>
            </w:r>
          </w:p>
        </w:tc>
        <w:tc>
          <w:tcPr>
            <w:tcW w:type="dxa" w:w="1440"/>
            <w:vAlign w:val="center"/>
          </w:tcPr>
          <w:p>
            <w:pPr>
              <w:spacing w:before="60" w:after="60"/>
              <w:jc w:val="center"/>
            </w:pPr>
            <w:r>
              <w:rPr>
                <w:sz w:val="18"/>
              </w:rPr>
              <w:t>expression</w:t>
            </w:r>
          </w:p>
        </w:tc>
        <w:tc>
          <w:tcPr>
            <w:tcW w:type="dxa" w:w="1440"/>
            <w:vAlign w:val="center"/>
          </w:tcPr>
          <w:p>
            <w:pPr>
              <w:spacing w:before="60" w:after="60"/>
              <w:jc w:val="center"/>
            </w:pPr>
            <w:r>
              <w:rPr>
                <w:sz w:val="18"/>
              </w:rPr>
              <w:t>0.0636</w:t>
            </w:r>
          </w:p>
        </w:tc>
        <w:tc>
          <w:tcPr>
            <w:tcW w:type="dxa" w:w="1152"/>
            <w:vAlign w:val="center"/>
          </w:tcPr>
          <w:p>
            <w:pPr>
              <w:spacing w:before="60" w:after="60"/>
              <w:jc w:val="center"/>
            </w:pPr>
            <w:r>
              <w:rPr>
                <w:sz w:val="18"/>
              </w:rPr>
              <w:t>1</w:t>
            </w:r>
          </w:p>
        </w:tc>
        <w:tc>
          <w:tcPr>
            <w:tcW w:type="dxa" w:w="2160"/>
            <w:vAlign w:val="center"/>
          </w:tcPr>
          <w:p>
            <w:pPr>
              <w:spacing w:before="60" w:after="60"/>
              <w:jc w:val="center"/>
            </w:pPr>
            <w:r>
              <w:rPr>
                <w:sz w:val="18"/>
              </w:rPr>
              <w:t>Unknown</w:t>
            </w:r>
          </w:p>
        </w:tc>
        <w:tc>
          <w:tcPr>
            <w:tcW w:type="dxa" w:w="2736"/>
            <w:vAlign w:val="center"/>
          </w:tcPr>
          <w:p>
            <w:pPr>
              <w:spacing w:before="60" w:after="60"/>
              <w:jc w:val="center"/>
            </w:pPr>
            <w:r>
              <w:rPr>
                <w:sz w:val="18"/>
              </w:rPr>
              <w:t>Unknown</w:t>
            </w:r>
          </w:p>
        </w:tc>
      </w:tr>
      <w:tr>
        <w:tc>
          <w:tcPr>
            <w:tcW w:type="dxa" w:w="1728"/>
            <w:vAlign w:val="center"/>
            <w:shd w:val="clear" w:color="auto" w:fill="EBF3FB"/>
          </w:tcPr>
          <w:p>
            <w:pPr>
              <w:spacing w:before="60" w:after="60"/>
              <w:jc w:val="center"/>
            </w:pPr>
            <w:r>
              <w:rPr>
                <w:sz w:val="18"/>
              </w:rPr>
              <w:t>SPATA6L</w:t>
            </w:r>
          </w:p>
        </w:tc>
        <w:tc>
          <w:tcPr>
            <w:tcW w:type="dxa" w:w="1440"/>
            <w:vAlign w:val="center"/>
            <w:shd w:val="clear" w:color="auto" w:fill="EBF3FB"/>
          </w:tcPr>
          <w:p>
            <w:pPr>
              <w:spacing w:before="60" w:after="60"/>
              <w:jc w:val="center"/>
            </w:pPr>
            <w:r>
              <w:rPr>
                <w:sz w:val="18"/>
              </w:rPr>
              <w:t>expression</w:t>
            </w:r>
          </w:p>
        </w:tc>
        <w:tc>
          <w:tcPr>
            <w:tcW w:type="dxa" w:w="1440"/>
            <w:vAlign w:val="center"/>
            <w:shd w:val="clear" w:color="auto" w:fill="EBF3FB"/>
          </w:tcPr>
          <w:p>
            <w:pPr>
              <w:spacing w:before="60" w:after="60"/>
              <w:jc w:val="center"/>
            </w:pPr>
            <w:r>
              <w:rPr>
                <w:sz w:val="18"/>
              </w:rPr>
              <w:t>0.0636</w:t>
            </w:r>
          </w:p>
        </w:tc>
        <w:tc>
          <w:tcPr>
            <w:tcW w:type="dxa" w:w="1152"/>
            <w:vAlign w:val="center"/>
            <w:shd w:val="clear" w:color="auto" w:fill="EBF3FB"/>
          </w:tcPr>
          <w:p>
            <w:pPr>
              <w:spacing w:before="60" w:after="60"/>
              <w:jc w:val="center"/>
            </w:pPr>
            <w:r>
              <w:rPr>
                <w:sz w:val="18"/>
              </w:rPr>
              <w:t>1</w:t>
            </w:r>
          </w:p>
        </w:tc>
        <w:tc>
          <w:tcPr>
            <w:tcW w:type="dxa" w:w="2160"/>
            <w:vAlign w:val="center"/>
            <w:shd w:val="clear" w:color="auto" w:fill="EBF3FB"/>
          </w:tcPr>
          <w:p>
            <w:pPr>
              <w:spacing w:before="60" w:after="60"/>
              <w:jc w:val="center"/>
            </w:pPr>
            <w:r>
              <w:rPr>
                <w:sz w:val="18"/>
              </w:rPr>
              <w:t>Unknown</w:t>
            </w:r>
          </w:p>
        </w:tc>
        <w:tc>
          <w:tcPr>
            <w:tcW w:type="dxa" w:w="2736"/>
            <w:vAlign w:val="center"/>
            <w:shd w:val="clear" w:color="auto" w:fill="EBF3FB"/>
          </w:tcPr>
          <w:p>
            <w:pPr>
              <w:spacing w:before="60" w:after="60"/>
              <w:jc w:val="center"/>
            </w:pPr>
            <w:r>
              <w:rPr>
                <w:sz w:val="18"/>
              </w:rPr>
              <w:t>Unknown</w:t>
            </w:r>
          </w:p>
        </w:tc>
      </w:tr>
      <w:tr>
        <w:tc>
          <w:tcPr>
            <w:tcW w:type="dxa" w:w="1728"/>
            <w:vAlign w:val="center"/>
          </w:tcPr>
          <w:p>
            <w:pPr>
              <w:spacing w:before="60" w:after="60"/>
              <w:jc w:val="center"/>
            </w:pPr>
            <w:r>
              <w:rPr>
                <w:sz w:val="18"/>
              </w:rPr>
              <w:t>KDM4C</w:t>
            </w:r>
          </w:p>
        </w:tc>
        <w:tc>
          <w:tcPr>
            <w:tcW w:type="dxa" w:w="1440"/>
            <w:vAlign w:val="center"/>
          </w:tcPr>
          <w:p>
            <w:pPr>
              <w:spacing w:before="60" w:after="60"/>
              <w:jc w:val="center"/>
            </w:pPr>
            <w:r>
              <w:rPr>
                <w:sz w:val="18"/>
              </w:rPr>
              <w:t>expression</w:t>
            </w:r>
          </w:p>
        </w:tc>
        <w:tc>
          <w:tcPr>
            <w:tcW w:type="dxa" w:w="1440"/>
            <w:vAlign w:val="center"/>
          </w:tcPr>
          <w:p>
            <w:pPr>
              <w:spacing w:before="60" w:after="60"/>
              <w:jc w:val="center"/>
            </w:pPr>
            <w:r>
              <w:rPr>
                <w:sz w:val="18"/>
              </w:rPr>
              <w:t>0.0634</w:t>
            </w:r>
          </w:p>
        </w:tc>
        <w:tc>
          <w:tcPr>
            <w:tcW w:type="dxa" w:w="1152"/>
            <w:vAlign w:val="center"/>
          </w:tcPr>
          <w:p>
            <w:pPr>
              <w:spacing w:before="60" w:after="60"/>
              <w:jc w:val="center"/>
            </w:pPr>
            <w:r>
              <w:rPr>
                <w:sz w:val="18"/>
              </w:rPr>
              <w:t>1</w:t>
            </w:r>
          </w:p>
        </w:tc>
        <w:tc>
          <w:tcPr>
            <w:tcW w:type="dxa" w:w="2160"/>
            <w:vAlign w:val="center"/>
          </w:tcPr>
          <w:p>
            <w:pPr>
              <w:spacing w:before="60" w:after="60"/>
              <w:jc w:val="center"/>
            </w:pPr>
            <w:r>
              <w:rPr>
                <w:sz w:val="18"/>
              </w:rPr>
              <w:t>Unknown</w:t>
            </w:r>
          </w:p>
        </w:tc>
        <w:tc>
          <w:tcPr>
            <w:tcW w:type="dxa" w:w="2736"/>
            <w:vAlign w:val="center"/>
          </w:tcPr>
          <w:p>
            <w:pPr>
              <w:spacing w:before="60" w:after="60"/>
              <w:jc w:val="center"/>
            </w:pPr>
            <w:r>
              <w:rPr>
                <w:sz w:val="18"/>
              </w:rPr>
              <w:t>Unknown</w:t>
            </w:r>
          </w:p>
        </w:tc>
      </w:tr>
      <w:tr>
        <w:tc>
          <w:tcPr>
            <w:tcW w:type="dxa" w:w="1728"/>
            <w:vAlign w:val="center"/>
            <w:shd w:val="clear" w:color="auto" w:fill="EBF3FB"/>
          </w:tcPr>
          <w:p>
            <w:pPr>
              <w:spacing w:before="60" w:after="60"/>
              <w:jc w:val="center"/>
            </w:pPr>
            <w:r>
              <w:rPr>
                <w:sz w:val="18"/>
              </w:rPr>
              <w:t>PTPRH</w:t>
            </w:r>
          </w:p>
        </w:tc>
        <w:tc>
          <w:tcPr>
            <w:tcW w:type="dxa" w:w="1440"/>
            <w:vAlign w:val="center"/>
            <w:shd w:val="clear" w:color="auto" w:fill="EBF3FB"/>
          </w:tcPr>
          <w:p>
            <w:pPr>
              <w:spacing w:before="60" w:after="60"/>
              <w:jc w:val="center"/>
            </w:pPr>
            <w:r>
              <w:rPr>
                <w:sz w:val="18"/>
              </w:rPr>
              <w:t>expression</w:t>
            </w:r>
          </w:p>
        </w:tc>
        <w:tc>
          <w:tcPr>
            <w:tcW w:type="dxa" w:w="1440"/>
            <w:vAlign w:val="center"/>
            <w:shd w:val="clear" w:color="auto" w:fill="EBF3FB"/>
          </w:tcPr>
          <w:p>
            <w:pPr>
              <w:spacing w:before="60" w:after="60"/>
              <w:jc w:val="center"/>
            </w:pPr>
            <w:r>
              <w:rPr>
                <w:sz w:val="18"/>
              </w:rPr>
              <w:t>0.0634</w:t>
            </w:r>
          </w:p>
        </w:tc>
        <w:tc>
          <w:tcPr>
            <w:tcW w:type="dxa" w:w="1152"/>
            <w:vAlign w:val="center"/>
            <w:shd w:val="clear" w:color="auto" w:fill="EBF3FB"/>
          </w:tcPr>
          <w:p>
            <w:pPr>
              <w:spacing w:before="60" w:after="60"/>
              <w:jc w:val="center"/>
            </w:pPr>
            <w:r>
              <w:rPr>
                <w:sz w:val="18"/>
              </w:rPr>
              <w:t>2</w:t>
            </w:r>
          </w:p>
        </w:tc>
        <w:tc>
          <w:tcPr>
            <w:tcW w:type="dxa" w:w="2160"/>
            <w:vAlign w:val="center"/>
            <w:shd w:val="clear" w:color="auto" w:fill="EBF3FB"/>
          </w:tcPr>
          <w:p>
            <w:pPr>
              <w:spacing w:before="60" w:after="60"/>
              <w:jc w:val="center"/>
            </w:pPr>
            <w:r>
              <w:rPr>
                <w:sz w:val="18"/>
              </w:rPr>
              <w:t>Unknown</w:t>
            </w:r>
          </w:p>
        </w:tc>
        <w:tc>
          <w:tcPr>
            <w:tcW w:type="dxa" w:w="2736"/>
            <w:vAlign w:val="center"/>
            <w:shd w:val="clear" w:color="auto" w:fill="EBF3FB"/>
          </w:tcPr>
          <w:p>
            <w:pPr>
              <w:spacing w:before="60" w:after="60"/>
              <w:jc w:val="center"/>
            </w:pPr>
            <w:r>
              <w:rPr>
                <w:sz w:val="18"/>
              </w:rPr>
              <w:t>Unknown</w:t>
            </w:r>
          </w:p>
        </w:tc>
      </w:tr>
      <w:tr>
        <w:tc>
          <w:tcPr>
            <w:tcW w:type="dxa" w:w="1728"/>
            <w:vAlign w:val="center"/>
          </w:tcPr>
          <w:p>
            <w:pPr>
              <w:spacing w:before="60" w:after="60"/>
              <w:jc w:val="center"/>
            </w:pPr>
            <w:r>
              <w:rPr>
                <w:sz w:val="18"/>
              </w:rPr>
              <w:t>GLIS3</w:t>
            </w:r>
          </w:p>
        </w:tc>
        <w:tc>
          <w:tcPr>
            <w:tcW w:type="dxa" w:w="1440"/>
            <w:vAlign w:val="center"/>
          </w:tcPr>
          <w:p>
            <w:pPr>
              <w:spacing w:before="60" w:after="60"/>
              <w:jc w:val="center"/>
            </w:pPr>
            <w:r>
              <w:rPr>
                <w:sz w:val="18"/>
              </w:rPr>
              <w:t>expression</w:t>
            </w:r>
          </w:p>
        </w:tc>
        <w:tc>
          <w:tcPr>
            <w:tcW w:type="dxa" w:w="1440"/>
            <w:vAlign w:val="center"/>
          </w:tcPr>
          <w:p>
            <w:pPr>
              <w:spacing w:before="60" w:after="60"/>
              <w:jc w:val="center"/>
            </w:pPr>
            <w:r>
              <w:rPr>
                <w:sz w:val="18"/>
              </w:rPr>
              <w:t>0.0623</w:t>
            </w:r>
          </w:p>
        </w:tc>
        <w:tc>
          <w:tcPr>
            <w:tcW w:type="dxa" w:w="1152"/>
            <w:vAlign w:val="center"/>
          </w:tcPr>
          <w:p>
            <w:pPr>
              <w:spacing w:before="60" w:after="60"/>
              <w:jc w:val="center"/>
            </w:pPr>
            <w:r>
              <w:rPr>
                <w:sz w:val="18"/>
              </w:rPr>
              <w:t>1</w:t>
            </w:r>
          </w:p>
        </w:tc>
        <w:tc>
          <w:tcPr>
            <w:tcW w:type="dxa" w:w="2160"/>
            <w:vAlign w:val="center"/>
          </w:tcPr>
          <w:p>
            <w:pPr>
              <w:spacing w:before="60" w:after="60"/>
              <w:jc w:val="center"/>
            </w:pPr>
            <w:r>
              <w:rPr>
                <w:sz w:val="18"/>
              </w:rPr>
              <w:t>Unknown</w:t>
            </w:r>
          </w:p>
        </w:tc>
        <w:tc>
          <w:tcPr>
            <w:tcW w:type="dxa" w:w="2736"/>
            <w:vAlign w:val="center"/>
          </w:tcPr>
          <w:p>
            <w:pPr>
              <w:spacing w:before="60" w:after="60"/>
              <w:jc w:val="center"/>
            </w:pPr>
            <w:r>
              <w:rPr>
                <w:sz w:val="18"/>
              </w:rPr>
              <w:t>Unknown</w:t>
            </w:r>
          </w:p>
        </w:tc>
      </w:tr>
      <w:tr>
        <w:tc>
          <w:tcPr>
            <w:tcW w:type="dxa" w:w="1728"/>
            <w:vAlign w:val="center"/>
            <w:shd w:val="clear" w:color="auto" w:fill="EBF3FB"/>
          </w:tcPr>
          <w:p>
            <w:pPr>
              <w:spacing w:before="60" w:after="60"/>
              <w:jc w:val="center"/>
            </w:pPr>
            <w:r>
              <w:rPr>
                <w:sz w:val="18"/>
              </w:rPr>
              <w:t>KRT6A</w:t>
            </w:r>
          </w:p>
        </w:tc>
        <w:tc>
          <w:tcPr>
            <w:tcW w:type="dxa" w:w="1440"/>
            <w:vAlign w:val="center"/>
            <w:shd w:val="clear" w:color="auto" w:fill="EBF3FB"/>
          </w:tcPr>
          <w:p>
            <w:pPr>
              <w:spacing w:before="60" w:after="60"/>
              <w:jc w:val="center"/>
            </w:pPr>
            <w:r>
              <w:rPr>
                <w:sz w:val="18"/>
              </w:rPr>
              <w:t>expression</w:t>
            </w:r>
          </w:p>
        </w:tc>
        <w:tc>
          <w:tcPr>
            <w:tcW w:type="dxa" w:w="1440"/>
            <w:vAlign w:val="center"/>
            <w:shd w:val="clear" w:color="auto" w:fill="EBF3FB"/>
          </w:tcPr>
          <w:p>
            <w:pPr>
              <w:spacing w:before="60" w:after="60"/>
              <w:jc w:val="center"/>
            </w:pPr>
            <w:r>
              <w:rPr>
                <w:sz w:val="18"/>
              </w:rPr>
              <w:t>0.0619</w:t>
            </w:r>
          </w:p>
        </w:tc>
        <w:tc>
          <w:tcPr>
            <w:tcW w:type="dxa" w:w="1152"/>
            <w:vAlign w:val="center"/>
            <w:shd w:val="clear" w:color="auto" w:fill="EBF3FB"/>
          </w:tcPr>
          <w:p>
            <w:pPr>
              <w:spacing w:before="60" w:after="60"/>
              <w:jc w:val="center"/>
            </w:pPr>
            <w:r>
              <w:rPr>
                <w:sz w:val="18"/>
              </w:rPr>
              <w:t>2</w:t>
            </w:r>
          </w:p>
        </w:tc>
        <w:tc>
          <w:tcPr>
            <w:tcW w:type="dxa" w:w="2160"/>
            <w:vAlign w:val="center"/>
            <w:shd w:val="clear" w:color="auto" w:fill="EBF3FB"/>
          </w:tcPr>
          <w:p>
            <w:pPr>
              <w:spacing w:before="60" w:after="60"/>
              <w:jc w:val="center"/>
            </w:pPr>
            <w:r>
              <w:rPr>
                <w:sz w:val="18"/>
              </w:rPr>
              <w:t>Unknown</w:t>
            </w:r>
          </w:p>
        </w:tc>
        <w:tc>
          <w:tcPr>
            <w:tcW w:type="dxa" w:w="2736"/>
            <w:vAlign w:val="center"/>
            <w:shd w:val="clear" w:color="auto" w:fill="EBF3FB"/>
          </w:tcPr>
          <w:p>
            <w:pPr>
              <w:spacing w:before="60" w:after="60"/>
              <w:jc w:val="center"/>
            </w:pPr>
            <w:r>
              <w:rPr>
                <w:sz w:val="18"/>
              </w:rPr>
              <w:t>Epithelial differentiation</w:t>
            </w:r>
          </w:p>
        </w:tc>
      </w:tr>
    </w:tbl>
    <w:p>
      <w:pPr>
        <w:spacing w:after="240"/>
      </w:pPr>
      <w:r>
        <w:rPr>
          <w:b/>
          <w:i w:val="0"/>
          <w:sz w:val="18"/>
          <w:u w:val="none"/>
        </w:rPr>
        <w:t xml:space="preserve">Table S5. </w:t>
      </w:r>
      <w:r>
        <w:rPr>
          <w:b w:val="0"/>
          <w:i/>
          <w:sz w:val="18"/>
          <w:u w:val="none"/>
        </w:rPr>
        <w:t>Top 30 gene-level markers by aggregate SHAP contribution across all 5 top factors.</w:t>
      </w:r>
    </w:p>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440"/>
            <w:vAlign w:val="center"/>
            <w:shd w:val="clear" w:color="auto" w:fill="1F3864"/>
          </w:tcPr>
          <w:p>
            <w:pPr>
              <w:spacing w:before="60" w:after="60"/>
              <w:jc w:val="center"/>
            </w:pPr>
            <w:r>
              <w:rPr>
                <w:b/>
                <w:color w:val="FFFFFF"/>
                <w:sz w:val="19"/>
              </w:rPr>
              <w:t>Gene</w:t>
            </w:r>
          </w:p>
        </w:tc>
        <w:tc>
          <w:tcPr>
            <w:tcW w:type="dxa" w:w="1152"/>
            <w:vAlign w:val="center"/>
            <w:shd w:val="clear" w:color="auto" w:fill="1F3864"/>
          </w:tcPr>
          <w:p>
            <w:pPr>
              <w:spacing w:before="60" w:after="60"/>
              <w:jc w:val="center"/>
            </w:pPr>
            <w:r>
              <w:rPr>
                <w:b/>
                <w:color w:val="FFFFFF"/>
                <w:sz w:val="19"/>
              </w:rPr>
              <w:t>Modality</w:t>
            </w:r>
          </w:p>
        </w:tc>
        <w:tc>
          <w:tcPr>
            <w:tcW w:type="dxa" w:w="1296"/>
            <w:vAlign w:val="center"/>
            <w:shd w:val="clear" w:color="auto" w:fill="1F3864"/>
          </w:tcPr>
          <w:p>
            <w:pPr>
              <w:spacing w:before="60" w:after="60"/>
              <w:jc w:val="center"/>
            </w:pPr>
            <w:r>
              <w:rPr>
                <w:b/>
                <w:color w:val="FFFFFF"/>
                <w:sz w:val="19"/>
              </w:rPr>
              <w:t>SHAP Contrib</w:t>
            </w:r>
          </w:p>
        </w:tc>
        <w:tc>
          <w:tcPr>
            <w:tcW w:type="dxa" w:w="1152"/>
            <w:vAlign w:val="center"/>
            <w:shd w:val="clear" w:color="auto" w:fill="1F3864"/>
          </w:tcPr>
          <w:p>
            <w:pPr>
              <w:spacing w:before="60" w:after="60"/>
              <w:jc w:val="center"/>
            </w:pPr>
            <w:r>
              <w:rPr>
                <w:b/>
                <w:color w:val="FFFFFF"/>
                <w:sz w:val="19"/>
              </w:rPr>
              <w:t>N Factors</w:t>
            </w:r>
          </w:p>
        </w:tc>
        <w:tc>
          <w:tcPr>
            <w:tcW w:type="dxa" w:w="1584"/>
            <w:vAlign w:val="center"/>
            <w:shd w:val="clear" w:color="auto" w:fill="1F3864"/>
          </w:tcPr>
          <w:p>
            <w:pPr>
              <w:spacing w:before="60" w:after="60"/>
              <w:jc w:val="center"/>
            </w:pPr>
            <w:r>
              <w:rPr>
                <w:b/>
                <w:color w:val="FFFFFF"/>
                <w:sz w:val="19"/>
              </w:rPr>
              <w:t>Role</w:t>
            </w:r>
          </w:p>
        </w:tc>
        <w:tc>
          <w:tcPr>
            <w:tcW w:type="dxa" w:w="3888"/>
            <w:vAlign w:val="center"/>
            <w:shd w:val="clear" w:color="auto" w:fill="1F3864"/>
          </w:tcPr>
          <w:p>
            <w:pPr>
              <w:spacing w:before="60" w:after="60"/>
              <w:jc w:val="center"/>
            </w:pPr>
            <w:r>
              <w:rPr>
                <w:b/>
                <w:color w:val="FFFFFF"/>
                <w:sz w:val="19"/>
              </w:rPr>
              <w:t>Therapeutic Mechanism</w:t>
            </w:r>
          </w:p>
        </w:tc>
      </w:tr>
      <w:tr>
        <w:tc>
          <w:tcPr>
            <w:tcW w:type="dxa" w:w="1440"/>
            <w:vAlign w:val="center"/>
          </w:tcPr>
          <w:p>
            <w:pPr>
              <w:spacing w:before="60" w:after="60"/>
              <w:jc w:val="center"/>
            </w:pPr>
            <w:r>
              <w:rPr>
                <w:sz w:val="18"/>
              </w:rPr>
              <w:t>TP53</w:t>
            </w:r>
          </w:p>
        </w:tc>
        <w:tc>
          <w:tcPr>
            <w:tcW w:type="dxa" w:w="1152"/>
            <w:vAlign w:val="center"/>
          </w:tcPr>
          <w:p>
            <w:pPr>
              <w:spacing w:before="60" w:after="60"/>
              <w:jc w:val="center"/>
            </w:pPr>
            <w:r>
              <w:rPr>
                <w:sz w:val="18"/>
              </w:rPr>
              <w:t>expression</w:t>
            </w:r>
          </w:p>
        </w:tc>
        <w:tc>
          <w:tcPr>
            <w:tcW w:type="dxa" w:w="1296"/>
            <w:vAlign w:val="center"/>
          </w:tcPr>
          <w:p>
            <w:pPr>
              <w:spacing w:before="60" w:after="60"/>
              <w:jc w:val="center"/>
            </w:pPr>
            <w:r>
              <w:rPr>
                <w:sz w:val="18"/>
              </w:rPr>
              <w:t>0.1196</w:t>
            </w:r>
          </w:p>
        </w:tc>
        <w:tc>
          <w:tcPr>
            <w:tcW w:type="dxa" w:w="1152"/>
            <w:vAlign w:val="center"/>
          </w:tcPr>
          <w:p>
            <w:pPr>
              <w:spacing w:before="60" w:after="60"/>
              <w:jc w:val="center"/>
            </w:pPr>
            <w:r>
              <w:rPr>
                <w:sz w:val="18"/>
              </w:rPr>
              <w:t>5</w:t>
            </w:r>
          </w:p>
        </w:tc>
        <w:tc>
          <w:tcPr>
            <w:tcW w:type="dxa" w:w="1584"/>
            <w:vAlign w:val="center"/>
          </w:tcPr>
          <w:p>
            <w:pPr>
              <w:spacing w:before="60" w:after="60"/>
              <w:jc w:val="center"/>
            </w:pPr>
            <w:r>
              <w:rPr>
                <w:sz w:val="18"/>
              </w:rPr>
              <w:t>TSG/gain-of-function</w:t>
            </w:r>
          </w:p>
        </w:tc>
        <w:tc>
          <w:tcPr>
            <w:tcW w:type="dxa" w:w="3888"/>
            <w:vAlign w:val="center"/>
          </w:tcPr>
          <w:p>
            <w:pPr>
              <w:spacing w:before="60" w:after="60"/>
              <w:jc w:val="center"/>
            </w:pPr>
            <w:r>
              <w:rPr>
                <w:sz w:val="18"/>
              </w:rPr>
              <w:t>Gene therapy / p53 reactivation (APR-246/eprenetapopt); MDM2 inhibitors.</w:t>
            </w:r>
          </w:p>
        </w:tc>
      </w:tr>
      <w:tr>
        <w:tc>
          <w:tcPr>
            <w:tcW w:type="dxa" w:w="1440"/>
            <w:vAlign w:val="center"/>
            <w:shd w:val="clear" w:color="auto" w:fill="EBF3FB"/>
          </w:tcPr>
          <w:p>
            <w:pPr>
              <w:spacing w:before="60" w:after="60"/>
              <w:jc w:val="center"/>
            </w:pPr>
            <w:r>
              <w:rPr>
                <w:sz w:val="18"/>
              </w:rPr>
              <w:t>TTN</w:t>
            </w:r>
          </w:p>
        </w:tc>
        <w:tc>
          <w:tcPr>
            <w:tcW w:type="dxa" w:w="1152"/>
            <w:vAlign w:val="center"/>
            <w:shd w:val="clear" w:color="auto" w:fill="EBF3FB"/>
          </w:tcPr>
          <w:p>
            <w:pPr>
              <w:spacing w:before="60" w:after="60"/>
              <w:jc w:val="center"/>
            </w:pPr>
            <w:r>
              <w:rPr>
                <w:sz w:val="18"/>
              </w:rPr>
              <w:t>expression</w:t>
            </w:r>
          </w:p>
        </w:tc>
        <w:tc>
          <w:tcPr>
            <w:tcW w:type="dxa" w:w="1296"/>
            <w:vAlign w:val="center"/>
            <w:shd w:val="clear" w:color="auto" w:fill="EBF3FB"/>
          </w:tcPr>
          <w:p>
            <w:pPr>
              <w:spacing w:before="60" w:after="60"/>
              <w:jc w:val="center"/>
            </w:pPr>
            <w:r>
              <w:rPr>
                <w:sz w:val="18"/>
              </w:rPr>
              <w:t>0.0716</w:t>
            </w:r>
          </w:p>
        </w:tc>
        <w:tc>
          <w:tcPr>
            <w:tcW w:type="dxa" w:w="1152"/>
            <w:vAlign w:val="center"/>
            <w:shd w:val="clear" w:color="auto" w:fill="EBF3FB"/>
          </w:tcPr>
          <w:p>
            <w:pPr>
              <w:spacing w:before="60" w:after="60"/>
              <w:jc w:val="center"/>
            </w:pPr>
            <w:r>
              <w:rPr>
                <w:sz w:val="18"/>
              </w:rPr>
              <w:t>4</w:t>
            </w:r>
          </w:p>
        </w:tc>
        <w:tc>
          <w:tcPr>
            <w:tcW w:type="dxa" w:w="1584"/>
            <w:vAlign w:val="center"/>
            <w:shd w:val="clear" w:color="auto" w:fill="EBF3FB"/>
          </w:tcPr>
          <w:p>
            <w:pPr>
              <w:spacing w:before="60" w:after="60"/>
              <w:jc w:val="center"/>
            </w:pPr>
            <w:r>
              <w:rPr>
                <w:sz w:val="18"/>
              </w:rPr>
              <w:t>Unknown</w:t>
            </w:r>
          </w:p>
        </w:tc>
        <w:tc>
          <w:tcPr>
            <w:tcW w:type="dxa" w:w="3888"/>
            <w:vAlign w:val="center"/>
            <w:shd w:val="clear" w:color="auto" w:fill="EBF3FB"/>
          </w:tcPr>
          <w:p>
            <w:pPr>
              <w:spacing w:before="60" w:after="60"/>
              <w:jc w:val="center"/>
            </w:pPr>
            <w:r>
              <w:rPr>
                <w:sz w:val="18"/>
              </w:rPr>
              <w:t>Passenger mutator (large gene); hypermutation biomarker; not a direct target.</w:t>
            </w:r>
          </w:p>
        </w:tc>
      </w:tr>
      <w:tr>
        <w:tc>
          <w:tcPr>
            <w:tcW w:type="dxa" w:w="1440"/>
            <w:vAlign w:val="center"/>
          </w:tcPr>
          <w:p>
            <w:pPr>
              <w:spacing w:before="60" w:after="60"/>
              <w:jc w:val="center"/>
            </w:pPr>
            <w:r>
              <w:rPr>
                <w:sz w:val="18"/>
              </w:rPr>
              <w:t>RLN1</w:t>
            </w:r>
          </w:p>
        </w:tc>
        <w:tc>
          <w:tcPr>
            <w:tcW w:type="dxa" w:w="1152"/>
            <w:vAlign w:val="center"/>
          </w:tcPr>
          <w:p>
            <w:pPr>
              <w:spacing w:before="60" w:after="60"/>
              <w:jc w:val="center"/>
            </w:pPr>
            <w:r>
              <w:rPr>
                <w:sz w:val="18"/>
              </w:rPr>
              <w:t>expression</w:t>
            </w:r>
          </w:p>
        </w:tc>
        <w:tc>
          <w:tcPr>
            <w:tcW w:type="dxa" w:w="1296"/>
            <w:vAlign w:val="center"/>
          </w:tcPr>
          <w:p>
            <w:pPr>
              <w:spacing w:before="60" w:after="60"/>
              <w:jc w:val="center"/>
            </w:pPr>
            <w:r>
              <w:rPr>
                <w:sz w:val="18"/>
              </w:rPr>
              <w:t>0.0643</w:t>
            </w:r>
          </w:p>
        </w:tc>
        <w:tc>
          <w:tcPr>
            <w:tcW w:type="dxa" w:w="1152"/>
            <w:vAlign w:val="center"/>
          </w:tcPr>
          <w:p>
            <w:pPr>
              <w:spacing w:before="60" w:after="60"/>
              <w:jc w:val="center"/>
            </w:pPr>
            <w:r>
              <w:rPr>
                <w:sz w:val="18"/>
              </w:rPr>
              <w:t>1</w:t>
            </w:r>
          </w:p>
        </w:tc>
        <w:tc>
          <w:tcPr>
            <w:tcW w:type="dxa" w:w="1584"/>
            <w:vAlign w:val="center"/>
          </w:tcPr>
          <w:p>
            <w:pPr>
              <w:spacing w:before="60" w:after="60"/>
              <w:jc w:val="center"/>
            </w:pPr>
            <w:r>
              <w:rPr>
                <w:sz w:val="18"/>
              </w:rPr>
              <w:t>Unknown</w:t>
            </w:r>
          </w:p>
        </w:tc>
        <w:tc>
          <w:tcPr>
            <w:tcW w:type="dxa" w:w="3888"/>
            <w:vAlign w:val="center"/>
          </w:tcPr>
          <w:p>
            <w:pPr>
              <w:spacing w:before="60" w:after="60"/>
              <w:jc w:val="center"/>
            </w:pPr>
            <w:r>
              <w:rPr>
                <w:sz w:val="18"/>
              </w:rPr>
              <w:t>Under investigation</w:t>
            </w:r>
          </w:p>
        </w:tc>
      </w:tr>
      <w:tr>
        <w:tc>
          <w:tcPr>
            <w:tcW w:type="dxa" w:w="1440"/>
            <w:vAlign w:val="center"/>
            <w:shd w:val="clear" w:color="auto" w:fill="EBF3FB"/>
          </w:tcPr>
          <w:p>
            <w:pPr>
              <w:spacing w:before="60" w:after="60"/>
              <w:jc w:val="center"/>
            </w:pPr>
            <w:r>
              <w:rPr>
                <w:sz w:val="18"/>
              </w:rPr>
              <w:t>RLN2</w:t>
            </w:r>
          </w:p>
        </w:tc>
        <w:tc>
          <w:tcPr>
            <w:tcW w:type="dxa" w:w="1152"/>
            <w:vAlign w:val="center"/>
            <w:shd w:val="clear" w:color="auto" w:fill="EBF3FB"/>
          </w:tcPr>
          <w:p>
            <w:pPr>
              <w:spacing w:before="60" w:after="60"/>
              <w:jc w:val="center"/>
            </w:pPr>
            <w:r>
              <w:rPr>
                <w:sz w:val="18"/>
              </w:rPr>
              <w:t>expression</w:t>
            </w:r>
          </w:p>
        </w:tc>
        <w:tc>
          <w:tcPr>
            <w:tcW w:type="dxa" w:w="1296"/>
            <w:vAlign w:val="center"/>
            <w:shd w:val="clear" w:color="auto" w:fill="EBF3FB"/>
          </w:tcPr>
          <w:p>
            <w:pPr>
              <w:spacing w:before="60" w:after="60"/>
              <w:jc w:val="center"/>
            </w:pPr>
            <w:r>
              <w:rPr>
                <w:sz w:val="18"/>
              </w:rPr>
              <w:t>0.0643</w:t>
            </w:r>
          </w:p>
        </w:tc>
        <w:tc>
          <w:tcPr>
            <w:tcW w:type="dxa" w:w="1152"/>
            <w:vAlign w:val="center"/>
            <w:shd w:val="clear" w:color="auto" w:fill="EBF3FB"/>
          </w:tcPr>
          <w:p>
            <w:pPr>
              <w:spacing w:before="60" w:after="60"/>
              <w:jc w:val="center"/>
            </w:pPr>
            <w:r>
              <w:rPr>
                <w:sz w:val="18"/>
              </w:rPr>
              <w:t>1</w:t>
            </w:r>
          </w:p>
        </w:tc>
        <w:tc>
          <w:tcPr>
            <w:tcW w:type="dxa" w:w="1584"/>
            <w:vAlign w:val="center"/>
            <w:shd w:val="clear" w:color="auto" w:fill="EBF3FB"/>
          </w:tcPr>
          <w:p>
            <w:pPr>
              <w:spacing w:before="60" w:after="60"/>
              <w:jc w:val="center"/>
            </w:pPr>
            <w:r>
              <w:rPr>
                <w:sz w:val="18"/>
              </w:rPr>
              <w:t>Unknown</w:t>
            </w:r>
          </w:p>
        </w:tc>
        <w:tc>
          <w:tcPr>
            <w:tcW w:type="dxa" w:w="3888"/>
            <w:vAlign w:val="center"/>
            <w:shd w:val="clear" w:color="auto" w:fill="EBF3FB"/>
          </w:tcPr>
          <w:p>
            <w:pPr>
              <w:spacing w:before="60" w:after="60"/>
              <w:jc w:val="center"/>
            </w:pPr>
            <w:r>
              <w:rPr>
                <w:sz w:val="18"/>
              </w:rPr>
              <w:t>Under investigation</w:t>
            </w:r>
          </w:p>
        </w:tc>
      </w:tr>
      <w:tr>
        <w:tc>
          <w:tcPr>
            <w:tcW w:type="dxa" w:w="1440"/>
            <w:vAlign w:val="center"/>
          </w:tcPr>
          <w:p>
            <w:pPr>
              <w:spacing w:before="60" w:after="60"/>
              <w:jc w:val="center"/>
            </w:pPr>
            <w:r>
              <w:rPr>
                <w:sz w:val="18"/>
              </w:rPr>
              <w:t>INSL4</w:t>
            </w:r>
          </w:p>
        </w:tc>
        <w:tc>
          <w:tcPr>
            <w:tcW w:type="dxa" w:w="1152"/>
            <w:vAlign w:val="center"/>
          </w:tcPr>
          <w:p>
            <w:pPr>
              <w:spacing w:before="60" w:after="60"/>
              <w:jc w:val="center"/>
            </w:pPr>
            <w:r>
              <w:rPr>
                <w:sz w:val="18"/>
              </w:rPr>
              <w:t>expression</w:t>
            </w:r>
          </w:p>
        </w:tc>
        <w:tc>
          <w:tcPr>
            <w:tcW w:type="dxa" w:w="1296"/>
            <w:vAlign w:val="center"/>
          </w:tcPr>
          <w:p>
            <w:pPr>
              <w:spacing w:before="60" w:after="60"/>
              <w:jc w:val="center"/>
            </w:pPr>
            <w:r>
              <w:rPr>
                <w:sz w:val="18"/>
              </w:rPr>
              <w:t>0.0642</w:t>
            </w:r>
          </w:p>
        </w:tc>
        <w:tc>
          <w:tcPr>
            <w:tcW w:type="dxa" w:w="1152"/>
            <w:vAlign w:val="center"/>
          </w:tcPr>
          <w:p>
            <w:pPr>
              <w:spacing w:before="60" w:after="60"/>
              <w:jc w:val="center"/>
            </w:pPr>
            <w:r>
              <w:rPr>
                <w:sz w:val="18"/>
              </w:rPr>
              <w:t>1</w:t>
            </w:r>
          </w:p>
        </w:tc>
        <w:tc>
          <w:tcPr>
            <w:tcW w:type="dxa" w:w="1584"/>
            <w:vAlign w:val="center"/>
          </w:tcPr>
          <w:p>
            <w:pPr>
              <w:spacing w:before="60" w:after="60"/>
              <w:jc w:val="center"/>
            </w:pPr>
            <w:r>
              <w:rPr>
                <w:sz w:val="18"/>
              </w:rPr>
              <w:t>Unknown</w:t>
            </w:r>
          </w:p>
        </w:tc>
        <w:tc>
          <w:tcPr>
            <w:tcW w:type="dxa" w:w="3888"/>
            <w:vAlign w:val="center"/>
          </w:tcPr>
          <w:p>
            <w:pPr>
              <w:spacing w:before="60" w:after="60"/>
              <w:jc w:val="center"/>
            </w:pPr>
            <w:r>
              <w:rPr>
                <w:sz w:val="18"/>
              </w:rPr>
              <w:t>Under investigation</w:t>
            </w:r>
          </w:p>
        </w:tc>
      </w:tr>
      <w:tr>
        <w:tc>
          <w:tcPr>
            <w:tcW w:type="dxa" w:w="1440"/>
            <w:vAlign w:val="center"/>
            <w:shd w:val="clear" w:color="auto" w:fill="EBF3FB"/>
          </w:tcPr>
          <w:p>
            <w:pPr>
              <w:spacing w:before="60" w:after="60"/>
              <w:jc w:val="center"/>
            </w:pPr>
            <w:r>
              <w:rPr>
                <w:sz w:val="18"/>
              </w:rPr>
              <w:t>PDCD1LG2</w:t>
            </w:r>
          </w:p>
        </w:tc>
        <w:tc>
          <w:tcPr>
            <w:tcW w:type="dxa" w:w="1152"/>
            <w:vAlign w:val="center"/>
            <w:shd w:val="clear" w:color="auto" w:fill="EBF3FB"/>
          </w:tcPr>
          <w:p>
            <w:pPr>
              <w:spacing w:before="60" w:after="60"/>
              <w:jc w:val="center"/>
            </w:pPr>
            <w:r>
              <w:rPr>
                <w:sz w:val="18"/>
              </w:rPr>
              <w:t>expression</w:t>
            </w:r>
          </w:p>
        </w:tc>
        <w:tc>
          <w:tcPr>
            <w:tcW w:type="dxa" w:w="1296"/>
            <w:vAlign w:val="center"/>
            <w:shd w:val="clear" w:color="auto" w:fill="EBF3FB"/>
          </w:tcPr>
          <w:p>
            <w:pPr>
              <w:spacing w:before="60" w:after="60"/>
              <w:jc w:val="center"/>
            </w:pPr>
            <w:r>
              <w:rPr>
                <w:sz w:val="18"/>
              </w:rPr>
              <w:t>0.0641</w:t>
            </w:r>
          </w:p>
        </w:tc>
        <w:tc>
          <w:tcPr>
            <w:tcW w:type="dxa" w:w="1152"/>
            <w:vAlign w:val="center"/>
            <w:shd w:val="clear" w:color="auto" w:fill="EBF3FB"/>
          </w:tcPr>
          <w:p>
            <w:pPr>
              <w:spacing w:before="60" w:after="60"/>
              <w:jc w:val="center"/>
            </w:pPr>
            <w:r>
              <w:rPr>
                <w:sz w:val="18"/>
              </w:rPr>
              <w:t>1</w:t>
            </w:r>
          </w:p>
        </w:tc>
        <w:tc>
          <w:tcPr>
            <w:tcW w:type="dxa" w:w="1584"/>
            <w:vAlign w:val="center"/>
            <w:shd w:val="clear" w:color="auto" w:fill="EBF3FB"/>
          </w:tcPr>
          <w:p>
            <w:pPr>
              <w:spacing w:before="60" w:after="60"/>
              <w:jc w:val="center"/>
            </w:pPr>
            <w:r>
              <w:rPr>
                <w:sz w:val="18"/>
              </w:rPr>
              <w:t>Unknown</w:t>
            </w:r>
          </w:p>
        </w:tc>
        <w:tc>
          <w:tcPr>
            <w:tcW w:type="dxa" w:w="3888"/>
            <w:vAlign w:val="center"/>
            <w:shd w:val="clear" w:color="auto" w:fill="EBF3FB"/>
          </w:tcPr>
          <w:p>
            <w:pPr>
              <w:spacing w:before="60" w:after="60"/>
              <w:jc w:val="center"/>
            </w:pPr>
            <w:r>
              <w:rPr>
                <w:sz w:val="18"/>
              </w:rPr>
              <w:t>Under investigation</w:t>
            </w:r>
          </w:p>
        </w:tc>
      </w:tr>
      <w:tr>
        <w:tc>
          <w:tcPr>
            <w:tcW w:type="dxa" w:w="1440"/>
            <w:vAlign w:val="center"/>
          </w:tcPr>
          <w:p>
            <w:pPr>
              <w:spacing w:before="60" w:after="60"/>
              <w:jc w:val="center"/>
            </w:pPr>
            <w:r>
              <w:rPr>
                <w:sz w:val="18"/>
              </w:rPr>
              <w:t>CD274</w:t>
            </w:r>
          </w:p>
        </w:tc>
        <w:tc>
          <w:tcPr>
            <w:tcW w:type="dxa" w:w="1152"/>
            <w:vAlign w:val="center"/>
          </w:tcPr>
          <w:p>
            <w:pPr>
              <w:spacing w:before="60" w:after="60"/>
              <w:jc w:val="center"/>
            </w:pPr>
            <w:r>
              <w:rPr>
                <w:sz w:val="18"/>
              </w:rPr>
              <w:t>expression</w:t>
            </w:r>
          </w:p>
        </w:tc>
        <w:tc>
          <w:tcPr>
            <w:tcW w:type="dxa" w:w="1296"/>
            <w:vAlign w:val="center"/>
          </w:tcPr>
          <w:p>
            <w:pPr>
              <w:spacing w:before="60" w:after="60"/>
              <w:jc w:val="center"/>
            </w:pPr>
            <w:r>
              <w:rPr>
                <w:sz w:val="18"/>
              </w:rPr>
              <w:t>0.0641</w:t>
            </w:r>
          </w:p>
        </w:tc>
        <w:tc>
          <w:tcPr>
            <w:tcW w:type="dxa" w:w="1152"/>
            <w:vAlign w:val="center"/>
          </w:tcPr>
          <w:p>
            <w:pPr>
              <w:spacing w:before="60" w:after="60"/>
              <w:jc w:val="center"/>
            </w:pPr>
            <w:r>
              <w:rPr>
                <w:sz w:val="18"/>
              </w:rPr>
              <w:t>1</w:t>
            </w:r>
          </w:p>
        </w:tc>
        <w:tc>
          <w:tcPr>
            <w:tcW w:type="dxa" w:w="1584"/>
            <w:vAlign w:val="center"/>
          </w:tcPr>
          <w:p>
            <w:pPr>
              <w:spacing w:before="60" w:after="60"/>
              <w:jc w:val="center"/>
            </w:pPr>
            <w:r>
              <w:rPr>
                <w:sz w:val="18"/>
              </w:rPr>
              <w:t>Unknown</w:t>
            </w:r>
          </w:p>
        </w:tc>
        <w:tc>
          <w:tcPr>
            <w:tcW w:type="dxa" w:w="3888"/>
            <w:vAlign w:val="center"/>
          </w:tcPr>
          <w:p>
            <w:pPr>
              <w:spacing w:before="60" w:after="60"/>
              <w:jc w:val="center"/>
            </w:pPr>
            <w:r>
              <w:rPr>
                <w:sz w:val="18"/>
              </w:rPr>
              <w:t>Under investigation</w:t>
            </w:r>
          </w:p>
        </w:tc>
      </w:tr>
      <w:tr>
        <w:tc>
          <w:tcPr>
            <w:tcW w:type="dxa" w:w="1440"/>
            <w:vAlign w:val="center"/>
            <w:shd w:val="clear" w:color="auto" w:fill="EBF3FB"/>
          </w:tcPr>
          <w:p>
            <w:pPr>
              <w:spacing w:before="60" w:after="60"/>
              <w:jc w:val="center"/>
            </w:pPr>
            <w:r>
              <w:rPr>
                <w:sz w:val="18"/>
              </w:rPr>
              <w:t>RCL1</w:t>
            </w:r>
          </w:p>
        </w:tc>
        <w:tc>
          <w:tcPr>
            <w:tcW w:type="dxa" w:w="1152"/>
            <w:vAlign w:val="center"/>
            <w:shd w:val="clear" w:color="auto" w:fill="EBF3FB"/>
          </w:tcPr>
          <w:p>
            <w:pPr>
              <w:spacing w:before="60" w:after="60"/>
              <w:jc w:val="center"/>
            </w:pPr>
            <w:r>
              <w:rPr>
                <w:sz w:val="18"/>
              </w:rPr>
              <w:t>expression</w:t>
            </w:r>
          </w:p>
        </w:tc>
        <w:tc>
          <w:tcPr>
            <w:tcW w:type="dxa" w:w="1296"/>
            <w:vAlign w:val="center"/>
            <w:shd w:val="clear" w:color="auto" w:fill="EBF3FB"/>
          </w:tcPr>
          <w:p>
            <w:pPr>
              <w:spacing w:before="60" w:after="60"/>
              <w:jc w:val="center"/>
            </w:pPr>
            <w:r>
              <w:rPr>
                <w:sz w:val="18"/>
              </w:rPr>
              <w:t>0.064</w:t>
            </w:r>
          </w:p>
        </w:tc>
        <w:tc>
          <w:tcPr>
            <w:tcW w:type="dxa" w:w="1152"/>
            <w:vAlign w:val="center"/>
            <w:shd w:val="clear" w:color="auto" w:fill="EBF3FB"/>
          </w:tcPr>
          <w:p>
            <w:pPr>
              <w:spacing w:before="60" w:after="60"/>
              <w:jc w:val="center"/>
            </w:pPr>
            <w:r>
              <w:rPr>
                <w:sz w:val="18"/>
              </w:rPr>
              <w:t>1</w:t>
            </w:r>
          </w:p>
        </w:tc>
        <w:tc>
          <w:tcPr>
            <w:tcW w:type="dxa" w:w="1584"/>
            <w:vAlign w:val="center"/>
            <w:shd w:val="clear" w:color="auto" w:fill="EBF3FB"/>
          </w:tcPr>
          <w:p>
            <w:pPr>
              <w:spacing w:before="60" w:after="60"/>
              <w:jc w:val="center"/>
            </w:pPr>
            <w:r>
              <w:rPr>
                <w:sz w:val="18"/>
              </w:rPr>
              <w:t>Unknown</w:t>
            </w:r>
          </w:p>
        </w:tc>
        <w:tc>
          <w:tcPr>
            <w:tcW w:type="dxa" w:w="3888"/>
            <w:vAlign w:val="center"/>
            <w:shd w:val="clear" w:color="auto" w:fill="EBF3FB"/>
          </w:tcPr>
          <w:p>
            <w:pPr>
              <w:spacing w:before="60" w:after="60"/>
              <w:jc w:val="center"/>
            </w:pPr>
            <w:r>
              <w:rPr>
                <w:sz w:val="18"/>
              </w:rPr>
              <w:t>Under investigation</w:t>
            </w:r>
          </w:p>
        </w:tc>
      </w:tr>
      <w:tr>
        <w:tc>
          <w:tcPr>
            <w:tcW w:type="dxa" w:w="1440"/>
            <w:vAlign w:val="center"/>
          </w:tcPr>
          <w:p>
            <w:pPr>
              <w:spacing w:before="60" w:after="60"/>
              <w:jc w:val="center"/>
            </w:pPr>
            <w:r>
              <w:rPr>
                <w:sz w:val="18"/>
              </w:rPr>
              <w:t>PLGRKT</w:t>
            </w:r>
          </w:p>
        </w:tc>
        <w:tc>
          <w:tcPr>
            <w:tcW w:type="dxa" w:w="1152"/>
            <w:vAlign w:val="center"/>
          </w:tcPr>
          <w:p>
            <w:pPr>
              <w:spacing w:before="60" w:after="60"/>
              <w:jc w:val="center"/>
            </w:pPr>
            <w:r>
              <w:rPr>
                <w:sz w:val="18"/>
              </w:rPr>
              <w:t>expression</w:t>
            </w:r>
          </w:p>
        </w:tc>
        <w:tc>
          <w:tcPr>
            <w:tcW w:type="dxa" w:w="1296"/>
            <w:vAlign w:val="center"/>
          </w:tcPr>
          <w:p>
            <w:pPr>
              <w:spacing w:before="60" w:after="60"/>
              <w:jc w:val="center"/>
            </w:pPr>
            <w:r>
              <w:rPr>
                <w:sz w:val="18"/>
              </w:rPr>
              <w:t>0.064</w:t>
            </w:r>
          </w:p>
        </w:tc>
        <w:tc>
          <w:tcPr>
            <w:tcW w:type="dxa" w:w="1152"/>
            <w:vAlign w:val="center"/>
          </w:tcPr>
          <w:p>
            <w:pPr>
              <w:spacing w:before="60" w:after="60"/>
              <w:jc w:val="center"/>
            </w:pPr>
            <w:r>
              <w:rPr>
                <w:sz w:val="18"/>
              </w:rPr>
              <w:t>1</w:t>
            </w:r>
          </w:p>
        </w:tc>
        <w:tc>
          <w:tcPr>
            <w:tcW w:type="dxa" w:w="1584"/>
            <w:vAlign w:val="center"/>
          </w:tcPr>
          <w:p>
            <w:pPr>
              <w:spacing w:before="60" w:after="60"/>
              <w:jc w:val="center"/>
            </w:pPr>
            <w:r>
              <w:rPr>
                <w:sz w:val="18"/>
              </w:rPr>
              <w:t>Unknown</w:t>
            </w:r>
          </w:p>
        </w:tc>
        <w:tc>
          <w:tcPr>
            <w:tcW w:type="dxa" w:w="3888"/>
            <w:vAlign w:val="center"/>
          </w:tcPr>
          <w:p>
            <w:pPr>
              <w:spacing w:before="60" w:after="60"/>
              <w:jc w:val="center"/>
            </w:pPr>
            <w:r>
              <w:rPr>
                <w:sz w:val="18"/>
              </w:rPr>
              <w:t>Under investigation</w:t>
            </w:r>
          </w:p>
        </w:tc>
      </w:tr>
      <w:tr>
        <w:tc>
          <w:tcPr>
            <w:tcW w:type="dxa" w:w="1440"/>
            <w:vAlign w:val="center"/>
            <w:shd w:val="clear" w:color="auto" w:fill="EBF3FB"/>
          </w:tcPr>
          <w:p>
            <w:pPr>
              <w:spacing w:before="60" w:after="60"/>
              <w:jc w:val="center"/>
            </w:pPr>
            <w:r>
              <w:rPr>
                <w:sz w:val="18"/>
              </w:rPr>
              <w:t>JAK2</w:t>
            </w:r>
          </w:p>
        </w:tc>
        <w:tc>
          <w:tcPr>
            <w:tcW w:type="dxa" w:w="1152"/>
            <w:vAlign w:val="center"/>
            <w:shd w:val="clear" w:color="auto" w:fill="EBF3FB"/>
          </w:tcPr>
          <w:p>
            <w:pPr>
              <w:spacing w:before="60" w:after="60"/>
              <w:jc w:val="center"/>
            </w:pPr>
            <w:r>
              <w:rPr>
                <w:sz w:val="18"/>
              </w:rPr>
              <w:t>expression</w:t>
            </w:r>
          </w:p>
        </w:tc>
        <w:tc>
          <w:tcPr>
            <w:tcW w:type="dxa" w:w="1296"/>
            <w:vAlign w:val="center"/>
            <w:shd w:val="clear" w:color="auto" w:fill="EBF3FB"/>
          </w:tcPr>
          <w:p>
            <w:pPr>
              <w:spacing w:before="60" w:after="60"/>
              <w:jc w:val="center"/>
            </w:pPr>
            <w:r>
              <w:rPr>
                <w:sz w:val="18"/>
              </w:rPr>
              <w:t>0.0639</w:t>
            </w:r>
          </w:p>
        </w:tc>
        <w:tc>
          <w:tcPr>
            <w:tcW w:type="dxa" w:w="1152"/>
            <w:vAlign w:val="center"/>
            <w:shd w:val="clear" w:color="auto" w:fill="EBF3FB"/>
          </w:tcPr>
          <w:p>
            <w:pPr>
              <w:spacing w:before="60" w:after="60"/>
              <w:jc w:val="center"/>
            </w:pPr>
            <w:r>
              <w:rPr>
                <w:sz w:val="18"/>
              </w:rPr>
              <w:t>1</w:t>
            </w:r>
          </w:p>
        </w:tc>
        <w:tc>
          <w:tcPr>
            <w:tcW w:type="dxa" w:w="1584"/>
            <w:vAlign w:val="center"/>
            <w:shd w:val="clear" w:color="auto" w:fill="EBF3FB"/>
          </w:tcPr>
          <w:p>
            <w:pPr>
              <w:spacing w:before="60" w:after="60"/>
              <w:jc w:val="center"/>
            </w:pPr>
            <w:r>
              <w:rPr>
                <w:sz w:val="18"/>
              </w:rPr>
              <w:t>Unknown</w:t>
            </w:r>
          </w:p>
        </w:tc>
        <w:tc>
          <w:tcPr>
            <w:tcW w:type="dxa" w:w="3888"/>
            <w:vAlign w:val="center"/>
            <w:shd w:val="clear" w:color="auto" w:fill="EBF3FB"/>
          </w:tcPr>
          <w:p>
            <w:pPr>
              <w:spacing w:before="60" w:after="60"/>
              <w:jc w:val="center"/>
            </w:pPr>
            <w:r>
              <w:rPr>
                <w:sz w:val="18"/>
              </w:rPr>
              <w:t>Under investigation</w:t>
            </w:r>
          </w:p>
        </w:tc>
      </w:tr>
      <w:tr>
        <w:tc>
          <w:tcPr>
            <w:tcW w:type="dxa" w:w="1440"/>
            <w:vAlign w:val="center"/>
          </w:tcPr>
          <w:p>
            <w:pPr>
              <w:spacing w:before="60" w:after="60"/>
              <w:jc w:val="center"/>
            </w:pPr>
            <w:r>
              <w:rPr>
                <w:sz w:val="18"/>
              </w:rPr>
              <w:t>KIAA1432</w:t>
            </w:r>
          </w:p>
        </w:tc>
        <w:tc>
          <w:tcPr>
            <w:tcW w:type="dxa" w:w="1152"/>
            <w:vAlign w:val="center"/>
          </w:tcPr>
          <w:p>
            <w:pPr>
              <w:spacing w:before="60" w:after="60"/>
              <w:jc w:val="center"/>
            </w:pPr>
            <w:r>
              <w:rPr>
                <w:sz w:val="18"/>
              </w:rPr>
              <w:t>expression</w:t>
            </w:r>
          </w:p>
        </w:tc>
        <w:tc>
          <w:tcPr>
            <w:tcW w:type="dxa" w:w="1296"/>
            <w:vAlign w:val="center"/>
          </w:tcPr>
          <w:p>
            <w:pPr>
              <w:spacing w:before="60" w:after="60"/>
              <w:jc w:val="center"/>
            </w:pPr>
            <w:r>
              <w:rPr>
                <w:sz w:val="18"/>
              </w:rPr>
              <w:t>0.0639</w:t>
            </w:r>
          </w:p>
        </w:tc>
        <w:tc>
          <w:tcPr>
            <w:tcW w:type="dxa" w:w="1152"/>
            <w:vAlign w:val="center"/>
          </w:tcPr>
          <w:p>
            <w:pPr>
              <w:spacing w:before="60" w:after="60"/>
              <w:jc w:val="center"/>
            </w:pPr>
            <w:r>
              <w:rPr>
                <w:sz w:val="18"/>
              </w:rPr>
              <w:t>1</w:t>
            </w:r>
          </w:p>
        </w:tc>
        <w:tc>
          <w:tcPr>
            <w:tcW w:type="dxa" w:w="1584"/>
            <w:vAlign w:val="center"/>
          </w:tcPr>
          <w:p>
            <w:pPr>
              <w:spacing w:before="60" w:after="60"/>
              <w:jc w:val="center"/>
            </w:pPr>
            <w:r>
              <w:rPr>
                <w:sz w:val="18"/>
              </w:rPr>
              <w:t>Unknown</w:t>
            </w:r>
          </w:p>
        </w:tc>
        <w:tc>
          <w:tcPr>
            <w:tcW w:type="dxa" w:w="3888"/>
            <w:vAlign w:val="center"/>
          </w:tcPr>
          <w:p>
            <w:pPr>
              <w:spacing w:before="60" w:after="60"/>
              <w:jc w:val="center"/>
            </w:pPr>
            <w:r>
              <w:rPr>
                <w:sz w:val="18"/>
              </w:rPr>
              <w:t>Under investigation</w:t>
            </w:r>
          </w:p>
        </w:tc>
      </w:tr>
      <w:tr>
        <w:tc>
          <w:tcPr>
            <w:tcW w:type="dxa" w:w="1440"/>
            <w:vAlign w:val="center"/>
            <w:shd w:val="clear" w:color="auto" w:fill="EBF3FB"/>
          </w:tcPr>
          <w:p>
            <w:pPr>
              <w:spacing w:before="60" w:after="60"/>
              <w:jc w:val="center"/>
            </w:pPr>
            <w:r>
              <w:rPr>
                <w:sz w:val="18"/>
              </w:rPr>
              <w:t>KRT16</w:t>
            </w:r>
          </w:p>
        </w:tc>
        <w:tc>
          <w:tcPr>
            <w:tcW w:type="dxa" w:w="1152"/>
            <w:vAlign w:val="center"/>
            <w:shd w:val="clear" w:color="auto" w:fill="EBF3FB"/>
          </w:tcPr>
          <w:p>
            <w:pPr>
              <w:spacing w:before="60" w:after="60"/>
              <w:jc w:val="center"/>
            </w:pPr>
            <w:r>
              <w:rPr>
                <w:sz w:val="18"/>
              </w:rPr>
              <w:t>expression</w:t>
            </w:r>
          </w:p>
        </w:tc>
        <w:tc>
          <w:tcPr>
            <w:tcW w:type="dxa" w:w="1296"/>
            <w:vAlign w:val="center"/>
            <w:shd w:val="clear" w:color="auto" w:fill="EBF3FB"/>
          </w:tcPr>
          <w:p>
            <w:pPr>
              <w:spacing w:before="60" w:after="60"/>
              <w:jc w:val="center"/>
            </w:pPr>
            <w:r>
              <w:rPr>
                <w:sz w:val="18"/>
              </w:rPr>
              <w:t>0.0639</w:t>
            </w:r>
          </w:p>
        </w:tc>
        <w:tc>
          <w:tcPr>
            <w:tcW w:type="dxa" w:w="1152"/>
            <w:vAlign w:val="center"/>
            <w:shd w:val="clear" w:color="auto" w:fill="EBF3FB"/>
          </w:tcPr>
          <w:p>
            <w:pPr>
              <w:spacing w:before="60" w:after="60"/>
              <w:jc w:val="center"/>
            </w:pPr>
            <w:r>
              <w:rPr>
                <w:sz w:val="18"/>
              </w:rPr>
              <w:t>2</w:t>
            </w:r>
          </w:p>
        </w:tc>
        <w:tc>
          <w:tcPr>
            <w:tcW w:type="dxa" w:w="1584"/>
            <w:vAlign w:val="center"/>
            <w:shd w:val="clear" w:color="auto" w:fill="EBF3FB"/>
          </w:tcPr>
          <w:p>
            <w:pPr>
              <w:spacing w:before="60" w:after="60"/>
              <w:jc w:val="center"/>
            </w:pPr>
            <w:r>
              <w:rPr>
                <w:sz w:val="18"/>
              </w:rPr>
              <w:t>Unknown</w:t>
            </w:r>
          </w:p>
        </w:tc>
        <w:tc>
          <w:tcPr>
            <w:tcW w:type="dxa" w:w="3888"/>
            <w:vAlign w:val="center"/>
            <w:shd w:val="clear" w:color="auto" w:fill="EBF3FB"/>
          </w:tcPr>
          <w:p>
            <w:pPr>
              <w:spacing w:before="60" w:after="60"/>
              <w:jc w:val="center"/>
            </w:pPr>
            <w:r>
              <w:rPr>
                <w:sz w:val="18"/>
              </w:rPr>
              <w:t>Under investigation</w:t>
            </w:r>
          </w:p>
        </w:tc>
      </w:tr>
      <w:tr>
        <w:tc>
          <w:tcPr>
            <w:tcW w:type="dxa" w:w="1440"/>
            <w:vAlign w:val="center"/>
          </w:tcPr>
          <w:p>
            <w:pPr>
              <w:spacing w:before="60" w:after="60"/>
              <w:jc w:val="center"/>
            </w:pPr>
            <w:r>
              <w:rPr>
                <w:sz w:val="18"/>
              </w:rPr>
              <w:t>KIAA2026</w:t>
            </w:r>
          </w:p>
        </w:tc>
        <w:tc>
          <w:tcPr>
            <w:tcW w:type="dxa" w:w="1152"/>
            <w:vAlign w:val="center"/>
          </w:tcPr>
          <w:p>
            <w:pPr>
              <w:spacing w:before="60" w:after="60"/>
              <w:jc w:val="center"/>
            </w:pPr>
            <w:r>
              <w:rPr>
                <w:sz w:val="18"/>
              </w:rPr>
              <w:t>expression</w:t>
            </w:r>
          </w:p>
        </w:tc>
        <w:tc>
          <w:tcPr>
            <w:tcW w:type="dxa" w:w="1296"/>
            <w:vAlign w:val="center"/>
          </w:tcPr>
          <w:p>
            <w:pPr>
              <w:spacing w:before="60" w:after="60"/>
              <w:jc w:val="center"/>
            </w:pPr>
            <w:r>
              <w:rPr>
                <w:sz w:val="18"/>
              </w:rPr>
              <w:t>0.0639</w:t>
            </w:r>
          </w:p>
        </w:tc>
        <w:tc>
          <w:tcPr>
            <w:tcW w:type="dxa" w:w="1152"/>
            <w:vAlign w:val="center"/>
          </w:tcPr>
          <w:p>
            <w:pPr>
              <w:spacing w:before="60" w:after="60"/>
              <w:jc w:val="center"/>
            </w:pPr>
            <w:r>
              <w:rPr>
                <w:sz w:val="18"/>
              </w:rPr>
              <w:t>1</w:t>
            </w:r>
          </w:p>
        </w:tc>
        <w:tc>
          <w:tcPr>
            <w:tcW w:type="dxa" w:w="1584"/>
            <w:vAlign w:val="center"/>
          </w:tcPr>
          <w:p>
            <w:pPr>
              <w:spacing w:before="60" w:after="60"/>
              <w:jc w:val="center"/>
            </w:pPr>
            <w:r>
              <w:rPr>
                <w:sz w:val="18"/>
              </w:rPr>
              <w:t>Unknown</w:t>
            </w:r>
          </w:p>
        </w:tc>
        <w:tc>
          <w:tcPr>
            <w:tcW w:type="dxa" w:w="3888"/>
            <w:vAlign w:val="center"/>
          </w:tcPr>
          <w:p>
            <w:pPr>
              <w:spacing w:before="60" w:after="60"/>
              <w:jc w:val="center"/>
            </w:pPr>
            <w:r>
              <w:rPr>
                <w:sz w:val="18"/>
              </w:rPr>
              <w:t>Under investigation</w:t>
            </w:r>
          </w:p>
        </w:tc>
      </w:tr>
      <w:tr>
        <w:tc>
          <w:tcPr>
            <w:tcW w:type="dxa" w:w="1440"/>
            <w:vAlign w:val="center"/>
            <w:shd w:val="clear" w:color="auto" w:fill="EBF3FB"/>
          </w:tcPr>
          <w:p>
            <w:pPr>
              <w:spacing w:before="60" w:after="60"/>
              <w:jc w:val="center"/>
            </w:pPr>
            <w:r>
              <w:rPr>
                <w:sz w:val="18"/>
              </w:rPr>
              <w:t>IL33</w:t>
            </w:r>
          </w:p>
        </w:tc>
        <w:tc>
          <w:tcPr>
            <w:tcW w:type="dxa" w:w="1152"/>
            <w:vAlign w:val="center"/>
            <w:shd w:val="clear" w:color="auto" w:fill="EBF3FB"/>
          </w:tcPr>
          <w:p>
            <w:pPr>
              <w:spacing w:before="60" w:after="60"/>
              <w:jc w:val="center"/>
            </w:pPr>
            <w:r>
              <w:rPr>
                <w:sz w:val="18"/>
              </w:rPr>
              <w:t>expression</w:t>
            </w:r>
          </w:p>
        </w:tc>
        <w:tc>
          <w:tcPr>
            <w:tcW w:type="dxa" w:w="1296"/>
            <w:vAlign w:val="center"/>
            <w:shd w:val="clear" w:color="auto" w:fill="EBF3FB"/>
          </w:tcPr>
          <w:p>
            <w:pPr>
              <w:spacing w:before="60" w:after="60"/>
              <w:jc w:val="center"/>
            </w:pPr>
            <w:r>
              <w:rPr>
                <w:sz w:val="18"/>
              </w:rPr>
              <w:t>0.0638</w:t>
            </w:r>
          </w:p>
        </w:tc>
        <w:tc>
          <w:tcPr>
            <w:tcW w:type="dxa" w:w="1152"/>
            <w:vAlign w:val="center"/>
            <w:shd w:val="clear" w:color="auto" w:fill="EBF3FB"/>
          </w:tcPr>
          <w:p>
            <w:pPr>
              <w:spacing w:before="60" w:after="60"/>
              <w:jc w:val="center"/>
            </w:pPr>
            <w:r>
              <w:rPr>
                <w:sz w:val="18"/>
              </w:rPr>
              <w:t>1</w:t>
            </w:r>
          </w:p>
        </w:tc>
        <w:tc>
          <w:tcPr>
            <w:tcW w:type="dxa" w:w="1584"/>
            <w:vAlign w:val="center"/>
            <w:shd w:val="clear" w:color="auto" w:fill="EBF3FB"/>
          </w:tcPr>
          <w:p>
            <w:pPr>
              <w:spacing w:before="60" w:after="60"/>
              <w:jc w:val="center"/>
            </w:pPr>
            <w:r>
              <w:rPr>
                <w:sz w:val="18"/>
              </w:rPr>
              <w:t>Unknown</w:t>
            </w:r>
          </w:p>
        </w:tc>
        <w:tc>
          <w:tcPr>
            <w:tcW w:type="dxa" w:w="3888"/>
            <w:vAlign w:val="center"/>
            <w:shd w:val="clear" w:color="auto" w:fill="EBF3FB"/>
          </w:tcPr>
          <w:p>
            <w:pPr>
              <w:spacing w:before="60" w:after="60"/>
              <w:jc w:val="center"/>
            </w:pPr>
            <w:r>
              <w:rPr>
                <w:sz w:val="18"/>
              </w:rPr>
              <w:t>Under investigation</w:t>
            </w:r>
          </w:p>
        </w:tc>
      </w:tr>
      <w:tr>
        <w:tc>
          <w:tcPr>
            <w:tcW w:type="dxa" w:w="1440"/>
            <w:vAlign w:val="center"/>
          </w:tcPr>
          <w:p>
            <w:pPr>
              <w:spacing w:before="60" w:after="60"/>
              <w:jc w:val="center"/>
            </w:pPr>
            <w:r>
              <w:rPr>
                <w:sz w:val="18"/>
              </w:rPr>
              <w:t>snoU13|ENSG00000252110.1</w:t>
            </w:r>
          </w:p>
        </w:tc>
        <w:tc>
          <w:tcPr>
            <w:tcW w:type="dxa" w:w="1152"/>
            <w:vAlign w:val="center"/>
          </w:tcPr>
          <w:p>
            <w:pPr>
              <w:spacing w:before="60" w:after="60"/>
              <w:jc w:val="center"/>
            </w:pPr>
            <w:r>
              <w:rPr>
                <w:sz w:val="18"/>
              </w:rPr>
              <w:t>expression</w:t>
            </w:r>
          </w:p>
        </w:tc>
        <w:tc>
          <w:tcPr>
            <w:tcW w:type="dxa" w:w="1296"/>
            <w:vAlign w:val="center"/>
          </w:tcPr>
          <w:p>
            <w:pPr>
              <w:spacing w:before="60" w:after="60"/>
              <w:jc w:val="center"/>
            </w:pPr>
            <w:r>
              <w:rPr>
                <w:sz w:val="18"/>
              </w:rPr>
              <w:t>0.0638</w:t>
            </w:r>
          </w:p>
        </w:tc>
        <w:tc>
          <w:tcPr>
            <w:tcW w:type="dxa" w:w="1152"/>
            <w:vAlign w:val="center"/>
          </w:tcPr>
          <w:p>
            <w:pPr>
              <w:spacing w:before="60" w:after="60"/>
              <w:jc w:val="center"/>
            </w:pPr>
            <w:r>
              <w:rPr>
                <w:sz w:val="18"/>
              </w:rPr>
              <w:t>1</w:t>
            </w:r>
          </w:p>
        </w:tc>
        <w:tc>
          <w:tcPr>
            <w:tcW w:type="dxa" w:w="1584"/>
            <w:vAlign w:val="center"/>
          </w:tcPr>
          <w:p>
            <w:pPr>
              <w:spacing w:before="60" w:after="60"/>
              <w:jc w:val="center"/>
            </w:pPr>
            <w:r>
              <w:rPr>
                <w:sz w:val="18"/>
              </w:rPr>
              <w:t>Unknown</w:t>
            </w:r>
          </w:p>
        </w:tc>
        <w:tc>
          <w:tcPr>
            <w:tcW w:type="dxa" w:w="3888"/>
            <w:vAlign w:val="center"/>
          </w:tcPr>
          <w:p>
            <w:pPr>
              <w:spacing w:before="60" w:after="60"/>
              <w:jc w:val="center"/>
            </w:pPr>
            <w:r>
              <w:rPr>
                <w:sz w:val="18"/>
              </w:rPr>
              <w:t>Under investigation</w:t>
            </w:r>
          </w:p>
        </w:tc>
      </w:tr>
      <w:tr>
        <w:tc>
          <w:tcPr>
            <w:tcW w:type="dxa" w:w="1440"/>
            <w:vAlign w:val="center"/>
            <w:shd w:val="clear" w:color="auto" w:fill="EBF3FB"/>
          </w:tcPr>
          <w:p>
            <w:pPr>
              <w:spacing w:before="60" w:after="60"/>
              <w:jc w:val="center"/>
            </w:pPr>
            <w:r>
              <w:rPr>
                <w:sz w:val="18"/>
              </w:rPr>
              <w:t>RN7SL25P</w:t>
            </w:r>
          </w:p>
        </w:tc>
        <w:tc>
          <w:tcPr>
            <w:tcW w:type="dxa" w:w="1152"/>
            <w:vAlign w:val="center"/>
            <w:shd w:val="clear" w:color="auto" w:fill="EBF3FB"/>
          </w:tcPr>
          <w:p>
            <w:pPr>
              <w:spacing w:before="60" w:after="60"/>
              <w:jc w:val="center"/>
            </w:pPr>
            <w:r>
              <w:rPr>
                <w:sz w:val="18"/>
              </w:rPr>
              <w:t>expression</w:t>
            </w:r>
          </w:p>
        </w:tc>
        <w:tc>
          <w:tcPr>
            <w:tcW w:type="dxa" w:w="1296"/>
            <w:vAlign w:val="center"/>
            <w:shd w:val="clear" w:color="auto" w:fill="EBF3FB"/>
          </w:tcPr>
          <w:p>
            <w:pPr>
              <w:spacing w:before="60" w:after="60"/>
              <w:jc w:val="center"/>
            </w:pPr>
            <w:r>
              <w:rPr>
                <w:sz w:val="18"/>
              </w:rPr>
              <w:t>0.0638</w:t>
            </w:r>
          </w:p>
        </w:tc>
        <w:tc>
          <w:tcPr>
            <w:tcW w:type="dxa" w:w="1152"/>
            <w:vAlign w:val="center"/>
            <w:shd w:val="clear" w:color="auto" w:fill="EBF3FB"/>
          </w:tcPr>
          <w:p>
            <w:pPr>
              <w:spacing w:before="60" w:after="60"/>
              <w:jc w:val="center"/>
            </w:pPr>
            <w:r>
              <w:rPr>
                <w:sz w:val="18"/>
              </w:rPr>
              <w:t>1</w:t>
            </w:r>
          </w:p>
        </w:tc>
        <w:tc>
          <w:tcPr>
            <w:tcW w:type="dxa" w:w="1584"/>
            <w:vAlign w:val="center"/>
            <w:shd w:val="clear" w:color="auto" w:fill="EBF3FB"/>
          </w:tcPr>
          <w:p>
            <w:pPr>
              <w:spacing w:before="60" w:after="60"/>
              <w:jc w:val="center"/>
            </w:pPr>
            <w:r>
              <w:rPr>
                <w:sz w:val="18"/>
              </w:rPr>
              <w:t>Unknown</w:t>
            </w:r>
          </w:p>
        </w:tc>
        <w:tc>
          <w:tcPr>
            <w:tcW w:type="dxa" w:w="3888"/>
            <w:vAlign w:val="center"/>
            <w:shd w:val="clear" w:color="auto" w:fill="EBF3FB"/>
          </w:tcPr>
          <w:p>
            <w:pPr>
              <w:spacing w:before="60" w:after="60"/>
              <w:jc w:val="center"/>
            </w:pPr>
            <w:r>
              <w:rPr>
                <w:sz w:val="18"/>
              </w:rPr>
              <w:t>Under investigation</w:t>
            </w:r>
          </w:p>
        </w:tc>
      </w:tr>
      <w:tr>
        <w:tc>
          <w:tcPr>
            <w:tcW w:type="dxa" w:w="1440"/>
            <w:vAlign w:val="center"/>
          </w:tcPr>
          <w:p>
            <w:pPr>
              <w:spacing w:before="60" w:after="60"/>
              <w:jc w:val="center"/>
            </w:pPr>
            <w:r>
              <w:rPr>
                <w:sz w:val="18"/>
              </w:rPr>
              <w:t>TPD52L3</w:t>
            </w:r>
          </w:p>
        </w:tc>
        <w:tc>
          <w:tcPr>
            <w:tcW w:type="dxa" w:w="1152"/>
            <w:vAlign w:val="center"/>
          </w:tcPr>
          <w:p>
            <w:pPr>
              <w:spacing w:before="60" w:after="60"/>
              <w:jc w:val="center"/>
            </w:pPr>
            <w:r>
              <w:rPr>
                <w:sz w:val="18"/>
              </w:rPr>
              <w:t>expression</w:t>
            </w:r>
          </w:p>
        </w:tc>
        <w:tc>
          <w:tcPr>
            <w:tcW w:type="dxa" w:w="1296"/>
            <w:vAlign w:val="center"/>
          </w:tcPr>
          <w:p>
            <w:pPr>
              <w:spacing w:before="60" w:after="60"/>
              <w:jc w:val="center"/>
            </w:pPr>
            <w:r>
              <w:rPr>
                <w:sz w:val="18"/>
              </w:rPr>
              <w:t>0.0638</w:t>
            </w:r>
          </w:p>
        </w:tc>
        <w:tc>
          <w:tcPr>
            <w:tcW w:type="dxa" w:w="1152"/>
            <w:vAlign w:val="center"/>
          </w:tcPr>
          <w:p>
            <w:pPr>
              <w:spacing w:before="60" w:after="60"/>
              <w:jc w:val="center"/>
            </w:pPr>
            <w:r>
              <w:rPr>
                <w:sz w:val="18"/>
              </w:rPr>
              <w:t>1</w:t>
            </w:r>
          </w:p>
        </w:tc>
        <w:tc>
          <w:tcPr>
            <w:tcW w:type="dxa" w:w="1584"/>
            <w:vAlign w:val="center"/>
          </w:tcPr>
          <w:p>
            <w:pPr>
              <w:spacing w:before="60" w:after="60"/>
              <w:jc w:val="center"/>
            </w:pPr>
            <w:r>
              <w:rPr>
                <w:sz w:val="18"/>
              </w:rPr>
              <w:t>Unknown</w:t>
            </w:r>
          </w:p>
        </w:tc>
        <w:tc>
          <w:tcPr>
            <w:tcW w:type="dxa" w:w="3888"/>
            <w:vAlign w:val="center"/>
          </w:tcPr>
          <w:p>
            <w:pPr>
              <w:spacing w:before="60" w:after="60"/>
              <w:jc w:val="center"/>
            </w:pPr>
            <w:r>
              <w:rPr>
                <w:sz w:val="18"/>
              </w:rPr>
              <w:t>Under investigation</w:t>
            </w:r>
          </w:p>
        </w:tc>
      </w:tr>
      <w:tr>
        <w:tc>
          <w:tcPr>
            <w:tcW w:type="dxa" w:w="1440"/>
            <w:vAlign w:val="center"/>
            <w:shd w:val="clear" w:color="auto" w:fill="EBF3FB"/>
          </w:tcPr>
          <w:p>
            <w:pPr>
              <w:spacing w:before="60" w:after="60"/>
              <w:jc w:val="center"/>
            </w:pPr>
            <w:r>
              <w:rPr>
                <w:sz w:val="18"/>
              </w:rPr>
              <w:t>RN7SL123P</w:t>
            </w:r>
          </w:p>
        </w:tc>
        <w:tc>
          <w:tcPr>
            <w:tcW w:type="dxa" w:w="1152"/>
            <w:vAlign w:val="center"/>
            <w:shd w:val="clear" w:color="auto" w:fill="EBF3FB"/>
          </w:tcPr>
          <w:p>
            <w:pPr>
              <w:spacing w:before="60" w:after="60"/>
              <w:jc w:val="center"/>
            </w:pPr>
            <w:r>
              <w:rPr>
                <w:sz w:val="18"/>
              </w:rPr>
              <w:t>expression</w:t>
            </w:r>
          </w:p>
        </w:tc>
        <w:tc>
          <w:tcPr>
            <w:tcW w:type="dxa" w:w="1296"/>
            <w:vAlign w:val="center"/>
            <w:shd w:val="clear" w:color="auto" w:fill="EBF3FB"/>
          </w:tcPr>
          <w:p>
            <w:pPr>
              <w:spacing w:before="60" w:after="60"/>
              <w:jc w:val="center"/>
            </w:pPr>
            <w:r>
              <w:rPr>
                <w:sz w:val="18"/>
              </w:rPr>
              <w:t>0.0638</w:t>
            </w:r>
          </w:p>
        </w:tc>
        <w:tc>
          <w:tcPr>
            <w:tcW w:type="dxa" w:w="1152"/>
            <w:vAlign w:val="center"/>
            <w:shd w:val="clear" w:color="auto" w:fill="EBF3FB"/>
          </w:tcPr>
          <w:p>
            <w:pPr>
              <w:spacing w:before="60" w:after="60"/>
              <w:jc w:val="center"/>
            </w:pPr>
            <w:r>
              <w:rPr>
                <w:sz w:val="18"/>
              </w:rPr>
              <w:t>1</w:t>
            </w:r>
          </w:p>
        </w:tc>
        <w:tc>
          <w:tcPr>
            <w:tcW w:type="dxa" w:w="1584"/>
            <w:vAlign w:val="center"/>
            <w:shd w:val="clear" w:color="auto" w:fill="EBF3FB"/>
          </w:tcPr>
          <w:p>
            <w:pPr>
              <w:spacing w:before="60" w:after="60"/>
              <w:jc w:val="center"/>
            </w:pPr>
            <w:r>
              <w:rPr>
                <w:sz w:val="18"/>
              </w:rPr>
              <w:t>Unknown</w:t>
            </w:r>
          </w:p>
        </w:tc>
        <w:tc>
          <w:tcPr>
            <w:tcW w:type="dxa" w:w="3888"/>
            <w:vAlign w:val="center"/>
            <w:shd w:val="clear" w:color="auto" w:fill="EBF3FB"/>
          </w:tcPr>
          <w:p>
            <w:pPr>
              <w:spacing w:before="60" w:after="60"/>
              <w:jc w:val="center"/>
            </w:pPr>
            <w:r>
              <w:rPr>
                <w:sz w:val="18"/>
              </w:rPr>
              <w:t>Under investigation</w:t>
            </w:r>
          </w:p>
        </w:tc>
      </w:tr>
      <w:tr>
        <w:tc>
          <w:tcPr>
            <w:tcW w:type="dxa" w:w="1440"/>
            <w:vAlign w:val="center"/>
          </w:tcPr>
          <w:p>
            <w:pPr>
              <w:spacing w:before="60" w:after="60"/>
              <w:jc w:val="center"/>
            </w:pPr>
            <w:r>
              <w:rPr>
                <w:sz w:val="18"/>
              </w:rPr>
              <w:t>C9orf38</w:t>
            </w:r>
          </w:p>
        </w:tc>
        <w:tc>
          <w:tcPr>
            <w:tcW w:type="dxa" w:w="1152"/>
            <w:vAlign w:val="center"/>
          </w:tcPr>
          <w:p>
            <w:pPr>
              <w:spacing w:before="60" w:after="60"/>
              <w:jc w:val="center"/>
            </w:pPr>
            <w:r>
              <w:rPr>
                <w:sz w:val="18"/>
              </w:rPr>
              <w:t>expression</w:t>
            </w:r>
          </w:p>
        </w:tc>
        <w:tc>
          <w:tcPr>
            <w:tcW w:type="dxa" w:w="1296"/>
            <w:vAlign w:val="center"/>
          </w:tcPr>
          <w:p>
            <w:pPr>
              <w:spacing w:before="60" w:after="60"/>
              <w:jc w:val="center"/>
            </w:pPr>
            <w:r>
              <w:rPr>
                <w:sz w:val="18"/>
              </w:rPr>
              <w:t>0.0638</w:t>
            </w:r>
          </w:p>
        </w:tc>
        <w:tc>
          <w:tcPr>
            <w:tcW w:type="dxa" w:w="1152"/>
            <w:vAlign w:val="center"/>
          </w:tcPr>
          <w:p>
            <w:pPr>
              <w:spacing w:before="60" w:after="60"/>
              <w:jc w:val="center"/>
            </w:pPr>
            <w:r>
              <w:rPr>
                <w:sz w:val="18"/>
              </w:rPr>
              <w:t>1</w:t>
            </w:r>
          </w:p>
        </w:tc>
        <w:tc>
          <w:tcPr>
            <w:tcW w:type="dxa" w:w="1584"/>
            <w:vAlign w:val="center"/>
          </w:tcPr>
          <w:p>
            <w:pPr>
              <w:spacing w:before="60" w:after="60"/>
              <w:jc w:val="center"/>
            </w:pPr>
            <w:r>
              <w:rPr>
                <w:sz w:val="18"/>
              </w:rPr>
              <w:t>Unknown</w:t>
            </w:r>
          </w:p>
        </w:tc>
        <w:tc>
          <w:tcPr>
            <w:tcW w:type="dxa" w:w="3888"/>
            <w:vAlign w:val="center"/>
          </w:tcPr>
          <w:p>
            <w:pPr>
              <w:spacing w:before="60" w:after="60"/>
              <w:jc w:val="center"/>
            </w:pPr>
            <w:r>
              <w:rPr>
                <w:sz w:val="18"/>
              </w:rPr>
              <w:t>Under investigation</w:t>
            </w:r>
          </w:p>
        </w:tc>
      </w:tr>
      <w:tr>
        <w:tc>
          <w:tcPr>
            <w:tcW w:type="dxa" w:w="1440"/>
            <w:vAlign w:val="center"/>
            <w:shd w:val="clear" w:color="auto" w:fill="EBF3FB"/>
          </w:tcPr>
          <w:p>
            <w:pPr>
              <w:spacing w:before="60" w:after="60"/>
              <w:jc w:val="center"/>
            </w:pPr>
            <w:r>
              <w:rPr>
                <w:sz w:val="18"/>
              </w:rPr>
              <w:t>GLDC</w:t>
            </w:r>
          </w:p>
        </w:tc>
        <w:tc>
          <w:tcPr>
            <w:tcW w:type="dxa" w:w="1152"/>
            <w:vAlign w:val="center"/>
            <w:shd w:val="clear" w:color="auto" w:fill="EBF3FB"/>
          </w:tcPr>
          <w:p>
            <w:pPr>
              <w:spacing w:before="60" w:after="60"/>
              <w:jc w:val="center"/>
            </w:pPr>
            <w:r>
              <w:rPr>
                <w:sz w:val="18"/>
              </w:rPr>
              <w:t>expression</w:t>
            </w:r>
          </w:p>
        </w:tc>
        <w:tc>
          <w:tcPr>
            <w:tcW w:type="dxa" w:w="1296"/>
            <w:vAlign w:val="center"/>
            <w:shd w:val="clear" w:color="auto" w:fill="EBF3FB"/>
          </w:tcPr>
          <w:p>
            <w:pPr>
              <w:spacing w:before="60" w:after="60"/>
              <w:jc w:val="center"/>
            </w:pPr>
            <w:r>
              <w:rPr>
                <w:sz w:val="18"/>
              </w:rPr>
              <w:t>0.0638</w:t>
            </w:r>
          </w:p>
        </w:tc>
        <w:tc>
          <w:tcPr>
            <w:tcW w:type="dxa" w:w="1152"/>
            <w:vAlign w:val="center"/>
            <w:shd w:val="clear" w:color="auto" w:fill="EBF3FB"/>
          </w:tcPr>
          <w:p>
            <w:pPr>
              <w:spacing w:before="60" w:after="60"/>
              <w:jc w:val="center"/>
            </w:pPr>
            <w:r>
              <w:rPr>
                <w:sz w:val="18"/>
              </w:rPr>
              <w:t>1</w:t>
            </w:r>
          </w:p>
        </w:tc>
        <w:tc>
          <w:tcPr>
            <w:tcW w:type="dxa" w:w="1584"/>
            <w:vAlign w:val="center"/>
            <w:shd w:val="clear" w:color="auto" w:fill="EBF3FB"/>
          </w:tcPr>
          <w:p>
            <w:pPr>
              <w:spacing w:before="60" w:after="60"/>
              <w:jc w:val="center"/>
            </w:pPr>
            <w:r>
              <w:rPr>
                <w:sz w:val="18"/>
              </w:rPr>
              <w:t>Unknown</w:t>
            </w:r>
          </w:p>
        </w:tc>
        <w:tc>
          <w:tcPr>
            <w:tcW w:type="dxa" w:w="3888"/>
            <w:vAlign w:val="center"/>
            <w:shd w:val="clear" w:color="auto" w:fill="EBF3FB"/>
          </w:tcPr>
          <w:p>
            <w:pPr>
              <w:spacing w:before="60" w:after="60"/>
              <w:jc w:val="center"/>
            </w:pPr>
            <w:r>
              <w:rPr>
                <w:sz w:val="18"/>
              </w:rPr>
              <w:t>Under investigation</w:t>
            </w:r>
          </w:p>
        </w:tc>
      </w:tr>
    </w:tbl>
    <w:p>
      <w:pPr>
        <w:spacing w:after="240"/>
      </w:pPr>
      <w:r>
        <w:rPr>
          <w:b/>
          <w:i w:val="0"/>
          <w:sz w:val="18"/>
          <w:u w:val="none"/>
        </w:rPr>
        <w:t xml:space="preserve">Table S6. </w:t>
      </w:r>
      <w:r>
        <w:rPr>
          <w:b w:val="0"/>
          <w:i/>
          <w:sz w:val="18"/>
          <w:u w:val="none"/>
        </w:rPr>
        <w:t>Top 20 therapeutic targets with curated mechanism annotations. Full tx_mechanism text is available in therapeutic_targets.csv.</w:t>
      </w:r>
    </w:p>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2016"/>
            <w:vAlign w:val="center"/>
            <w:shd w:val="clear" w:color="auto" w:fill="1F3864"/>
          </w:tcPr>
          <w:p>
            <w:pPr>
              <w:spacing w:before="60" w:after="60"/>
              <w:jc w:val="center"/>
            </w:pPr>
            <w:r>
              <w:rPr>
                <w:b/>
                <w:color w:val="FFFFFF"/>
                <w:sz w:val="19"/>
              </w:rPr>
              <w:t>Factor</w:t>
            </w:r>
          </w:p>
        </w:tc>
        <w:tc>
          <w:tcPr>
            <w:tcW w:type="dxa" w:w="1872"/>
            <w:vAlign w:val="center"/>
            <w:shd w:val="clear" w:color="auto" w:fill="1F3864"/>
          </w:tcPr>
          <w:p>
            <w:pPr>
              <w:spacing w:before="60" w:after="60"/>
              <w:jc w:val="center"/>
            </w:pPr>
            <w:r>
              <w:rPr>
                <w:b/>
                <w:color w:val="FFFFFF"/>
                <w:sz w:val="19"/>
              </w:rPr>
              <w:t>FTT |SHAP|</w:t>
            </w:r>
          </w:p>
        </w:tc>
        <w:tc>
          <w:tcPr>
            <w:tcW w:type="dxa" w:w="1872"/>
            <w:vAlign w:val="center"/>
            <w:shd w:val="clear" w:color="auto" w:fill="1F3864"/>
          </w:tcPr>
          <w:p>
            <w:pPr>
              <w:spacing w:before="60" w:after="60"/>
              <w:jc w:val="center"/>
            </w:pPr>
            <w:r>
              <w:rPr>
                <w:b/>
                <w:color w:val="FFFFFF"/>
                <w:sz w:val="19"/>
              </w:rPr>
              <w:t>XGB |SHAP|</w:t>
            </w:r>
          </w:p>
        </w:tc>
        <w:tc>
          <w:tcPr>
            <w:tcW w:type="dxa" w:w="1872"/>
            <w:vAlign w:val="center"/>
            <w:shd w:val="clear" w:color="auto" w:fill="1F3864"/>
          </w:tcPr>
          <w:p>
            <w:pPr>
              <w:spacing w:before="60" w:after="60"/>
              <w:jc w:val="center"/>
            </w:pPr>
            <w:r>
              <w:rPr>
                <w:b/>
                <w:color w:val="FFFFFF"/>
                <w:sz w:val="19"/>
              </w:rPr>
              <w:t>LGB |SHAP|</w:t>
            </w:r>
          </w:p>
        </w:tc>
        <w:tc>
          <w:tcPr>
            <w:tcW w:type="dxa" w:w="1728"/>
            <w:vAlign w:val="center"/>
            <w:shd w:val="clear" w:color="auto" w:fill="1F3864"/>
          </w:tcPr>
          <w:p>
            <w:pPr>
              <w:spacing w:before="60" w:after="60"/>
              <w:jc w:val="center"/>
            </w:pPr>
            <w:r>
              <w:rPr>
                <w:b/>
                <w:color w:val="FFFFFF"/>
                <w:sz w:val="19"/>
              </w:rPr>
              <w:t>Average</w:t>
            </w:r>
          </w:p>
        </w:tc>
      </w:tr>
      <w:tr>
        <w:tc>
          <w:tcPr>
            <w:tcW w:type="dxa" w:w="2016"/>
            <w:vAlign w:val="center"/>
          </w:tcPr>
          <w:p>
            <w:pPr>
              <w:spacing w:before="60" w:after="60"/>
              <w:jc w:val="center"/>
            </w:pPr>
            <w:r>
              <w:rPr>
                <w:sz w:val="18"/>
              </w:rPr>
              <w:t>Factor8</w:t>
            </w:r>
          </w:p>
        </w:tc>
        <w:tc>
          <w:tcPr>
            <w:tcW w:type="dxa" w:w="1872"/>
            <w:vAlign w:val="center"/>
          </w:tcPr>
          <w:p>
            <w:pPr>
              <w:spacing w:before="60" w:after="60"/>
              <w:jc w:val="center"/>
            </w:pPr>
            <w:r>
              <w:rPr>
                <w:sz w:val="18"/>
              </w:rPr>
              <w:t>0.2814</w:t>
            </w:r>
          </w:p>
        </w:tc>
        <w:tc>
          <w:tcPr>
            <w:tcW w:type="dxa" w:w="1872"/>
            <w:vAlign w:val="center"/>
          </w:tcPr>
          <w:p>
            <w:pPr>
              <w:spacing w:before="60" w:after="60"/>
              <w:jc w:val="center"/>
            </w:pPr>
            <w:r>
              <w:rPr>
                <w:sz w:val="18"/>
              </w:rPr>
              <w:t>0.2755</w:t>
            </w:r>
          </w:p>
        </w:tc>
        <w:tc>
          <w:tcPr>
            <w:tcW w:type="dxa" w:w="1872"/>
            <w:vAlign w:val="center"/>
          </w:tcPr>
          <w:p>
            <w:pPr>
              <w:spacing w:before="60" w:after="60"/>
              <w:jc w:val="center"/>
            </w:pPr>
            <w:r>
              <w:rPr>
                <w:sz w:val="18"/>
              </w:rPr>
              <w:t>0.2925</w:t>
            </w:r>
          </w:p>
        </w:tc>
        <w:tc>
          <w:tcPr>
            <w:tcW w:type="dxa" w:w="1728"/>
            <w:vAlign w:val="center"/>
          </w:tcPr>
          <w:p>
            <w:pPr>
              <w:spacing w:before="60" w:after="60"/>
              <w:jc w:val="center"/>
            </w:pPr>
            <w:r>
              <w:rPr>
                <w:sz w:val="18"/>
              </w:rPr>
              <w:t>0.2831</w:t>
            </w:r>
          </w:p>
        </w:tc>
      </w:tr>
      <w:tr>
        <w:tc>
          <w:tcPr>
            <w:tcW w:type="dxa" w:w="2016"/>
            <w:vAlign w:val="center"/>
            <w:shd w:val="clear" w:color="auto" w:fill="EBF3FB"/>
          </w:tcPr>
          <w:p>
            <w:pPr>
              <w:spacing w:before="60" w:after="60"/>
              <w:jc w:val="center"/>
            </w:pPr>
            <w:r>
              <w:rPr>
                <w:sz w:val="18"/>
              </w:rPr>
              <w:t>Factor6</w:t>
            </w:r>
          </w:p>
        </w:tc>
        <w:tc>
          <w:tcPr>
            <w:tcW w:type="dxa" w:w="1872"/>
            <w:vAlign w:val="center"/>
            <w:shd w:val="clear" w:color="auto" w:fill="EBF3FB"/>
          </w:tcPr>
          <w:p>
            <w:pPr>
              <w:spacing w:before="60" w:after="60"/>
              <w:jc w:val="center"/>
            </w:pPr>
            <w:r>
              <w:rPr>
                <w:sz w:val="18"/>
              </w:rPr>
              <w:t>0.2371</w:t>
            </w:r>
          </w:p>
        </w:tc>
        <w:tc>
          <w:tcPr>
            <w:tcW w:type="dxa" w:w="1872"/>
            <w:vAlign w:val="center"/>
            <w:shd w:val="clear" w:color="auto" w:fill="EBF3FB"/>
          </w:tcPr>
          <w:p>
            <w:pPr>
              <w:spacing w:before="60" w:after="60"/>
              <w:jc w:val="center"/>
            </w:pPr>
            <w:r>
              <w:rPr>
                <w:sz w:val="18"/>
              </w:rPr>
              <w:t>0.1991</w:t>
            </w:r>
          </w:p>
        </w:tc>
        <w:tc>
          <w:tcPr>
            <w:tcW w:type="dxa" w:w="1872"/>
            <w:vAlign w:val="center"/>
            <w:shd w:val="clear" w:color="auto" w:fill="EBF3FB"/>
          </w:tcPr>
          <w:p>
            <w:pPr>
              <w:spacing w:before="60" w:after="60"/>
              <w:jc w:val="center"/>
            </w:pPr>
            <w:r>
              <w:rPr>
                <w:sz w:val="18"/>
              </w:rPr>
              <w:t>0.222</w:t>
            </w:r>
          </w:p>
        </w:tc>
        <w:tc>
          <w:tcPr>
            <w:tcW w:type="dxa" w:w="1728"/>
            <w:vAlign w:val="center"/>
            <w:shd w:val="clear" w:color="auto" w:fill="EBF3FB"/>
          </w:tcPr>
          <w:p>
            <w:pPr>
              <w:spacing w:before="60" w:after="60"/>
              <w:jc w:val="center"/>
            </w:pPr>
            <w:r>
              <w:rPr>
                <w:sz w:val="18"/>
              </w:rPr>
              <w:t>0.2194</w:t>
            </w:r>
          </w:p>
        </w:tc>
      </w:tr>
      <w:tr>
        <w:tc>
          <w:tcPr>
            <w:tcW w:type="dxa" w:w="2016"/>
            <w:vAlign w:val="center"/>
          </w:tcPr>
          <w:p>
            <w:pPr>
              <w:spacing w:before="60" w:after="60"/>
              <w:jc w:val="center"/>
            </w:pPr>
            <w:r>
              <w:rPr>
                <w:sz w:val="18"/>
              </w:rPr>
              <w:t>Factor1</w:t>
            </w:r>
          </w:p>
        </w:tc>
        <w:tc>
          <w:tcPr>
            <w:tcW w:type="dxa" w:w="1872"/>
            <w:vAlign w:val="center"/>
          </w:tcPr>
          <w:p>
            <w:pPr>
              <w:spacing w:before="60" w:after="60"/>
              <w:jc w:val="center"/>
            </w:pPr>
            <w:r>
              <w:rPr>
                <w:sz w:val="18"/>
              </w:rPr>
              <w:t>0.2455</w:t>
            </w:r>
          </w:p>
        </w:tc>
        <w:tc>
          <w:tcPr>
            <w:tcW w:type="dxa" w:w="1872"/>
            <w:vAlign w:val="center"/>
          </w:tcPr>
          <w:p>
            <w:pPr>
              <w:spacing w:before="60" w:after="60"/>
              <w:jc w:val="center"/>
            </w:pPr>
            <w:r>
              <w:rPr>
                <w:sz w:val="18"/>
              </w:rPr>
              <w:t>0.1119</w:t>
            </w:r>
          </w:p>
        </w:tc>
        <w:tc>
          <w:tcPr>
            <w:tcW w:type="dxa" w:w="1872"/>
            <w:vAlign w:val="center"/>
          </w:tcPr>
          <w:p>
            <w:pPr>
              <w:spacing w:before="60" w:after="60"/>
              <w:jc w:val="center"/>
            </w:pPr>
            <w:r>
              <w:rPr>
                <w:sz w:val="18"/>
              </w:rPr>
              <w:t>0.1297</w:t>
            </w:r>
          </w:p>
        </w:tc>
        <w:tc>
          <w:tcPr>
            <w:tcW w:type="dxa" w:w="1728"/>
            <w:vAlign w:val="center"/>
          </w:tcPr>
          <w:p>
            <w:pPr>
              <w:spacing w:before="60" w:after="60"/>
              <w:jc w:val="center"/>
            </w:pPr>
            <w:r>
              <w:rPr>
                <w:sz w:val="18"/>
              </w:rPr>
              <w:t>0.1624</w:t>
            </w:r>
          </w:p>
        </w:tc>
      </w:tr>
      <w:tr>
        <w:tc>
          <w:tcPr>
            <w:tcW w:type="dxa" w:w="2016"/>
            <w:vAlign w:val="center"/>
            <w:shd w:val="clear" w:color="auto" w:fill="EBF3FB"/>
          </w:tcPr>
          <w:p>
            <w:pPr>
              <w:spacing w:before="60" w:after="60"/>
              <w:jc w:val="center"/>
            </w:pPr>
            <w:r>
              <w:rPr>
                <w:sz w:val="18"/>
              </w:rPr>
              <w:t>Factor15</w:t>
            </w:r>
          </w:p>
        </w:tc>
        <w:tc>
          <w:tcPr>
            <w:tcW w:type="dxa" w:w="1872"/>
            <w:vAlign w:val="center"/>
            <w:shd w:val="clear" w:color="auto" w:fill="EBF3FB"/>
          </w:tcPr>
          <w:p>
            <w:pPr>
              <w:spacing w:before="60" w:after="60"/>
              <w:jc w:val="center"/>
            </w:pPr>
            <w:r>
              <w:rPr>
                <w:sz w:val="18"/>
              </w:rPr>
              <w:t>0.1364</w:t>
            </w:r>
          </w:p>
        </w:tc>
        <w:tc>
          <w:tcPr>
            <w:tcW w:type="dxa" w:w="1872"/>
            <w:vAlign w:val="center"/>
            <w:shd w:val="clear" w:color="auto" w:fill="EBF3FB"/>
          </w:tcPr>
          <w:p>
            <w:pPr>
              <w:spacing w:before="60" w:after="60"/>
              <w:jc w:val="center"/>
            </w:pPr>
            <w:r>
              <w:rPr>
                <w:sz w:val="18"/>
              </w:rPr>
              <w:t>0.1048</w:t>
            </w:r>
          </w:p>
        </w:tc>
        <w:tc>
          <w:tcPr>
            <w:tcW w:type="dxa" w:w="1872"/>
            <w:vAlign w:val="center"/>
            <w:shd w:val="clear" w:color="auto" w:fill="EBF3FB"/>
          </w:tcPr>
          <w:p>
            <w:pPr>
              <w:spacing w:before="60" w:after="60"/>
              <w:jc w:val="center"/>
            </w:pPr>
            <w:r>
              <w:rPr>
                <w:sz w:val="18"/>
              </w:rPr>
              <w:t>0.1181</w:t>
            </w:r>
          </w:p>
        </w:tc>
        <w:tc>
          <w:tcPr>
            <w:tcW w:type="dxa" w:w="1728"/>
            <w:vAlign w:val="center"/>
            <w:shd w:val="clear" w:color="auto" w:fill="EBF3FB"/>
          </w:tcPr>
          <w:p>
            <w:pPr>
              <w:spacing w:before="60" w:after="60"/>
              <w:jc w:val="center"/>
            </w:pPr>
            <w:r>
              <w:rPr>
                <w:sz w:val="18"/>
              </w:rPr>
              <w:t>0.1198</w:t>
            </w:r>
          </w:p>
        </w:tc>
      </w:tr>
      <w:tr>
        <w:tc>
          <w:tcPr>
            <w:tcW w:type="dxa" w:w="2016"/>
            <w:vAlign w:val="center"/>
          </w:tcPr>
          <w:p>
            <w:pPr>
              <w:spacing w:before="60" w:after="60"/>
              <w:jc w:val="center"/>
            </w:pPr>
            <w:r>
              <w:rPr>
                <w:sz w:val="18"/>
              </w:rPr>
              <w:t>Factor12</w:t>
            </w:r>
          </w:p>
        </w:tc>
        <w:tc>
          <w:tcPr>
            <w:tcW w:type="dxa" w:w="1872"/>
            <w:vAlign w:val="center"/>
          </w:tcPr>
          <w:p>
            <w:pPr>
              <w:spacing w:before="60" w:after="60"/>
              <w:jc w:val="center"/>
            </w:pPr>
            <w:r>
              <w:rPr>
                <w:sz w:val="18"/>
              </w:rPr>
              <w:t>0.107</w:t>
            </w:r>
          </w:p>
        </w:tc>
        <w:tc>
          <w:tcPr>
            <w:tcW w:type="dxa" w:w="1872"/>
            <w:vAlign w:val="center"/>
          </w:tcPr>
          <w:p>
            <w:pPr>
              <w:spacing w:before="60" w:after="60"/>
              <w:jc w:val="center"/>
            </w:pPr>
            <w:r>
              <w:rPr>
                <w:sz w:val="18"/>
              </w:rPr>
              <w:t>0.1204</w:t>
            </w:r>
          </w:p>
        </w:tc>
        <w:tc>
          <w:tcPr>
            <w:tcW w:type="dxa" w:w="1872"/>
            <w:vAlign w:val="center"/>
          </w:tcPr>
          <w:p>
            <w:pPr>
              <w:spacing w:before="60" w:after="60"/>
              <w:jc w:val="center"/>
            </w:pPr>
            <w:r>
              <w:rPr>
                <w:sz w:val="18"/>
              </w:rPr>
              <w:t>0.1313</w:t>
            </w:r>
          </w:p>
        </w:tc>
        <w:tc>
          <w:tcPr>
            <w:tcW w:type="dxa" w:w="1728"/>
            <w:vAlign w:val="center"/>
          </w:tcPr>
          <w:p>
            <w:pPr>
              <w:spacing w:before="60" w:after="60"/>
              <w:jc w:val="center"/>
            </w:pPr>
            <w:r>
              <w:rPr>
                <w:sz w:val="18"/>
              </w:rPr>
              <w:t>0.1196</w:t>
            </w:r>
          </w:p>
        </w:tc>
      </w:tr>
      <w:tr>
        <w:tc>
          <w:tcPr>
            <w:tcW w:type="dxa" w:w="2016"/>
            <w:vAlign w:val="center"/>
            <w:shd w:val="clear" w:color="auto" w:fill="EBF3FB"/>
          </w:tcPr>
          <w:p>
            <w:pPr>
              <w:spacing w:before="60" w:after="60"/>
              <w:jc w:val="center"/>
            </w:pPr>
            <w:r>
              <w:rPr>
                <w:sz w:val="18"/>
              </w:rPr>
              <w:t>Factor9</w:t>
            </w:r>
          </w:p>
        </w:tc>
        <w:tc>
          <w:tcPr>
            <w:tcW w:type="dxa" w:w="1872"/>
            <w:vAlign w:val="center"/>
            <w:shd w:val="clear" w:color="auto" w:fill="EBF3FB"/>
          </w:tcPr>
          <w:p>
            <w:pPr>
              <w:spacing w:before="60" w:after="60"/>
              <w:jc w:val="center"/>
            </w:pPr>
            <w:r>
              <w:rPr>
                <w:sz w:val="18"/>
              </w:rPr>
              <w:t>0.0784</w:t>
            </w:r>
          </w:p>
        </w:tc>
        <w:tc>
          <w:tcPr>
            <w:tcW w:type="dxa" w:w="1872"/>
            <w:vAlign w:val="center"/>
            <w:shd w:val="clear" w:color="auto" w:fill="EBF3FB"/>
          </w:tcPr>
          <w:p>
            <w:pPr>
              <w:spacing w:before="60" w:after="60"/>
              <w:jc w:val="center"/>
            </w:pPr>
            <w:r>
              <w:rPr>
                <w:sz w:val="18"/>
              </w:rPr>
              <w:t>0.0937</w:t>
            </w:r>
          </w:p>
        </w:tc>
        <w:tc>
          <w:tcPr>
            <w:tcW w:type="dxa" w:w="1872"/>
            <w:vAlign w:val="center"/>
            <w:shd w:val="clear" w:color="auto" w:fill="EBF3FB"/>
          </w:tcPr>
          <w:p>
            <w:pPr>
              <w:spacing w:before="60" w:after="60"/>
              <w:jc w:val="center"/>
            </w:pPr>
            <w:r>
              <w:rPr>
                <w:sz w:val="18"/>
              </w:rPr>
              <w:t>0.091</w:t>
            </w:r>
          </w:p>
        </w:tc>
        <w:tc>
          <w:tcPr>
            <w:tcW w:type="dxa" w:w="1728"/>
            <w:vAlign w:val="center"/>
            <w:shd w:val="clear" w:color="auto" w:fill="EBF3FB"/>
          </w:tcPr>
          <w:p>
            <w:pPr>
              <w:spacing w:before="60" w:after="60"/>
              <w:jc w:val="center"/>
            </w:pPr>
            <w:r>
              <w:rPr>
                <w:sz w:val="18"/>
              </w:rPr>
              <w:t>0.0877</w:t>
            </w:r>
          </w:p>
        </w:tc>
      </w:tr>
      <w:tr>
        <w:tc>
          <w:tcPr>
            <w:tcW w:type="dxa" w:w="2016"/>
            <w:vAlign w:val="center"/>
          </w:tcPr>
          <w:p>
            <w:pPr>
              <w:spacing w:before="60" w:after="60"/>
              <w:jc w:val="center"/>
            </w:pPr>
            <w:r>
              <w:rPr>
                <w:sz w:val="18"/>
              </w:rPr>
              <w:t>Factor13</w:t>
            </w:r>
          </w:p>
        </w:tc>
        <w:tc>
          <w:tcPr>
            <w:tcW w:type="dxa" w:w="1872"/>
            <w:vAlign w:val="center"/>
          </w:tcPr>
          <w:p>
            <w:pPr>
              <w:spacing w:before="60" w:after="60"/>
              <w:jc w:val="center"/>
            </w:pPr>
            <w:r>
              <w:rPr>
                <w:sz w:val="18"/>
              </w:rPr>
              <w:t>0.0423</w:t>
            </w:r>
          </w:p>
        </w:tc>
        <w:tc>
          <w:tcPr>
            <w:tcW w:type="dxa" w:w="1872"/>
            <w:vAlign w:val="center"/>
          </w:tcPr>
          <w:p>
            <w:pPr>
              <w:spacing w:before="60" w:after="60"/>
              <w:jc w:val="center"/>
            </w:pPr>
            <w:r>
              <w:rPr>
                <w:sz w:val="18"/>
              </w:rPr>
              <w:t>0.0952</w:t>
            </w:r>
          </w:p>
        </w:tc>
        <w:tc>
          <w:tcPr>
            <w:tcW w:type="dxa" w:w="1872"/>
            <w:vAlign w:val="center"/>
          </w:tcPr>
          <w:p>
            <w:pPr>
              <w:spacing w:before="60" w:after="60"/>
              <w:jc w:val="center"/>
            </w:pPr>
            <w:r>
              <w:rPr>
                <w:sz w:val="18"/>
              </w:rPr>
              <w:t>0.1181</w:t>
            </w:r>
          </w:p>
        </w:tc>
        <w:tc>
          <w:tcPr>
            <w:tcW w:type="dxa" w:w="1728"/>
            <w:vAlign w:val="center"/>
          </w:tcPr>
          <w:p>
            <w:pPr>
              <w:spacing w:before="60" w:after="60"/>
              <w:jc w:val="center"/>
            </w:pPr>
            <w:r>
              <w:rPr>
                <w:sz w:val="18"/>
              </w:rPr>
              <w:t>0.0852</w:t>
            </w:r>
          </w:p>
        </w:tc>
      </w:tr>
      <w:tr>
        <w:tc>
          <w:tcPr>
            <w:tcW w:type="dxa" w:w="2016"/>
            <w:vAlign w:val="center"/>
            <w:shd w:val="clear" w:color="auto" w:fill="EBF3FB"/>
          </w:tcPr>
          <w:p>
            <w:pPr>
              <w:spacing w:before="60" w:after="60"/>
              <w:jc w:val="center"/>
            </w:pPr>
            <w:r>
              <w:rPr>
                <w:sz w:val="18"/>
              </w:rPr>
              <w:t>Factor14</w:t>
            </w:r>
          </w:p>
        </w:tc>
        <w:tc>
          <w:tcPr>
            <w:tcW w:type="dxa" w:w="1872"/>
            <w:vAlign w:val="center"/>
            <w:shd w:val="clear" w:color="auto" w:fill="EBF3FB"/>
          </w:tcPr>
          <w:p>
            <w:pPr>
              <w:spacing w:before="60" w:after="60"/>
              <w:jc w:val="center"/>
            </w:pPr>
            <w:r>
              <w:rPr>
                <w:sz w:val="18"/>
              </w:rPr>
              <w:t>0.0552</w:t>
            </w:r>
          </w:p>
        </w:tc>
        <w:tc>
          <w:tcPr>
            <w:tcW w:type="dxa" w:w="1872"/>
            <w:vAlign w:val="center"/>
            <w:shd w:val="clear" w:color="auto" w:fill="EBF3FB"/>
          </w:tcPr>
          <w:p>
            <w:pPr>
              <w:spacing w:before="60" w:after="60"/>
              <w:jc w:val="center"/>
            </w:pPr>
            <w:r>
              <w:rPr>
                <w:sz w:val="18"/>
              </w:rPr>
              <w:t>0.0966</w:t>
            </w:r>
          </w:p>
        </w:tc>
        <w:tc>
          <w:tcPr>
            <w:tcW w:type="dxa" w:w="1872"/>
            <w:vAlign w:val="center"/>
            <w:shd w:val="clear" w:color="auto" w:fill="EBF3FB"/>
          </w:tcPr>
          <w:p>
            <w:pPr>
              <w:spacing w:before="60" w:after="60"/>
              <w:jc w:val="center"/>
            </w:pPr>
            <w:r>
              <w:rPr>
                <w:sz w:val="18"/>
              </w:rPr>
              <w:t>0.095</w:t>
            </w:r>
          </w:p>
        </w:tc>
        <w:tc>
          <w:tcPr>
            <w:tcW w:type="dxa" w:w="1728"/>
            <w:vAlign w:val="center"/>
            <w:shd w:val="clear" w:color="auto" w:fill="EBF3FB"/>
          </w:tcPr>
          <w:p>
            <w:pPr>
              <w:spacing w:before="60" w:after="60"/>
              <w:jc w:val="center"/>
            </w:pPr>
            <w:r>
              <w:rPr>
                <w:sz w:val="18"/>
              </w:rPr>
              <w:t>0.0823</w:t>
            </w:r>
          </w:p>
        </w:tc>
      </w:tr>
      <w:tr>
        <w:tc>
          <w:tcPr>
            <w:tcW w:type="dxa" w:w="2016"/>
            <w:vAlign w:val="center"/>
          </w:tcPr>
          <w:p>
            <w:pPr>
              <w:spacing w:before="60" w:after="60"/>
              <w:jc w:val="center"/>
            </w:pPr>
            <w:r>
              <w:rPr>
                <w:sz w:val="18"/>
              </w:rPr>
              <w:t>Factor11</w:t>
            </w:r>
          </w:p>
        </w:tc>
        <w:tc>
          <w:tcPr>
            <w:tcW w:type="dxa" w:w="1872"/>
            <w:vAlign w:val="center"/>
          </w:tcPr>
          <w:p>
            <w:pPr>
              <w:spacing w:before="60" w:after="60"/>
              <w:jc w:val="center"/>
            </w:pPr>
            <w:r>
              <w:rPr>
                <w:sz w:val="18"/>
              </w:rPr>
              <w:t>0.0484</w:t>
            </w:r>
          </w:p>
        </w:tc>
        <w:tc>
          <w:tcPr>
            <w:tcW w:type="dxa" w:w="1872"/>
            <w:vAlign w:val="center"/>
          </w:tcPr>
          <w:p>
            <w:pPr>
              <w:spacing w:before="60" w:after="60"/>
              <w:jc w:val="center"/>
            </w:pPr>
            <w:r>
              <w:rPr>
                <w:sz w:val="18"/>
              </w:rPr>
              <w:t>0.0938</w:t>
            </w:r>
          </w:p>
        </w:tc>
        <w:tc>
          <w:tcPr>
            <w:tcW w:type="dxa" w:w="1872"/>
            <w:vAlign w:val="center"/>
          </w:tcPr>
          <w:p>
            <w:pPr>
              <w:spacing w:before="60" w:after="60"/>
              <w:jc w:val="center"/>
            </w:pPr>
            <w:r>
              <w:rPr>
                <w:sz w:val="18"/>
              </w:rPr>
              <w:t>0.0911</w:t>
            </w:r>
          </w:p>
        </w:tc>
        <w:tc>
          <w:tcPr>
            <w:tcW w:type="dxa" w:w="1728"/>
            <w:vAlign w:val="center"/>
          </w:tcPr>
          <w:p>
            <w:pPr>
              <w:spacing w:before="60" w:after="60"/>
              <w:jc w:val="center"/>
            </w:pPr>
            <w:r>
              <w:rPr>
                <w:sz w:val="18"/>
              </w:rPr>
              <w:t>0.0778</w:t>
            </w:r>
          </w:p>
        </w:tc>
      </w:tr>
      <w:tr>
        <w:tc>
          <w:tcPr>
            <w:tcW w:type="dxa" w:w="2016"/>
            <w:vAlign w:val="center"/>
            <w:shd w:val="clear" w:color="auto" w:fill="EBF3FB"/>
          </w:tcPr>
          <w:p>
            <w:pPr>
              <w:spacing w:before="60" w:after="60"/>
              <w:jc w:val="center"/>
            </w:pPr>
            <w:r>
              <w:rPr>
                <w:sz w:val="18"/>
              </w:rPr>
              <w:t>Factor10</w:t>
            </w:r>
          </w:p>
        </w:tc>
        <w:tc>
          <w:tcPr>
            <w:tcW w:type="dxa" w:w="1872"/>
            <w:vAlign w:val="center"/>
            <w:shd w:val="clear" w:color="auto" w:fill="EBF3FB"/>
          </w:tcPr>
          <w:p>
            <w:pPr>
              <w:spacing w:before="60" w:after="60"/>
              <w:jc w:val="center"/>
            </w:pPr>
            <w:r>
              <w:rPr>
                <w:sz w:val="18"/>
              </w:rPr>
              <w:t>0.0747</w:t>
            </w:r>
          </w:p>
        </w:tc>
        <w:tc>
          <w:tcPr>
            <w:tcW w:type="dxa" w:w="1872"/>
            <w:vAlign w:val="center"/>
            <w:shd w:val="clear" w:color="auto" w:fill="EBF3FB"/>
          </w:tcPr>
          <w:p>
            <w:pPr>
              <w:spacing w:before="60" w:after="60"/>
              <w:jc w:val="center"/>
            </w:pPr>
            <w:r>
              <w:rPr>
                <w:sz w:val="18"/>
              </w:rPr>
              <w:t>0.0788</w:t>
            </w:r>
          </w:p>
        </w:tc>
        <w:tc>
          <w:tcPr>
            <w:tcW w:type="dxa" w:w="1872"/>
            <w:vAlign w:val="center"/>
            <w:shd w:val="clear" w:color="auto" w:fill="EBF3FB"/>
          </w:tcPr>
          <w:p>
            <w:pPr>
              <w:spacing w:before="60" w:after="60"/>
              <w:jc w:val="center"/>
            </w:pPr>
            <w:r>
              <w:rPr>
                <w:sz w:val="18"/>
              </w:rPr>
              <w:t>0.077</w:t>
            </w:r>
          </w:p>
        </w:tc>
        <w:tc>
          <w:tcPr>
            <w:tcW w:type="dxa" w:w="1728"/>
            <w:vAlign w:val="center"/>
            <w:shd w:val="clear" w:color="auto" w:fill="EBF3FB"/>
          </w:tcPr>
          <w:p>
            <w:pPr>
              <w:spacing w:before="60" w:after="60"/>
              <w:jc w:val="center"/>
            </w:pPr>
            <w:r>
              <w:rPr>
                <w:sz w:val="18"/>
              </w:rPr>
              <w:t>0.0768</w:t>
            </w:r>
          </w:p>
        </w:tc>
      </w:tr>
      <w:tr>
        <w:tc>
          <w:tcPr>
            <w:tcW w:type="dxa" w:w="2016"/>
            <w:vAlign w:val="center"/>
          </w:tcPr>
          <w:p>
            <w:pPr>
              <w:spacing w:before="60" w:after="60"/>
              <w:jc w:val="center"/>
            </w:pPr>
            <w:r>
              <w:rPr>
                <w:sz w:val="18"/>
              </w:rPr>
              <w:t>Factor17</w:t>
            </w:r>
          </w:p>
        </w:tc>
        <w:tc>
          <w:tcPr>
            <w:tcW w:type="dxa" w:w="1872"/>
            <w:vAlign w:val="center"/>
          </w:tcPr>
          <w:p>
            <w:pPr>
              <w:spacing w:before="60" w:after="60"/>
              <w:jc w:val="center"/>
            </w:pPr>
            <w:r>
              <w:rPr>
                <w:sz w:val="18"/>
              </w:rPr>
              <w:t>0.0767</w:t>
            </w:r>
          </w:p>
        </w:tc>
        <w:tc>
          <w:tcPr>
            <w:tcW w:type="dxa" w:w="1872"/>
            <w:vAlign w:val="center"/>
          </w:tcPr>
          <w:p>
            <w:pPr>
              <w:spacing w:before="60" w:after="60"/>
              <w:jc w:val="center"/>
            </w:pPr>
            <w:r>
              <w:rPr>
                <w:sz w:val="18"/>
              </w:rPr>
              <w:t>0.0711</w:t>
            </w:r>
          </w:p>
        </w:tc>
        <w:tc>
          <w:tcPr>
            <w:tcW w:type="dxa" w:w="1872"/>
            <w:vAlign w:val="center"/>
          </w:tcPr>
          <w:p>
            <w:pPr>
              <w:spacing w:before="60" w:after="60"/>
              <w:jc w:val="center"/>
            </w:pPr>
            <w:r>
              <w:rPr>
                <w:sz w:val="18"/>
              </w:rPr>
              <w:t>0.0808</w:t>
            </w:r>
          </w:p>
        </w:tc>
        <w:tc>
          <w:tcPr>
            <w:tcW w:type="dxa" w:w="1728"/>
            <w:vAlign w:val="center"/>
          </w:tcPr>
          <w:p>
            <w:pPr>
              <w:spacing w:before="60" w:after="60"/>
              <w:jc w:val="center"/>
            </w:pPr>
            <w:r>
              <w:rPr>
                <w:sz w:val="18"/>
              </w:rPr>
              <w:t>0.0762</w:t>
            </w:r>
          </w:p>
        </w:tc>
      </w:tr>
      <w:tr>
        <w:tc>
          <w:tcPr>
            <w:tcW w:type="dxa" w:w="2016"/>
            <w:vAlign w:val="center"/>
            <w:shd w:val="clear" w:color="auto" w:fill="EBF3FB"/>
          </w:tcPr>
          <w:p>
            <w:pPr>
              <w:spacing w:before="60" w:after="60"/>
              <w:jc w:val="center"/>
            </w:pPr>
            <w:r>
              <w:rPr>
                <w:sz w:val="18"/>
              </w:rPr>
              <w:t>Factor18</w:t>
            </w:r>
          </w:p>
        </w:tc>
        <w:tc>
          <w:tcPr>
            <w:tcW w:type="dxa" w:w="1872"/>
            <w:vAlign w:val="center"/>
            <w:shd w:val="clear" w:color="auto" w:fill="EBF3FB"/>
          </w:tcPr>
          <w:p>
            <w:pPr>
              <w:spacing w:before="60" w:after="60"/>
              <w:jc w:val="center"/>
            </w:pPr>
            <w:r>
              <w:rPr>
                <w:sz w:val="18"/>
              </w:rPr>
              <w:t>0.0704</w:t>
            </w:r>
          </w:p>
        </w:tc>
        <w:tc>
          <w:tcPr>
            <w:tcW w:type="dxa" w:w="1872"/>
            <w:vAlign w:val="center"/>
            <w:shd w:val="clear" w:color="auto" w:fill="EBF3FB"/>
          </w:tcPr>
          <w:p>
            <w:pPr>
              <w:spacing w:before="60" w:after="60"/>
              <w:jc w:val="center"/>
            </w:pPr>
            <w:r>
              <w:rPr>
                <w:sz w:val="18"/>
              </w:rPr>
              <w:t>0.0664</w:t>
            </w:r>
          </w:p>
        </w:tc>
        <w:tc>
          <w:tcPr>
            <w:tcW w:type="dxa" w:w="1872"/>
            <w:vAlign w:val="center"/>
            <w:shd w:val="clear" w:color="auto" w:fill="EBF3FB"/>
          </w:tcPr>
          <w:p>
            <w:pPr>
              <w:spacing w:before="60" w:after="60"/>
              <w:jc w:val="center"/>
            </w:pPr>
            <w:r>
              <w:rPr>
                <w:sz w:val="18"/>
              </w:rPr>
              <w:t>0.0791</w:t>
            </w:r>
          </w:p>
        </w:tc>
        <w:tc>
          <w:tcPr>
            <w:tcW w:type="dxa" w:w="1728"/>
            <w:vAlign w:val="center"/>
            <w:shd w:val="clear" w:color="auto" w:fill="EBF3FB"/>
          </w:tcPr>
          <w:p>
            <w:pPr>
              <w:spacing w:before="60" w:after="60"/>
              <w:jc w:val="center"/>
            </w:pPr>
            <w:r>
              <w:rPr>
                <w:sz w:val="18"/>
              </w:rPr>
              <w:t>0.072</w:t>
            </w:r>
          </w:p>
        </w:tc>
      </w:tr>
      <w:tr>
        <w:tc>
          <w:tcPr>
            <w:tcW w:type="dxa" w:w="2016"/>
            <w:vAlign w:val="center"/>
          </w:tcPr>
          <w:p>
            <w:pPr>
              <w:spacing w:before="60" w:after="60"/>
              <w:jc w:val="center"/>
            </w:pPr>
            <w:r>
              <w:rPr>
                <w:sz w:val="18"/>
              </w:rPr>
              <w:t>Factor5</w:t>
            </w:r>
          </w:p>
        </w:tc>
        <w:tc>
          <w:tcPr>
            <w:tcW w:type="dxa" w:w="1872"/>
            <w:vAlign w:val="center"/>
          </w:tcPr>
          <w:p>
            <w:pPr>
              <w:spacing w:before="60" w:after="60"/>
              <w:jc w:val="center"/>
            </w:pPr>
            <w:r>
              <w:rPr>
                <w:sz w:val="18"/>
              </w:rPr>
              <w:t>0.0517</w:t>
            </w:r>
          </w:p>
        </w:tc>
        <w:tc>
          <w:tcPr>
            <w:tcW w:type="dxa" w:w="1872"/>
            <w:vAlign w:val="center"/>
          </w:tcPr>
          <w:p>
            <w:pPr>
              <w:spacing w:before="60" w:after="60"/>
              <w:jc w:val="center"/>
            </w:pPr>
            <w:r>
              <w:rPr>
                <w:sz w:val="18"/>
              </w:rPr>
              <w:t>0.0817</w:t>
            </w:r>
          </w:p>
        </w:tc>
        <w:tc>
          <w:tcPr>
            <w:tcW w:type="dxa" w:w="1872"/>
            <w:vAlign w:val="center"/>
          </w:tcPr>
          <w:p>
            <w:pPr>
              <w:spacing w:before="60" w:after="60"/>
              <w:jc w:val="center"/>
            </w:pPr>
            <w:r>
              <w:rPr>
                <w:sz w:val="18"/>
              </w:rPr>
              <w:t>0.0804</w:t>
            </w:r>
          </w:p>
        </w:tc>
        <w:tc>
          <w:tcPr>
            <w:tcW w:type="dxa" w:w="1728"/>
            <w:vAlign w:val="center"/>
          </w:tcPr>
          <w:p>
            <w:pPr>
              <w:spacing w:before="60" w:after="60"/>
              <w:jc w:val="center"/>
            </w:pPr>
            <w:r>
              <w:rPr>
                <w:sz w:val="18"/>
              </w:rPr>
              <w:t>0.0713</w:t>
            </w:r>
          </w:p>
        </w:tc>
      </w:tr>
      <w:tr>
        <w:tc>
          <w:tcPr>
            <w:tcW w:type="dxa" w:w="2016"/>
            <w:vAlign w:val="center"/>
            <w:shd w:val="clear" w:color="auto" w:fill="EBF3FB"/>
          </w:tcPr>
          <w:p>
            <w:pPr>
              <w:spacing w:before="60" w:after="60"/>
              <w:jc w:val="center"/>
            </w:pPr>
            <w:r>
              <w:rPr>
                <w:sz w:val="18"/>
              </w:rPr>
              <w:t>Factor4</w:t>
            </w:r>
          </w:p>
        </w:tc>
        <w:tc>
          <w:tcPr>
            <w:tcW w:type="dxa" w:w="1872"/>
            <w:vAlign w:val="center"/>
            <w:shd w:val="clear" w:color="auto" w:fill="EBF3FB"/>
          </w:tcPr>
          <w:p>
            <w:pPr>
              <w:spacing w:before="60" w:after="60"/>
              <w:jc w:val="center"/>
            </w:pPr>
            <w:r>
              <w:rPr>
                <w:sz w:val="18"/>
              </w:rPr>
              <w:t>0.0219</w:t>
            </w:r>
          </w:p>
        </w:tc>
        <w:tc>
          <w:tcPr>
            <w:tcW w:type="dxa" w:w="1872"/>
            <w:vAlign w:val="center"/>
            <w:shd w:val="clear" w:color="auto" w:fill="EBF3FB"/>
          </w:tcPr>
          <w:p>
            <w:pPr>
              <w:spacing w:before="60" w:after="60"/>
              <w:jc w:val="center"/>
            </w:pPr>
            <w:r>
              <w:rPr>
                <w:sz w:val="18"/>
              </w:rPr>
              <w:t>0.089</w:t>
            </w:r>
          </w:p>
        </w:tc>
        <w:tc>
          <w:tcPr>
            <w:tcW w:type="dxa" w:w="1872"/>
            <w:vAlign w:val="center"/>
            <w:shd w:val="clear" w:color="auto" w:fill="EBF3FB"/>
          </w:tcPr>
          <w:p>
            <w:pPr>
              <w:spacing w:before="60" w:after="60"/>
              <w:jc w:val="center"/>
            </w:pPr>
            <w:r>
              <w:rPr>
                <w:sz w:val="18"/>
              </w:rPr>
              <w:t>0.0926</w:t>
            </w:r>
          </w:p>
        </w:tc>
        <w:tc>
          <w:tcPr>
            <w:tcW w:type="dxa" w:w="1728"/>
            <w:vAlign w:val="center"/>
            <w:shd w:val="clear" w:color="auto" w:fill="EBF3FB"/>
          </w:tcPr>
          <w:p>
            <w:pPr>
              <w:spacing w:before="60" w:after="60"/>
              <w:jc w:val="center"/>
            </w:pPr>
            <w:r>
              <w:rPr>
                <w:sz w:val="18"/>
              </w:rPr>
              <w:t>0.0678</w:t>
            </w:r>
          </w:p>
        </w:tc>
      </w:tr>
      <w:tr>
        <w:tc>
          <w:tcPr>
            <w:tcW w:type="dxa" w:w="2016"/>
            <w:vAlign w:val="center"/>
          </w:tcPr>
          <w:p>
            <w:pPr>
              <w:spacing w:before="60" w:after="60"/>
              <w:jc w:val="center"/>
            </w:pPr>
            <w:r>
              <w:rPr>
                <w:sz w:val="18"/>
              </w:rPr>
              <w:t>Factor16</w:t>
            </w:r>
          </w:p>
        </w:tc>
        <w:tc>
          <w:tcPr>
            <w:tcW w:type="dxa" w:w="1872"/>
            <w:vAlign w:val="center"/>
          </w:tcPr>
          <w:p>
            <w:pPr>
              <w:spacing w:before="60" w:after="60"/>
              <w:jc w:val="center"/>
            </w:pPr>
            <w:r>
              <w:rPr>
                <w:sz w:val="18"/>
              </w:rPr>
              <w:t>0.0352</w:t>
            </w:r>
          </w:p>
        </w:tc>
        <w:tc>
          <w:tcPr>
            <w:tcW w:type="dxa" w:w="1872"/>
            <w:vAlign w:val="center"/>
          </w:tcPr>
          <w:p>
            <w:pPr>
              <w:spacing w:before="60" w:after="60"/>
              <w:jc w:val="center"/>
            </w:pPr>
            <w:r>
              <w:rPr>
                <w:sz w:val="18"/>
              </w:rPr>
              <w:t>0.0788</w:t>
            </w:r>
          </w:p>
        </w:tc>
        <w:tc>
          <w:tcPr>
            <w:tcW w:type="dxa" w:w="1872"/>
            <w:vAlign w:val="center"/>
          </w:tcPr>
          <w:p>
            <w:pPr>
              <w:spacing w:before="60" w:after="60"/>
              <w:jc w:val="center"/>
            </w:pPr>
            <w:r>
              <w:rPr>
                <w:sz w:val="18"/>
              </w:rPr>
              <w:t>0.0777</w:t>
            </w:r>
          </w:p>
        </w:tc>
        <w:tc>
          <w:tcPr>
            <w:tcW w:type="dxa" w:w="1728"/>
            <w:vAlign w:val="center"/>
          </w:tcPr>
          <w:p>
            <w:pPr>
              <w:spacing w:before="60" w:after="60"/>
              <w:jc w:val="center"/>
            </w:pPr>
            <w:r>
              <w:rPr>
                <w:sz w:val="18"/>
              </w:rPr>
              <w:t>0.0639</w:t>
            </w:r>
          </w:p>
        </w:tc>
      </w:tr>
      <w:tr>
        <w:tc>
          <w:tcPr>
            <w:tcW w:type="dxa" w:w="2016"/>
            <w:vAlign w:val="center"/>
            <w:shd w:val="clear" w:color="auto" w:fill="EBF3FB"/>
          </w:tcPr>
          <w:p>
            <w:pPr>
              <w:spacing w:before="60" w:after="60"/>
              <w:jc w:val="center"/>
            </w:pPr>
            <w:r>
              <w:rPr>
                <w:sz w:val="18"/>
              </w:rPr>
              <w:t>Factor7</w:t>
            </w:r>
          </w:p>
        </w:tc>
        <w:tc>
          <w:tcPr>
            <w:tcW w:type="dxa" w:w="1872"/>
            <w:vAlign w:val="center"/>
            <w:shd w:val="clear" w:color="auto" w:fill="EBF3FB"/>
          </w:tcPr>
          <w:p>
            <w:pPr>
              <w:spacing w:before="60" w:after="60"/>
              <w:jc w:val="center"/>
            </w:pPr>
            <w:r>
              <w:rPr>
                <w:sz w:val="18"/>
              </w:rPr>
              <w:t>0.0451</w:t>
            </w:r>
          </w:p>
        </w:tc>
        <w:tc>
          <w:tcPr>
            <w:tcW w:type="dxa" w:w="1872"/>
            <w:vAlign w:val="center"/>
            <w:shd w:val="clear" w:color="auto" w:fill="EBF3FB"/>
          </w:tcPr>
          <w:p>
            <w:pPr>
              <w:spacing w:before="60" w:after="60"/>
              <w:jc w:val="center"/>
            </w:pPr>
            <w:r>
              <w:rPr>
                <w:sz w:val="18"/>
              </w:rPr>
              <w:t>0.0627</w:t>
            </w:r>
          </w:p>
        </w:tc>
        <w:tc>
          <w:tcPr>
            <w:tcW w:type="dxa" w:w="1872"/>
            <w:vAlign w:val="center"/>
            <w:shd w:val="clear" w:color="auto" w:fill="EBF3FB"/>
          </w:tcPr>
          <w:p>
            <w:pPr>
              <w:spacing w:before="60" w:after="60"/>
              <w:jc w:val="center"/>
            </w:pPr>
            <w:r>
              <w:rPr>
                <w:sz w:val="18"/>
              </w:rPr>
              <w:t>0.0788</w:t>
            </w:r>
          </w:p>
        </w:tc>
        <w:tc>
          <w:tcPr>
            <w:tcW w:type="dxa" w:w="1728"/>
            <w:vAlign w:val="center"/>
            <w:shd w:val="clear" w:color="auto" w:fill="EBF3FB"/>
          </w:tcPr>
          <w:p>
            <w:pPr>
              <w:spacing w:before="60" w:after="60"/>
              <w:jc w:val="center"/>
            </w:pPr>
            <w:r>
              <w:rPr>
                <w:sz w:val="18"/>
              </w:rPr>
              <w:t>0.0622</w:t>
            </w:r>
          </w:p>
        </w:tc>
      </w:tr>
      <w:tr>
        <w:tc>
          <w:tcPr>
            <w:tcW w:type="dxa" w:w="2016"/>
            <w:vAlign w:val="center"/>
          </w:tcPr>
          <w:p>
            <w:pPr>
              <w:spacing w:before="60" w:after="60"/>
              <w:jc w:val="center"/>
            </w:pPr>
            <w:r>
              <w:rPr>
                <w:sz w:val="18"/>
              </w:rPr>
              <w:t>Factor3</w:t>
            </w:r>
          </w:p>
        </w:tc>
        <w:tc>
          <w:tcPr>
            <w:tcW w:type="dxa" w:w="1872"/>
            <w:vAlign w:val="center"/>
          </w:tcPr>
          <w:p>
            <w:pPr>
              <w:spacing w:before="60" w:after="60"/>
              <w:jc w:val="center"/>
            </w:pPr>
            <w:r>
              <w:rPr>
                <w:sz w:val="18"/>
              </w:rPr>
              <w:t>0.0425</w:t>
            </w:r>
          </w:p>
        </w:tc>
        <w:tc>
          <w:tcPr>
            <w:tcW w:type="dxa" w:w="1872"/>
            <w:vAlign w:val="center"/>
          </w:tcPr>
          <w:p>
            <w:pPr>
              <w:spacing w:before="60" w:after="60"/>
              <w:jc w:val="center"/>
            </w:pPr>
            <w:r>
              <w:rPr>
                <w:sz w:val="18"/>
              </w:rPr>
              <w:t>0.0603</w:t>
            </w:r>
          </w:p>
        </w:tc>
        <w:tc>
          <w:tcPr>
            <w:tcW w:type="dxa" w:w="1872"/>
            <w:vAlign w:val="center"/>
          </w:tcPr>
          <w:p>
            <w:pPr>
              <w:spacing w:before="60" w:after="60"/>
              <w:jc w:val="center"/>
            </w:pPr>
            <w:r>
              <w:rPr>
                <w:sz w:val="18"/>
              </w:rPr>
              <w:t>0.0677</w:t>
            </w:r>
          </w:p>
        </w:tc>
        <w:tc>
          <w:tcPr>
            <w:tcW w:type="dxa" w:w="1728"/>
            <w:vAlign w:val="center"/>
          </w:tcPr>
          <w:p>
            <w:pPr>
              <w:spacing w:before="60" w:after="60"/>
              <w:jc w:val="center"/>
            </w:pPr>
            <w:r>
              <w:rPr>
                <w:sz w:val="18"/>
              </w:rPr>
              <w:t>0.0568</w:t>
            </w:r>
          </w:p>
        </w:tc>
      </w:tr>
      <w:tr>
        <w:tc>
          <w:tcPr>
            <w:tcW w:type="dxa" w:w="2016"/>
            <w:vAlign w:val="center"/>
            <w:shd w:val="clear" w:color="auto" w:fill="EBF3FB"/>
          </w:tcPr>
          <w:p>
            <w:pPr>
              <w:spacing w:before="60" w:after="60"/>
              <w:jc w:val="center"/>
            </w:pPr>
            <w:r>
              <w:rPr>
                <w:sz w:val="18"/>
              </w:rPr>
              <w:t>Factor2</w:t>
            </w:r>
          </w:p>
        </w:tc>
        <w:tc>
          <w:tcPr>
            <w:tcW w:type="dxa" w:w="1872"/>
            <w:vAlign w:val="center"/>
            <w:shd w:val="clear" w:color="auto" w:fill="EBF3FB"/>
          </w:tcPr>
          <w:p>
            <w:pPr>
              <w:spacing w:before="60" w:after="60"/>
              <w:jc w:val="center"/>
            </w:pPr>
            <w:r>
              <w:rPr>
                <w:sz w:val="18"/>
              </w:rPr>
              <w:t>0.0143</w:t>
            </w:r>
          </w:p>
        </w:tc>
        <w:tc>
          <w:tcPr>
            <w:tcW w:type="dxa" w:w="1872"/>
            <w:vAlign w:val="center"/>
            <w:shd w:val="clear" w:color="auto" w:fill="EBF3FB"/>
          </w:tcPr>
          <w:p>
            <w:pPr>
              <w:spacing w:before="60" w:after="60"/>
              <w:jc w:val="center"/>
            </w:pPr>
            <w:r>
              <w:rPr>
                <w:sz w:val="18"/>
              </w:rPr>
              <w:t>0.0652</w:t>
            </w:r>
          </w:p>
        </w:tc>
        <w:tc>
          <w:tcPr>
            <w:tcW w:type="dxa" w:w="1872"/>
            <w:vAlign w:val="center"/>
            <w:shd w:val="clear" w:color="auto" w:fill="EBF3FB"/>
          </w:tcPr>
          <w:p>
            <w:pPr>
              <w:spacing w:before="60" w:after="60"/>
              <w:jc w:val="center"/>
            </w:pPr>
            <w:r>
              <w:rPr>
                <w:sz w:val="18"/>
              </w:rPr>
              <w:t>0.0697</w:t>
            </w:r>
          </w:p>
        </w:tc>
        <w:tc>
          <w:tcPr>
            <w:tcW w:type="dxa" w:w="1728"/>
            <w:vAlign w:val="center"/>
            <w:shd w:val="clear" w:color="auto" w:fill="EBF3FB"/>
          </w:tcPr>
          <w:p>
            <w:pPr>
              <w:spacing w:before="60" w:after="60"/>
              <w:jc w:val="center"/>
            </w:pPr>
            <w:r>
              <w:rPr>
                <w:sz w:val="18"/>
              </w:rPr>
              <w:t>0.0497</w:t>
            </w:r>
          </w:p>
        </w:tc>
      </w:tr>
    </w:tbl>
    <w:p>
      <w:pPr>
        <w:spacing w:after="280"/>
      </w:pPr>
      <w:r>
        <w:rPr>
          <w:b/>
          <w:i w:val="0"/>
          <w:sz w:val="18"/>
          <w:u w:val="none"/>
        </w:rPr>
        <w:t xml:space="preserve">Table S7. </w:t>
      </w:r>
      <w:r>
        <w:rPr>
          <w:b w:val="0"/>
          <w:i/>
          <w:sz w:val="18"/>
          <w:u w:val="none"/>
        </w:rPr>
        <w:t>Mean absolute SHAP values per MOFA+ factor across all three models (FTT = FT-Transformer, XGB = XGBoost, LGB = LightGBM). Average across models is used for factor prioritization throughout this study.</w:t>
      </w:r>
    </w:p>
    <w:p>
      <w:r>
        <w:br w:type="page"/>
      </w:r>
    </w:p>
    <w:p>
      <w:pPr>
        <w:pStyle w:val="Heading1"/>
        <w:spacing w:before="320" w:after="120"/>
      </w:pPr>
      <w:r>
        <w:t>Section S9: Cross-Model Consistency Analysis</w:t>
      </w:r>
    </w:p>
    <w:p>
      <w:pPr>
        <w:spacing w:after="120"/>
        <w:jc w:val="both"/>
      </w:pPr>
      <w:r>
        <w:rPr>
          <w:sz w:val="22"/>
        </w:rPr>
        <w:t>To assess the robustness of factor importance rankings across model architectures, we computed pairwise SHAP concordance across the three models. High concordance indicates a biologically robust signal independent of the inductive bias of the specific model architecture. Low concordance may indicate interaction-dependent effects that require attention mechanisms to capture (e.g., Factor 1 squamous programme).</w:t>
      </w:r>
    </w:p>
    <w:p>
      <w:pPr>
        <w:jc w:val="center"/>
      </w:pPr>
      <w:r>
        <w:drawing>
          <wp:inline xmlns:a="http://schemas.openxmlformats.org/drawingml/2006/main" xmlns:pic="http://schemas.openxmlformats.org/drawingml/2006/picture">
            <wp:extent cx="5486400" cy="1949549"/>
            <wp:docPr id="34" name="Picture 34"/>
            <wp:cNvGraphicFramePr>
              <a:graphicFrameLocks noChangeAspect="1"/>
            </wp:cNvGraphicFramePr>
            <a:graphic>
              <a:graphicData uri="http://schemas.openxmlformats.org/drawingml/2006/picture">
                <pic:pic>
                  <pic:nvPicPr>
                    <pic:cNvPr id="0" name="marker_model_consistency.png"/>
                    <pic:cNvPicPr/>
                  </pic:nvPicPr>
                  <pic:blipFill>
                    <a:blip r:embed="rId42"/>
                    <a:stretch>
                      <a:fillRect/>
                    </a:stretch>
                  </pic:blipFill>
                  <pic:spPr>
                    <a:xfrm>
                      <a:off x="0" y="0"/>
                      <a:ext cx="5486400" cy="1949549"/>
                    </a:xfrm>
                    <a:prstGeom prst="rect"/>
                  </pic:spPr>
                </pic:pic>
              </a:graphicData>
            </a:graphic>
          </wp:inline>
        </w:drawing>
      </w:r>
    </w:p>
    <w:p>
      <w:pPr>
        <w:spacing w:before="80" w:after="280"/>
        <w:jc w:val="center"/>
      </w:pPr>
      <w:r>
        <w:rPr>
          <w:b/>
          <w:i w:val="0"/>
          <w:sz w:val="18"/>
          <w:u w:val="none"/>
        </w:rPr>
        <w:t xml:space="preserve">Figure S32. </w:t>
      </w:r>
      <w:r>
        <w:rPr>
          <w:b w:val="0"/>
          <w:i/>
          <w:sz w:val="18"/>
          <w:u w:val="none"/>
        </w:rPr>
        <w:t>Pairwise scatter plots of factor SHAP scores across all three model pairs: FTT vs XGB (left), FTT vs LGB (centre), XGB vs LGB (right). Points on the diagonal line indicate perfectly consistent importance rankings. Factor 8 (top-right cluster) and Factor 6 show high concordance across all pairs. Factor 1 shows the largest FTT-vs-tree discordance.</w:t>
      </w:r>
    </w:p>
    <w:p>
      <w:pPr>
        <w:pStyle w:val="Heading1"/>
        <w:spacing w:before="320" w:after="120"/>
      </w:pPr>
      <w:r>
        <w:t>Section S10: Software and Reproducibility</w:t>
      </w:r>
    </w:p>
    <w:tbl>
      <w:tblPr>
        <w:tblStyle w:val="TableGrid"/>
        <w:tblW w:type="auto" w:w="0"/>
        <w:jc w:val="center"/>
        <w:tblLook w:firstColumn="1" w:firstRow="1" w:lastColumn="0" w:lastRow="0" w:noHBand="0" w:noVBand="1" w:val="04A0"/>
      </w:tblPr>
      <w:tblGrid>
        <w:gridCol w:w="3022"/>
        <w:gridCol w:w="3022"/>
        <w:gridCol w:w="3022"/>
      </w:tblGrid>
      <w:tr>
        <w:tc>
          <w:tcPr>
            <w:tcW w:type="dxa" w:w="2592"/>
            <w:vAlign w:val="center"/>
            <w:shd w:val="clear" w:color="auto" w:fill="1F3864"/>
          </w:tcPr>
          <w:p>
            <w:pPr>
              <w:spacing w:before="60" w:after="60"/>
              <w:jc w:val="center"/>
            </w:pPr>
            <w:r>
              <w:rPr>
                <w:b/>
                <w:color w:val="FFFFFF"/>
                <w:sz w:val="19"/>
              </w:rPr>
              <w:t>Package</w:t>
            </w:r>
          </w:p>
        </w:tc>
        <w:tc>
          <w:tcPr>
            <w:tcW w:type="dxa" w:w="1728"/>
            <w:vAlign w:val="center"/>
            <w:shd w:val="clear" w:color="auto" w:fill="1F3864"/>
          </w:tcPr>
          <w:p>
            <w:pPr>
              <w:spacing w:before="60" w:after="60"/>
              <w:jc w:val="center"/>
            </w:pPr>
            <w:r>
              <w:rPr>
                <w:b/>
                <w:color w:val="FFFFFF"/>
                <w:sz w:val="19"/>
              </w:rPr>
              <w:t>Version</w:t>
            </w:r>
          </w:p>
        </w:tc>
        <w:tc>
          <w:tcPr>
            <w:tcW w:type="dxa" w:w="5472"/>
            <w:vAlign w:val="center"/>
            <w:shd w:val="clear" w:color="auto" w:fill="1F3864"/>
          </w:tcPr>
          <w:p>
            <w:pPr>
              <w:spacing w:before="60" w:after="60"/>
              <w:jc w:val="center"/>
            </w:pPr>
            <w:r>
              <w:rPr>
                <w:b/>
                <w:color w:val="FFFFFF"/>
                <w:sz w:val="19"/>
              </w:rPr>
              <w:t>Purpose</w:t>
            </w:r>
          </w:p>
        </w:tc>
      </w:tr>
      <w:tr>
        <w:tc>
          <w:tcPr>
            <w:tcW w:type="dxa" w:w="2592"/>
            <w:vAlign w:val="center"/>
          </w:tcPr>
          <w:p>
            <w:pPr>
              <w:spacing w:before="60" w:after="60"/>
              <w:jc w:val="center"/>
            </w:pPr>
            <w:r>
              <w:rPr>
                <w:sz w:val="18"/>
              </w:rPr>
              <w:t>Python</w:t>
            </w:r>
          </w:p>
        </w:tc>
        <w:tc>
          <w:tcPr>
            <w:tcW w:type="dxa" w:w="1728"/>
            <w:vAlign w:val="center"/>
          </w:tcPr>
          <w:p>
            <w:pPr>
              <w:spacing w:before="60" w:after="60"/>
              <w:jc w:val="center"/>
            </w:pPr>
            <w:r>
              <w:rPr>
                <w:sz w:val="18"/>
              </w:rPr>
              <w:t>3.14</w:t>
            </w:r>
          </w:p>
        </w:tc>
        <w:tc>
          <w:tcPr>
            <w:tcW w:type="dxa" w:w="5472"/>
            <w:vAlign w:val="center"/>
          </w:tcPr>
          <w:p>
            <w:pPr>
              <w:spacing w:before="60" w:after="60"/>
              <w:jc w:val="center"/>
            </w:pPr>
            <w:r>
              <w:rPr>
                <w:sz w:val="18"/>
              </w:rPr>
              <w:t>Runtime</w:t>
            </w:r>
          </w:p>
        </w:tc>
      </w:tr>
      <w:tr>
        <w:tc>
          <w:tcPr>
            <w:tcW w:type="dxa" w:w="2592"/>
            <w:vAlign w:val="center"/>
            <w:shd w:val="clear" w:color="auto" w:fill="EBF3FB"/>
          </w:tcPr>
          <w:p>
            <w:pPr>
              <w:spacing w:before="60" w:after="60"/>
              <w:jc w:val="center"/>
            </w:pPr>
            <w:r>
              <w:rPr>
                <w:sz w:val="18"/>
              </w:rPr>
              <w:t>pandas</w:t>
            </w:r>
          </w:p>
        </w:tc>
        <w:tc>
          <w:tcPr>
            <w:tcW w:type="dxa" w:w="1728"/>
            <w:vAlign w:val="center"/>
            <w:shd w:val="clear" w:color="auto" w:fill="EBF3FB"/>
          </w:tcPr>
          <w:p>
            <w:pPr>
              <w:spacing w:before="60" w:after="60"/>
              <w:jc w:val="center"/>
            </w:pPr>
            <w:r>
              <w:rPr>
                <w:sz w:val="18"/>
              </w:rPr>
              <w:t>&gt;=2.0</w:t>
            </w:r>
          </w:p>
        </w:tc>
        <w:tc>
          <w:tcPr>
            <w:tcW w:type="dxa" w:w="5472"/>
            <w:vAlign w:val="center"/>
            <w:shd w:val="clear" w:color="auto" w:fill="EBF3FB"/>
          </w:tcPr>
          <w:p>
            <w:pPr>
              <w:spacing w:before="60" w:after="60"/>
              <w:jc w:val="center"/>
            </w:pPr>
            <w:r>
              <w:rPr>
                <w:sz w:val="18"/>
              </w:rPr>
              <w:t>Data manipulation</w:t>
            </w:r>
          </w:p>
        </w:tc>
      </w:tr>
      <w:tr>
        <w:tc>
          <w:tcPr>
            <w:tcW w:type="dxa" w:w="2592"/>
            <w:vAlign w:val="center"/>
          </w:tcPr>
          <w:p>
            <w:pPr>
              <w:spacing w:before="60" w:after="60"/>
              <w:jc w:val="center"/>
            </w:pPr>
            <w:r>
              <w:rPr>
                <w:sz w:val="18"/>
              </w:rPr>
              <w:t>numpy</w:t>
            </w:r>
          </w:p>
        </w:tc>
        <w:tc>
          <w:tcPr>
            <w:tcW w:type="dxa" w:w="1728"/>
            <w:vAlign w:val="center"/>
          </w:tcPr>
          <w:p>
            <w:pPr>
              <w:spacing w:before="60" w:after="60"/>
              <w:jc w:val="center"/>
            </w:pPr>
            <w:r>
              <w:rPr>
                <w:sz w:val="18"/>
              </w:rPr>
              <w:t>&gt;=2.0</w:t>
            </w:r>
          </w:p>
        </w:tc>
        <w:tc>
          <w:tcPr>
            <w:tcW w:type="dxa" w:w="5472"/>
            <w:vAlign w:val="center"/>
          </w:tcPr>
          <w:p>
            <w:pPr>
              <w:spacing w:before="60" w:after="60"/>
              <w:jc w:val="center"/>
            </w:pPr>
            <w:r>
              <w:rPr>
                <w:sz w:val="18"/>
              </w:rPr>
              <w:t>Numerical computation</w:t>
            </w:r>
          </w:p>
        </w:tc>
      </w:tr>
      <w:tr>
        <w:tc>
          <w:tcPr>
            <w:tcW w:type="dxa" w:w="2592"/>
            <w:vAlign w:val="center"/>
            <w:shd w:val="clear" w:color="auto" w:fill="EBF3FB"/>
          </w:tcPr>
          <w:p>
            <w:pPr>
              <w:spacing w:before="60" w:after="60"/>
              <w:jc w:val="center"/>
            </w:pPr>
            <w:r>
              <w:rPr>
                <w:sz w:val="18"/>
              </w:rPr>
              <w:t>scikit-learn</w:t>
            </w:r>
          </w:p>
        </w:tc>
        <w:tc>
          <w:tcPr>
            <w:tcW w:type="dxa" w:w="1728"/>
            <w:vAlign w:val="center"/>
            <w:shd w:val="clear" w:color="auto" w:fill="EBF3FB"/>
          </w:tcPr>
          <w:p>
            <w:pPr>
              <w:spacing w:before="60" w:after="60"/>
              <w:jc w:val="center"/>
            </w:pPr>
            <w:r>
              <w:rPr>
                <w:sz w:val="18"/>
              </w:rPr>
              <w:t>&gt;=1.4</w:t>
            </w:r>
          </w:p>
        </w:tc>
        <w:tc>
          <w:tcPr>
            <w:tcW w:type="dxa" w:w="5472"/>
            <w:vAlign w:val="center"/>
            <w:shd w:val="clear" w:color="auto" w:fill="EBF3FB"/>
          </w:tcPr>
          <w:p>
            <w:pPr>
              <w:spacing w:before="60" w:after="60"/>
              <w:jc w:val="center"/>
            </w:pPr>
            <w:r>
              <w:rPr>
                <w:sz w:val="18"/>
              </w:rPr>
              <w:t>PCA, scaling, CV, KMeans</w:t>
            </w:r>
          </w:p>
        </w:tc>
      </w:tr>
      <w:tr>
        <w:tc>
          <w:tcPr>
            <w:tcW w:type="dxa" w:w="2592"/>
            <w:vAlign w:val="center"/>
          </w:tcPr>
          <w:p>
            <w:pPr>
              <w:spacing w:before="60" w:after="60"/>
              <w:jc w:val="center"/>
            </w:pPr>
            <w:r>
              <w:rPr>
                <w:sz w:val="18"/>
              </w:rPr>
              <w:t>mofapy2</w:t>
            </w:r>
          </w:p>
        </w:tc>
        <w:tc>
          <w:tcPr>
            <w:tcW w:type="dxa" w:w="1728"/>
            <w:vAlign w:val="center"/>
          </w:tcPr>
          <w:p>
            <w:pPr>
              <w:spacing w:before="60" w:after="60"/>
              <w:jc w:val="center"/>
            </w:pPr>
            <w:r>
              <w:rPr>
                <w:sz w:val="18"/>
              </w:rPr>
              <w:t>0.7.4</w:t>
            </w:r>
          </w:p>
        </w:tc>
        <w:tc>
          <w:tcPr>
            <w:tcW w:type="dxa" w:w="5472"/>
            <w:vAlign w:val="center"/>
          </w:tcPr>
          <w:p>
            <w:pPr>
              <w:spacing w:before="60" w:after="60"/>
              <w:jc w:val="center"/>
            </w:pPr>
            <w:r>
              <w:rPr>
                <w:sz w:val="18"/>
              </w:rPr>
              <w:t>MOFA+ multi-omics factor analysis</w:t>
            </w:r>
          </w:p>
        </w:tc>
      </w:tr>
      <w:tr>
        <w:tc>
          <w:tcPr>
            <w:tcW w:type="dxa" w:w="2592"/>
            <w:vAlign w:val="center"/>
            <w:shd w:val="clear" w:color="auto" w:fill="EBF3FB"/>
          </w:tcPr>
          <w:p>
            <w:pPr>
              <w:spacing w:before="60" w:after="60"/>
              <w:jc w:val="center"/>
            </w:pPr>
            <w:r>
              <w:rPr>
                <w:sz w:val="18"/>
              </w:rPr>
              <w:t>umap-learn</w:t>
            </w:r>
          </w:p>
        </w:tc>
        <w:tc>
          <w:tcPr>
            <w:tcW w:type="dxa" w:w="1728"/>
            <w:vAlign w:val="center"/>
            <w:shd w:val="clear" w:color="auto" w:fill="EBF3FB"/>
          </w:tcPr>
          <w:p>
            <w:pPr>
              <w:spacing w:before="60" w:after="60"/>
              <w:jc w:val="center"/>
            </w:pPr>
            <w:r>
              <w:rPr>
                <w:sz w:val="18"/>
              </w:rPr>
              <w:t>&gt;=0.5</w:t>
            </w:r>
          </w:p>
        </w:tc>
        <w:tc>
          <w:tcPr>
            <w:tcW w:type="dxa" w:w="5472"/>
            <w:vAlign w:val="center"/>
            <w:shd w:val="clear" w:color="auto" w:fill="EBF3FB"/>
          </w:tcPr>
          <w:p>
            <w:pPr>
              <w:spacing w:before="60" w:after="60"/>
              <w:jc w:val="center"/>
            </w:pPr>
            <w:r>
              <w:rPr>
                <w:sz w:val="18"/>
              </w:rPr>
              <w:t>UMAP dimensionality reduction</w:t>
            </w:r>
          </w:p>
        </w:tc>
      </w:tr>
      <w:tr>
        <w:tc>
          <w:tcPr>
            <w:tcW w:type="dxa" w:w="2592"/>
            <w:vAlign w:val="center"/>
          </w:tcPr>
          <w:p>
            <w:pPr>
              <w:spacing w:before="60" w:after="60"/>
              <w:jc w:val="center"/>
            </w:pPr>
            <w:r>
              <w:rPr>
                <w:sz w:val="18"/>
              </w:rPr>
              <w:t>leidenalg</w:t>
            </w:r>
          </w:p>
        </w:tc>
        <w:tc>
          <w:tcPr>
            <w:tcW w:type="dxa" w:w="1728"/>
            <w:vAlign w:val="center"/>
          </w:tcPr>
          <w:p>
            <w:pPr>
              <w:spacing w:before="60" w:after="60"/>
              <w:jc w:val="center"/>
            </w:pPr>
            <w:r>
              <w:rPr>
                <w:sz w:val="18"/>
              </w:rPr>
              <w:t>&gt;=0.9</w:t>
            </w:r>
          </w:p>
        </w:tc>
        <w:tc>
          <w:tcPr>
            <w:tcW w:type="dxa" w:w="5472"/>
            <w:vAlign w:val="center"/>
          </w:tcPr>
          <w:p>
            <w:pPr>
              <w:spacing w:before="60" w:after="60"/>
              <w:jc w:val="center"/>
            </w:pPr>
            <w:r>
              <w:rPr>
                <w:sz w:val="18"/>
              </w:rPr>
              <w:t>Leiden graph clustering</w:t>
            </w:r>
          </w:p>
        </w:tc>
      </w:tr>
      <w:tr>
        <w:tc>
          <w:tcPr>
            <w:tcW w:type="dxa" w:w="2592"/>
            <w:vAlign w:val="center"/>
            <w:shd w:val="clear" w:color="auto" w:fill="EBF3FB"/>
          </w:tcPr>
          <w:p>
            <w:pPr>
              <w:spacing w:before="60" w:after="60"/>
              <w:jc w:val="center"/>
            </w:pPr>
            <w:r>
              <w:rPr>
                <w:sz w:val="18"/>
              </w:rPr>
              <w:t>igraph</w:t>
            </w:r>
          </w:p>
        </w:tc>
        <w:tc>
          <w:tcPr>
            <w:tcW w:type="dxa" w:w="1728"/>
            <w:vAlign w:val="center"/>
            <w:shd w:val="clear" w:color="auto" w:fill="EBF3FB"/>
          </w:tcPr>
          <w:p>
            <w:pPr>
              <w:spacing w:before="60" w:after="60"/>
              <w:jc w:val="center"/>
            </w:pPr>
            <w:r>
              <w:rPr>
                <w:sz w:val="18"/>
              </w:rPr>
              <w:t>&gt;=0.10</w:t>
            </w:r>
          </w:p>
        </w:tc>
        <w:tc>
          <w:tcPr>
            <w:tcW w:type="dxa" w:w="5472"/>
            <w:vAlign w:val="center"/>
            <w:shd w:val="clear" w:color="auto" w:fill="EBF3FB"/>
          </w:tcPr>
          <w:p>
            <w:pPr>
              <w:spacing w:before="60" w:after="60"/>
              <w:jc w:val="center"/>
            </w:pPr>
            <w:r>
              <w:rPr>
                <w:sz w:val="18"/>
              </w:rPr>
              <w:t>Graph construction for Leiden</w:t>
            </w:r>
          </w:p>
        </w:tc>
      </w:tr>
      <w:tr>
        <w:tc>
          <w:tcPr>
            <w:tcW w:type="dxa" w:w="2592"/>
            <w:vAlign w:val="center"/>
          </w:tcPr>
          <w:p>
            <w:pPr>
              <w:spacing w:before="60" w:after="60"/>
              <w:jc w:val="center"/>
            </w:pPr>
            <w:r>
              <w:rPr>
                <w:sz w:val="18"/>
              </w:rPr>
              <w:t>lifelines</w:t>
            </w:r>
          </w:p>
        </w:tc>
        <w:tc>
          <w:tcPr>
            <w:tcW w:type="dxa" w:w="1728"/>
            <w:vAlign w:val="center"/>
          </w:tcPr>
          <w:p>
            <w:pPr>
              <w:spacing w:before="60" w:after="60"/>
              <w:jc w:val="center"/>
            </w:pPr>
            <w:r>
              <w:rPr>
                <w:sz w:val="18"/>
              </w:rPr>
              <w:t>&gt;=0.27</w:t>
            </w:r>
          </w:p>
        </w:tc>
        <w:tc>
          <w:tcPr>
            <w:tcW w:type="dxa" w:w="5472"/>
            <w:vAlign w:val="center"/>
          </w:tcPr>
          <w:p>
            <w:pPr>
              <w:spacing w:before="60" w:after="60"/>
              <w:jc w:val="center"/>
            </w:pPr>
            <w:r>
              <w:rPr>
                <w:sz w:val="18"/>
              </w:rPr>
              <w:t>Cox PH model, C-index computation</w:t>
            </w:r>
          </w:p>
        </w:tc>
      </w:tr>
      <w:tr>
        <w:tc>
          <w:tcPr>
            <w:tcW w:type="dxa" w:w="2592"/>
            <w:vAlign w:val="center"/>
            <w:shd w:val="clear" w:color="auto" w:fill="EBF3FB"/>
          </w:tcPr>
          <w:p>
            <w:pPr>
              <w:spacing w:before="60" w:after="60"/>
              <w:jc w:val="center"/>
            </w:pPr>
            <w:r>
              <w:rPr>
                <w:sz w:val="18"/>
              </w:rPr>
              <w:t>torch (PyTorch)</w:t>
            </w:r>
          </w:p>
        </w:tc>
        <w:tc>
          <w:tcPr>
            <w:tcW w:type="dxa" w:w="1728"/>
            <w:vAlign w:val="center"/>
            <w:shd w:val="clear" w:color="auto" w:fill="EBF3FB"/>
          </w:tcPr>
          <w:p>
            <w:pPr>
              <w:spacing w:before="60" w:after="60"/>
              <w:jc w:val="center"/>
            </w:pPr>
            <w:r>
              <w:rPr>
                <w:sz w:val="18"/>
              </w:rPr>
              <w:t>&gt;=2.0</w:t>
            </w:r>
          </w:p>
        </w:tc>
        <w:tc>
          <w:tcPr>
            <w:tcW w:type="dxa" w:w="5472"/>
            <w:vAlign w:val="center"/>
            <w:shd w:val="clear" w:color="auto" w:fill="EBF3FB"/>
          </w:tcPr>
          <w:p>
            <w:pPr>
              <w:spacing w:before="60" w:after="60"/>
              <w:jc w:val="center"/>
            </w:pPr>
            <w:r>
              <w:rPr>
                <w:sz w:val="18"/>
              </w:rPr>
              <w:t>FT-Transformer implementation</w:t>
            </w:r>
          </w:p>
        </w:tc>
      </w:tr>
      <w:tr>
        <w:tc>
          <w:tcPr>
            <w:tcW w:type="dxa" w:w="2592"/>
            <w:vAlign w:val="center"/>
          </w:tcPr>
          <w:p>
            <w:pPr>
              <w:spacing w:before="60" w:after="60"/>
              <w:jc w:val="center"/>
            </w:pPr>
            <w:r>
              <w:rPr>
                <w:sz w:val="18"/>
              </w:rPr>
              <w:t>xgboost</w:t>
            </w:r>
          </w:p>
        </w:tc>
        <w:tc>
          <w:tcPr>
            <w:tcW w:type="dxa" w:w="1728"/>
            <w:vAlign w:val="center"/>
          </w:tcPr>
          <w:p>
            <w:pPr>
              <w:spacing w:before="60" w:after="60"/>
              <w:jc w:val="center"/>
            </w:pPr>
            <w:r>
              <w:rPr>
                <w:sz w:val="18"/>
              </w:rPr>
              <w:t>3.2.0</w:t>
            </w:r>
          </w:p>
        </w:tc>
        <w:tc>
          <w:tcPr>
            <w:tcW w:type="dxa" w:w="5472"/>
            <w:vAlign w:val="center"/>
          </w:tcPr>
          <w:p>
            <w:pPr>
              <w:spacing w:before="60" w:after="60"/>
              <w:jc w:val="center"/>
            </w:pPr>
            <w:r>
              <w:rPr>
                <w:sz w:val="18"/>
              </w:rPr>
              <w:t>XGBoost survival model</w:t>
            </w:r>
          </w:p>
        </w:tc>
      </w:tr>
      <w:tr>
        <w:tc>
          <w:tcPr>
            <w:tcW w:type="dxa" w:w="2592"/>
            <w:vAlign w:val="center"/>
            <w:shd w:val="clear" w:color="auto" w:fill="EBF3FB"/>
          </w:tcPr>
          <w:p>
            <w:pPr>
              <w:spacing w:before="60" w:after="60"/>
              <w:jc w:val="center"/>
            </w:pPr>
            <w:r>
              <w:rPr>
                <w:sz w:val="18"/>
              </w:rPr>
              <w:t>lightgbm</w:t>
            </w:r>
          </w:p>
        </w:tc>
        <w:tc>
          <w:tcPr>
            <w:tcW w:type="dxa" w:w="1728"/>
            <w:vAlign w:val="center"/>
            <w:shd w:val="clear" w:color="auto" w:fill="EBF3FB"/>
          </w:tcPr>
          <w:p>
            <w:pPr>
              <w:spacing w:before="60" w:after="60"/>
              <w:jc w:val="center"/>
            </w:pPr>
            <w:r>
              <w:rPr>
                <w:sz w:val="18"/>
              </w:rPr>
              <w:t>4.6.0</w:t>
            </w:r>
          </w:p>
        </w:tc>
        <w:tc>
          <w:tcPr>
            <w:tcW w:type="dxa" w:w="5472"/>
            <w:vAlign w:val="center"/>
            <w:shd w:val="clear" w:color="auto" w:fill="EBF3FB"/>
          </w:tcPr>
          <w:p>
            <w:pPr>
              <w:spacing w:before="60" w:after="60"/>
              <w:jc w:val="center"/>
            </w:pPr>
            <w:r>
              <w:rPr>
                <w:sz w:val="18"/>
              </w:rPr>
              <w:t>LightGBM (custom Cox objective)</w:t>
            </w:r>
          </w:p>
        </w:tc>
      </w:tr>
      <w:tr>
        <w:tc>
          <w:tcPr>
            <w:tcW w:type="dxa" w:w="2592"/>
            <w:vAlign w:val="center"/>
          </w:tcPr>
          <w:p>
            <w:pPr>
              <w:spacing w:before="60" w:after="60"/>
              <w:jc w:val="center"/>
            </w:pPr>
            <w:r>
              <w:rPr>
                <w:sz w:val="18"/>
              </w:rPr>
              <w:t>shap</w:t>
            </w:r>
          </w:p>
        </w:tc>
        <w:tc>
          <w:tcPr>
            <w:tcW w:type="dxa" w:w="1728"/>
            <w:vAlign w:val="center"/>
          </w:tcPr>
          <w:p>
            <w:pPr>
              <w:spacing w:before="60" w:after="60"/>
              <w:jc w:val="center"/>
            </w:pPr>
            <w:r>
              <w:rPr>
                <w:sz w:val="18"/>
              </w:rPr>
              <w:t>&gt;=0.44</w:t>
            </w:r>
          </w:p>
        </w:tc>
        <w:tc>
          <w:tcPr>
            <w:tcW w:type="dxa" w:w="5472"/>
            <w:vAlign w:val="center"/>
          </w:tcPr>
          <w:p>
            <w:pPr>
              <w:spacing w:before="60" w:after="60"/>
              <w:jc w:val="center"/>
            </w:pPr>
            <w:r>
              <w:rPr>
                <w:sz w:val="18"/>
              </w:rPr>
              <w:t>SHAP attribution (Gradient + Tree explainers)</w:t>
            </w:r>
          </w:p>
        </w:tc>
      </w:tr>
      <w:tr>
        <w:tc>
          <w:tcPr>
            <w:tcW w:type="dxa" w:w="2592"/>
            <w:vAlign w:val="center"/>
            <w:shd w:val="clear" w:color="auto" w:fill="EBF3FB"/>
          </w:tcPr>
          <w:p>
            <w:pPr>
              <w:spacing w:before="60" w:after="60"/>
              <w:jc w:val="center"/>
            </w:pPr>
            <w:r>
              <w:rPr>
                <w:sz w:val="18"/>
              </w:rPr>
              <w:t>matplotlib</w:t>
            </w:r>
          </w:p>
        </w:tc>
        <w:tc>
          <w:tcPr>
            <w:tcW w:type="dxa" w:w="1728"/>
            <w:vAlign w:val="center"/>
            <w:shd w:val="clear" w:color="auto" w:fill="EBF3FB"/>
          </w:tcPr>
          <w:p>
            <w:pPr>
              <w:spacing w:before="60" w:after="60"/>
              <w:jc w:val="center"/>
            </w:pPr>
            <w:r>
              <w:rPr>
                <w:sz w:val="18"/>
              </w:rPr>
              <w:t>&gt;=3.8</w:t>
            </w:r>
          </w:p>
        </w:tc>
        <w:tc>
          <w:tcPr>
            <w:tcW w:type="dxa" w:w="5472"/>
            <w:vAlign w:val="center"/>
            <w:shd w:val="clear" w:color="auto" w:fill="EBF3FB"/>
          </w:tcPr>
          <w:p>
            <w:pPr>
              <w:spacing w:before="60" w:after="60"/>
              <w:jc w:val="center"/>
            </w:pPr>
            <w:r>
              <w:rPr>
                <w:sz w:val="18"/>
              </w:rPr>
              <w:t>All figures</w:t>
            </w:r>
          </w:p>
        </w:tc>
      </w:tr>
      <w:tr>
        <w:tc>
          <w:tcPr>
            <w:tcW w:type="dxa" w:w="2592"/>
            <w:vAlign w:val="center"/>
          </w:tcPr>
          <w:p>
            <w:pPr>
              <w:spacing w:before="60" w:after="60"/>
              <w:jc w:val="center"/>
            </w:pPr>
            <w:r>
              <w:rPr>
                <w:sz w:val="18"/>
              </w:rPr>
              <w:t>seaborn</w:t>
            </w:r>
          </w:p>
        </w:tc>
        <w:tc>
          <w:tcPr>
            <w:tcW w:type="dxa" w:w="1728"/>
            <w:vAlign w:val="center"/>
          </w:tcPr>
          <w:p>
            <w:pPr>
              <w:spacing w:before="60" w:after="60"/>
              <w:jc w:val="center"/>
            </w:pPr>
            <w:r>
              <w:rPr>
                <w:sz w:val="18"/>
              </w:rPr>
              <w:t>&gt;=0.13</w:t>
            </w:r>
          </w:p>
        </w:tc>
        <w:tc>
          <w:tcPr>
            <w:tcW w:type="dxa" w:w="5472"/>
            <w:vAlign w:val="center"/>
          </w:tcPr>
          <w:p>
            <w:pPr>
              <w:spacing w:before="60" w:after="60"/>
              <w:jc w:val="center"/>
            </w:pPr>
            <w:r>
              <w:rPr>
                <w:sz w:val="18"/>
              </w:rPr>
              <w:t>Statistical visualization</w:t>
            </w:r>
          </w:p>
        </w:tc>
      </w:tr>
      <w:tr>
        <w:tc>
          <w:tcPr>
            <w:tcW w:type="dxa" w:w="2592"/>
            <w:vAlign w:val="center"/>
            <w:shd w:val="clear" w:color="auto" w:fill="EBF3FB"/>
          </w:tcPr>
          <w:p>
            <w:pPr>
              <w:spacing w:before="60" w:after="60"/>
              <w:jc w:val="center"/>
            </w:pPr>
            <w:r>
              <w:rPr>
                <w:sz w:val="18"/>
              </w:rPr>
              <w:t>python-docx</w:t>
            </w:r>
          </w:p>
        </w:tc>
        <w:tc>
          <w:tcPr>
            <w:tcW w:type="dxa" w:w="1728"/>
            <w:vAlign w:val="center"/>
            <w:shd w:val="clear" w:color="auto" w:fill="EBF3FB"/>
          </w:tcPr>
          <w:p>
            <w:pPr>
              <w:spacing w:before="60" w:after="60"/>
              <w:jc w:val="center"/>
            </w:pPr>
            <w:r>
              <w:rPr>
                <w:sz w:val="18"/>
              </w:rPr>
              <w:t>1.2.0</w:t>
            </w:r>
          </w:p>
        </w:tc>
        <w:tc>
          <w:tcPr>
            <w:tcW w:type="dxa" w:w="5472"/>
            <w:vAlign w:val="center"/>
            <w:shd w:val="clear" w:color="auto" w:fill="EBF3FB"/>
          </w:tcPr>
          <w:p>
            <w:pPr>
              <w:spacing w:before="60" w:after="60"/>
              <w:jc w:val="center"/>
            </w:pPr>
            <w:r>
              <w:rPr>
                <w:sz w:val="18"/>
              </w:rPr>
              <w:t>Manuscript generation</w:t>
            </w:r>
          </w:p>
        </w:tc>
      </w:tr>
      <w:tr>
        <w:tc>
          <w:tcPr>
            <w:tcW w:type="dxa" w:w="2592"/>
            <w:vAlign w:val="center"/>
          </w:tcPr>
          <w:p>
            <w:pPr>
              <w:spacing w:before="60" w:after="60"/>
              <w:jc w:val="center"/>
            </w:pPr>
            <w:r>
              <w:rPr>
                <w:sz w:val="18"/>
              </w:rPr>
              <w:t>diff-diff</w:t>
            </w:r>
          </w:p>
        </w:tc>
        <w:tc>
          <w:tcPr>
            <w:tcW w:type="dxa" w:w="1728"/>
            <w:vAlign w:val="center"/>
          </w:tcPr>
          <w:p>
            <w:pPr>
              <w:spacing w:before="60" w:after="60"/>
              <w:jc w:val="center"/>
            </w:pPr>
            <w:r>
              <w:rPr>
                <w:sz w:val="18"/>
              </w:rPr>
              <w:t>3.3.2</w:t>
            </w:r>
          </w:p>
        </w:tc>
        <w:tc>
          <w:tcPr>
            <w:tcW w:type="dxa" w:w="5472"/>
            <w:vAlign w:val="center"/>
          </w:tcPr>
          <w:p>
            <w:pPr>
              <w:spacing w:before="60" w:after="60"/>
              <w:jc w:val="center"/>
            </w:pPr>
            <w:r>
              <w:rPr>
                <w:sz w:val="18"/>
              </w:rPr>
              <w:t>Causal DiD estimation (CS, DDD, HonestDiD, TROP)</w:t>
            </w:r>
          </w:p>
        </w:tc>
      </w:tr>
      <w:tr>
        <w:tc>
          <w:tcPr>
            <w:tcW w:type="dxa" w:w="2592"/>
            <w:vAlign w:val="center"/>
            <w:shd w:val="clear" w:color="auto" w:fill="EBF3FB"/>
          </w:tcPr>
          <w:p>
            <w:pPr>
              <w:spacing w:before="60" w:after="60"/>
              <w:jc w:val="center"/>
            </w:pPr>
            <w:r>
              <w:rPr>
                <w:sz w:val="18"/>
              </w:rPr>
              <w:t>mygene</w:t>
            </w:r>
          </w:p>
        </w:tc>
        <w:tc>
          <w:tcPr>
            <w:tcW w:type="dxa" w:w="1728"/>
            <w:vAlign w:val="center"/>
            <w:shd w:val="clear" w:color="auto" w:fill="EBF3FB"/>
          </w:tcPr>
          <w:p>
            <w:pPr>
              <w:spacing w:before="60" w:after="60"/>
              <w:jc w:val="center"/>
            </w:pPr>
            <w:r>
              <w:rPr>
                <w:sz w:val="18"/>
              </w:rPr>
              <w:t>&gt;=3.2</w:t>
            </w:r>
          </w:p>
        </w:tc>
        <w:tc>
          <w:tcPr>
            <w:tcW w:type="dxa" w:w="5472"/>
            <w:vAlign w:val="center"/>
            <w:shd w:val="clear" w:color="auto" w:fill="EBF3FB"/>
          </w:tcPr>
          <w:p>
            <w:pPr>
              <w:spacing w:before="60" w:after="60"/>
              <w:jc w:val="center"/>
            </w:pPr>
            <w:r>
              <w:rPr>
                <w:sz w:val="18"/>
              </w:rPr>
              <w:t>Gene ID to symbol mapping</w:t>
            </w:r>
          </w:p>
        </w:tc>
      </w:tr>
      <w:tr>
        <w:tc>
          <w:tcPr>
            <w:tcW w:type="dxa" w:w="2592"/>
            <w:vAlign w:val="center"/>
          </w:tcPr>
          <w:p>
            <w:pPr>
              <w:spacing w:before="60" w:after="60"/>
              <w:jc w:val="center"/>
            </w:pPr>
            <w:r>
              <w:rPr>
                <w:sz w:val="18"/>
              </w:rPr>
              <w:t>requests + tqdm</w:t>
            </w:r>
          </w:p>
        </w:tc>
        <w:tc>
          <w:tcPr>
            <w:tcW w:type="dxa" w:w="1728"/>
            <w:vAlign w:val="center"/>
          </w:tcPr>
          <w:p>
            <w:pPr>
              <w:spacing w:before="60" w:after="60"/>
              <w:jc w:val="center"/>
            </w:pPr>
            <w:r>
              <w:rPr>
                <w:sz w:val="18"/>
              </w:rPr>
              <w:t>current</w:t>
            </w:r>
          </w:p>
        </w:tc>
        <w:tc>
          <w:tcPr>
            <w:tcW w:type="dxa" w:w="5472"/>
            <w:vAlign w:val="center"/>
          </w:tcPr>
          <w:p>
            <w:pPr>
              <w:spacing w:before="60" w:after="60"/>
              <w:jc w:val="center"/>
            </w:pPr>
            <w:r>
              <w:rPr>
                <w:sz w:val="18"/>
              </w:rPr>
              <w:t>Data download</w:t>
            </w:r>
          </w:p>
        </w:tc>
      </w:tr>
    </w:tbl>
    <w:p>
      <w:pPr>
        <w:spacing w:after="240"/>
      </w:pPr>
      <w:r>
        <w:rPr>
          <w:b/>
          <w:i w:val="0"/>
          <w:sz w:val="18"/>
          <w:u w:val="none"/>
        </w:rPr>
        <w:t xml:space="preserve">Table S8. </w:t>
      </w:r>
      <w:r>
        <w:rPr>
          <w:b w:val="0"/>
          <w:i/>
          <w:sz w:val="18"/>
          <w:u w:val="none"/>
        </w:rPr>
        <w:t>Complete software environment used in this study.</w:t>
      </w:r>
    </w:p>
    <w:p>
      <w:pPr>
        <w:spacing w:after="120"/>
        <w:jc w:val="both"/>
      </w:pPr>
      <w:r>
        <w:rPr>
          <w:sz w:val="22"/>
        </w:rPr>
        <w:t>All source code is organized under the Cancer Research project directory with the following structure: src/preprocess.py (data loading and alignment), src/unsupervised/mofa_analysis.py (MOFA+ training and plotting), src/supervised/model_comparison.py (FTT/XGB/LGB training, SHAP), src/analysis/marker_analysis.py (gene-level marker analysis), src/analysis/did_causal_layer.py (Callaway-Sant'Anna, TripleDifference, HonestDiD, TROP causal inference analyses), and src/analysis/build_manuscript.py (this document generation script). Results are written to results/ (CSV and PNG files) and results/figures/ (all figures). Data are stored in data/csv/ after conversion from compressed source files via convert_to_csv.py. All random seeds are set to 42 for reproducibility. Parallelism is limited to single-CPU execution for MOFA+ and PyTorch (cpu-only mode).</w:t>
      </w:r>
    </w:p>
    <w:p>
      <w:r>
        <w:br w:type="page"/>
      </w:r>
    </w:p>
    <w:p>
      <w:pPr>
        <w:pStyle w:val="Heading1"/>
        <w:spacing w:before="320" w:after="120"/>
      </w:pPr>
      <w:r>
        <w:t>Section S11: Extended Causal Inference Methods and Results</w:t>
      </w:r>
    </w:p>
    <w:p>
      <w:pPr>
        <w:pStyle w:val="Heading2"/>
        <w:spacing w:before="320" w:after="120"/>
      </w:pPr>
      <w:r>
        <w:t>S11.1 Pseudo-Panel Construction</w:t>
      </w:r>
    </w:p>
    <w:p>
      <w:pPr>
        <w:spacing w:after="120"/>
        <w:jc w:val="both"/>
      </w:pPr>
      <w:r>
        <w:rPr>
          <w:sz w:val="22"/>
        </w:rPr>
        <w:t>TCGA is a cross-sectional registry: each patient contributes one molecular measurement at diagnosis. To apply panel DiD methods, we aggregated patients into a cancer-type × AJCC-stage pseudo-panel. Stage was extracted from the TCGA Clinical Data Resource (CDR) survival table using the 'clinical_stage' column, mapping free-text values (e.g., 'Stage IIA', 'Stage IIIC') to integer ordinal codes (1 = Stage I, 2 = Stage II, 3 = Stage III, 4 = Stage IV). This yielded 5,521 patients with valid stage annotations across 20 cancer types (11 cancer types lack AJCC staging: GBM, LGG, OV, PRAD, THYM, SARC, LAML, DLBC, MESO, UVM, ACC). Stage distribution: I = 1,796; II = 1,706; III = 1,314; IV = 695.</w:t>
      </w:r>
    </w:p>
    <w:p>
      <w:pPr>
        <w:spacing w:after="120"/>
        <w:jc w:val="both"/>
      </w:pPr>
      <w:r>
        <w:rPr>
          <w:sz w:val="22"/>
        </w:rPr>
        <w:t>For each cancer type × stage cell, we computed: (a) the mean MOFA+ factor score for the factor under analysis; (b) the mean z-scored OS time (OS_time standardized within each cancer type to remove between-type scale differences). Treatment assignment: a cancer type at stage s is 'treated' (factor-high) if its mean factor score at stage s exceeds the global pan-cancer median for that factor. The 'first_treat' variable is the first stage at which a cancer type transitions to factor-high; cancer types that never exceed the median receive first_treat = 0 (never-treated control). This construction treats stage as 'time' and cancer type as the 'unit', satisfying the staggered adoption DiD setup.</w:t>
      </w:r>
    </w:p>
    <w:p>
      <w:pPr>
        <w:pStyle w:val="Heading2"/>
        <w:spacing w:before="320" w:after="120"/>
      </w:pPr>
      <w:r>
        <w:t>S11.2 TWFE Bias Quantification (Bacon Decomposition)</w:t>
      </w:r>
    </w:p>
    <w:p>
      <w:pPr>
        <w:spacing w:after="120"/>
        <w:jc w:val="both"/>
      </w:pPr>
      <w:r>
        <w:rPr>
          <w:sz w:val="22"/>
        </w:rPr>
        <w:t>Two-Way Fixed Effects (TWFE) regression of the form Y_{it} = alpha_i + lambda_t + D_{it}*delta + eps_{it} produces a biased ATT estimator in staggered adoption designs because it includes 'forbidden' 2×2 comparisons: already-treated units used as controls when estimating later-treating units (Goodman-Bacon 2021). Bacon Decomposition decomposes the TWFE estimate into its constituent 2×2 DiD pairs: (1) early-treated vs. never-treated; (2) late-treated vs. never-treated; (3) early-treated vs. late-treated (timing comparisons). For Factor 8, we found that 37% of TWFE weight derived from contaminated timing comparisons (early-vs-late), validating the choice of CS over TWFE.</w:t>
      </w:r>
    </w:p>
    <w:p>
      <w:pPr>
        <w:jc w:val="center"/>
      </w:pPr>
      <w:r>
        <w:drawing>
          <wp:inline xmlns:a="http://schemas.openxmlformats.org/drawingml/2006/main" xmlns:pic="http://schemas.openxmlformats.org/drawingml/2006/picture">
            <wp:extent cx="5029200" cy="2761351"/>
            <wp:docPr id="35" name="Picture 35"/>
            <wp:cNvGraphicFramePr>
              <a:graphicFrameLocks noChangeAspect="1"/>
            </wp:cNvGraphicFramePr>
            <a:graphic>
              <a:graphicData uri="http://schemas.openxmlformats.org/drawingml/2006/picture">
                <pic:pic>
                  <pic:nvPicPr>
                    <pic:cNvPr id="0" name="did_bacon_decomp.png"/>
                    <pic:cNvPicPr/>
                  </pic:nvPicPr>
                  <pic:blipFill>
                    <a:blip r:embed="rId43"/>
                    <a:stretch>
                      <a:fillRect/>
                    </a:stretch>
                  </pic:blipFill>
                  <pic:spPr>
                    <a:xfrm>
                      <a:off x="0" y="0"/>
                      <a:ext cx="5029200" cy="2761351"/>
                    </a:xfrm>
                    <a:prstGeom prst="rect"/>
                  </pic:spPr>
                </pic:pic>
              </a:graphicData>
            </a:graphic>
          </wp:inline>
        </w:drawing>
      </w:r>
    </w:p>
    <w:p>
      <w:pPr>
        <w:spacing w:before="80" w:after="280"/>
        <w:jc w:val="center"/>
      </w:pPr>
      <w:r>
        <w:rPr>
          <w:b/>
          <w:i w:val="0"/>
          <w:sz w:val="18"/>
          <w:u w:val="none"/>
        </w:rPr>
        <w:t xml:space="preserve">Figure S33. </w:t>
      </w:r>
      <w:r>
        <w:rPr>
          <w:b w:val="0"/>
          <w:i/>
          <w:sz w:val="18"/>
          <w:u w:val="none"/>
        </w:rPr>
        <w:t>Bacon Decomposition for Factor 8. Bar chart shows the percentage of TWFE estimate weight attributable to each type of 2x2 comparison: clean (vs. never-treated), timing (early-vs-late), and contaminated (late-vs-early used as control). 37% of TWFE weight comes from contaminated timing comparisons.</w:t>
      </w:r>
    </w:p>
    <w:p>
      <w:pPr>
        <w:pStyle w:val="Heading2"/>
        <w:spacing w:before="320" w:after="120"/>
      </w:pPr>
      <w:r>
        <w:t>S11.3 Full ATT Estimates — All Five Factors</w:t>
      </w:r>
    </w:p>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tblGrid>
      <w:tr>
        <w:tc>
          <w:tcPr>
            <w:tcW w:type="dxa" w:w="1080"/>
            <w:vAlign w:val="center"/>
            <w:shd w:val="clear" w:color="auto" w:fill="1F3864"/>
          </w:tcPr>
          <w:p>
            <w:pPr>
              <w:spacing w:before="60" w:after="60"/>
              <w:jc w:val="center"/>
            </w:pPr>
            <w:r>
              <w:rPr>
                <w:b/>
                <w:color w:val="FFFFFF"/>
                <w:sz w:val="19"/>
              </w:rPr>
              <w:t>Factor</w:t>
            </w:r>
          </w:p>
        </w:tc>
        <w:tc>
          <w:tcPr>
            <w:tcW w:type="dxa" w:w="2592"/>
            <w:vAlign w:val="center"/>
            <w:shd w:val="clear" w:color="auto" w:fill="1F3864"/>
          </w:tcPr>
          <w:p>
            <w:pPr>
              <w:spacing w:before="60" w:after="60"/>
              <w:jc w:val="center"/>
            </w:pPr>
            <w:r>
              <w:rPr>
                <w:b/>
                <w:color w:val="FFFFFF"/>
                <w:sz w:val="19"/>
              </w:rPr>
              <w:t>Biology</w:t>
            </w:r>
          </w:p>
        </w:tc>
        <w:tc>
          <w:tcPr>
            <w:tcW w:type="dxa" w:w="864"/>
            <w:vAlign w:val="center"/>
            <w:shd w:val="clear" w:color="auto" w:fill="1F3864"/>
          </w:tcPr>
          <w:p>
            <w:pPr>
              <w:spacing w:before="60" w:after="60"/>
              <w:jc w:val="center"/>
            </w:pPr>
            <w:r>
              <w:rPr>
                <w:b/>
                <w:color w:val="FFFFFF"/>
                <w:sz w:val="19"/>
              </w:rPr>
              <w:t>ATT</w:t>
            </w:r>
          </w:p>
        </w:tc>
        <w:tc>
          <w:tcPr>
            <w:tcW w:type="dxa" w:w="720"/>
            <w:vAlign w:val="center"/>
            <w:shd w:val="clear" w:color="auto" w:fill="1F3864"/>
          </w:tcPr>
          <w:p>
            <w:pPr>
              <w:spacing w:before="60" w:after="60"/>
              <w:jc w:val="center"/>
            </w:pPr>
            <w:r>
              <w:rPr>
                <w:b/>
                <w:color w:val="FFFFFF"/>
                <w:sz w:val="19"/>
              </w:rPr>
              <w:t>SE</w:t>
            </w:r>
          </w:p>
        </w:tc>
        <w:tc>
          <w:tcPr>
            <w:tcW w:type="dxa" w:w="1296"/>
            <w:vAlign w:val="center"/>
            <w:shd w:val="clear" w:color="auto" w:fill="1F3864"/>
          </w:tcPr>
          <w:p>
            <w:pPr>
              <w:spacing w:before="60" w:after="60"/>
              <w:jc w:val="center"/>
            </w:pPr>
            <w:r>
              <w:rPr>
                <w:b/>
                <w:color w:val="FFFFFF"/>
                <w:sz w:val="19"/>
              </w:rPr>
              <w:t>95% CI Lower</w:t>
            </w:r>
          </w:p>
        </w:tc>
        <w:tc>
          <w:tcPr>
            <w:tcW w:type="dxa" w:w="1296"/>
            <w:vAlign w:val="center"/>
            <w:shd w:val="clear" w:color="auto" w:fill="1F3864"/>
          </w:tcPr>
          <w:p>
            <w:pPr>
              <w:spacing w:before="60" w:after="60"/>
              <w:jc w:val="center"/>
            </w:pPr>
            <w:r>
              <w:rPr>
                <w:b/>
                <w:color w:val="FFFFFF"/>
                <w:sz w:val="19"/>
              </w:rPr>
              <w:t>95% CI Upper</w:t>
            </w:r>
          </w:p>
        </w:tc>
        <w:tc>
          <w:tcPr>
            <w:tcW w:type="dxa" w:w="1008"/>
            <w:vAlign w:val="center"/>
            <w:shd w:val="clear" w:color="auto" w:fill="1F3864"/>
          </w:tcPr>
          <w:p>
            <w:pPr>
              <w:spacing w:before="60" w:after="60"/>
              <w:jc w:val="center"/>
            </w:pPr>
            <w:r>
              <w:rPr>
                <w:b/>
                <w:color w:val="FFFFFF"/>
                <w:sz w:val="19"/>
              </w:rPr>
              <w:t>p-value</w:t>
            </w:r>
          </w:p>
        </w:tc>
        <w:tc>
          <w:tcPr>
            <w:tcW w:type="dxa" w:w="1584"/>
            <w:vAlign w:val="center"/>
            <w:shd w:val="clear" w:color="auto" w:fill="1F3864"/>
          </w:tcPr>
          <w:p>
            <w:pPr>
              <w:spacing w:before="60" w:after="60"/>
              <w:jc w:val="center"/>
            </w:pPr>
            <w:r>
              <w:rPr>
                <w:b/>
                <w:color w:val="FFFFFF"/>
                <w:sz w:val="19"/>
              </w:rPr>
              <w:t>Causal Status</w:t>
            </w:r>
          </w:p>
        </w:tc>
      </w:tr>
      <w:tr>
        <w:tc>
          <w:tcPr>
            <w:tcW w:type="dxa" w:w="1080"/>
            <w:vAlign w:val="center"/>
          </w:tcPr>
          <w:p>
            <w:pPr>
              <w:spacing w:before="60" w:after="60"/>
              <w:jc w:val="center"/>
            </w:pPr>
            <w:r>
              <w:rPr>
                <w:sz w:val="18"/>
              </w:rPr>
              <w:t>Factor 6</w:t>
            </w:r>
          </w:p>
        </w:tc>
        <w:tc>
          <w:tcPr>
            <w:tcW w:type="dxa" w:w="2592"/>
            <w:vAlign w:val="center"/>
          </w:tcPr>
          <w:p>
            <w:pPr>
              <w:spacing w:before="60" w:after="60"/>
              <w:jc w:val="center"/>
            </w:pPr>
            <w:r>
              <w:rPr>
                <w:sz w:val="18"/>
              </w:rPr>
              <w:t>9p24.1 immune checkpoint</w:t>
            </w:r>
          </w:p>
        </w:tc>
        <w:tc>
          <w:tcPr>
            <w:tcW w:type="dxa" w:w="864"/>
            <w:vAlign w:val="center"/>
          </w:tcPr>
          <w:p>
            <w:pPr>
              <w:spacing w:before="60" w:after="60"/>
              <w:jc w:val="center"/>
            </w:pPr>
            <w:r>
              <w:rPr>
                <w:sz w:val="18"/>
              </w:rPr>
              <w:t>−0.486</w:t>
            </w:r>
          </w:p>
        </w:tc>
        <w:tc>
          <w:tcPr>
            <w:tcW w:type="dxa" w:w="720"/>
            <w:vAlign w:val="center"/>
          </w:tcPr>
          <w:p>
            <w:pPr>
              <w:spacing w:before="60" w:after="60"/>
              <w:jc w:val="center"/>
            </w:pPr>
            <w:r>
              <w:rPr>
                <w:sz w:val="18"/>
              </w:rPr>
              <w:t>0.067</w:t>
            </w:r>
          </w:p>
        </w:tc>
        <w:tc>
          <w:tcPr>
            <w:tcW w:type="dxa" w:w="1296"/>
            <w:vAlign w:val="center"/>
          </w:tcPr>
          <w:p>
            <w:pPr>
              <w:spacing w:before="60" w:after="60"/>
              <w:jc w:val="center"/>
            </w:pPr>
            <w:r>
              <w:rPr>
                <w:sz w:val="18"/>
              </w:rPr>
              <w:t>−0.617</w:t>
            </w:r>
          </w:p>
        </w:tc>
        <w:tc>
          <w:tcPr>
            <w:tcW w:type="dxa" w:w="1296"/>
            <w:vAlign w:val="center"/>
          </w:tcPr>
          <w:p>
            <w:pPr>
              <w:spacing w:before="60" w:after="60"/>
              <w:jc w:val="center"/>
            </w:pPr>
            <w:r>
              <w:rPr>
                <w:sz w:val="18"/>
              </w:rPr>
              <w:t>−0.355</w:t>
            </w:r>
          </w:p>
        </w:tc>
        <w:tc>
          <w:tcPr>
            <w:tcW w:type="dxa" w:w="1008"/>
            <w:vAlign w:val="center"/>
          </w:tcPr>
          <w:p>
            <w:pPr>
              <w:spacing w:before="60" w:after="60"/>
              <w:jc w:val="center"/>
            </w:pPr>
            <w:r>
              <w:rPr>
                <w:sz w:val="18"/>
              </w:rPr>
              <w:t>&lt;0.001</w:t>
            </w:r>
          </w:p>
        </w:tc>
        <w:tc>
          <w:tcPr>
            <w:tcW w:type="dxa" w:w="1584"/>
            <w:vAlign w:val="center"/>
          </w:tcPr>
          <w:p>
            <w:pPr>
              <w:spacing w:before="60" w:after="60"/>
              <w:jc w:val="center"/>
            </w:pPr>
            <w:r>
              <w:rPr>
                <w:sz w:val="18"/>
              </w:rPr>
              <w:t>Validated</w:t>
            </w:r>
          </w:p>
        </w:tc>
      </w:tr>
      <w:tr>
        <w:tc>
          <w:tcPr>
            <w:tcW w:type="dxa" w:w="1080"/>
            <w:vAlign w:val="center"/>
            <w:shd w:val="clear" w:color="auto" w:fill="EBF3FB"/>
          </w:tcPr>
          <w:p>
            <w:pPr>
              <w:spacing w:before="60" w:after="60"/>
              <w:jc w:val="center"/>
            </w:pPr>
            <w:r>
              <w:rPr>
                <w:sz w:val="18"/>
              </w:rPr>
              <w:t>Factor 15</w:t>
            </w:r>
          </w:p>
        </w:tc>
        <w:tc>
          <w:tcPr>
            <w:tcW w:type="dxa" w:w="2592"/>
            <w:vAlign w:val="center"/>
            <w:shd w:val="clear" w:color="auto" w:fill="EBF3FB"/>
          </w:tcPr>
          <w:p>
            <w:pPr>
              <w:spacing w:before="60" w:after="60"/>
              <w:jc w:val="center"/>
            </w:pPr>
            <w:r>
              <w:rPr>
                <w:sz w:val="18"/>
              </w:rPr>
              <w:t>Luminal de-differentiation</w:t>
            </w:r>
          </w:p>
        </w:tc>
        <w:tc>
          <w:tcPr>
            <w:tcW w:type="dxa" w:w="864"/>
            <w:vAlign w:val="center"/>
            <w:shd w:val="clear" w:color="auto" w:fill="EBF3FB"/>
          </w:tcPr>
          <w:p>
            <w:pPr>
              <w:spacing w:before="60" w:after="60"/>
              <w:jc w:val="center"/>
            </w:pPr>
            <w:r>
              <w:rPr>
                <w:sz w:val="18"/>
              </w:rPr>
              <w:t>−0.285</w:t>
            </w:r>
          </w:p>
        </w:tc>
        <w:tc>
          <w:tcPr>
            <w:tcW w:type="dxa" w:w="720"/>
            <w:vAlign w:val="center"/>
            <w:shd w:val="clear" w:color="auto" w:fill="EBF3FB"/>
          </w:tcPr>
          <w:p>
            <w:pPr>
              <w:spacing w:before="60" w:after="60"/>
              <w:jc w:val="center"/>
            </w:pPr>
            <w:r>
              <w:rPr>
                <w:sz w:val="18"/>
              </w:rPr>
              <w:t>0.033</w:t>
            </w:r>
          </w:p>
        </w:tc>
        <w:tc>
          <w:tcPr>
            <w:tcW w:type="dxa" w:w="1296"/>
            <w:vAlign w:val="center"/>
            <w:shd w:val="clear" w:color="auto" w:fill="EBF3FB"/>
          </w:tcPr>
          <w:p>
            <w:pPr>
              <w:spacing w:before="60" w:after="60"/>
              <w:jc w:val="center"/>
            </w:pPr>
            <w:r>
              <w:rPr>
                <w:sz w:val="18"/>
              </w:rPr>
              <w:t>−0.350</w:t>
            </w:r>
          </w:p>
        </w:tc>
        <w:tc>
          <w:tcPr>
            <w:tcW w:type="dxa" w:w="1296"/>
            <w:vAlign w:val="center"/>
            <w:shd w:val="clear" w:color="auto" w:fill="EBF3FB"/>
          </w:tcPr>
          <w:p>
            <w:pPr>
              <w:spacing w:before="60" w:after="60"/>
              <w:jc w:val="center"/>
            </w:pPr>
            <w:r>
              <w:rPr>
                <w:sz w:val="18"/>
              </w:rPr>
              <w:t>−0.220</w:t>
            </w:r>
          </w:p>
        </w:tc>
        <w:tc>
          <w:tcPr>
            <w:tcW w:type="dxa" w:w="1008"/>
            <w:vAlign w:val="center"/>
            <w:shd w:val="clear" w:color="auto" w:fill="EBF3FB"/>
          </w:tcPr>
          <w:p>
            <w:pPr>
              <w:spacing w:before="60" w:after="60"/>
              <w:jc w:val="center"/>
            </w:pPr>
            <w:r>
              <w:rPr>
                <w:sz w:val="18"/>
              </w:rPr>
              <w:t>&lt;0.001</w:t>
            </w:r>
          </w:p>
        </w:tc>
        <w:tc>
          <w:tcPr>
            <w:tcW w:type="dxa" w:w="1584"/>
            <w:vAlign w:val="center"/>
            <w:shd w:val="clear" w:color="auto" w:fill="EBF3FB"/>
          </w:tcPr>
          <w:p>
            <w:pPr>
              <w:spacing w:before="60" w:after="60"/>
              <w:jc w:val="center"/>
            </w:pPr>
            <w:r>
              <w:rPr>
                <w:sz w:val="18"/>
              </w:rPr>
              <w:t>Validated</w:t>
            </w:r>
          </w:p>
        </w:tc>
      </w:tr>
      <w:tr>
        <w:tc>
          <w:tcPr>
            <w:tcW w:type="dxa" w:w="1080"/>
            <w:vAlign w:val="center"/>
          </w:tcPr>
          <w:p>
            <w:pPr>
              <w:spacing w:before="60" w:after="60"/>
              <w:jc w:val="center"/>
            </w:pPr>
            <w:r>
              <w:rPr>
                <w:sz w:val="18"/>
              </w:rPr>
              <w:t>Factor 1</w:t>
            </w:r>
          </w:p>
        </w:tc>
        <w:tc>
          <w:tcPr>
            <w:tcW w:type="dxa" w:w="2592"/>
            <w:vAlign w:val="center"/>
          </w:tcPr>
          <w:p>
            <w:pPr>
              <w:spacing w:before="60" w:after="60"/>
              <w:jc w:val="center"/>
            </w:pPr>
            <w:r>
              <w:rPr>
                <w:sz w:val="18"/>
              </w:rPr>
              <w:t>Squamous lineage</w:t>
            </w:r>
          </w:p>
        </w:tc>
        <w:tc>
          <w:tcPr>
            <w:tcW w:type="dxa" w:w="864"/>
            <w:vAlign w:val="center"/>
          </w:tcPr>
          <w:p>
            <w:pPr>
              <w:spacing w:before="60" w:after="60"/>
              <w:jc w:val="center"/>
            </w:pPr>
            <w:r>
              <w:rPr>
                <w:sz w:val="18"/>
              </w:rPr>
              <w:t>−0.129</w:t>
            </w:r>
          </w:p>
        </w:tc>
        <w:tc>
          <w:tcPr>
            <w:tcW w:type="dxa" w:w="720"/>
            <w:vAlign w:val="center"/>
          </w:tcPr>
          <w:p>
            <w:pPr>
              <w:spacing w:before="60" w:after="60"/>
              <w:jc w:val="center"/>
            </w:pPr>
            <w:r>
              <w:rPr>
                <w:sz w:val="18"/>
              </w:rPr>
              <w:t>0.059</w:t>
            </w:r>
          </w:p>
        </w:tc>
        <w:tc>
          <w:tcPr>
            <w:tcW w:type="dxa" w:w="1296"/>
            <w:vAlign w:val="center"/>
          </w:tcPr>
          <w:p>
            <w:pPr>
              <w:spacing w:before="60" w:after="60"/>
              <w:jc w:val="center"/>
            </w:pPr>
            <w:r>
              <w:rPr>
                <w:sz w:val="18"/>
              </w:rPr>
              <w:t>−0.245</w:t>
            </w:r>
          </w:p>
        </w:tc>
        <w:tc>
          <w:tcPr>
            <w:tcW w:type="dxa" w:w="1296"/>
            <w:vAlign w:val="center"/>
          </w:tcPr>
          <w:p>
            <w:pPr>
              <w:spacing w:before="60" w:after="60"/>
              <w:jc w:val="center"/>
            </w:pPr>
            <w:r>
              <w:rPr>
                <w:sz w:val="18"/>
              </w:rPr>
              <w:t>−0.013</w:t>
            </w:r>
          </w:p>
        </w:tc>
        <w:tc>
          <w:tcPr>
            <w:tcW w:type="dxa" w:w="1008"/>
            <w:vAlign w:val="center"/>
          </w:tcPr>
          <w:p>
            <w:pPr>
              <w:spacing w:before="60" w:after="60"/>
              <w:jc w:val="center"/>
            </w:pPr>
            <w:r>
              <w:rPr>
                <w:sz w:val="18"/>
              </w:rPr>
              <w:t>0.028</w:t>
            </w:r>
          </w:p>
        </w:tc>
        <w:tc>
          <w:tcPr>
            <w:tcW w:type="dxa" w:w="1584"/>
            <w:vAlign w:val="center"/>
          </w:tcPr>
          <w:p>
            <w:pPr>
              <w:spacing w:before="60" w:after="60"/>
              <w:jc w:val="center"/>
            </w:pPr>
            <w:r>
              <w:rPr>
                <w:sz w:val="18"/>
              </w:rPr>
              <w:t>Validated</w:t>
            </w:r>
          </w:p>
        </w:tc>
      </w:tr>
      <w:tr>
        <w:tc>
          <w:tcPr>
            <w:tcW w:type="dxa" w:w="1080"/>
            <w:vAlign w:val="center"/>
            <w:shd w:val="clear" w:color="auto" w:fill="EBF3FB"/>
          </w:tcPr>
          <w:p>
            <w:pPr>
              <w:spacing w:before="60" w:after="60"/>
              <w:jc w:val="center"/>
            </w:pPr>
            <w:r>
              <w:rPr>
                <w:sz w:val="18"/>
              </w:rPr>
              <w:t>Factor 12</w:t>
            </w:r>
          </w:p>
        </w:tc>
        <w:tc>
          <w:tcPr>
            <w:tcW w:type="dxa" w:w="2592"/>
            <w:vAlign w:val="center"/>
            <w:shd w:val="clear" w:color="auto" w:fill="EBF3FB"/>
          </w:tcPr>
          <w:p>
            <w:pPr>
              <w:spacing w:before="60" w:after="60"/>
              <w:jc w:val="center"/>
            </w:pPr>
            <w:r>
              <w:rPr>
                <w:sz w:val="18"/>
              </w:rPr>
              <w:t>Thyroid/IDH gradient</w:t>
            </w:r>
          </w:p>
        </w:tc>
        <w:tc>
          <w:tcPr>
            <w:tcW w:type="dxa" w:w="864"/>
            <w:vAlign w:val="center"/>
            <w:shd w:val="clear" w:color="auto" w:fill="EBF3FB"/>
          </w:tcPr>
          <w:p>
            <w:pPr>
              <w:spacing w:before="60" w:after="60"/>
              <w:jc w:val="center"/>
            </w:pPr>
            <w:r>
              <w:rPr>
                <w:sz w:val="18"/>
              </w:rPr>
              <w:t>−0.026</w:t>
            </w:r>
          </w:p>
        </w:tc>
        <w:tc>
          <w:tcPr>
            <w:tcW w:type="dxa" w:w="720"/>
            <w:vAlign w:val="center"/>
            <w:shd w:val="clear" w:color="auto" w:fill="EBF3FB"/>
          </w:tcPr>
          <w:p>
            <w:pPr>
              <w:spacing w:before="60" w:after="60"/>
              <w:jc w:val="center"/>
            </w:pPr>
            <w:r>
              <w:rPr>
                <w:sz w:val="18"/>
              </w:rPr>
              <w:t>0.059</w:t>
            </w:r>
          </w:p>
        </w:tc>
        <w:tc>
          <w:tcPr>
            <w:tcW w:type="dxa" w:w="1296"/>
            <w:vAlign w:val="center"/>
            <w:shd w:val="clear" w:color="auto" w:fill="EBF3FB"/>
          </w:tcPr>
          <w:p>
            <w:pPr>
              <w:spacing w:before="60" w:after="60"/>
              <w:jc w:val="center"/>
            </w:pPr>
            <w:r>
              <w:rPr>
                <w:sz w:val="18"/>
              </w:rPr>
              <w:t>−0.142</w:t>
            </w:r>
          </w:p>
        </w:tc>
        <w:tc>
          <w:tcPr>
            <w:tcW w:type="dxa" w:w="1296"/>
            <w:vAlign w:val="center"/>
            <w:shd w:val="clear" w:color="auto" w:fill="EBF3FB"/>
          </w:tcPr>
          <w:p>
            <w:pPr>
              <w:spacing w:before="60" w:after="60"/>
              <w:jc w:val="center"/>
            </w:pPr>
            <w:r>
              <w:rPr>
                <w:sz w:val="18"/>
              </w:rPr>
              <w:t>+0.090</w:t>
            </w:r>
          </w:p>
        </w:tc>
        <w:tc>
          <w:tcPr>
            <w:tcW w:type="dxa" w:w="1008"/>
            <w:vAlign w:val="center"/>
            <w:shd w:val="clear" w:color="auto" w:fill="EBF3FB"/>
          </w:tcPr>
          <w:p>
            <w:pPr>
              <w:spacing w:before="60" w:after="60"/>
              <w:jc w:val="center"/>
            </w:pPr>
            <w:r>
              <w:rPr>
                <w:sz w:val="18"/>
              </w:rPr>
              <w:t>0.652</w:t>
            </w:r>
          </w:p>
        </w:tc>
        <w:tc>
          <w:tcPr>
            <w:tcW w:type="dxa" w:w="1584"/>
            <w:vAlign w:val="center"/>
            <w:shd w:val="clear" w:color="auto" w:fill="EBF3FB"/>
          </w:tcPr>
          <w:p>
            <w:pPr>
              <w:spacing w:before="60" w:after="60"/>
              <w:jc w:val="center"/>
            </w:pPr>
            <w:r>
              <w:rPr>
                <w:sz w:val="18"/>
              </w:rPr>
              <w:t>Not sig.</w:t>
            </w:r>
          </w:p>
        </w:tc>
      </w:tr>
      <w:tr>
        <w:tc>
          <w:tcPr>
            <w:tcW w:type="dxa" w:w="1080"/>
            <w:vAlign w:val="center"/>
          </w:tcPr>
          <w:p>
            <w:pPr>
              <w:spacing w:before="60" w:after="60"/>
              <w:jc w:val="center"/>
            </w:pPr>
            <w:r>
              <w:rPr>
                <w:sz w:val="18"/>
              </w:rPr>
              <w:t>Factor 8</w:t>
            </w:r>
          </w:p>
        </w:tc>
        <w:tc>
          <w:tcPr>
            <w:tcW w:type="dxa" w:w="2592"/>
            <w:vAlign w:val="center"/>
          </w:tcPr>
          <w:p>
            <w:pPr>
              <w:spacing w:before="60" w:after="60"/>
              <w:jc w:val="center"/>
            </w:pPr>
            <w:r>
              <w:rPr>
                <w:sz w:val="18"/>
              </w:rPr>
              <w:t>Protease invasion + drivers</w:t>
            </w:r>
          </w:p>
        </w:tc>
        <w:tc>
          <w:tcPr>
            <w:tcW w:type="dxa" w:w="864"/>
            <w:vAlign w:val="center"/>
          </w:tcPr>
          <w:p>
            <w:pPr>
              <w:spacing w:before="60" w:after="60"/>
              <w:jc w:val="center"/>
            </w:pPr>
            <w:r>
              <w:rPr>
                <w:sz w:val="18"/>
              </w:rPr>
              <w:t>+0.297</w:t>
            </w:r>
          </w:p>
        </w:tc>
        <w:tc>
          <w:tcPr>
            <w:tcW w:type="dxa" w:w="720"/>
            <w:vAlign w:val="center"/>
          </w:tcPr>
          <w:p>
            <w:pPr>
              <w:spacing w:before="60" w:after="60"/>
              <w:jc w:val="center"/>
            </w:pPr>
            <w:r>
              <w:rPr>
                <w:sz w:val="18"/>
              </w:rPr>
              <w:t>0.198</w:t>
            </w:r>
          </w:p>
        </w:tc>
        <w:tc>
          <w:tcPr>
            <w:tcW w:type="dxa" w:w="1296"/>
            <w:vAlign w:val="center"/>
          </w:tcPr>
          <w:p>
            <w:pPr>
              <w:spacing w:before="60" w:after="60"/>
              <w:jc w:val="center"/>
            </w:pPr>
            <w:r>
              <w:rPr>
                <w:sz w:val="18"/>
              </w:rPr>
              <w:t>−0.091</w:t>
            </w:r>
          </w:p>
        </w:tc>
        <w:tc>
          <w:tcPr>
            <w:tcW w:type="dxa" w:w="1296"/>
            <w:vAlign w:val="center"/>
          </w:tcPr>
          <w:p>
            <w:pPr>
              <w:spacing w:before="60" w:after="60"/>
              <w:jc w:val="center"/>
            </w:pPr>
            <w:r>
              <w:rPr>
                <w:sz w:val="18"/>
              </w:rPr>
              <w:t>+0.686</w:t>
            </w:r>
          </w:p>
        </w:tc>
        <w:tc>
          <w:tcPr>
            <w:tcW w:type="dxa" w:w="1008"/>
            <w:vAlign w:val="center"/>
          </w:tcPr>
          <w:p>
            <w:pPr>
              <w:spacing w:before="60" w:after="60"/>
              <w:jc w:val="center"/>
            </w:pPr>
            <w:r>
              <w:rPr>
                <w:sz w:val="18"/>
              </w:rPr>
              <w:t>0.134</w:t>
            </w:r>
          </w:p>
        </w:tc>
        <w:tc>
          <w:tcPr>
            <w:tcW w:type="dxa" w:w="1584"/>
            <w:vAlign w:val="center"/>
          </w:tcPr>
          <w:p>
            <w:pPr>
              <w:spacing w:before="60" w:after="60"/>
              <w:jc w:val="center"/>
            </w:pPr>
            <w:r>
              <w:rPr>
                <w:sz w:val="18"/>
              </w:rPr>
              <w:t>Confounded</w:t>
            </w:r>
          </w:p>
        </w:tc>
      </w:tr>
    </w:tbl>
    <w:p>
      <w:pPr>
        <w:spacing w:after="240"/>
      </w:pPr>
      <w:r>
        <w:rPr>
          <w:b/>
          <w:i w:val="0"/>
          <w:sz w:val="18"/>
          <w:u w:val="none"/>
        </w:rPr>
        <w:t xml:space="preserve">Table S9. </w:t>
      </w:r>
      <w:r>
        <w:rPr>
          <w:b w:val="0"/>
          <w:i/>
          <w:sz w:val="18"/>
          <w:u w:val="none"/>
        </w:rPr>
        <w:t>Full Callaway-Sant'Anna ATT estimates for all five top SHAP-ranked MOFA+ factors. 95% CI computed via 999 bootstrap replications with cancer-type clustering. Outcome: z-scored OS time within cancer type. Negative ATT = high factor activation causally reduces survival time.</w:t>
      </w:r>
    </w:p>
    <w:p>
      <w:pPr>
        <w:jc w:val="center"/>
      </w:pPr>
      <w:r>
        <w:drawing>
          <wp:inline xmlns:a="http://schemas.openxmlformats.org/drawingml/2006/main" xmlns:pic="http://schemas.openxmlformats.org/drawingml/2006/picture">
            <wp:extent cx="5029200" cy="3088031"/>
            <wp:docPr id="36" name="Picture 36"/>
            <wp:cNvGraphicFramePr>
              <a:graphicFrameLocks noChangeAspect="1"/>
            </wp:cNvGraphicFramePr>
            <a:graphic>
              <a:graphicData uri="http://schemas.openxmlformats.org/drawingml/2006/picture">
                <pic:pic>
                  <pic:nvPicPr>
                    <pic:cNvPr id="0" name="did_event_study_Factor8.png"/>
                    <pic:cNvPicPr/>
                  </pic:nvPicPr>
                  <pic:blipFill>
                    <a:blip r:embed="rId44"/>
                    <a:stretch>
                      <a:fillRect/>
                    </a:stretch>
                  </pic:blipFill>
                  <pic:spPr>
                    <a:xfrm>
                      <a:off x="0" y="0"/>
                      <a:ext cx="5029200" cy="3088031"/>
                    </a:xfrm>
                    <a:prstGeom prst="rect"/>
                  </pic:spPr>
                </pic:pic>
              </a:graphicData>
            </a:graphic>
          </wp:inline>
        </w:drawing>
      </w:r>
    </w:p>
    <w:p>
      <w:pPr>
        <w:spacing w:before="80" w:after="280"/>
        <w:jc w:val="center"/>
      </w:pPr>
      <w:r>
        <w:rPr>
          <w:b/>
          <w:i w:val="0"/>
          <w:sz w:val="18"/>
          <w:u w:val="none"/>
        </w:rPr>
        <w:t xml:space="preserve">Figure S34. </w:t>
      </w:r>
      <w:r>
        <w:rPr>
          <w:b w:val="0"/>
          <w:i/>
          <w:sz w:val="18"/>
          <w:u w:val="none"/>
        </w:rPr>
        <w:t>Callaway-Sant'Anna event study for Factor 8 (protease invasion + driver mutations). Pre-trend tests show no significant differential trend before treatment onset. Post-treatment estimates are heterogeneous and confidence intervals span zero, consistent with the non-significant aggregate ATT.</w:t>
      </w:r>
    </w:p>
    <w:p>
      <w:pPr>
        <w:jc w:val="center"/>
      </w:pPr>
      <w:r>
        <w:drawing>
          <wp:inline xmlns:a="http://schemas.openxmlformats.org/drawingml/2006/main" xmlns:pic="http://schemas.openxmlformats.org/drawingml/2006/picture">
            <wp:extent cx="5029200" cy="3088031"/>
            <wp:docPr id="37" name="Picture 37"/>
            <wp:cNvGraphicFramePr>
              <a:graphicFrameLocks noChangeAspect="1"/>
            </wp:cNvGraphicFramePr>
            <a:graphic>
              <a:graphicData uri="http://schemas.openxmlformats.org/drawingml/2006/picture">
                <pic:pic>
                  <pic:nvPicPr>
                    <pic:cNvPr id="0" name="did_event_study_Factor1.png"/>
                    <pic:cNvPicPr/>
                  </pic:nvPicPr>
                  <pic:blipFill>
                    <a:blip r:embed="rId45"/>
                    <a:stretch>
                      <a:fillRect/>
                    </a:stretch>
                  </pic:blipFill>
                  <pic:spPr>
                    <a:xfrm>
                      <a:off x="0" y="0"/>
                      <a:ext cx="5029200" cy="3088031"/>
                    </a:xfrm>
                    <a:prstGeom prst="rect"/>
                  </pic:spPr>
                </pic:pic>
              </a:graphicData>
            </a:graphic>
          </wp:inline>
        </w:drawing>
      </w:r>
    </w:p>
    <w:p>
      <w:pPr>
        <w:spacing w:before="80" w:after="280"/>
        <w:jc w:val="center"/>
      </w:pPr>
      <w:r>
        <w:rPr>
          <w:b/>
          <w:i w:val="0"/>
          <w:sz w:val="18"/>
          <w:u w:val="none"/>
        </w:rPr>
        <w:t xml:space="preserve">Figure S35. </w:t>
      </w:r>
      <w:r>
        <w:rPr>
          <w:b w:val="0"/>
          <w:i/>
          <w:sz w:val="18"/>
          <w:u w:val="none"/>
        </w:rPr>
        <w:t>Callaway-Sant'Anna event study for Factor 1 (squamous lineage programme). Post-treatment estimates are consistently negative, supporting the significant aggregate ATT = −0.129 (p = 0.028).</w:t>
      </w:r>
    </w:p>
    <w:p>
      <w:pPr>
        <w:jc w:val="center"/>
      </w:pPr>
      <w:r>
        <w:drawing>
          <wp:inline xmlns:a="http://schemas.openxmlformats.org/drawingml/2006/main" xmlns:pic="http://schemas.openxmlformats.org/drawingml/2006/picture">
            <wp:extent cx="5029200" cy="3088031"/>
            <wp:docPr id="38" name="Picture 38"/>
            <wp:cNvGraphicFramePr>
              <a:graphicFrameLocks noChangeAspect="1"/>
            </wp:cNvGraphicFramePr>
            <a:graphic>
              <a:graphicData uri="http://schemas.openxmlformats.org/drawingml/2006/picture">
                <pic:pic>
                  <pic:nvPicPr>
                    <pic:cNvPr id="0" name="did_event_study_Factor12.png"/>
                    <pic:cNvPicPr/>
                  </pic:nvPicPr>
                  <pic:blipFill>
                    <a:blip r:embed="rId46"/>
                    <a:stretch>
                      <a:fillRect/>
                    </a:stretch>
                  </pic:blipFill>
                  <pic:spPr>
                    <a:xfrm>
                      <a:off x="0" y="0"/>
                      <a:ext cx="5029200" cy="3088031"/>
                    </a:xfrm>
                    <a:prstGeom prst="rect"/>
                  </pic:spPr>
                </pic:pic>
              </a:graphicData>
            </a:graphic>
          </wp:inline>
        </w:drawing>
      </w:r>
    </w:p>
    <w:p>
      <w:pPr>
        <w:spacing w:before="80" w:after="280"/>
        <w:jc w:val="center"/>
      </w:pPr>
      <w:r>
        <w:rPr>
          <w:b/>
          <w:i w:val="0"/>
          <w:sz w:val="18"/>
          <w:u w:val="none"/>
        </w:rPr>
        <w:t xml:space="preserve">Figure S36. </w:t>
      </w:r>
      <w:r>
        <w:rPr>
          <w:b w:val="0"/>
          <w:i/>
          <w:sz w:val="18"/>
          <w:u w:val="none"/>
        </w:rPr>
        <w:t>Callaway-Sant'Anna event study for Factor 12 (thyroid/IDH differentiation gradient). Estimates are near zero throughout, consistent with the non-significant aggregate ATT.</w:t>
      </w:r>
    </w:p>
    <w:p>
      <w:pPr>
        <w:jc w:val="center"/>
      </w:pPr>
      <w:r>
        <w:drawing>
          <wp:inline xmlns:a="http://schemas.openxmlformats.org/drawingml/2006/main" xmlns:pic="http://schemas.openxmlformats.org/drawingml/2006/picture">
            <wp:extent cx="5029200" cy="3088031"/>
            <wp:docPr id="39" name="Picture 39"/>
            <wp:cNvGraphicFramePr>
              <a:graphicFrameLocks noChangeAspect="1"/>
            </wp:cNvGraphicFramePr>
            <a:graphic>
              <a:graphicData uri="http://schemas.openxmlformats.org/drawingml/2006/picture">
                <pic:pic>
                  <pic:nvPicPr>
                    <pic:cNvPr id="0" name="did_event_study_Factor6.png"/>
                    <pic:cNvPicPr/>
                  </pic:nvPicPr>
                  <pic:blipFill>
                    <a:blip r:embed="rId47"/>
                    <a:stretch>
                      <a:fillRect/>
                    </a:stretch>
                  </pic:blipFill>
                  <pic:spPr>
                    <a:xfrm>
                      <a:off x="0" y="0"/>
                      <a:ext cx="5029200" cy="3088031"/>
                    </a:xfrm>
                    <a:prstGeom prst="rect"/>
                  </pic:spPr>
                </pic:pic>
              </a:graphicData>
            </a:graphic>
          </wp:inline>
        </w:drawing>
      </w:r>
    </w:p>
    <w:p>
      <w:pPr>
        <w:spacing w:before="80" w:after="280"/>
        <w:jc w:val="center"/>
      </w:pPr>
      <w:r>
        <w:rPr>
          <w:b/>
          <w:i w:val="0"/>
          <w:sz w:val="18"/>
          <w:u w:val="none"/>
        </w:rPr>
        <w:t xml:space="preserve">Figure S37. </w:t>
      </w:r>
      <w:r>
        <w:rPr>
          <w:b w:val="0"/>
          <w:i/>
          <w:sz w:val="18"/>
          <w:u w:val="none"/>
        </w:rPr>
        <w:t>Callaway-Sant'Anna event study for Factor 6 (9p24.1 immune checkpoint amplicon). All post-treatment estimates are strongly negative and exclude zero, confirming the ATT = −0.486 causal finding.</w:t>
      </w:r>
    </w:p>
    <w:p>
      <w:pPr>
        <w:jc w:val="center"/>
      </w:pPr>
      <w:r>
        <w:drawing>
          <wp:inline xmlns:a="http://schemas.openxmlformats.org/drawingml/2006/main" xmlns:pic="http://schemas.openxmlformats.org/drawingml/2006/picture">
            <wp:extent cx="5029200" cy="3088031"/>
            <wp:docPr id="40" name="Picture 40"/>
            <wp:cNvGraphicFramePr>
              <a:graphicFrameLocks noChangeAspect="1"/>
            </wp:cNvGraphicFramePr>
            <a:graphic>
              <a:graphicData uri="http://schemas.openxmlformats.org/drawingml/2006/picture">
                <pic:pic>
                  <pic:nvPicPr>
                    <pic:cNvPr id="0" name="did_event_study_Factor15.png"/>
                    <pic:cNvPicPr/>
                  </pic:nvPicPr>
                  <pic:blipFill>
                    <a:blip r:embed="rId48"/>
                    <a:stretch>
                      <a:fillRect/>
                    </a:stretch>
                  </pic:blipFill>
                  <pic:spPr>
                    <a:xfrm>
                      <a:off x="0" y="0"/>
                      <a:ext cx="5029200" cy="3088031"/>
                    </a:xfrm>
                    <a:prstGeom prst="rect"/>
                  </pic:spPr>
                </pic:pic>
              </a:graphicData>
            </a:graphic>
          </wp:inline>
        </w:drawing>
      </w:r>
    </w:p>
    <w:p>
      <w:pPr>
        <w:spacing w:before="80" w:after="280"/>
        <w:jc w:val="center"/>
      </w:pPr>
      <w:r>
        <w:rPr>
          <w:b/>
          <w:i w:val="0"/>
          <w:sz w:val="18"/>
          <w:u w:val="none"/>
        </w:rPr>
        <w:t xml:space="preserve">Figure S38. </w:t>
      </w:r>
      <w:r>
        <w:rPr>
          <w:b w:val="0"/>
          <w:i/>
          <w:sz w:val="18"/>
          <w:u w:val="none"/>
        </w:rPr>
        <w:t>Callaway-Sant'Anna event study for Factor 15 (luminal de-differentiation). Consistently negative post-treatment estimates confirm ATT = −0.285.</w:t>
      </w:r>
    </w:p>
    <w:p>
      <w:pPr>
        <w:pStyle w:val="Heading2"/>
        <w:spacing w:before="320" w:after="120"/>
      </w:pPr>
      <w:r>
        <w:t>S11.4 Full Triple Difference Results</w:t>
      </w:r>
    </w:p>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160"/>
            <w:vAlign w:val="center"/>
            <w:shd w:val="clear" w:color="auto" w:fill="1F3864"/>
          </w:tcPr>
          <w:p>
            <w:pPr>
              <w:spacing w:before="60" w:after="60"/>
              <w:jc w:val="center"/>
            </w:pPr>
            <w:r>
              <w:rPr>
                <w:b/>
                <w:color w:val="FFFFFF"/>
                <w:sz w:val="19"/>
              </w:rPr>
              <w:t>Gene × Factor Pair</w:t>
            </w:r>
          </w:p>
        </w:tc>
        <w:tc>
          <w:tcPr>
            <w:tcW w:type="dxa" w:w="2736"/>
            <w:vAlign w:val="center"/>
            <w:shd w:val="clear" w:color="auto" w:fill="1F3864"/>
          </w:tcPr>
          <w:p>
            <w:pPr>
              <w:spacing w:before="60" w:after="60"/>
              <w:jc w:val="center"/>
            </w:pPr>
            <w:r>
              <w:rPr>
                <w:b/>
                <w:color w:val="FFFFFF"/>
                <w:sz w:val="19"/>
              </w:rPr>
              <w:t>Description</w:t>
            </w:r>
          </w:p>
        </w:tc>
        <w:tc>
          <w:tcPr>
            <w:tcW w:type="dxa" w:w="864"/>
            <w:vAlign w:val="center"/>
            <w:shd w:val="clear" w:color="auto" w:fill="1F3864"/>
          </w:tcPr>
          <w:p>
            <w:pPr>
              <w:spacing w:before="60" w:after="60"/>
              <w:jc w:val="center"/>
            </w:pPr>
            <w:r>
              <w:rPr>
                <w:b/>
                <w:color w:val="FFFFFF"/>
                <w:sz w:val="19"/>
              </w:rPr>
              <w:t>DDD</w:t>
            </w:r>
          </w:p>
        </w:tc>
        <w:tc>
          <w:tcPr>
            <w:tcW w:type="dxa" w:w="720"/>
            <w:vAlign w:val="center"/>
            <w:shd w:val="clear" w:color="auto" w:fill="1F3864"/>
          </w:tcPr>
          <w:p>
            <w:pPr>
              <w:spacing w:before="60" w:after="60"/>
              <w:jc w:val="center"/>
            </w:pPr>
            <w:r>
              <w:rPr>
                <w:b/>
                <w:color w:val="FFFFFF"/>
                <w:sz w:val="19"/>
              </w:rPr>
              <w:t>SE</w:t>
            </w:r>
          </w:p>
        </w:tc>
        <w:tc>
          <w:tcPr>
            <w:tcW w:type="dxa" w:w="1008"/>
            <w:vAlign w:val="center"/>
            <w:shd w:val="clear" w:color="auto" w:fill="1F3864"/>
          </w:tcPr>
          <w:p>
            <w:pPr>
              <w:spacing w:before="60" w:after="60"/>
              <w:jc w:val="center"/>
            </w:pPr>
            <w:r>
              <w:rPr>
                <w:b/>
                <w:color w:val="FFFFFF"/>
                <w:sz w:val="19"/>
              </w:rPr>
              <w:t>p-value</w:t>
            </w:r>
          </w:p>
        </w:tc>
        <w:tc>
          <w:tcPr>
            <w:tcW w:type="dxa" w:w="2160"/>
            <w:vAlign w:val="center"/>
            <w:shd w:val="clear" w:color="auto" w:fill="1F3864"/>
          </w:tcPr>
          <w:p>
            <w:pPr>
              <w:spacing w:before="60" w:after="60"/>
              <w:jc w:val="center"/>
            </w:pPr>
            <w:r>
              <w:rPr>
                <w:b/>
                <w:color w:val="FFFFFF"/>
                <w:sz w:val="19"/>
              </w:rPr>
              <w:t>Interpretation</w:t>
            </w:r>
          </w:p>
        </w:tc>
      </w:tr>
      <w:tr>
        <w:tc>
          <w:tcPr>
            <w:tcW w:type="dxa" w:w="2160"/>
            <w:vAlign w:val="center"/>
          </w:tcPr>
          <w:p>
            <w:pPr>
              <w:spacing w:before="60" w:after="60"/>
              <w:jc w:val="center"/>
            </w:pPr>
            <w:r>
              <w:rPr>
                <w:sz w:val="18"/>
              </w:rPr>
              <w:t>KRAS × Factor 8</w:t>
            </w:r>
          </w:p>
        </w:tc>
        <w:tc>
          <w:tcPr>
            <w:tcW w:type="dxa" w:w="2736"/>
            <w:vAlign w:val="center"/>
          </w:tcPr>
          <w:p>
            <w:pPr>
              <w:spacing w:before="60" w:after="60"/>
              <w:jc w:val="center"/>
            </w:pPr>
            <w:r>
              <w:rPr>
                <w:sz w:val="18"/>
              </w:rPr>
              <w:t>KRAS mut × invasion program</w:t>
            </w:r>
          </w:p>
        </w:tc>
        <w:tc>
          <w:tcPr>
            <w:tcW w:type="dxa" w:w="864"/>
            <w:vAlign w:val="center"/>
          </w:tcPr>
          <w:p>
            <w:pPr>
              <w:spacing w:before="60" w:after="60"/>
              <w:jc w:val="center"/>
            </w:pPr>
            <w:r>
              <w:rPr>
                <w:sz w:val="18"/>
              </w:rPr>
              <w:t>−0.472</w:t>
            </w:r>
          </w:p>
        </w:tc>
        <w:tc>
          <w:tcPr>
            <w:tcW w:type="dxa" w:w="720"/>
            <w:vAlign w:val="center"/>
          </w:tcPr>
          <w:p>
            <w:pPr>
              <w:spacing w:before="60" w:after="60"/>
              <w:jc w:val="center"/>
            </w:pPr>
            <w:r>
              <w:rPr>
                <w:sz w:val="18"/>
              </w:rPr>
              <w:t>0.208</w:t>
            </w:r>
          </w:p>
        </w:tc>
        <w:tc>
          <w:tcPr>
            <w:tcW w:type="dxa" w:w="1008"/>
            <w:vAlign w:val="center"/>
          </w:tcPr>
          <w:p>
            <w:pPr>
              <w:spacing w:before="60" w:after="60"/>
              <w:jc w:val="center"/>
            </w:pPr>
            <w:r>
              <w:rPr>
                <w:sz w:val="18"/>
              </w:rPr>
              <w:t>0.022</w:t>
            </w:r>
          </w:p>
        </w:tc>
        <w:tc>
          <w:tcPr>
            <w:tcW w:type="dxa" w:w="2160"/>
            <w:vAlign w:val="center"/>
          </w:tcPr>
          <w:p>
            <w:pPr>
              <w:spacing w:before="60" w:after="60"/>
              <w:jc w:val="center"/>
            </w:pPr>
            <w:r>
              <w:rPr>
                <w:sz w:val="18"/>
              </w:rPr>
              <w:t>Significant synergy</w:t>
            </w:r>
          </w:p>
        </w:tc>
      </w:tr>
      <w:tr>
        <w:tc>
          <w:tcPr>
            <w:tcW w:type="dxa" w:w="2160"/>
            <w:vAlign w:val="center"/>
            <w:shd w:val="clear" w:color="auto" w:fill="EBF3FB"/>
          </w:tcPr>
          <w:p>
            <w:pPr>
              <w:spacing w:before="60" w:after="60"/>
              <w:jc w:val="center"/>
            </w:pPr>
            <w:r>
              <w:rPr>
                <w:sz w:val="18"/>
              </w:rPr>
              <w:t>TP53 × Factor 8</w:t>
            </w:r>
          </w:p>
        </w:tc>
        <w:tc>
          <w:tcPr>
            <w:tcW w:type="dxa" w:w="2736"/>
            <w:vAlign w:val="center"/>
            <w:shd w:val="clear" w:color="auto" w:fill="EBF3FB"/>
          </w:tcPr>
          <w:p>
            <w:pPr>
              <w:spacing w:before="60" w:after="60"/>
              <w:jc w:val="center"/>
            </w:pPr>
            <w:r>
              <w:rPr>
                <w:sz w:val="18"/>
              </w:rPr>
              <w:t>TP53 mut × invasion program</w:t>
            </w:r>
          </w:p>
        </w:tc>
        <w:tc>
          <w:tcPr>
            <w:tcW w:type="dxa" w:w="864"/>
            <w:vAlign w:val="center"/>
            <w:shd w:val="clear" w:color="auto" w:fill="EBF3FB"/>
          </w:tcPr>
          <w:p>
            <w:pPr>
              <w:spacing w:before="60" w:after="60"/>
              <w:jc w:val="center"/>
            </w:pPr>
            <w:r>
              <w:rPr>
                <w:sz w:val="18"/>
              </w:rPr>
              <w:t>−0.075</w:t>
            </w:r>
          </w:p>
        </w:tc>
        <w:tc>
          <w:tcPr>
            <w:tcW w:type="dxa" w:w="720"/>
            <w:vAlign w:val="center"/>
            <w:shd w:val="clear" w:color="auto" w:fill="EBF3FB"/>
          </w:tcPr>
          <w:p>
            <w:pPr>
              <w:spacing w:before="60" w:after="60"/>
              <w:jc w:val="center"/>
            </w:pPr>
            <w:r>
              <w:rPr>
                <w:sz w:val="18"/>
              </w:rPr>
              <w:t>0.152</w:t>
            </w:r>
          </w:p>
        </w:tc>
        <w:tc>
          <w:tcPr>
            <w:tcW w:type="dxa" w:w="1008"/>
            <w:vAlign w:val="center"/>
            <w:shd w:val="clear" w:color="auto" w:fill="EBF3FB"/>
          </w:tcPr>
          <w:p>
            <w:pPr>
              <w:spacing w:before="60" w:after="60"/>
              <w:jc w:val="center"/>
            </w:pPr>
            <w:r>
              <w:rPr>
                <w:sz w:val="18"/>
              </w:rPr>
              <w:t>0.627</w:t>
            </w:r>
          </w:p>
        </w:tc>
        <w:tc>
          <w:tcPr>
            <w:tcW w:type="dxa" w:w="2160"/>
            <w:vAlign w:val="center"/>
            <w:shd w:val="clear" w:color="auto" w:fill="EBF3FB"/>
          </w:tcPr>
          <w:p>
            <w:pPr>
              <w:spacing w:before="60" w:after="60"/>
              <w:jc w:val="center"/>
            </w:pPr>
            <w:r>
              <w:rPr>
                <w:sz w:val="18"/>
              </w:rPr>
              <w:t>Not significant</w:t>
            </w:r>
          </w:p>
        </w:tc>
      </w:tr>
      <w:tr>
        <w:tc>
          <w:tcPr>
            <w:tcW w:type="dxa" w:w="2160"/>
            <w:vAlign w:val="center"/>
          </w:tcPr>
          <w:p>
            <w:pPr>
              <w:spacing w:before="60" w:after="60"/>
              <w:jc w:val="center"/>
            </w:pPr>
            <w:r>
              <w:rPr>
                <w:sz w:val="18"/>
              </w:rPr>
              <w:t>PIK3CA × Factor 15</w:t>
            </w:r>
          </w:p>
        </w:tc>
        <w:tc>
          <w:tcPr>
            <w:tcW w:type="dxa" w:w="2736"/>
            <w:vAlign w:val="center"/>
          </w:tcPr>
          <w:p>
            <w:pPr>
              <w:spacing w:before="60" w:after="60"/>
              <w:jc w:val="center"/>
            </w:pPr>
            <w:r>
              <w:rPr>
                <w:sz w:val="18"/>
              </w:rPr>
              <w:t>PIK3CA mut × luminal de-diff.</w:t>
            </w:r>
          </w:p>
        </w:tc>
        <w:tc>
          <w:tcPr>
            <w:tcW w:type="dxa" w:w="864"/>
            <w:vAlign w:val="center"/>
          </w:tcPr>
          <w:p>
            <w:pPr>
              <w:spacing w:before="60" w:after="60"/>
              <w:jc w:val="center"/>
            </w:pPr>
            <w:r>
              <w:rPr>
                <w:sz w:val="18"/>
              </w:rPr>
              <w:t>−0.213</w:t>
            </w:r>
          </w:p>
        </w:tc>
        <w:tc>
          <w:tcPr>
            <w:tcW w:type="dxa" w:w="720"/>
            <w:vAlign w:val="center"/>
          </w:tcPr>
          <w:p>
            <w:pPr>
              <w:spacing w:before="60" w:after="60"/>
              <w:jc w:val="center"/>
            </w:pPr>
            <w:r>
              <w:rPr>
                <w:sz w:val="18"/>
              </w:rPr>
              <w:t>0.190</w:t>
            </w:r>
          </w:p>
        </w:tc>
        <w:tc>
          <w:tcPr>
            <w:tcW w:type="dxa" w:w="1008"/>
            <w:vAlign w:val="center"/>
          </w:tcPr>
          <w:p>
            <w:pPr>
              <w:spacing w:before="60" w:after="60"/>
              <w:jc w:val="center"/>
            </w:pPr>
            <w:r>
              <w:rPr>
                <w:sz w:val="18"/>
              </w:rPr>
              <w:t>0.267</w:t>
            </w:r>
          </w:p>
        </w:tc>
        <w:tc>
          <w:tcPr>
            <w:tcW w:type="dxa" w:w="2160"/>
            <w:vAlign w:val="center"/>
          </w:tcPr>
          <w:p>
            <w:pPr>
              <w:spacing w:before="60" w:after="60"/>
              <w:jc w:val="center"/>
            </w:pPr>
            <w:r>
              <w:rPr>
                <w:sz w:val="18"/>
              </w:rPr>
              <w:t>Not significant</w:t>
            </w:r>
          </w:p>
        </w:tc>
      </w:tr>
      <w:tr>
        <w:tc>
          <w:tcPr>
            <w:tcW w:type="dxa" w:w="2160"/>
            <w:vAlign w:val="center"/>
            <w:shd w:val="clear" w:color="auto" w:fill="EBF3FB"/>
          </w:tcPr>
          <w:p>
            <w:pPr>
              <w:spacing w:before="60" w:after="60"/>
              <w:jc w:val="center"/>
            </w:pPr>
            <w:r>
              <w:rPr>
                <w:sz w:val="18"/>
              </w:rPr>
              <w:t>BRAF × Factor 12</w:t>
            </w:r>
          </w:p>
        </w:tc>
        <w:tc>
          <w:tcPr>
            <w:tcW w:type="dxa" w:w="2736"/>
            <w:vAlign w:val="center"/>
            <w:shd w:val="clear" w:color="auto" w:fill="EBF3FB"/>
          </w:tcPr>
          <w:p>
            <w:pPr>
              <w:spacing w:before="60" w:after="60"/>
              <w:jc w:val="center"/>
            </w:pPr>
            <w:r>
              <w:rPr>
                <w:sz w:val="18"/>
              </w:rPr>
              <w:t>BRAF mut × thyroid/IDH gradient</w:t>
            </w:r>
          </w:p>
        </w:tc>
        <w:tc>
          <w:tcPr>
            <w:tcW w:type="dxa" w:w="864"/>
            <w:vAlign w:val="center"/>
            <w:shd w:val="clear" w:color="auto" w:fill="EBF3FB"/>
          </w:tcPr>
          <w:p>
            <w:pPr>
              <w:spacing w:before="60" w:after="60"/>
              <w:jc w:val="center"/>
            </w:pPr>
            <w:r>
              <w:rPr>
                <w:sz w:val="18"/>
              </w:rPr>
              <w:t>+0.062</w:t>
            </w:r>
          </w:p>
        </w:tc>
        <w:tc>
          <w:tcPr>
            <w:tcW w:type="dxa" w:w="720"/>
            <w:vAlign w:val="center"/>
            <w:shd w:val="clear" w:color="auto" w:fill="EBF3FB"/>
          </w:tcPr>
          <w:p>
            <w:pPr>
              <w:spacing w:before="60" w:after="60"/>
              <w:jc w:val="center"/>
            </w:pPr>
            <w:r>
              <w:rPr>
                <w:sz w:val="18"/>
              </w:rPr>
              <w:t>0.335</w:t>
            </w:r>
          </w:p>
        </w:tc>
        <w:tc>
          <w:tcPr>
            <w:tcW w:type="dxa" w:w="1008"/>
            <w:vAlign w:val="center"/>
            <w:shd w:val="clear" w:color="auto" w:fill="EBF3FB"/>
          </w:tcPr>
          <w:p>
            <w:pPr>
              <w:spacing w:before="60" w:after="60"/>
              <w:jc w:val="center"/>
            </w:pPr>
            <w:r>
              <w:rPr>
                <w:sz w:val="18"/>
              </w:rPr>
              <w:t>0.868</w:t>
            </w:r>
          </w:p>
        </w:tc>
        <w:tc>
          <w:tcPr>
            <w:tcW w:type="dxa" w:w="2160"/>
            <w:vAlign w:val="center"/>
            <w:shd w:val="clear" w:color="auto" w:fill="EBF3FB"/>
          </w:tcPr>
          <w:p>
            <w:pPr>
              <w:spacing w:before="60" w:after="60"/>
              <w:jc w:val="center"/>
            </w:pPr>
            <w:r>
              <w:rPr>
                <w:sz w:val="18"/>
              </w:rPr>
              <w:t>Not significant</w:t>
            </w:r>
          </w:p>
        </w:tc>
      </w:tr>
    </w:tbl>
    <w:p>
      <w:pPr>
        <w:spacing w:after="240"/>
      </w:pPr>
      <w:r>
        <w:rPr>
          <w:b/>
          <w:i w:val="0"/>
          <w:sz w:val="18"/>
          <w:u w:val="none"/>
        </w:rPr>
        <w:t xml:space="preserve">Table S10. </w:t>
      </w:r>
      <w:r>
        <w:rPr>
          <w:b w:val="0"/>
          <w:i/>
          <w:sz w:val="18"/>
          <w:u w:val="none"/>
        </w:rPr>
        <w:t>Complete Triple Difference (DDD) results for all four gene-factor co-dependency pairs. Negative DDD indicates synergistic survival detriment when both gene mutation and factor program are jointly active. SE = clustered standard error; p computed via 999 bootstrap.</w:t>
      </w:r>
    </w:p>
    <w:p>
      <w:pPr>
        <w:jc w:val="center"/>
      </w:pPr>
      <w:r>
        <w:drawing>
          <wp:inline xmlns:a="http://schemas.openxmlformats.org/drawingml/2006/main" xmlns:pic="http://schemas.openxmlformats.org/drawingml/2006/picture">
            <wp:extent cx="5029200" cy="2171529"/>
            <wp:docPr id="41" name="Picture 41"/>
            <wp:cNvGraphicFramePr>
              <a:graphicFrameLocks noChangeAspect="1"/>
            </wp:cNvGraphicFramePr>
            <a:graphic>
              <a:graphicData uri="http://schemas.openxmlformats.org/drawingml/2006/picture">
                <pic:pic>
                  <pic:nvPicPr>
                    <pic:cNvPr id="0" name="did_ddd_synergy_heatmap.png"/>
                    <pic:cNvPicPr/>
                  </pic:nvPicPr>
                  <pic:blipFill>
                    <a:blip r:embed="rId49"/>
                    <a:stretch>
                      <a:fillRect/>
                    </a:stretch>
                  </pic:blipFill>
                  <pic:spPr>
                    <a:xfrm>
                      <a:off x="0" y="0"/>
                      <a:ext cx="5029200" cy="2171529"/>
                    </a:xfrm>
                    <a:prstGeom prst="rect"/>
                  </pic:spPr>
                </pic:pic>
              </a:graphicData>
            </a:graphic>
          </wp:inline>
        </w:drawing>
      </w:r>
    </w:p>
    <w:p>
      <w:pPr>
        <w:spacing w:before="80" w:after="280"/>
        <w:jc w:val="center"/>
      </w:pPr>
      <w:r>
        <w:rPr>
          <w:b/>
          <w:i w:val="0"/>
          <w:sz w:val="18"/>
          <w:u w:val="none"/>
        </w:rPr>
        <w:t xml:space="preserve">Figure S39. </w:t>
      </w:r>
      <w:r>
        <w:rPr>
          <w:b w:val="0"/>
          <w:i/>
          <w:sz w:val="18"/>
          <w:u w:val="none"/>
        </w:rPr>
        <w:t>Forest-style heatmap of DDD estimates for all four gene-factor pairs. Point = DDD estimate; whiskers = 95% CI. KRAS × Factor 8 (bottom row) is the only pair with 95% CI entirely below zero.</w:t>
      </w:r>
    </w:p>
    <w:p>
      <w:pPr>
        <w:pStyle w:val="Heading2"/>
        <w:spacing w:before="320" w:after="120"/>
      </w:pPr>
      <w:r>
        <w:t>S11.5 HonestDiD Sensitivity Analysis (Factor 8)</w:t>
      </w:r>
    </w:p>
    <w:p>
      <w:pPr>
        <w:spacing w:after="120"/>
        <w:jc w:val="both"/>
      </w:pPr>
      <w:r>
        <w:rPr>
          <w:sz w:val="22"/>
        </w:rPr>
        <w:t>Rambachan-Roth HonestDiD sensitivity analysis sweeps the maximum allowed deviation in pre-trends across periods (parameter M). At M = 0, the analyst assumes exact parallel trends (standard CS assumption). As M increases, the confidence interval widens to accommodate increasingly large deviations from parallel trends. The minimum M at which the CI first includes zero ('robustness budget') measures how much pre-trend violation can be tolerated before the finding becomes statistically uncertain.</w:t>
      </w:r>
    </w:p>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2880"/>
            <w:vAlign w:val="center"/>
            <w:shd w:val="clear" w:color="auto" w:fill="1F3864"/>
          </w:tcPr>
          <w:p>
            <w:pPr>
              <w:spacing w:before="60" w:after="60"/>
              <w:jc w:val="center"/>
            </w:pPr>
            <w:r>
              <w:rPr>
                <w:b/>
                <w:color w:val="FFFFFF"/>
                <w:sz w:val="19"/>
              </w:rPr>
              <w:t>M (max pre-trend deviation)</w:t>
            </w:r>
          </w:p>
        </w:tc>
        <w:tc>
          <w:tcPr>
            <w:tcW w:type="dxa" w:w="1440"/>
            <w:vAlign w:val="center"/>
            <w:shd w:val="clear" w:color="auto" w:fill="1F3864"/>
          </w:tcPr>
          <w:p>
            <w:pPr>
              <w:spacing w:before="60" w:after="60"/>
              <w:jc w:val="center"/>
            </w:pPr>
            <w:r>
              <w:rPr>
                <w:b/>
                <w:color w:val="FFFFFF"/>
                <w:sz w:val="19"/>
              </w:rPr>
              <w:t>CI Lower</w:t>
            </w:r>
          </w:p>
        </w:tc>
        <w:tc>
          <w:tcPr>
            <w:tcW w:type="dxa" w:w="1440"/>
            <w:vAlign w:val="center"/>
            <w:shd w:val="clear" w:color="auto" w:fill="1F3864"/>
          </w:tcPr>
          <w:p>
            <w:pPr>
              <w:spacing w:before="60" w:after="60"/>
              <w:jc w:val="center"/>
            </w:pPr>
            <w:r>
              <w:rPr>
                <w:b/>
                <w:color w:val="FFFFFF"/>
                <w:sz w:val="19"/>
              </w:rPr>
              <w:t>CI Upper</w:t>
            </w:r>
          </w:p>
        </w:tc>
        <w:tc>
          <w:tcPr>
            <w:tcW w:type="dxa" w:w="1728"/>
            <w:vAlign w:val="center"/>
            <w:shd w:val="clear" w:color="auto" w:fill="1F3864"/>
          </w:tcPr>
          <w:p>
            <w:pPr>
              <w:spacing w:before="60" w:after="60"/>
              <w:jc w:val="center"/>
            </w:pPr>
            <w:r>
              <w:rPr>
                <w:b/>
                <w:color w:val="FFFFFF"/>
                <w:sz w:val="19"/>
              </w:rPr>
              <w:t>Includes Zero?</w:t>
            </w:r>
          </w:p>
        </w:tc>
        <w:tc>
          <w:tcPr>
            <w:tcW w:type="dxa" w:w="1296"/>
            <w:vAlign w:val="center"/>
            <w:shd w:val="clear" w:color="auto" w:fill="1F3864"/>
          </w:tcPr>
          <w:p>
            <w:pPr>
              <w:spacing w:before="60" w:after="60"/>
              <w:jc w:val="center"/>
            </w:pPr>
            <w:r>
              <w:rPr>
                <w:b/>
                <w:color w:val="FFFFFF"/>
                <w:sz w:val="19"/>
              </w:rPr>
              <w:t>Robust?</w:t>
            </w:r>
          </w:p>
        </w:tc>
      </w:tr>
      <w:tr>
        <w:tc>
          <w:tcPr>
            <w:tcW w:type="dxa" w:w="2880"/>
            <w:vAlign w:val="center"/>
          </w:tcPr>
          <w:p>
            <w:pPr>
              <w:spacing w:before="60" w:after="60"/>
              <w:jc w:val="center"/>
            </w:pPr>
            <w:r>
              <w:rPr>
                <w:sz w:val="18"/>
              </w:rPr>
              <w:t>0.00 (exact PT)</w:t>
            </w:r>
          </w:p>
        </w:tc>
        <w:tc>
          <w:tcPr>
            <w:tcW w:type="dxa" w:w="1440"/>
            <w:vAlign w:val="center"/>
          </w:tcPr>
          <w:p>
            <w:pPr>
              <w:spacing w:before="60" w:after="60"/>
              <w:jc w:val="center"/>
            </w:pPr>
            <w:r>
              <w:rPr>
                <w:sz w:val="18"/>
              </w:rPr>
              <w:t>−0.091</w:t>
            </w:r>
          </w:p>
        </w:tc>
        <w:tc>
          <w:tcPr>
            <w:tcW w:type="dxa" w:w="1440"/>
            <w:vAlign w:val="center"/>
          </w:tcPr>
          <w:p>
            <w:pPr>
              <w:spacing w:before="60" w:after="60"/>
              <w:jc w:val="center"/>
            </w:pPr>
            <w:r>
              <w:rPr>
                <w:sz w:val="18"/>
              </w:rPr>
              <w:t>+0.686</w:t>
            </w:r>
          </w:p>
        </w:tc>
        <w:tc>
          <w:tcPr>
            <w:tcW w:type="dxa" w:w="1728"/>
            <w:vAlign w:val="center"/>
          </w:tcPr>
          <w:p>
            <w:pPr>
              <w:spacing w:before="60" w:after="60"/>
              <w:jc w:val="center"/>
            </w:pPr>
            <w:r>
              <w:rPr>
                <w:sz w:val="18"/>
              </w:rPr>
              <w:t>Yes</w:t>
            </w:r>
          </w:p>
        </w:tc>
        <w:tc>
          <w:tcPr>
            <w:tcW w:type="dxa" w:w="1296"/>
            <w:vAlign w:val="center"/>
          </w:tcPr>
          <w:p>
            <w:pPr>
              <w:spacing w:before="60" w:after="60"/>
              <w:jc w:val="center"/>
            </w:pPr>
            <w:r>
              <w:rPr>
                <w:sz w:val="18"/>
              </w:rPr>
              <w:t>No</w:t>
            </w:r>
          </w:p>
        </w:tc>
      </w:tr>
      <w:tr>
        <w:tc>
          <w:tcPr>
            <w:tcW w:type="dxa" w:w="2880"/>
            <w:vAlign w:val="center"/>
            <w:shd w:val="clear" w:color="auto" w:fill="EBF3FB"/>
          </w:tcPr>
          <w:p>
            <w:pPr>
              <w:spacing w:before="60" w:after="60"/>
              <w:jc w:val="center"/>
            </w:pPr>
            <w:r>
              <w:rPr>
                <w:sz w:val="18"/>
              </w:rPr>
              <w:t>0.05</w:t>
            </w:r>
          </w:p>
        </w:tc>
        <w:tc>
          <w:tcPr>
            <w:tcW w:type="dxa" w:w="1440"/>
            <w:vAlign w:val="center"/>
            <w:shd w:val="clear" w:color="auto" w:fill="EBF3FB"/>
          </w:tcPr>
          <w:p>
            <w:pPr>
              <w:spacing w:before="60" w:after="60"/>
              <w:jc w:val="center"/>
            </w:pPr>
            <w:r>
              <w:rPr>
                <w:sz w:val="18"/>
              </w:rPr>
              <w:t>−0.121</w:t>
            </w:r>
          </w:p>
        </w:tc>
        <w:tc>
          <w:tcPr>
            <w:tcW w:type="dxa" w:w="1440"/>
            <w:vAlign w:val="center"/>
            <w:shd w:val="clear" w:color="auto" w:fill="EBF3FB"/>
          </w:tcPr>
          <w:p>
            <w:pPr>
              <w:spacing w:before="60" w:after="60"/>
              <w:jc w:val="center"/>
            </w:pPr>
            <w:r>
              <w:rPr>
                <w:sz w:val="18"/>
              </w:rPr>
              <w:t>+0.715</w:t>
            </w:r>
          </w:p>
        </w:tc>
        <w:tc>
          <w:tcPr>
            <w:tcW w:type="dxa" w:w="1728"/>
            <w:vAlign w:val="center"/>
            <w:shd w:val="clear" w:color="auto" w:fill="EBF3FB"/>
          </w:tcPr>
          <w:p>
            <w:pPr>
              <w:spacing w:before="60" w:after="60"/>
              <w:jc w:val="center"/>
            </w:pPr>
            <w:r>
              <w:rPr>
                <w:sz w:val="18"/>
              </w:rPr>
              <w:t>Yes</w:t>
            </w:r>
          </w:p>
        </w:tc>
        <w:tc>
          <w:tcPr>
            <w:tcW w:type="dxa" w:w="1296"/>
            <w:vAlign w:val="center"/>
            <w:shd w:val="clear" w:color="auto" w:fill="EBF3FB"/>
          </w:tcPr>
          <w:p>
            <w:pPr>
              <w:spacing w:before="60" w:after="60"/>
              <w:jc w:val="center"/>
            </w:pPr>
            <w:r>
              <w:rPr>
                <w:sz w:val="18"/>
              </w:rPr>
              <w:t>No</w:t>
            </w:r>
          </w:p>
        </w:tc>
      </w:tr>
      <w:tr>
        <w:tc>
          <w:tcPr>
            <w:tcW w:type="dxa" w:w="2880"/>
            <w:vAlign w:val="center"/>
          </w:tcPr>
          <w:p>
            <w:pPr>
              <w:spacing w:before="60" w:after="60"/>
              <w:jc w:val="center"/>
            </w:pPr>
            <w:r>
              <w:rPr>
                <w:sz w:val="18"/>
              </w:rPr>
              <w:t>0.10</w:t>
            </w:r>
          </w:p>
        </w:tc>
        <w:tc>
          <w:tcPr>
            <w:tcW w:type="dxa" w:w="1440"/>
            <w:vAlign w:val="center"/>
          </w:tcPr>
          <w:p>
            <w:pPr>
              <w:spacing w:before="60" w:after="60"/>
              <w:jc w:val="center"/>
            </w:pPr>
            <w:r>
              <w:rPr>
                <w:sz w:val="18"/>
              </w:rPr>
              <w:t>−0.151</w:t>
            </w:r>
          </w:p>
        </w:tc>
        <w:tc>
          <w:tcPr>
            <w:tcW w:type="dxa" w:w="1440"/>
            <w:vAlign w:val="center"/>
          </w:tcPr>
          <w:p>
            <w:pPr>
              <w:spacing w:before="60" w:after="60"/>
              <w:jc w:val="center"/>
            </w:pPr>
            <w:r>
              <w:rPr>
                <w:sz w:val="18"/>
              </w:rPr>
              <w:t>+0.744</w:t>
            </w:r>
          </w:p>
        </w:tc>
        <w:tc>
          <w:tcPr>
            <w:tcW w:type="dxa" w:w="1728"/>
            <w:vAlign w:val="center"/>
          </w:tcPr>
          <w:p>
            <w:pPr>
              <w:spacing w:before="60" w:after="60"/>
              <w:jc w:val="center"/>
            </w:pPr>
            <w:r>
              <w:rPr>
                <w:sz w:val="18"/>
              </w:rPr>
              <w:t>Yes</w:t>
            </w:r>
          </w:p>
        </w:tc>
        <w:tc>
          <w:tcPr>
            <w:tcW w:type="dxa" w:w="1296"/>
            <w:vAlign w:val="center"/>
          </w:tcPr>
          <w:p>
            <w:pPr>
              <w:spacing w:before="60" w:after="60"/>
              <w:jc w:val="center"/>
            </w:pPr>
            <w:r>
              <w:rPr>
                <w:sz w:val="18"/>
              </w:rPr>
              <w:t>No</w:t>
            </w:r>
          </w:p>
        </w:tc>
      </w:tr>
      <w:tr>
        <w:tc>
          <w:tcPr>
            <w:tcW w:type="dxa" w:w="2880"/>
            <w:vAlign w:val="center"/>
            <w:shd w:val="clear" w:color="auto" w:fill="EBF3FB"/>
          </w:tcPr>
          <w:p>
            <w:pPr>
              <w:spacing w:before="60" w:after="60"/>
              <w:jc w:val="center"/>
            </w:pPr>
            <w:r>
              <w:rPr>
                <w:sz w:val="18"/>
              </w:rPr>
              <w:t>0.20</w:t>
            </w:r>
          </w:p>
        </w:tc>
        <w:tc>
          <w:tcPr>
            <w:tcW w:type="dxa" w:w="1440"/>
            <w:vAlign w:val="center"/>
            <w:shd w:val="clear" w:color="auto" w:fill="EBF3FB"/>
          </w:tcPr>
          <w:p>
            <w:pPr>
              <w:spacing w:before="60" w:after="60"/>
              <w:jc w:val="center"/>
            </w:pPr>
            <w:r>
              <w:rPr>
                <w:sz w:val="18"/>
              </w:rPr>
              <w:t>−0.211</w:t>
            </w:r>
          </w:p>
        </w:tc>
        <w:tc>
          <w:tcPr>
            <w:tcW w:type="dxa" w:w="1440"/>
            <w:vAlign w:val="center"/>
            <w:shd w:val="clear" w:color="auto" w:fill="EBF3FB"/>
          </w:tcPr>
          <w:p>
            <w:pPr>
              <w:spacing w:before="60" w:after="60"/>
              <w:jc w:val="center"/>
            </w:pPr>
            <w:r>
              <w:rPr>
                <w:sz w:val="18"/>
              </w:rPr>
              <w:t>+0.804</w:t>
            </w:r>
          </w:p>
        </w:tc>
        <w:tc>
          <w:tcPr>
            <w:tcW w:type="dxa" w:w="1728"/>
            <w:vAlign w:val="center"/>
            <w:shd w:val="clear" w:color="auto" w:fill="EBF3FB"/>
          </w:tcPr>
          <w:p>
            <w:pPr>
              <w:spacing w:before="60" w:after="60"/>
              <w:jc w:val="center"/>
            </w:pPr>
            <w:r>
              <w:rPr>
                <w:sz w:val="18"/>
              </w:rPr>
              <w:t>Yes</w:t>
            </w:r>
          </w:p>
        </w:tc>
        <w:tc>
          <w:tcPr>
            <w:tcW w:type="dxa" w:w="1296"/>
            <w:vAlign w:val="center"/>
            <w:shd w:val="clear" w:color="auto" w:fill="EBF3FB"/>
          </w:tcPr>
          <w:p>
            <w:pPr>
              <w:spacing w:before="60" w:after="60"/>
              <w:jc w:val="center"/>
            </w:pPr>
            <w:r>
              <w:rPr>
                <w:sz w:val="18"/>
              </w:rPr>
              <w:t>No</w:t>
            </w:r>
          </w:p>
        </w:tc>
      </w:tr>
      <w:tr>
        <w:tc>
          <w:tcPr>
            <w:tcW w:type="dxa" w:w="2880"/>
            <w:vAlign w:val="center"/>
          </w:tcPr>
          <w:p>
            <w:pPr>
              <w:spacing w:before="60" w:after="60"/>
              <w:jc w:val="center"/>
            </w:pPr>
            <w:r>
              <w:rPr>
                <w:sz w:val="18"/>
              </w:rPr>
              <w:t>0.50</w:t>
            </w:r>
          </w:p>
        </w:tc>
        <w:tc>
          <w:tcPr>
            <w:tcW w:type="dxa" w:w="1440"/>
            <w:vAlign w:val="center"/>
          </w:tcPr>
          <w:p>
            <w:pPr>
              <w:spacing w:before="60" w:after="60"/>
              <w:jc w:val="center"/>
            </w:pPr>
            <w:r>
              <w:rPr>
                <w:sz w:val="18"/>
              </w:rPr>
              <w:t>−0.391</w:t>
            </w:r>
          </w:p>
        </w:tc>
        <w:tc>
          <w:tcPr>
            <w:tcW w:type="dxa" w:w="1440"/>
            <w:vAlign w:val="center"/>
          </w:tcPr>
          <w:p>
            <w:pPr>
              <w:spacing w:before="60" w:after="60"/>
              <w:jc w:val="center"/>
            </w:pPr>
            <w:r>
              <w:rPr>
                <w:sz w:val="18"/>
              </w:rPr>
              <w:t>+0.985</w:t>
            </w:r>
          </w:p>
        </w:tc>
        <w:tc>
          <w:tcPr>
            <w:tcW w:type="dxa" w:w="1728"/>
            <w:vAlign w:val="center"/>
          </w:tcPr>
          <w:p>
            <w:pPr>
              <w:spacing w:before="60" w:after="60"/>
              <w:jc w:val="center"/>
            </w:pPr>
            <w:r>
              <w:rPr>
                <w:sz w:val="18"/>
              </w:rPr>
              <w:t>Yes</w:t>
            </w:r>
          </w:p>
        </w:tc>
        <w:tc>
          <w:tcPr>
            <w:tcW w:type="dxa" w:w="1296"/>
            <w:vAlign w:val="center"/>
          </w:tcPr>
          <w:p>
            <w:pPr>
              <w:spacing w:before="60" w:after="60"/>
              <w:jc w:val="center"/>
            </w:pPr>
            <w:r>
              <w:rPr>
                <w:sz w:val="18"/>
              </w:rPr>
              <w:t>No</w:t>
            </w:r>
          </w:p>
        </w:tc>
      </w:tr>
      <w:tr>
        <w:tc>
          <w:tcPr>
            <w:tcW w:type="dxa" w:w="2880"/>
            <w:vAlign w:val="center"/>
            <w:shd w:val="clear" w:color="auto" w:fill="EBF3FB"/>
          </w:tcPr>
          <w:p>
            <w:pPr>
              <w:spacing w:before="60" w:after="60"/>
              <w:jc w:val="center"/>
            </w:pPr>
            <w:r>
              <w:rPr>
                <w:sz w:val="18"/>
              </w:rPr>
              <w:t>1.00</w:t>
            </w:r>
          </w:p>
        </w:tc>
        <w:tc>
          <w:tcPr>
            <w:tcW w:type="dxa" w:w="1440"/>
            <w:vAlign w:val="center"/>
            <w:shd w:val="clear" w:color="auto" w:fill="EBF3FB"/>
          </w:tcPr>
          <w:p>
            <w:pPr>
              <w:spacing w:before="60" w:after="60"/>
              <w:jc w:val="center"/>
            </w:pPr>
            <w:r>
              <w:rPr>
                <w:sz w:val="18"/>
              </w:rPr>
              <w:t>−0.691</w:t>
            </w:r>
          </w:p>
        </w:tc>
        <w:tc>
          <w:tcPr>
            <w:tcW w:type="dxa" w:w="1440"/>
            <w:vAlign w:val="center"/>
            <w:shd w:val="clear" w:color="auto" w:fill="EBF3FB"/>
          </w:tcPr>
          <w:p>
            <w:pPr>
              <w:spacing w:before="60" w:after="60"/>
              <w:jc w:val="center"/>
            </w:pPr>
            <w:r>
              <w:rPr>
                <w:sz w:val="18"/>
              </w:rPr>
              <w:t>+1.285</w:t>
            </w:r>
          </w:p>
        </w:tc>
        <w:tc>
          <w:tcPr>
            <w:tcW w:type="dxa" w:w="1728"/>
            <w:vAlign w:val="center"/>
            <w:shd w:val="clear" w:color="auto" w:fill="EBF3FB"/>
          </w:tcPr>
          <w:p>
            <w:pPr>
              <w:spacing w:before="60" w:after="60"/>
              <w:jc w:val="center"/>
            </w:pPr>
            <w:r>
              <w:rPr>
                <w:sz w:val="18"/>
              </w:rPr>
              <w:t>Yes</w:t>
            </w:r>
          </w:p>
        </w:tc>
        <w:tc>
          <w:tcPr>
            <w:tcW w:type="dxa" w:w="1296"/>
            <w:vAlign w:val="center"/>
            <w:shd w:val="clear" w:color="auto" w:fill="EBF3FB"/>
          </w:tcPr>
          <w:p>
            <w:pPr>
              <w:spacing w:before="60" w:after="60"/>
              <w:jc w:val="center"/>
            </w:pPr>
            <w:r>
              <w:rPr>
                <w:sz w:val="18"/>
              </w:rPr>
              <w:t>No</w:t>
            </w:r>
          </w:p>
        </w:tc>
      </w:tr>
    </w:tbl>
    <w:p>
      <w:pPr>
        <w:spacing w:after="240"/>
      </w:pPr>
      <w:r>
        <w:rPr>
          <w:b/>
          <w:i w:val="0"/>
          <w:sz w:val="18"/>
          <w:u w:val="none"/>
        </w:rPr>
        <w:t xml:space="preserve">Table S11. </w:t>
      </w:r>
      <w:r>
        <w:rPr>
          <w:b w:val="0"/>
          <w:i/>
          <w:sz w:val="18"/>
          <w:u w:val="none"/>
        </w:rPr>
        <w:t>Rambachan-Roth HonestDiD sensitivity analysis for Factor 8. Minimum M at which CI first includes zero = 0.00 (the CI includes zero even at exact parallel trends). This confirms Factor 8's aggregate ATT is not causally identified.</w:t>
      </w:r>
    </w:p>
    <w:p>
      <w:pPr>
        <w:spacing w:after="120"/>
        <w:jc w:val="both"/>
      </w:pPr>
      <w:r>
        <w:rPr>
          <w:sz w:val="22"/>
        </w:rPr>
        <w:t>For comparison: Factor 6 and Factor 15 CI bounds exclude zero even at M = 0.50, indicating that the parallel-trends assumption would need to be violated by 50% of the pre-period trend before their causal findings become uncertain—a threshold considered implausibly large in empirical economic research. Their robustness budget is thus substantially larger than Factor 8's, reinforcing their designation as the primary causally validated targets.</w:t>
      </w:r>
    </w:p>
    <w:p>
      <w:pPr>
        <w:jc w:val="center"/>
      </w:pPr>
      <w:r>
        <w:drawing>
          <wp:inline xmlns:a="http://schemas.openxmlformats.org/drawingml/2006/main" xmlns:pic="http://schemas.openxmlformats.org/drawingml/2006/picture">
            <wp:extent cx="5029200" cy="3083783"/>
            <wp:docPr id="42" name="Picture 42"/>
            <wp:cNvGraphicFramePr>
              <a:graphicFrameLocks noChangeAspect="1"/>
            </wp:cNvGraphicFramePr>
            <a:graphic>
              <a:graphicData uri="http://schemas.openxmlformats.org/drawingml/2006/picture">
                <pic:pic>
                  <pic:nvPicPr>
                    <pic:cNvPr id="0" name="did_honest_bounds.png"/>
                    <pic:cNvPicPr/>
                  </pic:nvPicPr>
                  <pic:blipFill>
                    <a:blip r:embed="rId50"/>
                    <a:stretch>
                      <a:fillRect/>
                    </a:stretch>
                  </pic:blipFill>
                  <pic:spPr>
                    <a:xfrm>
                      <a:off x="0" y="0"/>
                      <a:ext cx="5029200" cy="3083783"/>
                    </a:xfrm>
                    <a:prstGeom prst="rect"/>
                  </pic:spPr>
                </pic:pic>
              </a:graphicData>
            </a:graphic>
          </wp:inline>
        </w:drawing>
      </w:r>
    </w:p>
    <w:p>
      <w:pPr>
        <w:spacing w:before="80" w:after="280"/>
        <w:jc w:val="center"/>
      </w:pPr>
      <w:r>
        <w:rPr>
          <w:b/>
          <w:i w:val="0"/>
          <w:sz w:val="18"/>
          <w:u w:val="none"/>
        </w:rPr>
        <w:t xml:space="preserve">Figure S40. </w:t>
      </w:r>
      <w:r>
        <w:rPr>
          <w:b w:val="0"/>
          <w:i/>
          <w:sz w:val="18"/>
          <w:u w:val="none"/>
        </w:rPr>
        <w:t>HonestDiD sensitivity bounds for Factor 8 across M ∈ {0, 0.05, 0.10, 0.20, 0.50, 1.0}. The confidence interval (shaded region) includes zero at all values of M, confirming that the Factor 8 aggregate ATT is not robustly identified under the HonestDiD framework.</w:t>
      </w:r>
    </w:p>
    <w:p>
      <w:pPr>
        <w:pStyle w:val="Heading2"/>
        <w:spacing w:before="320" w:after="120"/>
      </w:pPr>
      <w:r>
        <w:t>S11.6 TROP Robustness Check</w:t>
      </w:r>
    </w:p>
    <w:p>
      <w:pPr>
        <w:spacing w:after="120"/>
        <w:jc w:val="both"/>
      </w:pPr>
      <w:r>
        <w:rPr>
          <w:sz w:val="22"/>
        </w:rPr>
        <w:t>The Triply Robust Panel (TROP) estimator applies nuclear-norm matrix factorization to adjust for latent factor confounding in the aggregated cancer-type × stage panel. TROP is particularly appropriate here because the MOFA+ factors themselves are the primary sources of latent structure in the data; TROP's nuclear-norm regularization should absorb residual factor confounding not captured by the observed covariates. Analysis was restricted to cancer types where first_treat &gt;= 3 (ensuring at least two pre-treatment periods required by TROP), yielding a reduced panel with 10 units (2 treated, 8 never-treated). Despite the limited sample size, TROP ATT estimates were directionally consistent with CS estimates for all three validated factors (Factor 6: TROP ATT = −0.41 vs. CS ATT = −0.49; Factor 15: TROP ATT = −0.27 vs. CS ATT = −0.29; Factor 1: TROP ATT = −0.11 vs. CS ATT = −0.13), providing additional robustness evidence for the primary findings.</w:t>
      </w:r>
    </w:p>
    <w:p>
      <w:pPr>
        <w:jc w:val="center"/>
      </w:pPr>
      <w:r>
        <w:drawing>
          <wp:inline xmlns:a="http://schemas.openxmlformats.org/drawingml/2006/main" xmlns:pic="http://schemas.openxmlformats.org/drawingml/2006/picture">
            <wp:extent cx="5029200" cy="4750009"/>
            <wp:docPr id="43" name="Picture 43"/>
            <wp:cNvGraphicFramePr>
              <a:graphicFrameLocks noChangeAspect="1"/>
            </wp:cNvGraphicFramePr>
            <a:graphic>
              <a:graphicData uri="http://schemas.openxmlformats.org/drawingml/2006/picture">
                <pic:pic>
                  <pic:nvPicPr>
                    <pic:cNvPr id="0" name="did_forest_cancer_types.png"/>
                    <pic:cNvPicPr/>
                  </pic:nvPicPr>
                  <pic:blipFill>
                    <a:blip r:embed="rId51"/>
                    <a:stretch>
                      <a:fillRect/>
                    </a:stretch>
                  </pic:blipFill>
                  <pic:spPr>
                    <a:xfrm>
                      <a:off x="0" y="0"/>
                      <a:ext cx="5029200" cy="4750009"/>
                    </a:xfrm>
                    <a:prstGeom prst="rect"/>
                  </pic:spPr>
                </pic:pic>
              </a:graphicData>
            </a:graphic>
          </wp:inline>
        </w:drawing>
      </w:r>
    </w:p>
    <w:p>
      <w:pPr>
        <w:spacing w:before="80" w:after="280"/>
        <w:jc w:val="center"/>
      </w:pPr>
      <w:r>
        <w:rPr>
          <w:b/>
          <w:i w:val="0"/>
          <w:sz w:val="18"/>
          <w:u w:val="none"/>
        </w:rPr>
        <w:t xml:space="preserve">Figure S41. </w:t>
      </w:r>
      <w:r>
        <w:rPr>
          <w:b w:val="0"/>
          <w:i/>
          <w:sz w:val="18"/>
          <w:u w:val="none"/>
        </w:rPr>
        <w:t>Per-cancer-type ATT estimates for Factor 8 using simple 2x2 Difference-in-Differences (treated cancer type vs. pooled never-treated controls). The heterogeneity of estimates across cancer types (ranging from −0.6 to +0.8) illustrates why the aggregate Factor 8 ATT is non-significant: its effect is highly cancer-type-specific, with no consistent directional effect across types.</w:t>
      </w:r>
    </w:p>
    <w:p>
      <w:pPr>
        <w:pStyle w:val="Heading1"/>
        <w:spacing w:before="320" w:after="120"/>
      </w:pPr>
      <w:r>
        <w:t>Section S12: Modality Ablation — Extended Results</w:t>
      </w:r>
    </w:p>
    <w:p>
      <w:pPr>
        <w:pStyle w:val="Heading2"/>
        <w:spacing w:before="320" w:after="120"/>
      </w:pPr>
      <w:r>
        <w:t>S12.1 Ablation Design</w:t>
      </w:r>
    </w:p>
    <w:p>
      <w:pPr>
        <w:spacing w:after="120"/>
        <w:ind w:firstLine="360"/>
        <w:jc w:val="both"/>
      </w:pPr>
      <w:r>
        <w:rPr>
          <w:sz w:val="22"/>
        </w:rPr>
        <w:t>To determine the marginal contribution of each omics modality to survival prediction, MOFA+ was trained independently on three single-modality configurations: (i) expression (top 1,000 variable genes, Gaussian likelihood, StandardScaled), (ii) somatic mutations (top 300 by mutation frequency, Bernoulli likelihood), and (iii) copy-number variation (top 1,000 variable genes, Gaussian likelihood, StandardScaled). In each condition, 20 factors were requested and ARD pruning was applied identically. The joint three-modality result used pre-existing mofa_factors.csv to avoid redundant computation. All four conditions used identical StratifiedKFold(n_splits=5, random_state=42) splits to ensure paired comparability of fold-level C-indices. No SHAP was computed in ablation conditions to minimise runtime.</w:t>
      </w:r>
    </w:p>
    <w:p>
      <w:pPr>
        <w:pStyle w:val="Heading2"/>
        <w:spacing w:before="320" w:after="120"/>
      </w:pPr>
      <w:r>
        <w:t>S12.2 Factor Count and Variance After Pruning</w:t>
      </w:r>
    </w:p>
    <w:p>
      <w:pPr>
        <w:spacing w:after="120"/>
        <w:ind w:firstLine="360"/>
        <w:jc w:val="both"/>
      </w:pPr>
      <w:r>
        <w:rPr>
          <w:sz w:val="22"/>
        </w:rPr>
        <w:t>ARD pruning typically retains fewer factors in single-modality conditions than in the joint model, as individual views contain less independent structured variation. The variance heatmap (Figure S42) shows total variance explained per factor across all four conditions. Single-modality MOFA+ concentrates variance in fewer factors, while the joint model distributes variance across more factors — reflecting the additional independent sources of variation contributed by each modality.</w:t>
      </w:r>
    </w:p>
    <w:p>
      <w:pPr>
        <w:jc w:val="center"/>
      </w:pPr>
      <w:r>
        <w:drawing>
          <wp:inline xmlns:a="http://schemas.openxmlformats.org/drawingml/2006/main" xmlns:pic="http://schemas.openxmlformats.org/drawingml/2006/picture">
            <wp:extent cx="5029200" cy="5140423"/>
            <wp:docPr id="44" name="Picture 44"/>
            <wp:cNvGraphicFramePr>
              <a:graphicFrameLocks noChangeAspect="1"/>
            </wp:cNvGraphicFramePr>
            <a:graphic>
              <a:graphicData uri="http://schemas.openxmlformats.org/drawingml/2006/picture">
                <pic:pic>
                  <pic:nvPicPr>
                    <pic:cNvPr id="0" name="ablation_variance_heatmap.png"/>
                    <pic:cNvPicPr/>
                  </pic:nvPicPr>
                  <pic:blipFill>
                    <a:blip r:embed="rId52"/>
                    <a:stretch>
                      <a:fillRect/>
                    </a:stretch>
                  </pic:blipFill>
                  <pic:spPr>
                    <a:xfrm>
                      <a:off x="0" y="0"/>
                      <a:ext cx="5029200" cy="5140423"/>
                    </a:xfrm>
                    <a:prstGeom prst="rect"/>
                  </pic:spPr>
                </pic:pic>
              </a:graphicData>
            </a:graphic>
          </wp:inline>
        </w:drawing>
      </w:r>
    </w:p>
    <w:p>
      <w:pPr>
        <w:spacing w:before="80" w:after="280"/>
        <w:jc w:val="center"/>
      </w:pPr>
      <w:r>
        <w:rPr>
          <w:b/>
          <w:i w:val="0"/>
          <w:sz w:val="18"/>
          <w:u w:val="none"/>
        </w:rPr>
        <w:t xml:space="preserve">Figure S42. </w:t>
      </w:r>
      <w:r>
        <w:rPr>
          <w:b w:val="0"/>
          <w:i/>
          <w:sz w:val="18"/>
          <w:u w:val="none"/>
        </w:rPr>
        <w:t>Variance explained per MOFA+ factor under each modality condition. Colour intensity indicates total variance explained (%) summed across all retained views. Single-modality conditions are compared against the joint three-modality model. Factors are listed in MOFA+ output order for the joint model.</w:t>
      </w:r>
    </w:p>
    <w:p>
      <w:pPr>
        <w:pStyle w:val="Heading2"/>
        <w:spacing w:before="320" w:after="120"/>
      </w:pPr>
      <w:r>
        <w:t>S12.3 Per-Fold C-index Tables</w:t>
      </w:r>
    </w:p>
    <w:p>
      <w:pPr>
        <w:spacing w:after="120"/>
        <w:ind w:firstLine="360"/>
        <w:jc w:val="both"/>
      </w:pPr>
      <w:r>
        <w:rPr>
          <w:sz w:val="22"/>
        </w:rPr>
        <w:t>Full per-fold C-index values for all four ablation conditions are saved to results/ablation_cindex_summary.csv and reproduced in Figure 14 of the main manuscript. The joint condition consistently achieves the highest mean C-index across all three model architectures, validating the multi-modal integration strategy. The expression-only condition is the strongest single-modality baseline, outperforming mutation-only and CNV-only by margins that reflect both the richer feature set (1,000 genes vs. 300) and the continuous, Gaussian-distributed nature of RNA-seq data, which MOFA+ decomposes more effectively than sparse binary mutation matrices.</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