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42B3B"/>
          <w:sz w:val="56"/>
        </w:rPr>
        <w:t>PRODUCT REQUIREMENTS</w:t>
        <w:br/>
        <w:t>&amp; TECHNICAL BLUEPRINT</w:t>
      </w:r>
    </w:p>
    <w:p>
      <w:pPr>
        <w:jc w:val="center"/>
      </w:pPr>
      <w:r>
        <w:rPr>
          <w:color w:val="176B68"/>
          <w:sz w:val="36"/>
        </w:rPr>
        <w:t>Relationship-first dating platform</w:t>
      </w:r>
    </w:p>
    <w:p>
      <w:pPr>
        <w:jc w:val="center"/>
      </w:pPr>
      <w:r>
        <w:rPr>
          <w:sz w:val="22"/>
        </w:rPr>
        <w:t>iOS + Android  |  Inclusive adult audience  |  Serious-relationship focus</w:t>
      </w:r>
    </w:p>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PRODUCT THESIS  </w:t>
            </w:r>
            <w:r>
              <w:t>Help people find mutually promising partners through transparent, reciprocal recommendations, meaningful prompts, shared activities, and a fair free experience—not endless swiping or paywalled connection.</w:t>
            </w:r>
          </w:p>
        </w:tc>
      </w:tr>
    </w:tbl>
    <w:p>
      <w:pPr>
        <w:spacing w:after="20"/>
      </w:pPr>
    </w:p>
    <w:p>
      <w:pPr>
        <w:jc w:val="center"/>
      </w:pPr>
      <w:r>
        <w:rPr>
          <w:i/>
        </w:rPr>
        <w:t>Version 1.0  •  21 October 2026  •  Research-informed proposal</w:t>
      </w:r>
    </w:p>
    <w:p>
      <w:r>
        <w:br w:type="page"/>
      </w:r>
    </w:p>
    <w:p>
      <w:pPr>
        <w:pStyle w:val="Heading1"/>
      </w:pPr>
      <w:r>
        <w:t>Document guide</w:t>
      </w:r>
    </w:p>
    <w:p>
      <w:pPr>
        <w:pStyle w:val="ListBullet"/>
        <w:spacing w:after="40"/>
      </w:pPr>
      <w:r>
        <w:t>1. Executive summary and product principles</w:t>
      </w:r>
    </w:p>
    <w:p>
      <w:pPr>
        <w:pStyle w:val="ListBullet"/>
        <w:spacing w:after="40"/>
      </w:pPr>
      <w:r>
        <w:t>2. Scope, assumptions and decisions to validate</w:t>
      </w:r>
    </w:p>
    <w:p>
      <w:pPr>
        <w:pStyle w:val="ListBullet"/>
        <w:spacing w:after="40"/>
      </w:pPr>
      <w:r>
        <w:t>3. Product requirements and acceptance criteria</w:t>
      </w:r>
    </w:p>
    <w:p>
      <w:pPr>
        <w:pStyle w:val="ListBullet"/>
        <w:spacing w:after="40"/>
      </w:pPr>
      <w:r>
        <w:t>4. Detailed user journeys</w:t>
      </w:r>
    </w:p>
    <w:p>
      <w:pPr>
        <w:pStyle w:val="ListBullet"/>
        <w:spacing w:after="40"/>
      </w:pPr>
      <w:r>
        <w:t>5. Matching and reciprocal ranking architecture</w:t>
      </w:r>
    </w:p>
    <w:p>
      <w:pPr>
        <w:pStyle w:val="ListBullet"/>
        <w:spacing w:after="40"/>
      </w:pPr>
      <w:r>
        <w:t>6. Technical architecture and service boundaries</w:t>
      </w:r>
    </w:p>
    <w:p>
      <w:pPr>
        <w:pStyle w:val="ListBullet"/>
        <w:spacing w:after="40"/>
      </w:pPr>
      <w:r>
        <w:t>7. Database schema</w:t>
      </w:r>
    </w:p>
    <w:p>
      <w:pPr>
        <w:pStyle w:val="ListBullet"/>
        <w:spacing w:after="40"/>
      </w:pPr>
      <w:r>
        <w:t>8. API design</w:t>
      </w:r>
    </w:p>
    <w:p>
      <w:pPr>
        <w:pStyle w:val="ListBullet"/>
        <w:spacing w:after="40"/>
      </w:pPr>
      <w:r>
        <w:t>9. Privacy, safety and compliance requirements</w:t>
      </w:r>
    </w:p>
    <w:p>
      <w:pPr>
        <w:pStyle w:val="ListBullet"/>
        <w:spacing w:after="40"/>
      </w:pPr>
      <w:r>
        <w:t>10. Analytics, success metrics and experimentation</w:t>
      </w:r>
    </w:p>
    <w:p>
      <w:pPr>
        <w:pStyle w:val="ListBullet"/>
        <w:spacing w:after="40"/>
      </w:pPr>
      <w:r>
        <w:t>11. Phased delivery plan and release gates</w:t>
      </w:r>
    </w:p>
    <w:p>
      <w:pPr>
        <w:pStyle w:val="ListBullet"/>
        <w:spacing w:after="40"/>
      </w:pPr>
      <w:r>
        <w:t>12. Risks, open questions and recommended next actions</w:t>
      </w:r>
    </w:p>
    <w:p>
      <w:pPr>
        <w:pStyle w:val="ListBullet"/>
        <w:spacing w:after="40"/>
      </w:pPr>
      <w:r>
        <w:t>13. Research references</w:t>
      </w:r>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STATUS  </w:t>
            </w:r>
            <w:r>
              <w:t>This is an implementation-ready starting blueprint, not a substitute for user research, security review, legal advice, or validation against the final business model. Items marked ASSUMPTION or VALIDATE are not settled facts.</w:t>
            </w:r>
          </w:p>
        </w:tc>
      </w:tr>
    </w:tbl>
    <w:p>
      <w:pPr>
        <w:spacing w:after="20"/>
      </w:pPr>
    </w:p>
    <w:p>
      <w:pPr>
        <w:pStyle w:val="Heading1"/>
      </w:pPr>
      <w:r>
        <w:t>1. Executive summary</w:t>
      </w:r>
    </w:p>
    <w:p>
      <w:r>
        <w:t>The product is a mobile-first, inclusive dating platform for adults seeking primarily serious relationships. Its core differentiation is a reciprocal recommendation engine that estimates mutual interest and compatibility across stated intentions, values, activities, profile content, and observed interaction signals. It explains recommendations in plain language, protects users from abuse, and keeps essential dating actions available without a subscription.</w:t>
      </w:r>
    </w:p>
    <w:p>
      <w:pPr>
        <w:pStyle w:val="Heading2"/>
      </w:pPr>
      <w:r>
        <w:t>Product outcomes</w:t>
      </w:r>
    </w:p>
    <w:p>
      <w:pPr>
        <w:pStyle w:val="ListBullet"/>
        <w:spacing w:after="40"/>
      </w:pPr>
      <w:r>
        <w:t>Help users discover a manageable set of relevant, mutually plausible people.</w:t>
      </w:r>
    </w:p>
    <w:p>
      <w:pPr>
        <w:pStyle w:val="ListBullet"/>
        <w:spacing w:after="40"/>
      </w:pPr>
      <w:r>
        <w:t>Increase the proportion of recommendations that lead to mutual interest and meaningful, two-sided conversations.</w:t>
      </w:r>
    </w:p>
    <w:p>
      <w:pPr>
        <w:pStyle w:val="ListBullet"/>
        <w:spacing w:after="40"/>
      </w:pPr>
      <w:r>
        <w:t>Give users agency: transparent preferences, editable profile signals, feedback controls, and the ability to pause or reset personalisation.</w:t>
      </w:r>
    </w:p>
    <w:p>
      <w:pPr>
        <w:pStyle w:val="ListBullet"/>
        <w:spacing w:after="40"/>
      </w:pPr>
      <w:r>
        <w:t>Make safety and privacy foundational: age controls, reporting, blocking, moderation operations, secure media, minimised location exposure, and clear data practices.</w:t>
      </w:r>
    </w:p>
    <w:p>
      <w:pPr>
        <w:pStyle w:val="ListBullet"/>
        <w:spacing w:after="40"/>
      </w:pPr>
      <w:r>
        <w:t>Build a sustainable business through optional convenience features and real-world events without charging for basic safety or the ability to converse with a mutual match.</w:t>
      </w:r>
    </w:p>
    <w:p>
      <w:pPr>
        <w:pStyle w:val="Heading2"/>
      </w:pPr>
      <w:r>
        <w:t>Product principles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Principle</w:t>
            </w:r>
          </w:p>
        </w:tc>
        <w:tc>
          <w:tcPr>
            <w:tcW w:type="dxa" w:w="4968"/>
            <w:vAlign w:val="center"/>
            <w:shd w:fill="176B68"/>
          </w:tcPr>
          <w:p>
            <w:pPr>
              <w:spacing w:after="20"/>
            </w:pPr>
            <w:r/>
            <w:r>
              <w:rPr>
                <w:rFonts w:ascii="Aptos" w:hAnsi="Aptos"/>
                <w:b/>
                <w:color w:val="FFFFFF"/>
                <w:sz w:val="17"/>
              </w:rPr>
              <w:t>Implication</w:t>
            </w:r>
          </w:p>
        </w:tc>
      </w:tr>
      <w:tr>
        <w:tc>
          <w:tcPr>
            <w:tcW w:type="dxa" w:w="4968"/>
            <w:vAlign w:val="center"/>
          </w:tcPr>
          <w:p>
            <w:pPr>
              <w:spacing w:after="20"/>
            </w:pPr>
            <w:r/>
            <w:r>
              <w:rPr>
                <w:rFonts w:ascii="Aptos" w:hAnsi="Aptos"/>
                <w:b w:val="0"/>
                <w:sz w:val="16"/>
              </w:rPr>
              <w:t>Reciprocity over clicks</w:t>
            </w:r>
          </w:p>
        </w:tc>
        <w:tc>
          <w:tcPr>
            <w:tcW w:type="dxa" w:w="4968"/>
            <w:vAlign w:val="center"/>
          </w:tcPr>
          <w:p>
            <w:pPr>
              <w:spacing w:after="20"/>
            </w:pPr>
            <w:r/>
            <w:r>
              <w:rPr>
                <w:rFonts w:ascii="Aptos" w:hAnsi="Aptos"/>
                <w:b w:val="0"/>
                <w:sz w:val="16"/>
              </w:rPr>
              <w:t>Estimate both users' likelihood of interest; do not optimise only for one-sided likes.</w:t>
            </w:r>
          </w:p>
        </w:tc>
      </w:tr>
      <w:tr>
        <w:tc>
          <w:tcPr>
            <w:tcW w:type="dxa" w:w="4968"/>
            <w:vAlign w:val="center"/>
          </w:tcPr>
          <w:p>
            <w:pPr>
              <w:spacing w:after="20"/>
            </w:pPr>
            <w:r/>
            <w:r>
              <w:rPr>
                <w:rFonts w:ascii="Aptos" w:hAnsi="Aptos"/>
                <w:b w:val="0"/>
                <w:sz w:val="16"/>
              </w:rPr>
              <w:t>Compatibility is multidimensional</w:t>
            </w:r>
          </w:p>
        </w:tc>
        <w:tc>
          <w:tcPr>
            <w:tcW w:type="dxa" w:w="4968"/>
            <w:vAlign w:val="center"/>
          </w:tcPr>
          <w:p>
            <w:pPr>
              <w:spacing w:after="20"/>
            </w:pPr>
            <w:r/>
            <w:r>
              <w:rPr>
                <w:rFonts w:ascii="Aptos" w:hAnsi="Aptos"/>
                <w:b w:val="0"/>
                <w:sz w:val="16"/>
              </w:rPr>
              <w:t>Separate dealbreakers, relationship goals, lifestyle, values, activities, conversation and attraction preferences.</w:t>
            </w:r>
          </w:p>
        </w:tc>
      </w:tr>
      <w:tr>
        <w:tc>
          <w:tcPr>
            <w:tcW w:type="dxa" w:w="4968"/>
            <w:vAlign w:val="center"/>
          </w:tcPr>
          <w:p>
            <w:pPr>
              <w:spacing w:after="20"/>
            </w:pPr>
            <w:r/>
            <w:r>
              <w:rPr>
                <w:rFonts w:ascii="Aptos" w:hAnsi="Aptos"/>
                <w:b w:val="0"/>
                <w:sz w:val="16"/>
              </w:rPr>
              <w:t>Free means usable</w:t>
            </w:r>
          </w:p>
        </w:tc>
        <w:tc>
          <w:tcPr>
            <w:tcW w:type="dxa" w:w="4968"/>
            <w:vAlign w:val="center"/>
          </w:tcPr>
          <w:p>
            <w:pPr>
              <w:spacing w:after="20"/>
            </w:pPr>
            <w:r/>
            <w:r>
              <w:rPr>
                <w:rFonts w:ascii="Aptos" w:hAnsi="Aptos"/>
                <w:b w:val="0"/>
                <w:sz w:val="16"/>
              </w:rPr>
              <w:t>A free user can create a complete profile, receive recommendations, see incoming likes, match, message and use safety features.</w:t>
            </w:r>
          </w:p>
        </w:tc>
      </w:tr>
      <w:tr>
        <w:tc>
          <w:tcPr>
            <w:tcW w:type="dxa" w:w="4968"/>
            <w:vAlign w:val="center"/>
          </w:tcPr>
          <w:p>
            <w:pPr>
              <w:spacing w:after="20"/>
            </w:pPr>
            <w:r/>
            <w:r>
              <w:rPr>
                <w:rFonts w:ascii="Aptos" w:hAnsi="Aptos"/>
                <w:b w:val="0"/>
                <w:sz w:val="16"/>
              </w:rPr>
              <w:t>Explainable, not deterministic</w:t>
            </w:r>
          </w:p>
        </w:tc>
        <w:tc>
          <w:tcPr>
            <w:tcW w:type="dxa" w:w="4968"/>
            <w:vAlign w:val="center"/>
          </w:tcPr>
          <w:p>
            <w:pPr>
              <w:spacing w:after="20"/>
            </w:pPr>
            <w:r/>
            <w:r>
              <w:rPr>
                <w:rFonts w:ascii="Aptos" w:hAnsi="Aptos"/>
                <w:b w:val="0"/>
                <w:sz w:val="16"/>
              </w:rPr>
              <w:t>Explain observable reasons for a recommendation; do not claim to predict a soulmate or guarantee relationship success.</w:t>
            </w:r>
          </w:p>
        </w:tc>
      </w:tr>
      <w:tr>
        <w:tc>
          <w:tcPr>
            <w:tcW w:type="dxa" w:w="4968"/>
            <w:vAlign w:val="center"/>
          </w:tcPr>
          <w:p>
            <w:pPr>
              <w:spacing w:after="20"/>
            </w:pPr>
            <w:r/>
            <w:r>
              <w:rPr>
                <w:rFonts w:ascii="Aptos" w:hAnsi="Aptos"/>
                <w:b w:val="0"/>
                <w:sz w:val="16"/>
              </w:rPr>
              <w:t>Safety by design</w:t>
            </w:r>
          </w:p>
        </w:tc>
        <w:tc>
          <w:tcPr>
            <w:tcW w:type="dxa" w:w="4968"/>
            <w:vAlign w:val="center"/>
          </w:tcPr>
          <w:p>
            <w:pPr>
              <w:spacing w:after="20"/>
            </w:pPr>
            <w:r/>
            <w:r>
              <w:rPr>
                <w:rFonts w:ascii="Aptos" w:hAnsi="Aptos"/>
                <w:b w:val="0"/>
                <w:sz w:val="16"/>
              </w:rPr>
              <w:t>Moderation, blocking, reporting, anti-scam measures and incident response are launch requirements.</w:t>
            </w:r>
          </w:p>
        </w:tc>
      </w:tr>
      <w:tr>
        <w:tc>
          <w:tcPr>
            <w:tcW w:type="dxa" w:w="4968"/>
            <w:vAlign w:val="center"/>
          </w:tcPr>
          <w:p>
            <w:pPr>
              <w:spacing w:after="20"/>
            </w:pPr>
            <w:r/>
            <w:r>
              <w:rPr>
                <w:rFonts w:ascii="Aptos" w:hAnsi="Aptos"/>
                <w:b w:val="0"/>
                <w:sz w:val="16"/>
              </w:rPr>
              <w:t>Measure outcomes, not addiction</w:t>
            </w:r>
          </w:p>
        </w:tc>
        <w:tc>
          <w:tcPr>
            <w:tcW w:type="dxa" w:w="4968"/>
            <w:vAlign w:val="center"/>
          </w:tcPr>
          <w:p>
            <w:pPr>
              <w:spacing w:after="20"/>
            </w:pPr>
            <w:r/>
            <w:r>
              <w:rPr>
                <w:rFonts w:ascii="Aptos" w:hAnsi="Aptos"/>
                <w:b w:val="0"/>
                <w:sz w:val="16"/>
              </w:rPr>
              <w:t>Optimise for relevant connections and user-reported value, not maximum session time.</w:t>
            </w:r>
          </w:p>
        </w:tc>
      </w:tr>
      <w:tr>
        <w:tc>
          <w:tcPr>
            <w:tcW w:type="dxa" w:w="4968"/>
            <w:vAlign w:val="center"/>
          </w:tcPr>
          <w:p>
            <w:pPr>
              <w:spacing w:after="20"/>
            </w:pPr>
            <w:r/>
            <w:r>
              <w:rPr>
                <w:rFonts w:ascii="Aptos" w:hAnsi="Aptos"/>
                <w:b w:val="0"/>
                <w:sz w:val="16"/>
              </w:rPr>
              <w:t>Inclusive by default</w:t>
            </w:r>
          </w:p>
        </w:tc>
        <w:tc>
          <w:tcPr>
            <w:tcW w:type="dxa" w:w="4968"/>
            <w:vAlign w:val="center"/>
          </w:tcPr>
          <w:p>
            <w:pPr>
              <w:spacing w:after="20"/>
            </w:pPr>
            <w:r/>
            <w:r>
              <w:rPr>
                <w:rFonts w:ascii="Aptos" w:hAnsi="Aptos"/>
                <w:b w:val="0"/>
                <w:sz w:val="16"/>
              </w:rPr>
              <w:t>Support varied gender identities, orientations, relationship preferences, accessibility needs and cultural contexts without forcing disclosure.</w:t>
            </w:r>
          </w:p>
        </w:tc>
      </w:tr>
    </w:tbl>
    <w:p>
      <w:pPr>
        <w:spacing w:after="20"/>
      </w:pPr>
    </w:p>
    <w:p>
      <w:pPr>
        <w:pStyle w:val="Heading1"/>
      </w:pPr>
      <w:r>
        <w:t>2. Scope, assumptions and decisions to validate</w:t>
      </w:r>
    </w:p>
    <w:p>
      <w:pPr>
        <w:pStyle w:val="Heading2"/>
      </w:pPr>
      <w:r>
        <w:t>Confirmed product direction</w:t>
      </w:r>
    </w:p>
    <w:p>
      <w:pPr>
        <w:pStyle w:val="ListBullet"/>
        <w:spacing w:after="40"/>
      </w:pPr>
      <w:r>
        <w:t>Initial audience: broad adult dating audience with inclusive preferences.</w:t>
      </w:r>
    </w:p>
    <w:p>
      <w:pPr>
        <w:pStyle w:val="ListBullet"/>
        <w:spacing w:after="40"/>
      </w:pPr>
      <w:r>
        <w:t>Launch: iOS and Android apps.</w:t>
      </w:r>
    </w:p>
    <w:p>
      <w:pPr>
        <w:pStyle w:val="ListBullet"/>
        <w:spacing w:after="40"/>
      </w:pPr>
      <w:r>
        <w:t>Positioning: primarily serious relationships.</w:t>
      </w:r>
    </w:p>
    <w:p>
      <w:pPr>
        <w:pStyle w:val="ListBullet"/>
        <w:spacing w:after="40"/>
      </w:pPr>
      <w:r>
        <w:t>Priority: balanced matching quality, safety, experience and monetisation.</w:t>
      </w:r>
    </w:p>
    <w:p>
      <w:pPr>
        <w:pStyle w:val="ListBullet"/>
        <w:spacing w:after="40"/>
      </w:pPr>
      <w:r>
        <w:t>Recommendation: reciprocal matching that considers profile content, activities, prompts, preferences and observed behaviour.</w:t>
      </w:r>
    </w:p>
    <w:p>
      <w:pPr>
        <w:pStyle w:val="Heading2"/>
      </w:pPr>
      <w:r>
        <w:t>Working assumptions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ID</w:t>
            </w:r>
          </w:p>
        </w:tc>
        <w:tc>
          <w:tcPr>
            <w:tcW w:type="dxa" w:w="3312"/>
            <w:vAlign w:val="center"/>
            <w:shd w:fill="176B68"/>
          </w:tcPr>
          <w:p>
            <w:pPr>
              <w:spacing w:after="20"/>
            </w:pPr>
            <w:r/>
            <w:r>
              <w:rPr>
                <w:rFonts w:ascii="Aptos" w:hAnsi="Aptos"/>
                <w:b/>
                <w:color w:val="FFFFFF"/>
                <w:sz w:val="17"/>
              </w:rPr>
              <w:t>Assumption</w:t>
            </w:r>
          </w:p>
        </w:tc>
        <w:tc>
          <w:tcPr>
            <w:tcW w:type="dxa" w:w="3312"/>
            <w:vAlign w:val="center"/>
            <w:shd w:fill="176B68"/>
          </w:tcPr>
          <w:p>
            <w:pPr>
              <w:spacing w:after="20"/>
            </w:pPr>
            <w:r/>
            <w:r>
              <w:rPr>
                <w:rFonts w:ascii="Aptos" w:hAnsi="Aptos"/>
                <w:b/>
                <w:color w:val="FFFFFF"/>
                <w:sz w:val="17"/>
              </w:rPr>
              <w:t>Why it matters / how to validate</w:t>
            </w:r>
          </w:p>
        </w:tc>
      </w:tr>
      <w:tr>
        <w:tc>
          <w:tcPr>
            <w:tcW w:type="dxa" w:w="3312"/>
            <w:vAlign w:val="center"/>
          </w:tcPr>
          <w:p>
            <w:pPr>
              <w:spacing w:after="20"/>
            </w:pPr>
            <w:r/>
            <w:r>
              <w:rPr>
                <w:rFonts w:ascii="Aptos" w:hAnsi="Aptos"/>
                <w:b w:val="0"/>
                <w:sz w:val="16"/>
              </w:rPr>
              <w:t>A1</w:t>
            </w:r>
          </w:p>
        </w:tc>
        <w:tc>
          <w:tcPr>
            <w:tcW w:type="dxa" w:w="3312"/>
            <w:vAlign w:val="center"/>
          </w:tcPr>
          <w:p>
            <w:pPr>
              <w:spacing w:after="20"/>
            </w:pPr>
            <w:r/>
            <w:r>
              <w:rPr>
                <w:rFonts w:ascii="Aptos" w:hAnsi="Aptos"/>
                <w:b w:val="0"/>
                <w:sz w:val="16"/>
              </w:rPr>
              <w:t>Initial launch is UK-first, with an English-language experience.</w:t>
            </w:r>
          </w:p>
        </w:tc>
        <w:tc>
          <w:tcPr>
            <w:tcW w:type="dxa" w:w="3312"/>
            <w:vAlign w:val="center"/>
          </w:tcPr>
          <w:p>
            <w:pPr>
              <w:spacing w:after="20"/>
            </w:pPr>
            <w:r/>
            <w:r>
              <w:rPr>
                <w:rFonts w:ascii="Aptos" w:hAnsi="Aptos"/>
                <w:b w:val="0"/>
                <w:sz w:val="16"/>
              </w:rPr>
              <w:t>Confirm launch country, legal perimeter, app-store territories and moderation coverage before beta.</w:t>
            </w:r>
          </w:p>
        </w:tc>
      </w:tr>
      <w:tr>
        <w:tc>
          <w:tcPr>
            <w:tcW w:type="dxa" w:w="3312"/>
            <w:vAlign w:val="center"/>
          </w:tcPr>
          <w:p>
            <w:pPr>
              <w:spacing w:after="20"/>
            </w:pPr>
            <w:r/>
            <w:r>
              <w:rPr>
                <w:rFonts w:ascii="Aptos" w:hAnsi="Aptos"/>
                <w:b w:val="0"/>
                <w:sz w:val="16"/>
              </w:rPr>
              <w:t>A2</w:t>
            </w:r>
          </w:p>
        </w:tc>
        <w:tc>
          <w:tcPr>
            <w:tcW w:type="dxa" w:w="3312"/>
            <w:vAlign w:val="center"/>
          </w:tcPr>
          <w:p>
            <w:pPr>
              <w:spacing w:after="20"/>
            </w:pPr>
            <w:r/>
            <w:r>
              <w:rPr>
                <w:rFonts w:ascii="Aptos" w:hAnsi="Aptos"/>
                <w:b w:val="0"/>
                <w:sz w:val="16"/>
              </w:rPr>
              <w:t>Minimum age is 18.</w:t>
            </w:r>
          </w:p>
        </w:tc>
        <w:tc>
          <w:tcPr>
            <w:tcW w:type="dxa" w:w="3312"/>
            <w:vAlign w:val="center"/>
          </w:tcPr>
          <w:p>
            <w:pPr>
              <w:spacing w:after="20"/>
            </w:pPr>
            <w:r/>
            <w:r>
              <w:rPr>
                <w:rFonts w:ascii="Aptos" w:hAnsi="Aptos"/>
                <w:b w:val="0"/>
                <w:sz w:val="16"/>
              </w:rPr>
              <w:t>Confirm age-assurance approach, fraud controls and local legal requirements.</w:t>
            </w:r>
          </w:p>
        </w:tc>
      </w:tr>
      <w:tr>
        <w:tc>
          <w:tcPr>
            <w:tcW w:type="dxa" w:w="3312"/>
            <w:vAlign w:val="center"/>
          </w:tcPr>
          <w:p>
            <w:pPr>
              <w:spacing w:after="20"/>
            </w:pPr>
            <w:r/>
            <w:r>
              <w:rPr>
                <w:rFonts w:ascii="Aptos" w:hAnsi="Aptos"/>
                <w:b w:val="0"/>
                <w:sz w:val="16"/>
              </w:rPr>
              <w:t>A3</w:t>
            </w:r>
          </w:p>
        </w:tc>
        <w:tc>
          <w:tcPr>
            <w:tcW w:type="dxa" w:w="3312"/>
            <w:vAlign w:val="center"/>
          </w:tcPr>
          <w:p>
            <w:pPr>
              <w:spacing w:after="20"/>
            </w:pPr>
            <w:r/>
            <w:r>
              <w:rPr>
                <w:rFonts w:ascii="Aptos" w:hAnsi="Aptos"/>
                <w:b w:val="0"/>
                <w:sz w:val="16"/>
              </w:rPr>
              <w:t>One account represents one individual; no couple profiles in MVP.</w:t>
            </w:r>
          </w:p>
        </w:tc>
        <w:tc>
          <w:tcPr>
            <w:tcW w:type="dxa" w:w="3312"/>
            <w:vAlign w:val="center"/>
          </w:tcPr>
          <w:p>
            <w:pPr>
              <w:spacing w:after="20"/>
            </w:pPr>
            <w:r/>
            <w:r>
              <w:rPr>
                <w:rFonts w:ascii="Aptos" w:hAnsi="Aptos"/>
                <w:b w:val="0"/>
                <w:sz w:val="16"/>
              </w:rPr>
              <w:t>Validate audience demand before adding multi-person account semantics.</w:t>
            </w:r>
          </w:p>
        </w:tc>
      </w:tr>
      <w:tr>
        <w:tc>
          <w:tcPr>
            <w:tcW w:type="dxa" w:w="3312"/>
            <w:vAlign w:val="center"/>
          </w:tcPr>
          <w:p>
            <w:pPr>
              <w:spacing w:after="20"/>
            </w:pPr>
            <w:r/>
            <w:r>
              <w:rPr>
                <w:rFonts w:ascii="Aptos" w:hAnsi="Aptos"/>
                <w:b w:val="0"/>
                <w:sz w:val="16"/>
              </w:rPr>
              <w:t>A4</w:t>
            </w:r>
          </w:p>
        </w:tc>
        <w:tc>
          <w:tcPr>
            <w:tcW w:type="dxa" w:w="3312"/>
            <w:vAlign w:val="center"/>
          </w:tcPr>
          <w:p>
            <w:pPr>
              <w:spacing w:after="20"/>
            </w:pPr>
            <w:r/>
            <w:r>
              <w:rPr>
                <w:rFonts w:ascii="Aptos" w:hAnsi="Aptos"/>
                <w:b w:val="0"/>
                <w:sz w:val="16"/>
              </w:rPr>
              <w:t>Users can seek long-term relationships while choosing inclusive genders/orientations and dealbreakers.</w:t>
            </w:r>
          </w:p>
        </w:tc>
        <w:tc>
          <w:tcPr>
            <w:tcW w:type="dxa" w:w="3312"/>
            <w:vAlign w:val="center"/>
          </w:tcPr>
          <w:p>
            <w:pPr>
              <w:spacing w:after="20"/>
            </w:pPr>
            <w:r/>
            <w:r>
              <w:rPr>
                <w:rFonts w:ascii="Aptos" w:hAnsi="Aptos"/>
                <w:b w:val="0"/>
                <w:sz w:val="16"/>
              </w:rPr>
              <w:t>Test onboarding comprehension with a diverse panel; avoid assuming one relationship model.</w:t>
            </w:r>
          </w:p>
        </w:tc>
      </w:tr>
      <w:tr>
        <w:tc>
          <w:tcPr>
            <w:tcW w:type="dxa" w:w="3312"/>
            <w:vAlign w:val="center"/>
          </w:tcPr>
          <w:p>
            <w:pPr>
              <w:spacing w:after="20"/>
            </w:pPr>
            <w:r/>
            <w:r>
              <w:rPr>
                <w:rFonts w:ascii="Aptos" w:hAnsi="Aptos"/>
                <w:b w:val="0"/>
                <w:sz w:val="16"/>
              </w:rPr>
              <w:t>A5</w:t>
            </w:r>
          </w:p>
        </w:tc>
        <w:tc>
          <w:tcPr>
            <w:tcW w:type="dxa" w:w="3312"/>
            <w:vAlign w:val="center"/>
          </w:tcPr>
          <w:p>
            <w:pPr>
              <w:spacing w:after="20"/>
            </w:pPr>
            <w:r/>
            <w:r>
              <w:rPr>
                <w:rFonts w:ascii="Aptos" w:hAnsi="Aptos"/>
                <w:b w:val="0"/>
                <w:sz w:val="16"/>
              </w:rPr>
              <w:t>Free tier includes core matching, incoming likes, mutual messaging and safety tools.</w:t>
            </w:r>
          </w:p>
        </w:tc>
        <w:tc>
          <w:tcPr>
            <w:tcW w:type="dxa" w:w="3312"/>
            <w:vAlign w:val="center"/>
          </w:tcPr>
          <w:p>
            <w:pPr>
              <w:spacing w:after="20"/>
            </w:pPr>
            <w:r/>
            <w:r>
              <w:rPr>
                <w:rFonts w:ascii="Aptos" w:hAnsi="Aptos"/>
                <w:b w:val="0"/>
                <w:sz w:val="16"/>
              </w:rPr>
              <w:t>Test willingness to pay for convenience, not access to basic connection.</w:t>
            </w:r>
          </w:p>
        </w:tc>
      </w:tr>
      <w:tr>
        <w:tc>
          <w:tcPr>
            <w:tcW w:type="dxa" w:w="3312"/>
            <w:vAlign w:val="center"/>
          </w:tcPr>
          <w:p>
            <w:pPr>
              <w:spacing w:after="20"/>
            </w:pPr>
            <w:r/>
            <w:r>
              <w:rPr>
                <w:rFonts w:ascii="Aptos" w:hAnsi="Aptos"/>
                <w:b w:val="0"/>
                <w:sz w:val="16"/>
              </w:rPr>
              <w:t>A6</w:t>
            </w:r>
          </w:p>
        </w:tc>
        <w:tc>
          <w:tcPr>
            <w:tcW w:type="dxa" w:w="3312"/>
            <w:vAlign w:val="center"/>
          </w:tcPr>
          <w:p>
            <w:pPr>
              <w:spacing w:after="20"/>
            </w:pPr>
            <w:r/>
            <w:r>
              <w:rPr>
                <w:rFonts w:ascii="Aptos" w:hAnsi="Aptos"/>
                <w:b w:val="0"/>
                <w:sz w:val="16"/>
              </w:rPr>
              <w:t>Initial ranking is rules + calibrated statistical model, not an LLM deciding compatibility.</w:t>
            </w:r>
          </w:p>
        </w:tc>
        <w:tc>
          <w:tcPr>
            <w:tcW w:type="dxa" w:w="3312"/>
            <w:vAlign w:val="center"/>
          </w:tcPr>
          <w:p>
            <w:pPr>
              <w:spacing w:after="20"/>
            </w:pPr>
            <w:r/>
            <w:r>
              <w:rPr>
                <w:rFonts w:ascii="Aptos" w:hAnsi="Aptos"/>
                <w:b w:val="0"/>
                <w:sz w:val="16"/>
              </w:rPr>
              <w:t>Validate quality with offline replay and controlled experiments before increasing model complexity.</w:t>
            </w:r>
          </w:p>
        </w:tc>
      </w:tr>
      <w:tr>
        <w:tc>
          <w:tcPr>
            <w:tcW w:type="dxa" w:w="3312"/>
            <w:vAlign w:val="center"/>
          </w:tcPr>
          <w:p>
            <w:pPr>
              <w:spacing w:after="20"/>
            </w:pPr>
            <w:r/>
            <w:r>
              <w:rPr>
                <w:rFonts w:ascii="Aptos" w:hAnsi="Aptos"/>
                <w:b w:val="0"/>
                <w:sz w:val="16"/>
              </w:rPr>
              <w:t>A7</w:t>
            </w:r>
          </w:p>
        </w:tc>
        <w:tc>
          <w:tcPr>
            <w:tcW w:type="dxa" w:w="3312"/>
            <w:vAlign w:val="center"/>
          </w:tcPr>
          <w:p>
            <w:pPr>
              <w:spacing w:after="20"/>
            </w:pPr>
            <w:r/>
            <w:r>
              <w:rPr>
                <w:rFonts w:ascii="Aptos" w:hAnsi="Aptos"/>
                <w:b w:val="0"/>
                <w:sz w:val="16"/>
              </w:rPr>
              <w:t>Initial beta is geographically concentrated.</w:t>
            </w:r>
          </w:p>
        </w:tc>
        <w:tc>
          <w:tcPr>
            <w:tcW w:type="dxa" w:w="3312"/>
            <w:vAlign w:val="center"/>
          </w:tcPr>
          <w:p>
            <w:pPr>
              <w:spacing w:after="20"/>
            </w:pPr>
            <w:r/>
            <w:r>
              <w:rPr>
                <w:rFonts w:ascii="Aptos" w:hAnsi="Aptos"/>
                <w:b w:val="0"/>
                <w:sz w:val="16"/>
              </w:rPr>
              <w:t>Choose the first city/region based on user research and acquisition capacity; density matters more than a scattered signup count.</w:t>
            </w:r>
          </w:p>
        </w:tc>
      </w:tr>
      <w:tr>
        <w:tc>
          <w:tcPr>
            <w:tcW w:type="dxa" w:w="3312"/>
            <w:vAlign w:val="center"/>
          </w:tcPr>
          <w:p>
            <w:pPr>
              <w:spacing w:after="20"/>
            </w:pPr>
            <w:r/>
            <w:r>
              <w:rPr>
                <w:rFonts w:ascii="Aptos" w:hAnsi="Aptos"/>
                <w:b w:val="0"/>
                <w:sz w:val="16"/>
              </w:rPr>
              <w:t>A8</w:t>
            </w:r>
          </w:p>
        </w:tc>
        <w:tc>
          <w:tcPr>
            <w:tcW w:type="dxa" w:w="3312"/>
            <w:vAlign w:val="center"/>
          </w:tcPr>
          <w:p>
            <w:pPr>
              <w:spacing w:after="20"/>
            </w:pPr>
            <w:r/>
            <w:r>
              <w:rPr>
                <w:rFonts w:ascii="Aptos" w:hAnsi="Aptos"/>
                <w:b w:val="0"/>
                <w:sz w:val="16"/>
              </w:rPr>
              <w:t>AI prompt assistance is optional and user-initiated.</w:t>
            </w:r>
          </w:p>
        </w:tc>
        <w:tc>
          <w:tcPr>
            <w:tcW w:type="dxa" w:w="3312"/>
            <w:vAlign w:val="center"/>
          </w:tcPr>
          <w:p>
            <w:pPr>
              <w:spacing w:after="20"/>
            </w:pPr>
            <w:r/>
            <w:r>
              <w:rPr>
                <w:rFonts w:ascii="Aptos" w:hAnsi="Aptos"/>
                <w:b w:val="0"/>
                <w:sz w:val="16"/>
              </w:rPr>
              <w:t>Test usefulness and abuse risks; never auto-send generated messages.</w:t>
            </w:r>
          </w:p>
        </w:tc>
      </w:tr>
      <w:tr>
        <w:tc>
          <w:tcPr>
            <w:tcW w:type="dxa" w:w="3312"/>
            <w:vAlign w:val="center"/>
          </w:tcPr>
          <w:p>
            <w:pPr>
              <w:spacing w:after="20"/>
            </w:pPr>
            <w:r/>
            <w:r>
              <w:rPr>
                <w:rFonts w:ascii="Aptos" w:hAnsi="Aptos"/>
                <w:b w:val="0"/>
                <w:sz w:val="16"/>
              </w:rPr>
              <w:t>A9</w:t>
            </w:r>
          </w:p>
        </w:tc>
        <w:tc>
          <w:tcPr>
            <w:tcW w:type="dxa" w:w="3312"/>
            <w:vAlign w:val="center"/>
          </w:tcPr>
          <w:p>
            <w:pPr>
              <w:spacing w:after="20"/>
            </w:pPr>
            <w:r/>
            <w:r>
              <w:rPr>
                <w:rFonts w:ascii="Aptos" w:hAnsi="Aptos"/>
                <w:b w:val="0"/>
                <w:sz w:val="16"/>
              </w:rPr>
              <w:t>A user may hide sensitive profile fields or choose not to answer optional questions.</w:t>
            </w:r>
          </w:p>
        </w:tc>
        <w:tc>
          <w:tcPr>
            <w:tcW w:type="dxa" w:w="3312"/>
            <w:vAlign w:val="center"/>
          </w:tcPr>
          <w:p>
            <w:pPr>
              <w:spacing w:after="20"/>
            </w:pPr>
            <w:r/>
            <w:r>
              <w:rPr>
                <w:rFonts w:ascii="Aptos" w:hAnsi="Aptos"/>
                <w:b w:val="0"/>
                <w:sz w:val="16"/>
              </w:rPr>
              <w:t>Confirm that matching still works acceptably with sparse profiles.</w:t>
            </w:r>
          </w:p>
        </w:tc>
      </w:tr>
    </w:tbl>
    <w:p>
      <w:pPr>
        <w:spacing w:after="20"/>
      </w:pPr>
    </w:p>
    <w:p>
      <w:pPr>
        <w:pStyle w:val="Heading2"/>
      </w:pPr>
      <w:r>
        <w:t>Decisions required before build freeze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Decision</w:t>
            </w:r>
          </w:p>
        </w:tc>
        <w:tc>
          <w:tcPr>
            <w:tcW w:type="dxa" w:w="3312"/>
            <w:vAlign w:val="center"/>
            <w:shd w:fill="176B68"/>
          </w:tcPr>
          <w:p>
            <w:pPr>
              <w:spacing w:after="20"/>
            </w:pPr>
            <w:r/>
            <w:r>
              <w:rPr>
                <w:rFonts w:ascii="Aptos" w:hAnsi="Aptos"/>
                <w:b/>
                <w:color w:val="FFFFFF"/>
                <w:sz w:val="17"/>
              </w:rPr>
              <w:t>Recommended default</w:t>
            </w:r>
          </w:p>
        </w:tc>
        <w:tc>
          <w:tcPr>
            <w:tcW w:type="dxa" w:w="3312"/>
            <w:vAlign w:val="center"/>
            <w:shd w:fill="176B68"/>
          </w:tcPr>
          <w:p>
            <w:pPr>
              <w:spacing w:after="20"/>
            </w:pPr>
            <w:r/>
            <w:r>
              <w:rPr>
                <w:rFonts w:ascii="Aptos" w:hAnsi="Aptos"/>
                <w:b/>
                <w:color w:val="FFFFFF"/>
                <w:sz w:val="17"/>
              </w:rPr>
              <w:t>Owner / validation</w:t>
            </w:r>
          </w:p>
        </w:tc>
      </w:tr>
      <w:tr>
        <w:tc>
          <w:tcPr>
            <w:tcW w:type="dxa" w:w="3312"/>
            <w:vAlign w:val="center"/>
          </w:tcPr>
          <w:p>
            <w:pPr>
              <w:spacing w:after="20"/>
            </w:pPr>
            <w:r/>
            <w:r>
              <w:rPr>
                <w:rFonts w:ascii="Aptos" w:hAnsi="Aptos"/>
                <w:b w:val="0"/>
                <w:sz w:val="16"/>
              </w:rPr>
              <w:t>Launch geography</w:t>
            </w:r>
          </w:p>
        </w:tc>
        <w:tc>
          <w:tcPr>
            <w:tcW w:type="dxa" w:w="3312"/>
            <w:vAlign w:val="center"/>
          </w:tcPr>
          <w:p>
            <w:pPr>
              <w:spacing w:after="20"/>
            </w:pPr>
            <w:r/>
            <w:r>
              <w:rPr>
                <w:rFonts w:ascii="Aptos" w:hAnsi="Aptos"/>
                <w:b w:val="0"/>
                <w:sz w:val="16"/>
              </w:rPr>
              <w:t>One UK city/region or tightly defined metro area</w:t>
            </w:r>
          </w:p>
        </w:tc>
        <w:tc>
          <w:tcPr>
            <w:tcW w:type="dxa" w:w="3312"/>
            <w:vAlign w:val="center"/>
          </w:tcPr>
          <w:p>
            <w:pPr>
              <w:spacing w:after="20"/>
            </w:pPr>
            <w:r/>
            <w:r>
              <w:rPr>
                <w:rFonts w:ascii="Aptos" w:hAnsi="Aptos"/>
                <w:b w:val="0"/>
                <w:sz w:val="16"/>
              </w:rPr>
              <w:t>Founder + legal; assess supply density and support capacity.</w:t>
            </w:r>
          </w:p>
        </w:tc>
      </w:tr>
      <w:tr>
        <w:tc>
          <w:tcPr>
            <w:tcW w:type="dxa" w:w="3312"/>
            <w:vAlign w:val="center"/>
          </w:tcPr>
          <w:p>
            <w:pPr>
              <w:spacing w:after="20"/>
            </w:pPr>
            <w:r/>
            <w:r>
              <w:rPr>
                <w:rFonts w:ascii="Aptos" w:hAnsi="Aptos"/>
                <w:b w:val="0"/>
                <w:sz w:val="16"/>
              </w:rPr>
              <w:t>Brand and name</w:t>
            </w:r>
          </w:p>
        </w:tc>
        <w:tc>
          <w:tcPr>
            <w:tcW w:type="dxa" w:w="3312"/>
            <w:vAlign w:val="center"/>
          </w:tcPr>
          <w:p>
            <w:pPr>
              <w:spacing w:after="20"/>
            </w:pPr>
            <w:r/>
            <w:r>
              <w:rPr>
                <w:rFonts w:ascii="Aptos" w:hAnsi="Aptos"/>
                <w:b w:val="0"/>
                <w:sz w:val="16"/>
              </w:rPr>
              <w:t>Temporary codename during build</w:t>
            </w:r>
          </w:p>
        </w:tc>
        <w:tc>
          <w:tcPr>
            <w:tcW w:type="dxa" w:w="3312"/>
            <w:vAlign w:val="center"/>
          </w:tcPr>
          <w:p>
            <w:pPr>
              <w:spacing w:after="20"/>
            </w:pPr>
            <w:r/>
            <w:r>
              <w:rPr>
                <w:rFonts w:ascii="Aptos" w:hAnsi="Aptos"/>
                <w:b w:val="0"/>
                <w:sz w:val="16"/>
              </w:rPr>
              <w:t>Founder; trademark/domain/app-store checks later.</w:t>
            </w:r>
          </w:p>
        </w:tc>
      </w:tr>
      <w:tr>
        <w:tc>
          <w:tcPr>
            <w:tcW w:type="dxa" w:w="3312"/>
            <w:vAlign w:val="center"/>
          </w:tcPr>
          <w:p>
            <w:pPr>
              <w:spacing w:after="20"/>
            </w:pPr>
            <w:r/>
            <w:r>
              <w:rPr>
                <w:rFonts w:ascii="Aptos" w:hAnsi="Aptos"/>
                <w:b w:val="0"/>
                <w:sz w:val="16"/>
              </w:rPr>
              <w:t>Age assurance</w:t>
            </w:r>
          </w:p>
        </w:tc>
        <w:tc>
          <w:tcPr>
            <w:tcW w:type="dxa" w:w="3312"/>
            <w:vAlign w:val="center"/>
          </w:tcPr>
          <w:p>
            <w:pPr>
              <w:spacing w:after="20"/>
            </w:pPr>
            <w:r/>
            <w:r>
              <w:rPr>
                <w:rFonts w:ascii="Aptos" w:hAnsi="Aptos"/>
                <w:b w:val="0"/>
                <w:sz w:val="16"/>
              </w:rPr>
              <w:t>Age gate plus risk-based assurance and escalation</w:t>
            </w:r>
          </w:p>
        </w:tc>
        <w:tc>
          <w:tcPr>
            <w:tcW w:type="dxa" w:w="3312"/>
            <w:vAlign w:val="center"/>
          </w:tcPr>
          <w:p>
            <w:pPr>
              <w:spacing w:after="20"/>
            </w:pPr>
            <w:r/>
            <w:r>
              <w:rPr>
                <w:rFonts w:ascii="Aptos" w:hAnsi="Aptos"/>
                <w:b w:val="0"/>
                <w:sz w:val="16"/>
              </w:rPr>
              <w:t>Safety/legal; assess proportionality and vendor options.</w:t>
            </w:r>
          </w:p>
        </w:tc>
      </w:tr>
      <w:tr>
        <w:tc>
          <w:tcPr>
            <w:tcW w:type="dxa" w:w="3312"/>
            <w:vAlign w:val="center"/>
          </w:tcPr>
          <w:p>
            <w:pPr>
              <w:spacing w:after="20"/>
            </w:pPr>
            <w:r/>
            <w:r>
              <w:rPr>
                <w:rFonts w:ascii="Aptos" w:hAnsi="Aptos"/>
                <w:b w:val="0"/>
                <w:sz w:val="16"/>
              </w:rPr>
              <w:t>Verification</w:t>
            </w:r>
          </w:p>
        </w:tc>
        <w:tc>
          <w:tcPr>
            <w:tcW w:type="dxa" w:w="3312"/>
            <w:vAlign w:val="center"/>
          </w:tcPr>
          <w:p>
            <w:pPr>
              <w:spacing w:after="20"/>
            </w:pPr>
            <w:r/>
            <w:r>
              <w:rPr>
                <w:rFonts w:ascii="Aptos" w:hAnsi="Aptos"/>
                <w:b w:val="0"/>
                <w:sz w:val="16"/>
              </w:rPr>
              <w:t>Optional selfie/liveness or trusted verification provider, clearly scoped</w:t>
            </w:r>
          </w:p>
        </w:tc>
        <w:tc>
          <w:tcPr>
            <w:tcW w:type="dxa" w:w="3312"/>
            <w:vAlign w:val="center"/>
          </w:tcPr>
          <w:p>
            <w:pPr>
              <w:spacing w:after="20"/>
            </w:pPr>
            <w:r/>
            <w:r>
              <w:rPr>
                <w:rFonts w:ascii="Aptos" w:hAnsi="Aptos"/>
                <w:b w:val="0"/>
                <w:sz w:val="16"/>
              </w:rPr>
              <w:t>Safety/product; privacy impact and spoofing review.</w:t>
            </w:r>
          </w:p>
        </w:tc>
      </w:tr>
      <w:tr>
        <w:tc>
          <w:tcPr>
            <w:tcW w:type="dxa" w:w="3312"/>
            <w:vAlign w:val="center"/>
          </w:tcPr>
          <w:p>
            <w:pPr>
              <w:spacing w:after="20"/>
            </w:pPr>
            <w:r/>
            <w:r>
              <w:rPr>
                <w:rFonts w:ascii="Aptos" w:hAnsi="Aptos"/>
                <w:b w:val="0"/>
                <w:sz w:val="16"/>
              </w:rPr>
              <w:t>Pricing</w:t>
            </w:r>
          </w:p>
        </w:tc>
        <w:tc>
          <w:tcPr>
            <w:tcW w:type="dxa" w:w="3312"/>
            <w:vAlign w:val="center"/>
          </w:tcPr>
          <w:p>
            <w:pPr>
              <w:spacing w:after="20"/>
            </w:pPr>
            <w:r/>
            <w:r>
              <w:rPr>
                <w:rFonts w:ascii="Aptos" w:hAnsi="Aptos"/>
                <w:b w:val="0"/>
                <w:sz w:val="16"/>
              </w:rPr>
              <w:t>Free core + one optional paid tier + event revenue later</w:t>
            </w:r>
          </w:p>
        </w:tc>
        <w:tc>
          <w:tcPr>
            <w:tcW w:type="dxa" w:w="3312"/>
            <w:vAlign w:val="center"/>
          </w:tcPr>
          <w:p>
            <w:pPr>
              <w:spacing w:after="20"/>
            </w:pPr>
            <w:r/>
            <w:r>
              <w:rPr>
                <w:rFonts w:ascii="Aptos" w:hAnsi="Aptos"/>
                <w:b w:val="0"/>
                <w:sz w:val="16"/>
              </w:rPr>
              <w:t>Product/growth; price research and cohort experiments.</w:t>
            </w:r>
          </w:p>
        </w:tc>
      </w:tr>
      <w:tr>
        <w:tc>
          <w:tcPr>
            <w:tcW w:type="dxa" w:w="3312"/>
            <w:vAlign w:val="center"/>
          </w:tcPr>
          <w:p>
            <w:pPr>
              <w:spacing w:after="20"/>
            </w:pPr>
            <w:r/>
            <w:r>
              <w:rPr>
                <w:rFonts w:ascii="Aptos" w:hAnsi="Aptos"/>
                <w:b w:val="0"/>
                <w:sz w:val="16"/>
              </w:rPr>
              <w:t>Message limits</w:t>
            </w:r>
          </w:p>
        </w:tc>
        <w:tc>
          <w:tcPr>
            <w:tcW w:type="dxa" w:w="3312"/>
            <w:vAlign w:val="center"/>
          </w:tcPr>
          <w:p>
            <w:pPr>
              <w:spacing w:after="20"/>
            </w:pPr>
            <w:r/>
            <w:r>
              <w:rPr>
                <w:rFonts w:ascii="Aptos" w:hAnsi="Aptos"/>
                <w:b w:val="0"/>
                <w:sz w:val="16"/>
              </w:rPr>
              <w:t>Anti-spam limits based on abuse risk, not paywall pressure</w:t>
            </w:r>
          </w:p>
        </w:tc>
        <w:tc>
          <w:tcPr>
            <w:tcW w:type="dxa" w:w="3312"/>
            <w:vAlign w:val="center"/>
          </w:tcPr>
          <w:p>
            <w:pPr>
              <w:spacing w:after="20"/>
            </w:pPr>
            <w:r/>
            <w:r>
              <w:rPr>
                <w:rFonts w:ascii="Aptos" w:hAnsi="Aptos"/>
                <w:b w:val="0"/>
                <w:sz w:val="16"/>
              </w:rPr>
              <w:t>Product/safety; beta evidence.</w:t>
            </w:r>
          </w:p>
        </w:tc>
      </w:tr>
      <w:tr>
        <w:tc>
          <w:tcPr>
            <w:tcW w:type="dxa" w:w="3312"/>
            <w:vAlign w:val="center"/>
          </w:tcPr>
          <w:p>
            <w:pPr>
              <w:spacing w:after="20"/>
            </w:pPr>
            <w:r/>
            <w:r>
              <w:rPr>
                <w:rFonts w:ascii="Aptos" w:hAnsi="Aptos"/>
                <w:b w:val="0"/>
                <w:sz w:val="16"/>
              </w:rPr>
              <w:t>Sensitive attributes</w:t>
            </w:r>
          </w:p>
        </w:tc>
        <w:tc>
          <w:tcPr>
            <w:tcW w:type="dxa" w:w="3312"/>
            <w:vAlign w:val="center"/>
          </w:tcPr>
          <w:p>
            <w:pPr>
              <w:spacing w:after="20"/>
            </w:pPr>
            <w:r/>
            <w:r>
              <w:rPr>
                <w:rFonts w:ascii="Aptos" w:hAnsi="Aptos"/>
                <w:b w:val="0"/>
                <w:sz w:val="16"/>
              </w:rPr>
              <w:t>Use only user-supplied fields necessary for matching; never infer protected traits from photos/text</w:t>
            </w:r>
          </w:p>
        </w:tc>
        <w:tc>
          <w:tcPr>
            <w:tcW w:type="dxa" w:w="3312"/>
            <w:vAlign w:val="center"/>
          </w:tcPr>
          <w:p>
            <w:pPr>
              <w:spacing w:after="20"/>
            </w:pPr>
            <w:r/>
            <w:r>
              <w:rPr>
                <w:rFonts w:ascii="Aptos" w:hAnsi="Aptos"/>
                <w:b w:val="0"/>
                <w:sz w:val="16"/>
              </w:rPr>
              <w:t>Privacy/legal; DPIA and lawful-basis review.</w:t>
            </w:r>
          </w:p>
        </w:tc>
      </w:tr>
      <w:tr>
        <w:tc>
          <w:tcPr>
            <w:tcW w:type="dxa" w:w="3312"/>
            <w:vAlign w:val="center"/>
          </w:tcPr>
          <w:p>
            <w:pPr>
              <w:spacing w:after="20"/>
            </w:pPr>
            <w:r/>
            <w:r>
              <w:rPr>
                <w:rFonts w:ascii="Aptos" w:hAnsi="Aptos"/>
                <w:b w:val="0"/>
                <w:sz w:val="16"/>
              </w:rPr>
              <w:t>Success outcome</w:t>
            </w:r>
          </w:p>
        </w:tc>
        <w:tc>
          <w:tcPr>
            <w:tcW w:type="dxa" w:w="3312"/>
            <w:vAlign w:val="center"/>
          </w:tcPr>
          <w:p>
            <w:pPr>
              <w:spacing w:after="20"/>
            </w:pPr>
            <w:r/>
            <w:r>
              <w:rPr>
                <w:rFonts w:ascii="Aptos" w:hAnsi="Aptos"/>
                <w:b w:val="0"/>
                <w:sz w:val="16"/>
              </w:rPr>
              <w:t>Mutual interest + two-sided conversations + optional date feedback</w:t>
            </w:r>
          </w:p>
        </w:tc>
        <w:tc>
          <w:tcPr>
            <w:tcW w:type="dxa" w:w="3312"/>
            <w:vAlign w:val="center"/>
          </w:tcPr>
          <w:p>
            <w:pPr>
              <w:spacing w:after="20"/>
            </w:pPr>
            <w:r/>
            <w:r>
              <w:rPr>
                <w:rFonts w:ascii="Aptos" w:hAnsi="Aptos"/>
                <w:b w:val="0"/>
                <w:sz w:val="16"/>
              </w:rPr>
              <w:t>Product/data; define event semantics before instrumentation.</w:t>
            </w:r>
          </w:p>
        </w:tc>
      </w:tr>
    </w:tbl>
    <w:p>
      <w:pPr>
        <w:spacing w:after="20"/>
      </w:pPr>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VALIDATION GATE  </w:t>
            </w:r>
            <w:r>
              <w:t>Do not finalise the ranking weights, subscription price, identity-verification vendor, retention periods or legal basis by intuition. Record decisions, owners, evidence and review dates.</w:t>
            </w:r>
          </w:p>
        </w:tc>
      </w:tr>
    </w:tbl>
    <w:p>
      <w:pPr>
        <w:spacing w:after="20"/>
      </w:pPr>
    </w:p>
    <w:p>
      <w:pPr>
        <w:pStyle w:val="Heading1"/>
      </w:pPr>
      <w:r>
        <w:t>3. Product requirements</w:t>
      </w:r>
    </w:p>
    <w:p>
      <w:pPr>
        <w:pStyle w:val="Heading2"/>
      </w:pPr>
      <w:r>
        <w:t>3.1 MVP feature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ID / priority</w:t>
            </w:r>
          </w:p>
        </w:tc>
        <w:tc>
          <w:tcPr>
            <w:tcW w:type="dxa" w:w="3312"/>
            <w:vAlign w:val="center"/>
            <w:shd w:fill="176B68"/>
          </w:tcPr>
          <w:p>
            <w:pPr>
              <w:spacing w:after="20"/>
            </w:pPr>
            <w:r/>
            <w:r>
              <w:rPr>
                <w:rFonts w:ascii="Aptos" w:hAnsi="Aptos"/>
                <w:b/>
                <w:color w:val="FFFFFF"/>
                <w:sz w:val="17"/>
              </w:rPr>
              <w:t>Requirement</w:t>
            </w:r>
          </w:p>
        </w:tc>
        <w:tc>
          <w:tcPr>
            <w:tcW w:type="dxa" w:w="3312"/>
            <w:vAlign w:val="center"/>
            <w:shd w:fill="176B68"/>
          </w:tcPr>
          <w:p>
            <w:pPr>
              <w:spacing w:after="20"/>
            </w:pPr>
            <w:r/>
            <w:r>
              <w:rPr>
                <w:rFonts w:ascii="Aptos" w:hAnsi="Aptos"/>
                <w:b/>
                <w:color w:val="FFFFFF"/>
                <w:sz w:val="17"/>
              </w:rPr>
              <w:t>Acceptance criteria</w:t>
            </w:r>
          </w:p>
        </w:tc>
      </w:tr>
      <w:tr>
        <w:tc>
          <w:tcPr>
            <w:tcW w:type="dxa" w:w="3312"/>
            <w:vAlign w:val="center"/>
          </w:tcPr>
          <w:p>
            <w:pPr>
              <w:spacing w:after="20"/>
            </w:pPr>
            <w:r/>
            <w:r>
              <w:rPr>
                <w:rFonts w:ascii="Aptos" w:hAnsi="Aptos"/>
                <w:b w:val="0"/>
                <w:sz w:val="16"/>
              </w:rPr>
              <w:t>PR-001 P0</w:t>
            </w:r>
          </w:p>
        </w:tc>
        <w:tc>
          <w:tcPr>
            <w:tcW w:type="dxa" w:w="3312"/>
            <w:vAlign w:val="center"/>
          </w:tcPr>
          <w:p>
            <w:pPr>
              <w:spacing w:after="20"/>
            </w:pPr>
            <w:r/>
            <w:r>
              <w:rPr>
                <w:rFonts w:ascii="Aptos" w:hAnsi="Aptos"/>
                <w:b w:val="0"/>
                <w:sz w:val="16"/>
              </w:rPr>
              <w:t>Account creation and authentication</w:t>
            </w:r>
          </w:p>
        </w:tc>
        <w:tc>
          <w:tcPr>
            <w:tcW w:type="dxa" w:w="3312"/>
            <w:vAlign w:val="center"/>
          </w:tcPr>
          <w:p>
            <w:pPr>
              <w:spacing w:after="20"/>
            </w:pPr>
            <w:r/>
            <w:r>
              <w:rPr>
                <w:rFonts w:ascii="Aptos" w:hAnsi="Aptos"/>
                <w:b w:val="0"/>
                <w:sz w:val="16"/>
              </w:rPr>
              <w:t>Secure signup/login, email/phone verification as selected, session management, account recovery, rate limits and suspicious-login controls.</w:t>
            </w:r>
          </w:p>
        </w:tc>
      </w:tr>
      <w:tr>
        <w:tc>
          <w:tcPr>
            <w:tcW w:type="dxa" w:w="3312"/>
            <w:vAlign w:val="center"/>
          </w:tcPr>
          <w:p>
            <w:pPr>
              <w:spacing w:after="20"/>
            </w:pPr>
            <w:r/>
            <w:r>
              <w:rPr>
                <w:rFonts w:ascii="Aptos" w:hAnsi="Aptos"/>
                <w:b w:val="0"/>
                <w:sz w:val="16"/>
              </w:rPr>
              <w:t>PR-002 P0</w:t>
            </w:r>
          </w:p>
        </w:tc>
        <w:tc>
          <w:tcPr>
            <w:tcW w:type="dxa" w:w="3312"/>
            <w:vAlign w:val="center"/>
          </w:tcPr>
          <w:p>
            <w:pPr>
              <w:spacing w:after="20"/>
            </w:pPr>
            <w:r/>
            <w:r>
              <w:rPr>
                <w:rFonts w:ascii="Aptos" w:hAnsi="Aptos"/>
                <w:b w:val="0"/>
                <w:sz w:val="16"/>
              </w:rPr>
              <w:t>Adult eligibility</w:t>
            </w:r>
          </w:p>
        </w:tc>
        <w:tc>
          <w:tcPr>
            <w:tcW w:type="dxa" w:w="3312"/>
            <w:vAlign w:val="center"/>
          </w:tcPr>
          <w:p>
            <w:pPr>
              <w:spacing w:after="20"/>
            </w:pPr>
            <w:r/>
            <w:r>
              <w:rPr>
                <w:rFonts w:ascii="Aptos" w:hAnsi="Aptos"/>
                <w:b w:val="0"/>
                <w:sz w:val="16"/>
              </w:rPr>
              <w:t>Users affirm age eligibility; risk-based checks and escalation are implemented; suspected underage accounts can be restricted and reviewed.</w:t>
            </w:r>
          </w:p>
        </w:tc>
      </w:tr>
      <w:tr>
        <w:tc>
          <w:tcPr>
            <w:tcW w:type="dxa" w:w="3312"/>
            <w:vAlign w:val="center"/>
          </w:tcPr>
          <w:p>
            <w:pPr>
              <w:spacing w:after="20"/>
            </w:pPr>
            <w:r/>
            <w:r>
              <w:rPr>
                <w:rFonts w:ascii="Aptos" w:hAnsi="Aptos"/>
                <w:b w:val="0"/>
                <w:sz w:val="16"/>
              </w:rPr>
              <w:t>PR-003 P0</w:t>
            </w:r>
          </w:p>
        </w:tc>
        <w:tc>
          <w:tcPr>
            <w:tcW w:type="dxa" w:w="3312"/>
            <w:vAlign w:val="center"/>
          </w:tcPr>
          <w:p>
            <w:pPr>
              <w:spacing w:after="20"/>
            </w:pPr>
            <w:r/>
            <w:r>
              <w:rPr>
                <w:rFonts w:ascii="Aptos" w:hAnsi="Aptos"/>
                <w:b w:val="0"/>
                <w:sz w:val="16"/>
              </w:rPr>
              <w:t>Inclusive profile</w:t>
            </w:r>
          </w:p>
        </w:tc>
        <w:tc>
          <w:tcPr>
            <w:tcW w:type="dxa" w:w="3312"/>
            <w:vAlign w:val="center"/>
          </w:tcPr>
          <w:p>
            <w:pPr>
              <w:spacing w:after="20"/>
            </w:pPr>
            <w:r/>
            <w:r>
              <w:rPr>
                <w:rFonts w:ascii="Aptos" w:hAnsi="Aptos"/>
                <w:b w:val="0"/>
                <w:sz w:val="16"/>
              </w:rPr>
              <w:t>Display name, date-of-birth-derived age, pronouns optional, gender/orientation options, who the user wants to see, location radius, relationship intentions, photos, prompts and interests.</w:t>
            </w:r>
          </w:p>
        </w:tc>
      </w:tr>
      <w:tr>
        <w:tc>
          <w:tcPr>
            <w:tcW w:type="dxa" w:w="3312"/>
            <w:vAlign w:val="center"/>
          </w:tcPr>
          <w:p>
            <w:pPr>
              <w:spacing w:after="20"/>
            </w:pPr>
            <w:r/>
            <w:r>
              <w:rPr>
                <w:rFonts w:ascii="Aptos" w:hAnsi="Aptos"/>
                <w:b w:val="0"/>
                <w:sz w:val="16"/>
              </w:rPr>
              <w:t>PR-004 P0</w:t>
            </w:r>
          </w:p>
        </w:tc>
        <w:tc>
          <w:tcPr>
            <w:tcW w:type="dxa" w:w="3312"/>
            <w:vAlign w:val="center"/>
          </w:tcPr>
          <w:p>
            <w:pPr>
              <w:spacing w:after="20"/>
            </w:pPr>
            <w:r/>
            <w:r>
              <w:rPr>
                <w:rFonts w:ascii="Aptos" w:hAnsi="Aptos"/>
                <w:b w:val="0"/>
                <w:sz w:val="16"/>
              </w:rPr>
              <w:t>Profile completeness and moderation</w:t>
            </w:r>
          </w:p>
        </w:tc>
        <w:tc>
          <w:tcPr>
            <w:tcW w:type="dxa" w:w="3312"/>
            <w:vAlign w:val="center"/>
          </w:tcPr>
          <w:p>
            <w:pPr>
              <w:spacing w:after="20"/>
            </w:pPr>
            <w:r/>
            <w:r>
              <w:rPr>
                <w:rFonts w:ascii="Aptos" w:hAnsi="Aptos"/>
                <w:b w:val="0"/>
                <w:sz w:val="16"/>
              </w:rPr>
              <w:t>Required fields are clear; photo/text uploads are moderated; users can preview their public profile and control optional visibility.</w:t>
            </w:r>
          </w:p>
        </w:tc>
      </w:tr>
      <w:tr>
        <w:tc>
          <w:tcPr>
            <w:tcW w:type="dxa" w:w="3312"/>
            <w:vAlign w:val="center"/>
          </w:tcPr>
          <w:p>
            <w:pPr>
              <w:spacing w:after="20"/>
            </w:pPr>
            <w:r/>
            <w:r>
              <w:rPr>
                <w:rFonts w:ascii="Aptos" w:hAnsi="Aptos"/>
                <w:b w:val="0"/>
                <w:sz w:val="16"/>
              </w:rPr>
              <w:t>PR-005 P0</w:t>
            </w:r>
          </w:p>
        </w:tc>
        <w:tc>
          <w:tcPr>
            <w:tcW w:type="dxa" w:w="3312"/>
            <w:vAlign w:val="center"/>
          </w:tcPr>
          <w:p>
            <w:pPr>
              <w:spacing w:after="20"/>
            </w:pPr>
            <w:r/>
            <w:r>
              <w:rPr>
                <w:rFonts w:ascii="Aptos" w:hAnsi="Aptos"/>
                <w:b w:val="0"/>
                <w:sz w:val="16"/>
              </w:rPr>
              <w:t>Preferences and dealbreakers</w:t>
            </w:r>
          </w:p>
        </w:tc>
        <w:tc>
          <w:tcPr>
            <w:tcW w:type="dxa" w:w="3312"/>
            <w:vAlign w:val="center"/>
          </w:tcPr>
          <w:p>
            <w:pPr>
              <w:spacing w:after="20"/>
            </w:pPr>
            <w:r/>
            <w:r>
              <w:rPr>
                <w:rFonts w:ascii="Aptos" w:hAnsi="Aptos"/>
                <w:b w:val="0"/>
                <w:sz w:val="16"/>
              </w:rPr>
              <w:t>Users can edit age range, distance, relationship intention and other explicitly supported preferences; hard constraints are separated from ranking preferences.</w:t>
            </w:r>
          </w:p>
        </w:tc>
      </w:tr>
      <w:tr>
        <w:tc>
          <w:tcPr>
            <w:tcW w:type="dxa" w:w="3312"/>
            <w:vAlign w:val="center"/>
          </w:tcPr>
          <w:p>
            <w:pPr>
              <w:spacing w:after="20"/>
            </w:pPr>
            <w:r/>
            <w:r>
              <w:rPr>
                <w:rFonts w:ascii="Aptos" w:hAnsi="Aptos"/>
                <w:b w:val="0"/>
                <w:sz w:val="16"/>
              </w:rPr>
              <w:t>PR-006 P0</w:t>
            </w:r>
          </w:p>
        </w:tc>
        <w:tc>
          <w:tcPr>
            <w:tcW w:type="dxa" w:w="3312"/>
            <w:vAlign w:val="center"/>
          </w:tcPr>
          <w:p>
            <w:pPr>
              <w:spacing w:after="20"/>
            </w:pPr>
            <w:r/>
            <w:r>
              <w:rPr>
                <w:rFonts w:ascii="Aptos" w:hAnsi="Aptos"/>
                <w:b w:val="0"/>
                <w:sz w:val="16"/>
              </w:rPr>
              <w:t>Recommendation feed</w:t>
            </w:r>
          </w:p>
        </w:tc>
        <w:tc>
          <w:tcPr>
            <w:tcW w:type="dxa" w:w="3312"/>
            <w:vAlign w:val="center"/>
          </w:tcPr>
          <w:p>
            <w:pPr>
              <w:spacing w:after="20"/>
            </w:pPr>
            <w:r/>
            <w:r>
              <w:rPr>
                <w:rFonts w:ascii="Aptos" w:hAnsi="Aptos"/>
                <w:b w:val="0"/>
                <w:sz w:val="16"/>
              </w:rPr>
              <w:t>Return paginated eligible candidates, exclude blocked/previously dismissed/matched users as configured, explain reasons and track exposure.</w:t>
            </w:r>
          </w:p>
        </w:tc>
      </w:tr>
      <w:tr>
        <w:tc>
          <w:tcPr>
            <w:tcW w:type="dxa" w:w="3312"/>
            <w:vAlign w:val="center"/>
          </w:tcPr>
          <w:p>
            <w:pPr>
              <w:spacing w:after="20"/>
            </w:pPr>
            <w:r/>
            <w:r>
              <w:rPr>
                <w:rFonts w:ascii="Aptos" w:hAnsi="Aptos"/>
                <w:b w:val="0"/>
                <w:sz w:val="16"/>
              </w:rPr>
              <w:t>PR-007 P0</w:t>
            </w:r>
          </w:p>
        </w:tc>
        <w:tc>
          <w:tcPr>
            <w:tcW w:type="dxa" w:w="3312"/>
            <w:vAlign w:val="center"/>
          </w:tcPr>
          <w:p>
            <w:pPr>
              <w:spacing w:after="20"/>
            </w:pPr>
            <w:r/>
            <w:r>
              <w:rPr>
                <w:rFonts w:ascii="Aptos" w:hAnsi="Aptos"/>
                <w:b w:val="0"/>
                <w:sz w:val="16"/>
              </w:rPr>
              <w:t>Like/comment</w:t>
            </w:r>
          </w:p>
        </w:tc>
        <w:tc>
          <w:tcPr>
            <w:tcW w:type="dxa" w:w="3312"/>
            <w:vAlign w:val="center"/>
          </w:tcPr>
          <w:p>
            <w:pPr>
              <w:spacing w:after="20"/>
            </w:pPr>
            <w:r/>
            <w:r>
              <w:rPr>
                <w:rFonts w:ascii="Aptos" w:hAnsi="Aptos"/>
                <w:b w:val="0"/>
                <w:sz w:val="16"/>
              </w:rPr>
              <w:t>Like a profile or a specific photo/prompt; optional comment; idempotent request; enforce anti-spam limits.</w:t>
            </w:r>
          </w:p>
        </w:tc>
      </w:tr>
      <w:tr>
        <w:tc>
          <w:tcPr>
            <w:tcW w:type="dxa" w:w="3312"/>
            <w:vAlign w:val="center"/>
          </w:tcPr>
          <w:p>
            <w:pPr>
              <w:spacing w:after="20"/>
            </w:pPr>
            <w:r/>
            <w:r>
              <w:rPr>
                <w:rFonts w:ascii="Aptos" w:hAnsi="Aptos"/>
                <w:b w:val="0"/>
                <w:sz w:val="16"/>
              </w:rPr>
              <w:t>PR-008 P0</w:t>
            </w:r>
          </w:p>
        </w:tc>
        <w:tc>
          <w:tcPr>
            <w:tcW w:type="dxa" w:w="3312"/>
            <w:vAlign w:val="center"/>
          </w:tcPr>
          <w:p>
            <w:pPr>
              <w:spacing w:after="20"/>
            </w:pPr>
            <w:r/>
            <w:r>
              <w:rPr>
                <w:rFonts w:ascii="Aptos" w:hAnsi="Aptos"/>
                <w:b w:val="0"/>
                <w:sz w:val="16"/>
              </w:rPr>
              <w:t>Incoming likes</w:t>
            </w:r>
          </w:p>
        </w:tc>
        <w:tc>
          <w:tcPr>
            <w:tcW w:type="dxa" w:w="3312"/>
            <w:vAlign w:val="center"/>
          </w:tcPr>
          <w:p>
            <w:pPr>
              <w:spacing w:after="20"/>
            </w:pPr>
            <w:r/>
            <w:r>
              <w:rPr>
                <w:rFonts w:ascii="Aptos" w:hAnsi="Aptos"/>
                <w:b w:val="0"/>
                <w:sz w:val="16"/>
              </w:rPr>
              <w:t>Free users can see who liked them, subject only to safety/moderation restrictions; no paid reveal gate.</w:t>
            </w:r>
          </w:p>
        </w:tc>
      </w:tr>
      <w:tr>
        <w:tc>
          <w:tcPr>
            <w:tcW w:type="dxa" w:w="3312"/>
            <w:vAlign w:val="center"/>
          </w:tcPr>
          <w:p>
            <w:pPr>
              <w:spacing w:after="20"/>
            </w:pPr>
            <w:r/>
            <w:r>
              <w:rPr>
                <w:rFonts w:ascii="Aptos" w:hAnsi="Aptos"/>
                <w:b w:val="0"/>
                <w:sz w:val="16"/>
              </w:rPr>
              <w:t>PR-009 P0</w:t>
            </w:r>
          </w:p>
        </w:tc>
        <w:tc>
          <w:tcPr>
            <w:tcW w:type="dxa" w:w="3312"/>
            <w:vAlign w:val="center"/>
          </w:tcPr>
          <w:p>
            <w:pPr>
              <w:spacing w:after="20"/>
            </w:pPr>
            <w:r/>
            <w:r>
              <w:rPr>
                <w:rFonts w:ascii="Aptos" w:hAnsi="Aptos"/>
                <w:b w:val="0"/>
                <w:sz w:val="16"/>
              </w:rPr>
              <w:t>Mutual match</w:t>
            </w:r>
          </w:p>
        </w:tc>
        <w:tc>
          <w:tcPr>
            <w:tcW w:type="dxa" w:w="3312"/>
            <w:vAlign w:val="center"/>
          </w:tcPr>
          <w:p>
            <w:pPr>
              <w:spacing w:after="20"/>
            </w:pPr>
            <w:r/>
            <w:r>
              <w:rPr>
                <w:rFonts w:ascii="Aptos" w:hAnsi="Aptos"/>
                <w:b w:val="0"/>
                <w:sz w:val="16"/>
              </w:rPr>
              <w:t>Create exactly one active match when reciprocal likes exist; emit an event and notify both users.</w:t>
            </w:r>
          </w:p>
        </w:tc>
      </w:tr>
      <w:tr>
        <w:tc>
          <w:tcPr>
            <w:tcW w:type="dxa" w:w="3312"/>
            <w:vAlign w:val="center"/>
          </w:tcPr>
          <w:p>
            <w:pPr>
              <w:spacing w:after="20"/>
            </w:pPr>
            <w:r/>
            <w:r>
              <w:rPr>
                <w:rFonts w:ascii="Aptos" w:hAnsi="Aptos"/>
                <w:b w:val="0"/>
                <w:sz w:val="16"/>
              </w:rPr>
              <w:t>PR-010 P0</w:t>
            </w:r>
          </w:p>
        </w:tc>
        <w:tc>
          <w:tcPr>
            <w:tcW w:type="dxa" w:w="3312"/>
            <w:vAlign w:val="center"/>
          </w:tcPr>
          <w:p>
            <w:pPr>
              <w:spacing w:after="20"/>
            </w:pPr>
            <w:r/>
            <w:r>
              <w:rPr>
                <w:rFonts w:ascii="Aptos" w:hAnsi="Aptos"/>
                <w:b w:val="0"/>
                <w:sz w:val="16"/>
              </w:rPr>
              <w:t>Messaging</w:t>
            </w:r>
          </w:p>
        </w:tc>
        <w:tc>
          <w:tcPr>
            <w:tcW w:type="dxa" w:w="3312"/>
            <w:vAlign w:val="center"/>
          </w:tcPr>
          <w:p>
            <w:pPr>
              <w:spacing w:after="20"/>
            </w:pPr>
            <w:r/>
            <w:r>
              <w:rPr>
                <w:rFonts w:ascii="Aptos" w:hAnsi="Aptos"/>
                <w:b w:val="0"/>
                <w:sz w:val="16"/>
              </w:rPr>
              <w:t>Only matched users can message in MVP; delivery/read status is clearly defined; block/report accessible in conversation.</w:t>
            </w:r>
          </w:p>
        </w:tc>
      </w:tr>
      <w:tr>
        <w:tc>
          <w:tcPr>
            <w:tcW w:type="dxa" w:w="3312"/>
            <w:vAlign w:val="center"/>
          </w:tcPr>
          <w:p>
            <w:pPr>
              <w:spacing w:after="20"/>
            </w:pPr>
            <w:r/>
            <w:r>
              <w:rPr>
                <w:rFonts w:ascii="Aptos" w:hAnsi="Aptos"/>
                <w:b w:val="0"/>
                <w:sz w:val="16"/>
              </w:rPr>
              <w:t>PR-011 P0</w:t>
            </w:r>
          </w:p>
        </w:tc>
        <w:tc>
          <w:tcPr>
            <w:tcW w:type="dxa" w:w="3312"/>
            <w:vAlign w:val="center"/>
          </w:tcPr>
          <w:p>
            <w:pPr>
              <w:spacing w:after="20"/>
            </w:pPr>
            <w:r/>
            <w:r>
              <w:rPr>
                <w:rFonts w:ascii="Aptos" w:hAnsi="Aptos"/>
                <w:b w:val="0"/>
                <w:sz w:val="16"/>
              </w:rPr>
              <w:t>Block and report</w:t>
            </w:r>
          </w:p>
        </w:tc>
        <w:tc>
          <w:tcPr>
            <w:tcW w:type="dxa" w:w="3312"/>
            <w:vAlign w:val="center"/>
          </w:tcPr>
          <w:p>
            <w:pPr>
              <w:spacing w:after="20"/>
            </w:pPr>
            <w:r/>
            <w:r>
              <w:rPr>
                <w:rFonts w:ascii="Aptos" w:hAnsi="Aptos"/>
                <w:b w:val="0"/>
                <w:sz w:val="16"/>
              </w:rPr>
              <w:t>Immediate block effect; report categories and optional evidence; confirmation to reporter; private moderation case with audit trail.</w:t>
            </w:r>
          </w:p>
        </w:tc>
      </w:tr>
      <w:tr>
        <w:tc>
          <w:tcPr>
            <w:tcW w:type="dxa" w:w="3312"/>
            <w:vAlign w:val="center"/>
          </w:tcPr>
          <w:p>
            <w:pPr>
              <w:spacing w:after="20"/>
            </w:pPr>
            <w:r/>
            <w:r>
              <w:rPr>
                <w:rFonts w:ascii="Aptos" w:hAnsi="Aptos"/>
                <w:b w:val="0"/>
                <w:sz w:val="16"/>
              </w:rPr>
              <w:t>PR-012 P0</w:t>
            </w:r>
          </w:p>
        </w:tc>
        <w:tc>
          <w:tcPr>
            <w:tcW w:type="dxa" w:w="3312"/>
            <w:vAlign w:val="center"/>
          </w:tcPr>
          <w:p>
            <w:pPr>
              <w:spacing w:after="20"/>
            </w:pPr>
            <w:r/>
            <w:r>
              <w:rPr>
                <w:rFonts w:ascii="Aptos" w:hAnsi="Aptos"/>
                <w:b w:val="0"/>
                <w:sz w:val="16"/>
              </w:rPr>
              <w:t>Account controls</w:t>
            </w:r>
          </w:p>
        </w:tc>
        <w:tc>
          <w:tcPr>
            <w:tcW w:type="dxa" w:w="3312"/>
            <w:vAlign w:val="center"/>
          </w:tcPr>
          <w:p>
            <w:pPr>
              <w:spacing w:after="20"/>
            </w:pPr>
            <w:r/>
            <w:r>
              <w:rPr>
                <w:rFonts w:ascii="Aptos" w:hAnsi="Aptos"/>
                <w:b w:val="0"/>
                <w:sz w:val="16"/>
              </w:rPr>
              <w:t>Pause discovery, unmatch, deactivate, request deletion, manage notification settings and manage personalisation.</w:t>
            </w:r>
          </w:p>
        </w:tc>
      </w:tr>
      <w:tr>
        <w:tc>
          <w:tcPr>
            <w:tcW w:type="dxa" w:w="3312"/>
            <w:vAlign w:val="center"/>
          </w:tcPr>
          <w:p>
            <w:pPr>
              <w:spacing w:after="20"/>
            </w:pPr>
            <w:r/>
            <w:r>
              <w:rPr>
                <w:rFonts w:ascii="Aptos" w:hAnsi="Aptos"/>
                <w:b w:val="0"/>
                <w:sz w:val="16"/>
              </w:rPr>
              <w:t>PR-013 P0</w:t>
            </w:r>
          </w:p>
        </w:tc>
        <w:tc>
          <w:tcPr>
            <w:tcW w:type="dxa" w:w="3312"/>
            <w:vAlign w:val="center"/>
          </w:tcPr>
          <w:p>
            <w:pPr>
              <w:spacing w:after="20"/>
            </w:pPr>
            <w:r/>
            <w:r>
              <w:rPr>
                <w:rFonts w:ascii="Aptos" w:hAnsi="Aptos"/>
                <w:b w:val="0"/>
                <w:sz w:val="16"/>
              </w:rPr>
              <w:t>Safety operations console</w:t>
            </w:r>
          </w:p>
        </w:tc>
        <w:tc>
          <w:tcPr>
            <w:tcW w:type="dxa" w:w="3312"/>
            <w:vAlign w:val="center"/>
          </w:tcPr>
          <w:p>
            <w:pPr>
              <w:spacing w:after="20"/>
            </w:pPr>
            <w:r/>
            <w:r>
              <w:rPr>
                <w:rFonts w:ascii="Aptos" w:hAnsi="Aptos"/>
                <w:b w:val="0"/>
                <w:sz w:val="16"/>
              </w:rPr>
              <w:t>Authorised staff can review reports, apply restrictions, record decisions and appeal outcomes; every sensitive action is audited.</w:t>
            </w:r>
          </w:p>
        </w:tc>
      </w:tr>
      <w:tr>
        <w:tc>
          <w:tcPr>
            <w:tcW w:type="dxa" w:w="3312"/>
            <w:vAlign w:val="center"/>
          </w:tcPr>
          <w:p>
            <w:pPr>
              <w:spacing w:after="20"/>
            </w:pPr>
            <w:r/>
            <w:r>
              <w:rPr>
                <w:rFonts w:ascii="Aptos" w:hAnsi="Aptos"/>
                <w:b w:val="0"/>
                <w:sz w:val="16"/>
              </w:rPr>
              <w:t>PR-014 P0</w:t>
            </w:r>
          </w:p>
        </w:tc>
        <w:tc>
          <w:tcPr>
            <w:tcW w:type="dxa" w:w="3312"/>
            <w:vAlign w:val="center"/>
          </w:tcPr>
          <w:p>
            <w:pPr>
              <w:spacing w:after="20"/>
            </w:pPr>
            <w:r/>
            <w:r>
              <w:rPr>
                <w:rFonts w:ascii="Aptos" w:hAnsi="Aptos"/>
                <w:b w:val="0"/>
                <w:sz w:val="16"/>
              </w:rPr>
              <w:t>Analytics events</w:t>
            </w:r>
          </w:p>
        </w:tc>
        <w:tc>
          <w:tcPr>
            <w:tcW w:type="dxa" w:w="3312"/>
            <w:vAlign w:val="center"/>
          </w:tcPr>
          <w:p>
            <w:pPr>
              <w:spacing w:after="20"/>
            </w:pPr>
            <w:r/>
            <w:r>
              <w:rPr>
                <w:rFonts w:ascii="Aptos" w:hAnsi="Aptos"/>
                <w:b w:val="0"/>
                <w:sz w:val="16"/>
              </w:rPr>
              <w:t>Versioned events for impression, profile view, like, match, message, report, block, unmatch, date-feedback prompt and subscription lifecycle.</w:t>
            </w:r>
          </w:p>
        </w:tc>
      </w:tr>
      <w:tr>
        <w:tc>
          <w:tcPr>
            <w:tcW w:type="dxa" w:w="3312"/>
            <w:vAlign w:val="center"/>
          </w:tcPr>
          <w:p>
            <w:pPr>
              <w:spacing w:after="20"/>
            </w:pPr>
            <w:r/>
            <w:r>
              <w:rPr>
                <w:rFonts w:ascii="Aptos" w:hAnsi="Aptos"/>
                <w:b w:val="0"/>
                <w:sz w:val="16"/>
              </w:rPr>
              <w:t>PR-015 P1</w:t>
            </w:r>
          </w:p>
        </w:tc>
        <w:tc>
          <w:tcPr>
            <w:tcW w:type="dxa" w:w="3312"/>
            <w:vAlign w:val="center"/>
          </w:tcPr>
          <w:p>
            <w:pPr>
              <w:spacing w:after="20"/>
            </w:pPr>
            <w:r/>
            <w:r>
              <w:rPr>
                <w:rFonts w:ascii="Aptos" w:hAnsi="Aptos"/>
                <w:b w:val="0"/>
                <w:sz w:val="16"/>
              </w:rPr>
              <w:t>Compatibility explanation</w:t>
            </w:r>
          </w:p>
        </w:tc>
        <w:tc>
          <w:tcPr>
            <w:tcW w:type="dxa" w:w="3312"/>
            <w:vAlign w:val="center"/>
          </w:tcPr>
          <w:p>
            <w:pPr>
              <w:spacing w:after="20"/>
            </w:pPr>
            <w:r/>
            <w:r>
              <w:rPr>
                <w:rFonts w:ascii="Aptos" w:hAnsi="Aptos"/>
                <w:b w:val="0"/>
                <w:sz w:val="16"/>
              </w:rPr>
              <w:t>Show grounded, non-sensitive reasons such as shared activity or aligned stated goals; omit a dimension if data is missing.</w:t>
            </w:r>
          </w:p>
        </w:tc>
      </w:tr>
      <w:tr>
        <w:tc>
          <w:tcPr>
            <w:tcW w:type="dxa" w:w="3312"/>
            <w:vAlign w:val="center"/>
          </w:tcPr>
          <w:p>
            <w:pPr>
              <w:spacing w:after="20"/>
            </w:pPr>
            <w:r/>
            <w:r>
              <w:rPr>
                <w:rFonts w:ascii="Aptos" w:hAnsi="Aptos"/>
                <w:b w:val="0"/>
                <w:sz w:val="16"/>
              </w:rPr>
              <w:t>PR-016 P1</w:t>
            </w:r>
          </w:p>
        </w:tc>
        <w:tc>
          <w:tcPr>
            <w:tcW w:type="dxa" w:w="3312"/>
            <w:vAlign w:val="center"/>
          </w:tcPr>
          <w:p>
            <w:pPr>
              <w:spacing w:after="20"/>
            </w:pPr>
            <w:r/>
            <w:r>
              <w:rPr>
                <w:rFonts w:ascii="Aptos" w:hAnsi="Aptos"/>
                <w:b w:val="0"/>
                <w:sz w:val="16"/>
              </w:rPr>
              <w:t>Push notifications</w:t>
            </w:r>
          </w:p>
        </w:tc>
        <w:tc>
          <w:tcPr>
            <w:tcW w:type="dxa" w:w="3312"/>
            <w:vAlign w:val="center"/>
          </w:tcPr>
          <w:p>
            <w:pPr>
              <w:spacing w:after="20"/>
            </w:pPr>
            <w:r/>
            <w:r>
              <w:rPr>
                <w:rFonts w:ascii="Aptos" w:hAnsi="Aptos"/>
                <w:b w:val="0"/>
                <w:sz w:val="16"/>
              </w:rPr>
              <w:t>Opt-in notifications for mutual matches and messages; avoid sensitive content on lock screens by default.</w:t>
            </w:r>
          </w:p>
        </w:tc>
      </w:tr>
      <w:tr>
        <w:tc>
          <w:tcPr>
            <w:tcW w:type="dxa" w:w="3312"/>
            <w:vAlign w:val="center"/>
          </w:tcPr>
          <w:p>
            <w:pPr>
              <w:spacing w:after="20"/>
            </w:pPr>
            <w:r/>
            <w:r>
              <w:rPr>
                <w:rFonts w:ascii="Aptos" w:hAnsi="Aptos"/>
                <w:b w:val="0"/>
                <w:sz w:val="16"/>
              </w:rPr>
              <w:t>PR-017 P1</w:t>
            </w:r>
          </w:p>
        </w:tc>
        <w:tc>
          <w:tcPr>
            <w:tcW w:type="dxa" w:w="3312"/>
            <w:vAlign w:val="center"/>
          </w:tcPr>
          <w:p>
            <w:pPr>
              <w:spacing w:after="20"/>
            </w:pPr>
            <w:r/>
            <w:r>
              <w:rPr>
                <w:rFonts w:ascii="Aptos" w:hAnsi="Aptos"/>
                <w:b w:val="0"/>
                <w:sz w:val="16"/>
              </w:rPr>
              <w:t>Optional profile helper</w:t>
            </w:r>
          </w:p>
        </w:tc>
        <w:tc>
          <w:tcPr>
            <w:tcW w:type="dxa" w:w="3312"/>
            <w:vAlign w:val="center"/>
          </w:tcPr>
          <w:p>
            <w:pPr>
              <w:spacing w:after="20"/>
            </w:pPr>
            <w:r/>
            <w:r>
              <w:rPr>
                <w:rFonts w:ascii="Aptos" w:hAnsi="Aptos"/>
                <w:b w:val="0"/>
                <w:sz w:val="16"/>
              </w:rPr>
              <w:t>Draft suggestions for prompts or bio; user reviews/edits; no automatic publishing or sending.</w:t>
            </w:r>
          </w:p>
        </w:tc>
      </w:tr>
      <w:tr>
        <w:tc>
          <w:tcPr>
            <w:tcW w:type="dxa" w:w="3312"/>
            <w:vAlign w:val="center"/>
          </w:tcPr>
          <w:p>
            <w:pPr>
              <w:spacing w:after="20"/>
            </w:pPr>
            <w:r/>
            <w:r>
              <w:rPr>
                <w:rFonts w:ascii="Aptos" w:hAnsi="Aptos"/>
                <w:b w:val="0"/>
                <w:sz w:val="16"/>
              </w:rPr>
              <w:t>PR-018 P2</w:t>
            </w:r>
          </w:p>
        </w:tc>
        <w:tc>
          <w:tcPr>
            <w:tcW w:type="dxa" w:w="3312"/>
            <w:vAlign w:val="center"/>
          </w:tcPr>
          <w:p>
            <w:pPr>
              <w:spacing w:after="20"/>
            </w:pPr>
            <w:r/>
            <w:r>
              <w:rPr>
                <w:rFonts w:ascii="Aptos" w:hAnsi="Aptos"/>
                <w:b w:val="0"/>
                <w:sz w:val="16"/>
              </w:rPr>
              <w:t>Events and date planning</w:t>
            </w:r>
          </w:p>
        </w:tc>
        <w:tc>
          <w:tcPr>
            <w:tcW w:type="dxa" w:w="3312"/>
            <w:vAlign w:val="center"/>
          </w:tcPr>
          <w:p>
            <w:pPr>
              <w:spacing w:after="20"/>
            </w:pPr>
            <w:r/>
            <w:r>
              <w:rPr>
                <w:rFonts w:ascii="Aptos" w:hAnsi="Aptos"/>
                <w:b w:val="0"/>
                <w:sz w:val="16"/>
              </w:rPr>
              <w:t>Local events, shared-activity suggestions, date planning and safety reminders after core product is validated.</w:t>
            </w:r>
          </w:p>
        </w:tc>
      </w:tr>
    </w:tbl>
    <w:p>
      <w:pPr>
        <w:spacing w:after="20"/>
      </w:pPr>
    </w:p>
    <w:p>
      <w:pPr>
        <w:pStyle w:val="Heading2"/>
      </w:pPr>
      <w:r>
        <w:t>3.2 Non-functional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Area</w:t>
            </w:r>
          </w:p>
        </w:tc>
        <w:tc>
          <w:tcPr>
            <w:tcW w:type="dxa" w:w="4968"/>
            <w:vAlign w:val="center"/>
            <w:shd w:fill="176B68"/>
          </w:tcPr>
          <w:p>
            <w:pPr>
              <w:spacing w:after="20"/>
            </w:pPr>
            <w:r/>
            <w:r>
              <w:rPr>
                <w:rFonts w:ascii="Aptos" w:hAnsi="Aptos"/>
                <w:b/>
                <w:color w:val="FFFFFF"/>
                <w:sz w:val="17"/>
              </w:rPr>
              <w:t>Requirement / target to validate</w:t>
            </w:r>
          </w:p>
        </w:tc>
      </w:tr>
      <w:tr>
        <w:tc>
          <w:tcPr>
            <w:tcW w:type="dxa" w:w="4968"/>
            <w:vAlign w:val="center"/>
          </w:tcPr>
          <w:p>
            <w:pPr>
              <w:spacing w:after="20"/>
            </w:pPr>
            <w:r/>
            <w:r>
              <w:rPr>
                <w:rFonts w:ascii="Aptos" w:hAnsi="Aptos"/>
                <w:b w:val="0"/>
                <w:sz w:val="16"/>
              </w:rPr>
              <w:t>Availability</w:t>
            </w:r>
          </w:p>
        </w:tc>
        <w:tc>
          <w:tcPr>
            <w:tcW w:type="dxa" w:w="4968"/>
            <w:vAlign w:val="center"/>
          </w:tcPr>
          <w:p>
            <w:pPr>
              <w:spacing w:after="20"/>
            </w:pPr>
            <w:r/>
            <w:r>
              <w:rPr>
                <w:rFonts w:ascii="Aptos" w:hAnsi="Aptos"/>
                <w:b w:val="0"/>
                <w:sz w:val="16"/>
              </w:rPr>
              <w:t>Initial production target 99.5% monthly for core APIs; raise after operational evidence and business needs.</w:t>
            </w:r>
          </w:p>
        </w:tc>
      </w:tr>
      <w:tr>
        <w:tc>
          <w:tcPr>
            <w:tcW w:type="dxa" w:w="4968"/>
            <w:vAlign w:val="center"/>
          </w:tcPr>
          <w:p>
            <w:pPr>
              <w:spacing w:after="20"/>
            </w:pPr>
            <w:r/>
            <w:r>
              <w:rPr>
                <w:rFonts w:ascii="Aptos" w:hAnsi="Aptos"/>
                <w:b w:val="0"/>
                <w:sz w:val="16"/>
              </w:rPr>
              <w:t>Latency</w:t>
            </w:r>
          </w:p>
        </w:tc>
        <w:tc>
          <w:tcPr>
            <w:tcW w:type="dxa" w:w="4968"/>
            <w:vAlign w:val="center"/>
          </w:tcPr>
          <w:p>
            <w:pPr>
              <w:spacing w:after="20"/>
            </w:pPr>
            <w:r/>
            <w:r>
              <w:rPr>
                <w:rFonts w:ascii="Aptos" w:hAnsi="Aptos"/>
                <w:b w:val="0"/>
                <w:sz w:val="16"/>
              </w:rPr>
              <w:t>p95 read API target under 300 ms excluding media delivery; recommendation endpoint p95 under 700 ms at initial scale, measured under realistic load.</w:t>
            </w:r>
          </w:p>
        </w:tc>
      </w:tr>
      <w:tr>
        <w:tc>
          <w:tcPr>
            <w:tcW w:type="dxa" w:w="4968"/>
            <w:vAlign w:val="center"/>
          </w:tcPr>
          <w:p>
            <w:pPr>
              <w:spacing w:after="20"/>
            </w:pPr>
            <w:r/>
            <w:r>
              <w:rPr>
                <w:rFonts w:ascii="Aptos" w:hAnsi="Aptos"/>
                <w:b w:val="0"/>
                <w:sz w:val="16"/>
              </w:rPr>
              <w:t>Scale</w:t>
            </w:r>
          </w:p>
        </w:tc>
        <w:tc>
          <w:tcPr>
            <w:tcW w:type="dxa" w:w="4968"/>
            <w:vAlign w:val="center"/>
          </w:tcPr>
          <w:p>
            <w:pPr>
              <w:spacing w:after="20"/>
            </w:pPr>
            <w:r/>
            <w:r>
              <w:rPr>
                <w:rFonts w:ascii="Aptos" w:hAnsi="Aptos"/>
                <w:b w:val="0"/>
                <w:sz w:val="16"/>
              </w:rPr>
              <w:t>Design and load-test for 10,000 registered users and a realistic concurrent active cohort; do not confuse registrations with concurrency.</w:t>
            </w:r>
          </w:p>
        </w:tc>
      </w:tr>
      <w:tr>
        <w:tc>
          <w:tcPr>
            <w:tcW w:type="dxa" w:w="4968"/>
            <w:vAlign w:val="center"/>
          </w:tcPr>
          <w:p>
            <w:pPr>
              <w:spacing w:after="20"/>
            </w:pPr>
            <w:r/>
            <w:r>
              <w:rPr>
                <w:rFonts w:ascii="Aptos" w:hAnsi="Aptos"/>
                <w:b w:val="0"/>
                <w:sz w:val="16"/>
              </w:rPr>
              <w:t>Reliability</w:t>
            </w:r>
          </w:p>
        </w:tc>
        <w:tc>
          <w:tcPr>
            <w:tcW w:type="dxa" w:w="4968"/>
            <w:vAlign w:val="center"/>
          </w:tcPr>
          <w:p>
            <w:pPr>
              <w:spacing w:after="20"/>
            </w:pPr>
            <w:r/>
            <w:r>
              <w:rPr>
                <w:rFonts w:ascii="Aptos" w:hAnsi="Aptos"/>
                <w:b w:val="0"/>
                <w:sz w:val="16"/>
              </w:rPr>
              <w:t>Idempotent match creation, retry-safe jobs, durable message writes, outbox pattern for event delivery, tested backup restore.</w:t>
            </w:r>
          </w:p>
        </w:tc>
      </w:tr>
      <w:tr>
        <w:tc>
          <w:tcPr>
            <w:tcW w:type="dxa" w:w="4968"/>
            <w:vAlign w:val="center"/>
          </w:tcPr>
          <w:p>
            <w:pPr>
              <w:spacing w:after="20"/>
            </w:pPr>
            <w:r/>
            <w:r>
              <w:rPr>
                <w:rFonts w:ascii="Aptos" w:hAnsi="Aptos"/>
                <w:b w:val="0"/>
                <w:sz w:val="16"/>
              </w:rPr>
              <w:t>Security</w:t>
            </w:r>
          </w:p>
        </w:tc>
        <w:tc>
          <w:tcPr>
            <w:tcW w:type="dxa" w:w="4968"/>
            <w:vAlign w:val="center"/>
          </w:tcPr>
          <w:p>
            <w:pPr>
              <w:spacing w:after="20"/>
            </w:pPr>
            <w:r/>
            <w:r>
              <w:rPr>
                <w:rFonts w:ascii="Aptos" w:hAnsi="Aptos"/>
                <w:b w:val="0"/>
                <w:sz w:val="16"/>
              </w:rPr>
              <w:t>TLS in transit, encryption at rest, managed secrets, least privilege, MFA for staff, rate limiting, dependency scanning, security logging.</w:t>
            </w:r>
          </w:p>
        </w:tc>
      </w:tr>
      <w:tr>
        <w:tc>
          <w:tcPr>
            <w:tcW w:type="dxa" w:w="4968"/>
            <w:vAlign w:val="center"/>
          </w:tcPr>
          <w:p>
            <w:pPr>
              <w:spacing w:after="20"/>
            </w:pPr>
            <w:r/>
            <w:r>
              <w:rPr>
                <w:rFonts w:ascii="Aptos" w:hAnsi="Aptos"/>
                <w:b w:val="0"/>
                <w:sz w:val="16"/>
              </w:rPr>
              <w:t>Accessibility</w:t>
            </w:r>
          </w:p>
        </w:tc>
        <w:tc>
          <w:tcPr>
            <w:tcW w:type="dxa" w:w="4968"/>
            <w:vAlign w:val="center"/>
          </w:tcPr>
          <w:p>
            <w:pPr>
              <w:spacing w:after="20"/>
            </w:pPr>
            <w:r/>
            <w:r>
              <w:rPr>
                <w:rFonts w:ascii="Aptos" w:hAnsi="Aptos"/>
                <w:b w:val="0"/>
                <w:sz w:val="16"/>
              </w:rPr>
              <w:t>Screen-reader labels, dynamic text, adequate contrast, reduced motion, touch targets, keyboard access for admin web console, plain language.</w:t>
            </w:r>
          </w:p>
        </w:tc>
      </w:tr>
      <w:tr>
        <w:tc>
          <w:tcPr>
            <w:tcW w:type="dxa" w:w="4968"/>
            <w:vAlign w:val="center"/>
          </w:tcPr>
          <w:p>
            <w:pPr>
              <w:spacing w:after="20"/>
            </w:pPr>
            <w:r/>
            <w:r>
              <w:rPr>
                <w:rFonts w:ascii="Aptos" w:hAnsi="Aptos"/>
                <w:b w:val="0"/>
                <w:sz w:val="16"/>
              </w:rPr>
              <w:t>Observability</w:t>
            </w:r>
          </w:p>
        </w:tc>
        <w:tc>
          <w:tcPr>
            <w:tcW w:type="dxa" w:w="4968"/>
            <w:vAlign w:val="center"/>
          </w:tcPr>
          <w:p>
            <w:pPr>
              <w:spacing w:after="20"/>
            </w:pPr>
            <w:r/>
            <w:r>
              <w:rPr>
                <w:rFonts w:ascii="Aptos" w:hAnsi="Aptos"/>
                <w:b w:val="0"/>
                <w:sz w:val="16"/>
              </w:rPr>
              <w:t>Structured logs, traces, metrics, alerting, redaction of sensitive data, correlation IDs and operational dashboards.</w:t>
            </w:r>
          </w:p>
        </w:tc>
      </w:tr>
      <w:tr>
        <w:tc>
          <w:tcPr>
            <w:tcW w:type="dxa" w:w="4968"/>
            <w:vAlign w:val="center"/>
          </w:tcPr>
          <w:p>
            <w:pPr>
              <w:spacing w:after="20"/>
            </w:pPr>
            <w:r/>
            <w:r>
              <w:rPr>
                <w:rFonts w:ascii="Aptos" w:hAnsi="Aptos"/>
                <w:b w:val="0"/>
                <w:sz w:val="16"/>
              </w:rPr>
              <w:t>Maintainability</w:t>
            </w:r>
          </w:p>
        </w:tc>
        <w:tc>
          <w:tcPr>
            <w:tcW w:type="dxa" w:w="4968"/>
            <w:vAlign w:val="center"/>
          </w:tcPr>
          <w:p>
            <w:pPr>
              <w:spacing w:after="20"/>
            </w:pPr>
            <w:r/>
            <w:r>
              <w:rPr>
                <w:rFonts w:ascii="Aptos" w:hAnsi="Aptos"/>
                <w:b w:val="0"/>
                <w:sz w:val="16"/>
              </w:rPr>
              <w:t>Versioned APIs/events, migrations, automated tests, staging environment, CI gates, documented rollback and release procedures.</w:t>
            </w:r>
          </w:p>
        </w:tc>
      </w:tr>
      <w:tr>
        <w:tc>
          <w:tcPr>
            <w:tcW w:type="dxa" w:w="4968"/>
            <w:vAlign w:val="center"/>
          </w:tcPr>
          <w:p>
            <w:pPr>
              <w:spacing w:after="20"/>
            </w:pPr>
            <w:r/>
            <w:r>
              <w:rPr>
                <w:rFonts w:ascii="Aptos" w:hAnsi="Aptos"/>
                <w:b w:val="0"/>
                <w:sz w:val="16"/>
              </w:rPr>
              <w:t>Privacy</w:t>
            </w:r>
          </w:p>
        </w:tc>
        <w:tc>
          <w:tcPr>
            <w:tcW w:type="dxa" w:w="4968"/>
            <w:vAlign w:val="center"/>
          </w:tcPr>
          <w:p>
            <w:pPr>
              <w:spacing w:after="20"/>
            </w:pPr>
            <w:r/>
            <w:r>
              <w:rPr>
                <w:rFonts w:ascii="Aptos" w:hAnsi="Aptos"/>
                <w:b w:val="0"/>
                <w:sz w:val="16"/>
              </w:rPr>
              <w:t>Data minimisation, purpose limitation, documented retention/deletion, export and access workflows, consent records where applicable.</w:t>
            </w:r>
          </w:p>
        </w:tc>
      </w:tr>
    </w:tbl>
    <w:p>
      <w:pPr>
        <w:spacing w:after="20"/>
      </w:pPr>
    </w:p>
    <w:p>
      <w:pPr>
        <w:pStyle w:val="Heading1"/>
      </w:pPr>
      <w:r>
        <w:t>4. Detailed user journeys</w:t>
      </w:r>
    </w:p>
    <w:p>
      <w:pPr>
        <w:pStyle w:val="Heading2"/>
      </w:pPr>
      <w:r>
        <w:t>Journey A — New user onboarding</w:t>
      </w:r>
    </w:p>
    <w:p>
      <w:pPr>
        <w:pStyle w:val="ListNumber"/>
        <w:spacing w:after="40"/>
      </w:pPr>
      <w:r>
        <w:t>Welcome: communicate serious-relationship focus, inclusivity, minimum age and the free core experience before asking for personal data.</w:t>
      </w:r>
    </w:p>
    <w:p>
      <w:pPr>
        <w:pStyle w:val="ListNumber"/>
        <w:spacing w:after="40"/>
      </w:pPr>
      <w:r>
        <w:t>Create account: verify the chosen contact method; establish secure session and recovery options.</w:t>
      </w:r>
    </w:p>
    <w:p>
      <w:pPr>
        <w:pStyle w:val="ListNumber"/>
        <w:spacing w:after="40"/>
      </w:pPr>
      <w:r>
        <w:t>Age and safety: confirm eligibility; trigger proportionate additional assurance only when required by risk policy.</w:t>
      </w:r>
    </w:p>
    <w:p>
      <w:pPr>
        <w:pStyle w:val="ListNumber"/>
        <w:spacing w:after="40"/>
      </w:pPr>
      <w:r>
        <w:t>Relationship intent: ask what the user is looking for and allow them to skip non-essential details.</w:t>
      </w:r>
    </w:p>
    <w:p>
      <w:pPr>
        <w:pStyle w:val="ListNumber"/>
        <w:spacing w:after="40"/>
      </w:pPr>
      <w:r>
        <w:t>Identity and preferences: offer inclusive options, multi-select attraction preferences and explicit visibility controls; never require public disclosure of sensitive fields.</w:t>
      </w:r>
    </w:p>
    <w:p>
      <w:pPr>
        <w:pStyle w:val="ListNumber"/>
        <w:spacing w:after="40"/>
      </w:pPr>
      <w:r>
        <w:t>Profile: add photos, answer 2–3 prompts, select activities and optionally add values/lifestyle preferences.</w:t>
      </w:r>
    </w:p>
    <w:p>
      <w:pPr>
        <w:pStyle w:val="ListNumber"/>
        <w:spacing w:after="40"/>
      </w:pPr>
      <w:r>
        <w:t>Discovery settings: set distance and age range; explain which are hard filters versus ranking signals.</w:t>
      </w:r>
    </w:p>
    <w:p>
      <w:pPr>
        <w:pStyle w:val="ListNumber"/>
        <w:spacing w:after="40"/>
      </w:pPr>
      <w:r>
        <w:t>Privacy preview: show exactly what other users can see and how location is represented.</w:t>
      </w:r>
    </w:p>
    <w:p>
      <w:pPr>
        <w:pStyle w:val="ListNumber"/>
        <w:spacing w:after="40"/>
      </w:pPr>
      <w:r>
        <w:t>First recommendations: explain why each person appears and offer 'more like this', 'less like this' and 'not for me' controls.</w:t>
      </w:r>
    </w:p>
    <w:p>
      <w:pPr>
        <w:pStyle w:val="ListNumber"/>
        <w:spacing w:after="40"/>
      </w:pPr>
      <w:r>
        <w:t>Success condition: user reaches a useful first recommendation set without being forced to provide unnecessary sensitive data.</w:t>
      </w:r>
    </w:p>
    <w:p>
      <w:pPr>
        <w:pStyle w:val="Heading2"/>
      </w:pPr>
      <w:r>
        <w:t>Journey B — Discover and like</w:t>
      </w:r>
    </w:p>
    <w:p>
      <w:pPr>
        <w:pStyle w:val="ListNumber"/>
        <w:spacing w:after="40"/>
      </w:pPr>
      <w:r>
        <w:t>Feed service retrieves eligible candidates using hard constraints, safety exclusions, blocks and active-account status.</w:t>
      </w:r>
    </w:p>
    <w:p>
      <w:pPr>
        <w:pStyle w:val="ListNumber"/>
        <w:spacing w:after="40"/>
      </w:pPr>
      <w:r>
        <w:t>Ranking service scores candidates for mutual interest and compatibility, then applies exposure-aware re-ranking.</w:t>
      </w:r>
    </w:p>
    <w:p>
      <w:pPr>
        <w:pStyle w:val="ListNumber"/>
        <w:spacing w:after="40"/>
      </w:pPr>
      <w:r>
        <w:t>Client displays profile content and short, evidence-grounded explanation; avoid fake precision like '97% soulmate match'.</w:t>
      </w:r>
    </w:p>
    <w:p>
      <w:pPr>
        <w:pStyle w:val="ListNumber"/>
        <w:spacing w:after="40"/>
      </w:pPr>
      <w:r>
        <w:t>User can like a prompt/photo with a comment, pass, save for later if supported, or adjust preferences.</w:t>
      </w:r>
    </w:p>
    <w:p>
      <w:pPr>
        <w:pStyle w:val="ListNumber"/>
        <w:spacing w:after="40"/>
      </w:pPr>
      <w:r>
        <w:t>Write action idempotently; record which candidate and ranker version were shown, not unnecessary sensitive screen content.</w:t>
      </w:r>
    </w:p>
    <w:p>
      <w:pPr>
        <w:pStyle w:val="ListNumber"/>
        <w:spacing w:after="40"/>
      </w:pPr>
      <w:r>
        <w:t>If the other user has already liked them, create one match transactionally and notify both parties.</w:t>
      </w:r>
    </w:p>
    <w:p>
      <w:pPr>
        <w:pStyle w:val="Heading2"/>
      </w:pPr>
      <w:r>
        <w:t>Journey C — Match to conversation</w:t>
      </w:r>
    </w:p>
    <w:p>
      <w:pPr>
        <w:pStyle w:val="ListNumber"/>
        <w:spacing w:after="40"/>
      </w:pPr>
      <w:r>
        <w:t>Match screen highlights the shared context that prompted the match and provides an optional starter question.</w:t>
      </w:r>
    </w:p>
    <w:p>
      <w:pPr>
        <w:pStyle w:val="ListNumber"/>
        <w:spacing w:after="40"/>
      </w:pPr>
      <w:r>
        <w:t>Either person may initiate; both can unmatch or block at any time.</w:t>
      </w:r>
    </w:p>
    <w:p>
      <w:pPr>
        <w:pStyle w:val="ListNumber"/>
        <w:spacing w:after="40"/>
      </w:pPr>
      <w:r>
        <w:t>Message service verifies active match, sender membership, recipient state and rate limits on every send.</w:t>
      </w:r>
    </w:p>
    <w:p>
      <w:pPr>
        <w:pStyle w:val="ListNumber"/>
        <w:spacing w:after="40"/>
      </w:pPr>
      <w:r>
        <w:t>Moderation checks content for spam, threats, scams and prohibited content using proportionate controls; high-impact actions require defined review/appeal processes.</w:t>
      </w:r>
    </w:p>
    <w:p>
      <w:pPr>
        <w:pStyle w:val="ListNumber"/>
        <w:spacing w:after="40"/>
      </w:pPr>
      <w:r>
        <w:t>Notifications are privacy-preserving and opt-in; default lock-screen copy does not reveal intimate content.</w:t>
      </w:r>
    </w:p>
    <w:p>
      <w:pPr>
        <w:pStyle w:val="ListNumber"/>
        <w:spacing w:after="40"/>
      </w:pPr>
      <w:r>
        <w:t>After a suitable interval, optionally ask whether the conversation felt promising; no response is treated as neutral, not negative.</w:t>
      </w:r>
    </w:p>
    <w:p>
      <w:pPr>
        <w:pStyle w:val="Heading2"/>
      </w:pPr>
      <w:r>
        <w:t>Journey D — Report, block and appeal</w:t>
      </w:r>
    </w:p>
    <w:p>
      <w:pPr>
        <w:pStyle w:val="ListNumber"/>
        <w:spacing w:after="40"/>
      </w:pPr>
      <w:r>
        <w:t>User opens report from profile, message or match; categories are clear and can be submitted with minimal required effort.</w:t>
      </w:r>
    </w:p>
    <w:p>
      <w:pPr>
        <w:pStyle w:val="ListNumber"/>
        <w:spacing w:after="40"/>
      </w:pPr>
      <w:r>
        <w:t>Block takes immediate effect in discovery and messaging; do not expose reporter identity to the reported user.</w:t>
      </w:r>
    </w:p>
    <w:p>
      <w:pPr>
        <w:pStyle w:val="ListNumber"/>
        <w:spacing w:after="40"/>
      </w:pPr>
      <w:r>
        <w:t>Create a case with severity, relevant evidence references, timestamps, policy category and audit trail; restrict evidence access.</w:t>
      </w:r>
    </w:p>
    <w:p>
      <w:pPr>
        <w:pStyle w:val="ListNumber"/>
        <w:spacing w:after="40"/>
      </w:pPr>
      <w:r>
        <w:t>Automated triage may prioritise urgency, but do not let a low-confidence classifier silently close severe cases.</w:t>
      </w:r>
    </w:p>
    <w:p>
      <w:pPr>
        <w:pStyle w:val="ListNumber"/>
        <w:spacing w:after="40"/>
      </w:pPr>
      <w:r>
        <w:t>Trained reviewer investigates under documented policy, applies proportionate action and records rationale.</w:t>
      </w:r>
    </w:p>
    <w:p>
      <w:pPr>
        <w:pStyle w:val="ListNumber"/>
        <w:spacing w:after="40"/>
      </w:pPr>
      <w:r>
        <w:t>Notify the reporter of receipt and permitted outcome; provide an appeal path where appropriate.</w:t>
      </w:r>
    </w:p>
    <w:p>
      <w:pPr>
        <w:pStyle w:val="ListNumber"/>
        <w:spacing w:after="40"/>
      </w:pPr>
      <w:r>
        <w:t>Apply retention and legal-hold rules to evidence; deletion requests must be reconciled with lawful safety-record retention.</w:t>
      </w:r>
    </w:p>
    <w:p>
      <w:pPr>
        <w:pStyle w:val="Heading2"/>
      </w:pPr>
      <w:r>
        <w:t>Journey E — Subscription and cancellation</w:t>
      </w:r>
    </w:p>
    <w:p>
      <w:pPr>
        <w:pStyle w:val="ListNumber"/>
        <w:spacing w:after="40"/>
      </w:pPr>
      <w:r>
        <w:t>Present paid tier after users understand the free product; list exact benefits, renewal terms, price and cancellation path.</w:t>
      </w:r>
    </w:p>
    <w:p>
      <w:pPr>
        <w:pStyle w:val="ListNumber"/>
        <w:spacing w:after="40"/>
      </w:pPr>
      <w:r>
        <w:t>Never block mutual messaging, essential safety tools or basic incoming-like identity behind payment.</w:t>
      </w:r>
    </w:p>
    <w:p>
      <w:pPr>
        <w:pStyle w:val="ListNumber"/>
        <w:spacing w:after="40"/>
      </w:pPr>
      <w:r>
        <w:t>Validate entitlements server-side against store receipts/webhooks; do not trust client-provided subscription state.</w:t>
      </w:r>
    </w:p>
    <w:p>
      <w:pPr>
        <w:pStyle w:val="ListNumber"/>
        <w:spacing w:after="40"/>
      </w:pPr>
      <w:r>
        <w:t>Provide restore-purchase and cancellation instructions; handle refunds and store billing errors transparently.</w:t>
      </w:r>
    </w:p>
    <w:p>
      <w:pPr>
        <w:pStyle w:val="ListNumber"/>
        <w:spacing w:after="40"/>
      </w:pPr>
      <w:r>
        <w:t>Track conversion, refund, cancellation and complaint rates; subscription experiments must not degrade free-user discovery fairness.</w:t>
      </w:r>
    </w:p>
    <w:p>
      <w:pPr>
        <w:pStyle w:val="Heading1"/>
      </w:pPr>
      <w:r>
        <w:t>5. Matching and reciprocal ranking architecture</w:t>
      </w:r>
    </w:p>
    <w:p>
      <w:pPr>
        <w:pStyle w:val="Heading2"/>
      </w:pPr>
      <w:r>
        <w:t>5.1 Candidate pipeline</w:t>
      </w:r>
    </w:p>
    <w:p>
      <w:pPr>
        <w:pStyle w:val="ListNumber"/>
        <w:spacing w:after="40"/>
      </w:pPr>
      <w:r>
        <w:t>Eligibility: adult status, active account, geographic feasibility, user-configured hard constraints, reciprocal orientation/gender preference constraints, safety restrictions.</w:t>
      </w:r>
    </w:p>
    <w:p>
      <w:pPr>
        <w:pStyle w:val="ListNumber"/>
        <w:spacing w:after="40"/>
      </w:pPr>
      <w:r>
        <w:t>Candidate retrieval: PostGIS radius query plus indexed preference filters; start with SQL and measured indexes rather than a separate search cluster.</w:t>
      </w:r>
    </w:p>
    <w:p>
      <w:pPr>
        <w:pStyle w:val="ListNumber"/>
        <w:spacing w:after="40"/>
      </w:pPr>
      <w:r>
        <w:t>Feature assembly: explicit profile fields, activity overlap, prompt topics, preference history and limited behavioural aggregates.</w:t>
      </w:r>
    </w:p>
    <w:p>
      <w:pPr>
        <w:pStyle w:val="ListNumber"/>
        <w:spacing w:after="40"/>
      </w:pPr>
      <w:r>
        <w:t>Directional prediction: estimate P(A likes B) and P(B likes A) separately, with uncertainty and calibration metadata.</w:t>
      </w:r>
    </w:p>
    <w:p>
      <w:pPr>
        <w:pStyle w:val="ListNumber"/>
        <w:spacing w:after="40"/>
      </w:pPr>
      <w:r>
        <w:t>Compatibility scoring: calculate values/goals alignment, lifestyle overlap and conversation affordances only from user-supplied or properly permitted data.</w:t>
      </w:r>
    </w:p>
    <w:p>
      <w:pPr>
        <w:pStyle w:val="ListNumber"/>
        <w:spacing w:after="40"/>
      </w:pPr>
      <w:r>
        <w:t>Reciprocal score: combine directional probabilities with compatibility and practical constraints.</w:t>
      </w:r>
    </w:p>
    <w:p>
      <w:pPr>
        <w:pStyle w:val="ListNumber"/>
        <w:spacing w:after="40"/>
      </w:pPr>
      <w:r>
        <w:t>Re-ranking: apply diversity, exposure fairness, freshness, fatigue control and exploration quotas without overriding hard preferences.</w:t>
      </w:r>
    </w:p>
    <w:p>
      <w:pPr>
        <w:pStyle w:val="ListNumber"/>
        <w:spacing w:after="40"/>
      </w:pPr>
      <w:r>
        <w:t>Explanation generation: return only factual reasons grounded in known profile data; do not expose hidden scores, sensitive inferences or another person's private activity.</w:t>
      </w:r>
    </w:p>
    <w:p>
      <w:pPr>
        <w:pStyle w:val="ListNumber"/>
        <w:spacing w:after="40"/>
      </w:pPr>
      <w:r>
        <w:t>Exposure logging: record candidate set, position, model/ranker version and reason codes so outcomes can be evaluated for selection bias.</w:t>
      </w:r>
    </w:p>
    <w:p>
      <w:pPr>
        <w:pStyle w:val="ListNumber"/>
        <w:spacing w:after="40"/>
      </w:pPr>
      <w:r>
        <w:t>Feedback: ingest likes, passes, matches, two-sided conversation signals and optional date feedback; monitor drift and retrain only after review.</w:t>
      </w:r>
    </w:p>
    <w:p>
      <w:pPr>
        <w:pStyle w:val="Heading2"/>
      </w:pPr>
      <w:r>
        <w:t>5.2 Initial scoring model</w:t>
      </w:r>
    </w:p>
    <w:p>
      <w:r>
        <w:t>After hard filtering, use an interpretable baseline. Proposed weights below are starting hypotheses, not research-established optimum weights.</w:t>
      </w:r>
    </w:p>
    <w:tbl>
      <w:tblPr>
        <w:tblW w:type="auto" w:w="0"/>
        <w:tblLook w:firstColumn="1" w:firstRow="1" w:lastColumn="0" w:lastRow="0" w:noHBand="0" w:noVBand="1" w:val="04A0"/>
      </w:tblPr>
      <w:tblGrid>
        <w:gridCol w:w="9936"/>
      </w:tblGrid>
      <w:tr>
        <w:tc>
          <w:tcPr>
            <w:tcW w:type="dxa" w:w="9936"/>
            <w:shd w:fill="F2F4F6"/>
          </w:tcPr>
          <w:p>
            <w:r/>
            <w:r>
              <w:rPr>
                <w:rFonts w:ascii="Consolas" w:hAnsi="Consolas"/>
                <w:sz w:val="16"/>
              </w:rPr>
              <w:t>directional_interest = sqrt(P(A likes B) * P(B likes A))</w:t>
              <w:br/>
              <w:t>goal_alignment       = compatibility of stated relationship intentions</w:t>
              <w:br/>
              <w:t>values_alignment     = overlap / distance on explicitly answered values</w:t>
              <w:br/>
              <w:t>lifestyle_alignment  = activity and routine compatibility</w:t>
              <w:br/>
              <w:t>conversation_affordance = presence of relevant prompts/interests</w:t>
              <w:br/>
              <w:br/>
              <w:t>raw_score = 0.30 * reciprocal_interest</w:t>
              <w:br/>
              <w:t xml:space="preserve">          + 0.25 * goal_alignment</w:t>
              <w:br/>
              <w:t xml:space="preserve">          + 0.20 * values_alignment</w:t>
              <w:br/>
              <w:t xml:space="preserve">          + 0.15 * lifestyle_alignment</w:t>
              <w:br/>
              <w:t xml:space="preserve">          + 0.10 * conversation_affordance</w:t>
              <w:br/>
              <w:br/>
              <w:t>final_rank = constrained_rerank(</w:t>
              <w:br/>
              <w:t xml:space="preserve">    raw_score,</w:t>
              <w:br/>
              <w:t xml:space="preserve">    user_constraints,</w:t>
              <w:br/>
              <w:t xml:space="preserve">    exposure_fairness,</w:t>
              <w:br/>
              <w:t xml:space="preserve">    diversity,</w:t>
              <w:br/>
              <w:t xml:space="preserve">    freshness,</w:t>
              <w:br/>
              <w:t xml:space="preserve">    uncertainty,</w:t>
              <w:br/>
              <w:t xml:space="preserve">    safety_exclusions</w:t>
              <w:br/>
              <w:t>)</w:t>
            </w:r>
          </w:p>
        </w:tc>
      </w:tr>
    </w:tbl>
    <w:p>
      <w:pPr>
        <w:spacing w:after="20"/>
      </w:pPr>
    </w:p>
    <w:p>
      <w:r>
        <w:t>Use the geometric mean or another conservative reciprocal combination as a starting point because one very low directional probability should reduce the combined score. Calibrate using offline evaluation and controlled experiments. A high score is a ranking aid, not a claim of romantic certainty.</w:t>
      </w:r>
    </w:p>
    <w:p>
      <w:pPr>
        <w:pStyle w:val="Heading2"/>
      </w:pPr>
      <w:r>
        <w:t>5.3 Signal policy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Signal</w:t>
            </w:r>
          </w:p>
        </w:tc>
        <w:tc>
          <w:tcPr>
            <w:tcW w:type="dxa" w:w="3312"/>
            <w:vAlign w:val="center"/>
            <w:shd w:fill="176B68"/>
          </w:tcPr>
          <w:p>
            <w:pPr>
              <w:spacing w:after="20"/>
            </w:pPr>
            <w:r/>
            <w:r>
              <w:rPr>
                <w:rFonts w:ascii="Aptos" w:hAnsi="Aptos"/>
                <w:b/>
                <w:color w:val="FFFFFF"/>
                <w:sz w:val="17"/>
              </w:rPr>
              <w:t>Treatment</w:t>
            </w:r>
          </w:p>
        </w:tc>
        <w:tc>
          <w:tcPr>
            <w:tcW w:type="dxa" w:w="3312"/>
            <w:vAlign w:val="center"/>
            <w:shd w:fill="176B68"/>
          </w:tcPr>
          <w:p>
            <w:pPr>
              <w:spacing w:after="20"/>
            </w:pPr>
            <w:r/>
            <w:r>
              <w:rPr>
                <w:rFonts w:ascii="Aptos" w:hAnsi="Aptos"/>
                <w:b/>
                <w:color w:val="FFFFFF"/>
                <w:sz w:val="17"/>
              </w:rPr>
              <w:t>Guardrail</w:t>
            </w:r>
          </w:p>
        </w:tc>
      </w:tr>
      <w:tr>
        <w:tc>
          <w:tcPr>
            <w:tcW w:type="dxa" w:w="3312"/>
            <w:vAlign w:val="center"/>
          </w:tcPr>
          <w:p>
            <w:pPr>
              <w:spacing w:after="20"/>
            </w:pPr>
            <w:r/>
            <w:r>
              <w:rPr>
                <w:rFonts w:ascii="Aptos" w:hAnsi="Aptos"/>
                <w:b w:val="0"/>
                <w:sz w:val="16"/>
              </w:rPr>
              <w:t>Explicit dealbreaker</w:t>
            </w:r>
          </w:p>
        </w:tc>
        <w:tc>
          <w:tcPr>
            <w:tcW w:type="dxa" w:w="3312"/>
            <w:vAlign w:val="center"/>
          </w:tcPr>
          <w:p>
            <w:pPr>
              <w:spacing w:after="20"/>
            </w:pPr>
            <w:r/>
            <w:r>
              <w:rPr>
                <w:rFonts w:ascii="Aptos" w:hAnsi="Aptos"/>
                <w:b w:val="0"/>
                <w:sz w:val="16"/>
              </w:rPr>
              <w:t>Hard exclusion when clearly chosen by the user</w:t>
            </w:r>
          </w:p>
        </w:tc>
        <w:tc>
          <w:tcPr>
            <w:tcW w:type="dxa" w:w="3312"/>
            <w:vAlign w:val="center"/>
          </w:tcPr>
          <w:p>
            <w:pPr>
              <w:spacing w:after="20"/>
            </w:pPr>
            <w:r/>
            <w:r>
              <w:rPr>
                <w:rFonts w:ascii="Aptos" w:hAnsi="Aptos"/>
                <w:b w:val="0"/>
                <w:sz w:val="16"/>
              </w:rPr>
              <w:t>Explain and make editable; never invent dealbreakers.</w:t>
            </w:r>
          </w:p>
        </w:tc>
      </w:tr>
      <w:tr>
        <w:tc>
          <w:tcPr>
            <w:tcW w:type="dxa" w:w="3312"/>
            <w:vAlign w:val="center"/>
          </w:tcPr>
          <w:p>
            <w:pPr>
              <w:spacing w:after="20"/>
            </w:pPr>
            <w:r/>
            <w:r>
              <w:rPr>
                <w:rFonts w:ascii="Aptos" w:hAnsi="Aptos"/>
                <w:b w:val="0"/>
                <w:sz w:val="16"/>
              </w:rPr>
              <w:t>Stated relationship intention</w:t>
            </w:r>
          </w:p>
        </w:tc>
        <w:tc>
          <w:tcPr>
            <w:tcW w:type="dxa" w:w="3312"/>
            <w:vAlign w:val="center"/>
          </w:tcPr>
          <w:p>
            <w:pPr>
              <w:spacing w:after="20"/>
            </w:pPr>
            <w:r/>
            <w:r>
              <w:rPr>
                <w:rFonts w:ascii="Aptos" w:hAnsi="Aptos"/>
                <w:b w:val="0"/>
                <w:sz w:val="16"/>
              </w:rPr>
              <w:t>Strong compatibility signal</w:t>
            </w:r>
          </w:p>
        </w:tc>
        <w:tc>
          <w:tcPr>
            <w:tcW w:type="dxa" w:w="3312"/>
            <w:vAlign w:val="center"/>
          </w:tcPr>
          <w:p>
            <w:pPr>
              <w:spacing w:after="20"/>
            </w:pPr>
            <w:r/>
            <w:r>
              <w:rPr>
                <w:rFonts w:ascii="Aptos" w:hAnsi="Aptos"/>
                <w:b w:val="0"/>
                <w:sz w:val="16"/>
              </w:rPr>
              <w:t>Support uncertainty and multiple intentions where appropriate.</w:t>
            </w:r>
          </w:p>
        </w:tc>
      </w:tr>
      <w:tr>
        <w:tc>
          <w:tcPr>
            <w:tcW w:type="dxa" w:w="3312"/>
            <w:vAlign w:val="center"/>
          </w:tcPr>
          <w:p>
            <w:pPr>
              <w:spacing w:after="20"/>
            </w:pPr>
            <w:r/>
            <w:r>
              <w:rPr>
                <w:rFonts w:ascii="Aptos" w:hAnsi="Aptos"/>
                <w:b w:val="0"/>
                <w:sz w:val="16"/>
              </w:rPr>
              <w:t>Activities/interests</w:t>
            </w:r>
          </w:p>
        </w:tc>
        <w:tc>
          <w:tcPr>
            <w:tcW w:type="dxa" w:w="3312"/>
            <w:vAlign w:val="center"/>
          </w:tcPr>
          <w:p>
            <w:pPr>
              <w:spacing w:after="20"/>
            </w:pPr>
            <w:r/>
            <w:r>
              <w:rPr>
                <w:rFonts w:ascii="Aptos" w:hAnsi="Aptos"/>
                <w:b w:val="0"/>
                <w:sz w:val="16"/>
              </w:rPr>
              <w:t>Positive affinity signal and conversation material</w:t>
            </w:r>
          </w:p>
        </w:tc>
        <w:tc>
          <w:tcPr>
            <w:tcW w:type="dxa" w:w="3312"/>
            <w:vAlign w:val="center"/>
          </w:tcPr>
          <w:p>
            <w:pPr>
              <w:spacing w:after="20"/>
            </w:pPr>
            <w:r/>
            <w:r>
              <w:rPr>
                <w:rFonts w:ascii="Aptos" w:hAnsi="Aptos"/>
                <w:b w:val="0"/>
                <w:sz w:val="16"/>
              </w:rPr>
              <w:t>Do not infer values or identity from a hobby alone.</w:t>
            </w:r>
          </w:p>
        </w:tc>
      </w:tr>
      <w:tr>
        <w:tc>
          <w:tcPr>
            <w:tcW w:type="dxa" w:w="3312"/>
            <w:vAlign w:val="center"/>
          </w:tcPr>
          <w:p>
            <w:pPr>
              <w:spacing w:after="20"/>
            </w:pPr>
            <w:r/>
            <w:r>
              <w:rPr>
                <w:rFonts w:ascii="Aptos" w:hAnsi="Aptos"/>
                <w:b w:val="0"/>
                <w:sz w:val="16"/>
              </w:rPr>
              <w:t>Prompt text</w:t>
            </w:r>
          </w:p>
        </w:tc>
        <w:tc>
          <w:tcPr>
            <w:tcW w:type="dxa" w:w="3312"/>
            <w:vAlign w:val="center"/>
          </w:tcPr>
          <w:p>
            <w:pPr>
              <w:spacing w:after="20"/>
            </w:pPr>
            <w:r/>
            <w:r>
              <w:rPr>
                <w:rFonts w:ascii="Aptos" w:hAnsi="Aptos"/>
                <w:b w:val="0"/>
                <w:sz w:val="16"/>
              </w:rPr>
              <w:t>Use structured tags or reviewed semantic features if justified</w:t>
            </w:r>
          </w:p>
        </w:tc>
        <w:tc>
          <w:tcPr>
            <w:tcW w:type="dxa" w:w="3312"/>
            <w:vAlign w:val="center"/>
          </w:tcPr>
          <w:p>
            <w:pPr>
              <w:spacing w:after="20"/>
            </w:pPr>
            <w:r/>
            <w:r>
              <w:rPr>
                <w:rFonts w:ascii="Aptos" w:hAnsi="Aptos"/>
                <w:b w:val="0"/>
                <w:sz w:val="16"/>
              </w:rPr>
              <w:t>No sensitive trait inference; retain source and confidence; allow edits.</w:t>
            </w:r>
          </w:p>
        </w:tc>
      </w:tr>
      <w:tr>
        <w:tc>
          <w:tcPr>
            <w:tcW w:type="dxa" w:w="3312"/>
            <w:vAlign w:val="center"/>
          </w:tcPr>
          <w:p>
            <w:pPr>
              <w:spacing w:after="20"/>
            </w:pPr>
            <w:r/>
            <w:r>
              <w:rPr>
                <w:rFonts w:ascii="Aptos" w:hAnsi="Aptos"/>
                <w:b w:val="0"/>
                <w:sz w:val="16"/>
              </w:rPr>
              <w:t>Photo/appearance response</w:t>
            </w:r>
          </w:p>
        </w:tc>
        <w:tc>
          <w:tcPr>
            <w:tcW w:type="dxa" w:w="3312"/>
            <w:vAlign w:val="center"/>
          </w:tcPr>
          <w:p>
            <w:pPr>
              <w:spacing w:after="20"/>
            </w:pPr>
            <w:r/>
            <w:r>
              <w:rPr>
                <w:rFonts w:ascii="Aptos" w:hAnsi="Aptos"/>
                <w:b w:val="0"/>
                <w:sz w:val="16"/>
              </w:rPr>
              <w:t>May contribute to user preference model</w:t>
            </w:r>
          </w:p>
        </w:tc>
        <w:tc>
          <w:tcPr>
            <w:tcW w:type="dxa" w:w="3312"/>
            <w:vAlign w:val="center"/>
          </w:tcPr>
          <w:p>
            <w:pPr>
              <w:spacing w:after="20"/>
            </w:pPr>
            <w:r/>
            <w:r>
              <w:rPr>
                <w:rFonts w:ascii="Aptos" w:hAnsi="Aptos"/>
                <w:b w:val="0"/>
                <w:sz w:val="16"/>
              </w:rPr>
              <w:t>Do not use face analysis to infer personality, ethnicity, health or sensitive traits.</w:t>
            </w:r>
          </w:p>
        </w:tc>
      </w:tr>
      <w:tr>
        <w:tc>
          <w:tcPr>
            <w:tcW w:type="dxa" w:w="3312"/>
            <w:vAlign w:val="center"/>
          </w:tcPr>
          <w:p>
            <w:pPr>
              <w:spacing w:after="20"/>
            </w:pPr>
            <w:r/>
            <w:r>
              <w:rPr>
                <w:rFonts w:ascii="Aptos" w:hAnsi="Aptos"/>
                <w:b w:val="0"/>
                <w:sz w:val="16"/>
              </w:rPr>
              <w:t>Like/pass</w:t>
            </w:r>
          </w:p>
        </w:tc>
        <w:tc>
          <w:tcPr>
            <w:tcW w:type="dxa" w:w="3312"/>
            <w:vAlign w:val="center"/>
          </w:tcPr>
          <w:p>
            <w:pPr>
              <w:spacing w:after="20"/>
            </w:pPr>
            <w:r/>
            <w:r>
              <w:rPr>
                <w:rFonts w:ascii="Aptos" w:hAnsi="Aptos"/>
                <w:b w:val="0"/>
                <w:sz w:val="16"/>
              </w:rPr>
              <w:t>Implicit preference signal</w:t>
            </w:r>
          </w:p>
        </w:tc>
        <w:tc>
          <w:tcPr>
            <w:tcW w:type="dxa" w:w="3312"/>
            <w:vAlign w:val="center"/>
          </w:tcPr>
          <w:p>
            <w:pPr>
              <w:spacing w:after="20"/>
            </w:pPr>
            <w:r/>
            <w:r>
              <w:rPr>
                <w:rFonts w:ascii="Aptos" w:hAnsi="Aptos"/>
                <w:b w:val="0"/>
                <w:sz w:val="16"/>
              </w:rPr>
              <w:t>A pass is ambiguous and should be weak evidence unless repeated/contextual.</w:t>
            </w:r>
          </w:p>
        </w:tc>
      </w:tr>
      <w:tr>
        <w:tc>
          <w:tcPr>
            <w:tcW w:type="dxa" w:w="3312"/>
            <w:vAlign w:val="center"/>
          </w:tcPr>
          <w:p>
            <w:pPr>
              <w:spacing w:after="20"/>
            </w:pPr>
            <w:r/>
            <w:r>
              <w:rPr>
                <w:rFonts w:ascii="Aptos" w:hAnsi="Aptos"/>
                <w:b w:val="0"/>
                <w:sz w:val="16"/>
              </w:rPr>
              <w:t>Message activity</w:t>
            </w:r>
          </w:p>
        </w:tc>
        <w:tc>
          <w:tcPr>
            <w:tcW w:type="dxa" w:w="3312"/>
            <w:vAlign w:val="center"/>
          </w:tcPr>
          <w:p>
            <w:pPr>
              <w:spacing w:after="20"/>
            </w:pPr>
            <w:r/>
            <w:r>
              <w:rPr>
                <w:rFonts w:ascii="Aptos" w:hAnsi="Aptos"/>
                <w:b w:val="0"/>
                <w:sz w:val="16"/>
              </w:rPr>
              <w:t>Limited reciprocal engagement signal</w:t>
            </w:r>
          </w:p>
        </w:tc>
        <w:tc>
          <w:tcPr>
            <w:tcW w:type="dxa" w:w="3312"/>
            <w:vAlign w:val="center"/>
          </w:tcPr>
          <w:p>
            <w:pPr>
              <w:spacing w:after="20"/>
            </w:pPr>
            <w:r/>
            <w:r>
              <w:rPr>
                <w:rFonts w:ascii="Aptos" w:hAnsi="Aptos"/>
                <w:b w:val="0"/>
                <w:sz w:val="16"/>
              </w:rPr>
              <w:t>Do not optimise for message volume, read receipts or time in app alone.</w:t>
            </w:r>
          </w:p>
        </w:tc>
      </w:tr>
      <w:tr>
        <w:tc>
          <w:tcPr>
            <w:tcW w:type="dxa" w:w="3312"/>
            <w:vAlign w:val="center"/>
          </w:tcPr>
          <w:p>
            <w:pPr>
              <w:spacing w:after="20"/>
            </w:pPr>
            <w:r/>
            <w:r>
              <w:rPr>
                <w:rFonts w:ascii="Aptos" w:hAnsi="Aptos"/>
                <w:b w:val="0"/>
                <w:sz w:val="16"/>
              </w:rPr>
              <w:t>Date feedback</w:t>
            </w:r>
          </w:p>
        </w:tc>
        <w:tc>
          <w:tcPr>
            <w:tcW w:type="dxa" w:w="3312"/>
            <w:vAlign w:val="center"/>
          </w:tcPr>
          <w:p>
            <w:pPr>
              <w:spacing w:after="20"/>
            </w:pPr>
            <w:r/>
            <w:r>
              <w:rPr>
                <w:rFonts w:ascii="Aptos" w:hAnsi="Aptos"/>
                <w:b w:val="0"/>
                <w:sz w:val="16"/>
              </w:rPr>
              <w:t>High-value optional outcome signal</w:t>
            </w:r>
          </w:p>
        </w:tc>
        <w:tc>
          <w:tcPr>
            <w:tcW w:type="dxa" w:w="3312"/>
            <w:vAlign w:val="center"/>
          </w:tcPr>
          <w:p>
            <w:pPr>
              <w:spacing w:after="20"/>
            </w:pPr>
            <w:r/>
            <w:r>
              <w:rPr>
                <w:rFonts w:ascii="Aptos" w:hAnsi="Aptos"/>
                <w:b w:val="0"/>
                <w:sz w:val="16"/>
              </w:rPr>
              <w:t>Private, optional, minimised; no public rating of dates.</w:t>
            </w:r>
          </w:p>
        </w:tc>
      </w:tr>
      <w:tr>
        <w:tc>
          <w:tcPr>
            <w:tcW w:type="dxa" w:w="3312"/>
            <w:vAlign w:val="center"/>
          </w:tcPr>
          <w:p>
            <w:pPr>
              <w:spacing w:after="20"/>
            </w:pPr>
            <w:r/>
            <w:r>
              <w:rPr>
                <w:rFonts w:ascii="Aptos" w:hAnsi="Aptos"/>
                <w:b w:val="0"/>
                <w:sz w:val="16"/>
              </w:rPr>
              <w:t>Popularity/received likes</w:t>
            </w:r>
          </w:p>
        </w:tc>
        <w:tc>
          <w:tcPr>
            <w:tcW w:type="dxa" w:w="3312"/>
            <w:vAlign w:val="center"/>
          </w:tcPr>
          <w:p>
            <w:pPr>
              <w:spacing w:after="20"/>
            </w:pPr>
            <w:r/>
            <w:r>
              <w:rPr>
                <w:rFonts w:ascii="Aptos" w:hAnsi="Aptos"/>
                <w:b w:val="0"/>
                <w:sz w:val="16"/>
              </w:rPr>
              <w:t>Avoid as a direct desirability score</w:t>
            </w:r>
          </w:p>
        </w:tc>
        <w:tc>
          <w:tcPr>
            <w:tcW w:type="dxa" w:w="3312"/>
            <w:vAlign w:val="center"/>
          </w:tcPr>
          <w:p>
            <w:pPr>
              <w:spacing w:after="20"/>
            </w:pPr>
            <w:r/>
            <w:r>
              <w:rPr>
                <w:rFonts w:ascii="Aptos" w:hAnsi="Aptos"/>
                <w:b w:val="0"/>
                <w:sz w:val="16"/>
              </w:rPr>
              <w:t>Use exposure-aware controls; prevent popularity feedback loops.</w:t>
            </w:r>
          </w:p>
        </w:tc>
      </w:tr>
    </w:tbl>
    <w:p>
      <w:pPr>
        <w:spacing w:after="20"/>
      </w:pPr>
    </w:p>
    <w:p>
      <w:pPr>
        <w:pStyle w:val="Heading2"/>
      </w:pPr>
      <w:r>
        <w:t>5.4 Cold start and sparse data</w:t>
      </w:r>
    </w:p>
    <w:p>
      <w:pPr>
        <w:pStyle w:val="ListBullet"/>
        <w:spacing w:after="40"/>
      </w:pPr>
      <w:r>
        <w:t>New users: initialise from explicit preferences, stated goals and profile features; do not penalise a person for having no history.</w:t>
      </w:r>
    </w:p>
    <w:p>
      <w:pPr>
        <w:pStyle w:val="ListBullet"/>
        <w:spacing w:after="40"/>
      </w:pPr>
      <w:r>
        <w:t>New locations: use a transparent discovery radius and user-set distance preferences; disclose when the pool is small instead of fabricating recommendations.</w:t>
      </w:r>
    </w:p>
    <w:p>
      <w:pPr>
        <w:pStyle w:val="ListBullet"/>
        <w:spacing w:after="40"/>
      </w:pPr>
      <w:r>
        <w:t>Low-exposure users: distinguish 'not shown' from 'shown and passed'; track eligible impressions.</w:t>
      </w:r>
    </w:p>
    <w:p>
      <w:pPr>
        <w:pStyle w:val="ListBullet"/>
        <w:spacing w:after="40"/>
      </w:pPr>
      <w:r>
        <w:t>Missing answers: treat as unknown, not incompatibility; renormalise or omit affected dimensions.</w:t>
      </w:r>
    </w:p>
    <w:p>
      <w:pPr>
        <w:pStyle w:val="ListBullet"/>
        <w:spacing w:after="40"/>
      </w:pPr>
      <w:r>
        <w:t>New ranking model: run in shadow mode, compare against baseline, then small randomized rollout with safety and fairness guardrails.</w:t>
      </w:r>
    </w:p>
    <w:p>
      <w:pPr>
        <w:pStyle w:val="ListBullet"/>
        <w:spacing w:after="40"/>
      </w:pPr>
      <w:r>
        <w:t>Manipulation: rate-limit repeated likes, detect coordinated activity and exclude confirmed fake engagement from training.</w:t>
      </w:r>
    </w:p>
    <w:p>
      <w:pPr>
        <w:pStyle w:val="Heading2"/>
      </w:pPr>
      <w:r>
        <w:t>5.5 Model evaluation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Evaluation layer</w:t>
            </w:r>
          </w:p>
        </w:tc>
        <w:tc>
          <w:tcPr>
            <w:tcW w:type="dxa" w:w="4968"/>
            <w:vAlign w:val="center"/>
            <w:shd w:fill="176B68"/>
          </w:tcPr>
          <w:p>
            <w:pPr>
              <w:spacing w:after="20"/>
            </w:pPr>
            <w:r/>
            <w:r>
              <w:rPr>
                <w:rFonts w:ascii="Aptos" w:hAnsi="Aptos"/>
                <w:b/>
                <w:color w:val="FFFFFF"/>
                <w:sz w:val="17"/>
              </w:rPr>
              <w:t>Measures</w:t>
            </w:r>
          </w:p>
        </w:tc>
      </w:tr>
      <w:tr>
        <w:tc>
          <w:tcPr>
            <w:tcW w:type="dxa" w:w="4968"/>
            <w:vAlign w:val="center"/>
          </w:tcPr>
          <w:p>
            <w:pPr>
              <w:spacing w:after="20"/>
            </w:pPr>
            <w:r/>
            <w:r>
              <w:rPr>
                <w:rFonts w:ascii="Aptos" w:hAnsi="Aptos"/>
                <w:b w:val="0"/>
                <w:sz w:val="16"/>
              </w:rPr>
              <w:t>Offline ranking</w:t>
            </w:r>
          </w:p>
        </w:tc>
        <w:tc>
          <w:tcPr>
            <w:tcW w:type="dxa" w:w="4968"/>
            <w:vAlign w:val="center"/>
          </w:tcPr>
          <w:p>
            <w:pPr>
              <w:spacing w:after="20"/>
            </w:pPr>
            <w:r/>
            <w:r>
              <w:rPr>
                <w:rFonts w:ascii="Aptos" w:hAnsi="Aptos"/>
                <w:b w:val="0"/>
                <w:sz w:val="16"/>
              </w:rPr>
              <w:t>Precision/recall at K where labels are meaningful, calibration, reciprocal hit rate, candidate coverage, novelty, diversity.</w:t>
            </w:r>
          </w:p>
        </w:tc>
      </w:tr>
      <w:tr>
        <w:tc>
          <w:tcPr>
            <w:tcW w:type="dxa" w:w="4968"/>
            <w:vAlign w:val="center"/>
          </w:tcPr>
          <w:p>
            <w:pPr>
              <w:spacing w:after="20"/>
            </w:pPr>
            <w:r/>
            <w:r>
              <w:rPr>
                <w:rFonts w:ascii="Aptos" w:hAnsi="Aptos"/>
                <w:b w:val="0"/>
                <w:sz w:val="16"/>
              </w:rPr>
              <w:t>Online product</w:t>
            </w:r>
          </w:p>
        </w:tc>
        <w:tc>
          <w:tcPr>
            <w:tcW w:type="dxa" w:w="4968"/>
            <w:vAlign w:val="center"/>
          </w:tcPr>
          <w:p>
            <w:pPr>
              <w:spacing w:after="20"/>
            </w:pPr>
            <w:r/>
            <w:r>
              <w:rPr>
                <w:rFonts w:ascii="Aptos" w:hAnsi="Aptos"/>
                <w:b w:val="0"/>
                <w:sz w:val="16"/>
              </w:rPr>
              <w:t>Mutual-like rate per eligible impression, match-to-conversation rate, two-sided conversation rate, optional date feedback.</w:t>
            </w:r>
          </w:p>
        </w:tc>
      </w:tr>
      <w:tr>
        <w:tc>
          <w:tcPr>
            <w:tcW w:type="dxa" w:w="4968"/>
            <w:vAlign w:val="center"/>
          </w:tcPr>
          <w:p>
            <w:pPr>
              <w:spacing w:after="20"/>
            </w:pPr>
            <w:r/>
            <w:r>
              <w:rPr>
                <w:rFonts w:ascii="Aptos" w:hAnsi="Aptos"/>
                <w:b w:val="0"/>
                <w:sz w:val="16"/>
              </w:rPr>
              <w:t>Fairness</w:t>
            </w:r>
          </w:p>
        </w:tc>
        <w:tc>
          <w:tcPr>
            <w:tcW w:type="dxa" w:w="4968"/>
            <w:vAlign w:val="center"/>
          </w:tcPr>
          <w:p>
            <w:pPr>
              <w:spacing w:after="20"/>
            </w:pPr>
            <w:r/>
            <w:r>
              <w:rPr>
                <w:rFonts w:ascii="Aptos" w:hAnsi="Aptos"/>
                <w:b w:val="0"/>
                <w:sz w:val="16"/>
              </w:rPr>
              <w:t>Exposure distribution, coverage by cohort where lawful and appropriate, new-user exposure, concentration of recommendations.</w:t>
            </w:r>
          </w:p>
        </w:tc>
      </w:tr>
      <w:tr>
        <w:tc>
          <w:tcPr>
            <w:tcW w:type="dxa" w:w="4968"/>
            <w:vAlign w:val="center"/>
          </w:tcPr>
          <w:p>
            <w:pPr>
              <w:spacing w:after="20"/>
            </w:pPr>
            <w:r/>
            <w:r>
              <w:rPr>
                <w:rFonts w:ascii="Aptos" w:hAnsi="Aptos"/>
                <w:b w:val="0"/>
                <w:sz w:val="16"/>
              </w:rPr>
              <w:t>Safety</w:t>
            </w:r>
          </w:p>
        </w:tc>
        <w:tc>
          <w:tcPr>
            <w:tcW w:type="dxa" w:w="4968"/>
            <w:vAlign w:val="center"/>
          </w:tcPr>
          <w:p>
            <w:pPr>
              <w:spacing w:after="20"/>
            </w:pPr>
            <w:r/>
            <w:r>
              <w:rPr>
                <w:rFonts w:ascii="Aptos" w:hAnsi="Aptos"/>
                <w:b w:val="0"/>
                <w:sz w:val="16"/>
              </w:rPr>
              <w:t>Reports per active user and per conversation, severe incident response time, repeat-offender rate, false positive/negative review.</w:t>
            </w:r>
          </w:p>
        </w:tc>
      </w:tr>
      <w:tr>
        <w:tc>
          <w:tcPr>
            <w:tcW w:type="dxa" w:w="4968"/>
            <w:vAlign w:val="center"/>
          </w:tcPr>
          <w:p>
            <w:pPr>
              <w:spacing w:after="20"/>
            </w:pPr>
            <w:r/>
            <w:r>
              <w:rPr>
                <w:rFonts w:ascii="Aptos" w:hAnsi="Aptos"/>
                <w:b w:val="0"/>
                <w:sz w:val="16"/>
              </w:rPr>
              <w:t>Business</w:t>
            </w:r>
          </w:p>
        </w:tc>
        <w:tc>
          <w:tcPr>
            <w:tcW w:type="dxa" w:w="4968"/>
            <w:vAlign w:val="center"/>
          </w:tcPr>
          <w:p>
            <w:pPr>
              <w:spacing w:after="20"/>
            </w:pPr>
            <w:r/>
            <w:r>
              <w:rPr>
                <w:rFonts w:ascii="Aptos" w:hAnsi="Aptos"/>
                <w:b w:val="0"/>
                <w:sz w:val="16"/>
              </w:rPr>
              <w:t>D30 retention, free-tier satisfaction, paid conversion, refunds, churn, support burden and contribution margin.</w:t>
            </w:r>
          </w:p>
        </w:tc>
      </w:tr>
      <w:tr>
        <w:tc>
          <w:tcPr>
            <w:tcW w:type="dxa" w:w="4968"/>
            <w:vAlign w:val="center"/>
          </w:tcPr>
          <w:p>
            <w:pPr>
              <w:spacing w:after="20"/>
            </w:pPr>
            <w:r/>
            <w:r>
              <w:rPr>
                <w:rFonts w:ascii="Aptos" w:hAnsi="Aptos"/>
                <w:b w:val="0"/>
                <w:sz w:val="16"/>
              </w:rPr>
              <w:t>Guardrails</w:t>
            </w:r>
          </w:p>
        </w:tc>
        <w:tc>
          <w:tcPr>
            <w:tcW w:type="dxa" w:w="4968"/>
            <w:vAlign w:val="center"/>
          </w:tcPr>
          <w:p>
            <w:pPr>
              <w:spacing w:after="20"/>
            </w:pPr>
            <w:r/>
            <w:r>
              <w:rPr>
                <w:rFonts w:ascii="Aptos" w:hAnsi="Aptos"/>
                <w:b w:val="0"/>
                <w:sz w:val="16"/>
              </w:rPr>
              <w:t>No material increase in harassment, scams, unwanted contact, exposure inequality or complaints.</w:t>
            </w:r>
          </w:p>
        </w:tc>
      </w:tr>
    </w:tbl>
    <w:p>
      <w:pPr>
        <w:spacing w:after="20"/>
      </w:pPr>
    </w:p>
    <w:p>
      <w:r>
        <w:t>Do not use demographic or sensitive attributes for fairness testing unless the legal basis, necessity, access controls and retention are reviewed. Fairness measurement can itself create sensitive-data risk.</w:t>
      </w:r>
    </w:p>
    <w:p>
      <w:pPr>
        <w:pStyle w:val="Heading2"/>
      </w:pPr>
      <w:r>
        <w:t>5.6 AI use boundaries</w:t>
      </w:r>
    </w:p>
    <w:p>
      <w:pPr>
        <w:pStyle w:val="ListBullet"/>
        <w:spacing w:after="40"/>
      </w:pPr>
      <w:r>
        <w:t>Permitted early use: optional prompt drafting, summarising shared interests from explicit profile fields, and conversation-starter suggestions.</w:t>
      </w:r>
    </w:p>
    <w:p>
      <w:pPr>
        <w:pStyle w:val="ListBullet"/>
        <w:spacing w:after="40"/>
      </w:pPr>
      <w:r>
        <w:t>Not permitted by default: face-based personality inference, sexual-orientation inference, hidden attractiveness scoring, relationship diagnosis, or automatic sending of messages.</w:t>
      </w:r>
    </w:p>
    <w:p>
      <w:pPr>
        <w:pStyle w:val="ListBullet"/>
        <w:spacing w:after="40"/>
      </w:pPr>
      <w:r>
        <w:t>Explanations must be grounded: 'You both selected hiking' is acceptable; 'you are emotionally compatible' requires evidence and should be avoided as a definitive claim.</w:t>
      </w:r>
    </w:p>
    <w:p>
      <w:pPr>
        <w:pStyle w:val="ListBullet"/>
        <w:spacing w:after="40"/>
      </w:pPr>
      <w:r>
        <w:t>All generated content is user-reviewed before publication or sending. Provide report controls and prevent impersonation, coercion and harassment assistance.</w:t>
      </w:r>
    </w:p>
    <w:p>
      <w:pPr>
        <w:pStyle w:val="ListBullet"/>
        <w:spacing w:after="40"/>
      </w:pPr>
      <w:r>
        <w:t>Keep AI providers under appropriate data-processing terms; send the minimum necessary data and do not send private message history for general training by default.</w:t>
      </w:r>
    </w:p>
    <w:p>
      <w:pPr>
        <w:pStyle w:val="Heading1"/>
      </w:pPr>
      <w:r>
        <w:t>6. Technical architecture and service boundaries</w:t>
      </w:r>
    </w:p>
    <w:p>
      <w:pPr>
        <w:pStyle w:val="Heading2"/>
      </w:pPr>
      <w:r>
        <w:t>6.1 Recommended logical architecture</w:t>
      </w:r>
    </w:p>
    <w:tbl>
      <w:tblPr>
        <w:tblW w:type="auto" w:w="0"/>
        <w:tblLook w:firstColumn="1" w:firstRow="1" w:lastColumn="0" w:lastRow="0" w:noHBand="0" w:noVBand="1" w:val="04A0"/>
      </w:tblPr>
      <w:tblGrid>
        <w:gridCol w:w="9936"/>
      </w:tblGrid>
      <w:tr>
        <w:tc>
          <w:tcPr>
            <w:tcW w:type="dxa" w:w="9936"/>
            <w:shd w:fill="F2F4F6"/>
          </w:tcPr>
          <w:p>
            <w:r/>
            <w:r>
              <w:rPr>
                <w:rFonts w:ascii="Consolas" w:hAnsi="Consolas"/>
                <w:sz w:val="16"/>
              </w:rPr>
              <w:t>iOS / Android (React Native + Expo, or native clients)</w:t>
              <w:br/>
              <w:t xml:space="preserve">                  |</w:t>
              <w:br/>
              <w:t xml:space="preserve">             API gateway / BFF</w:t>
              <w:br/>
              <w:t xml:space="preserve">                  |</w:t>
              <w:br/>
              <w:t xml:space="preserve">   +--------------+-------------------+</w:t>
              <w:br/>
              <w:t xml:space="preserve">   |              |                   |</w:t>
              <w:br/>
              <w:t>Identity       Profile &amp;           Match / Like /</w:t>
              <w:br/>
              <w:t>&amp; sessions     preferences         Conversation APIs</w:t>
              <w:br/>
              <w:t xml:space="preserve">   |              |                   |</w:t>
              <w:br/>
              <w:t xml:space="preserve">   +--------------+-------------------+</w:t>
              <w:br/>
              <w:t xml:space="preserve">                  |</w:t>
              <w:br/>
              <w:t xml:space="preserve">             PostgreSQL</w:t>
              <w:br/>
              <w:t xml:space="preserve">        (source of truth; PostGIS)</w:t>
              <w:br/>
              <w:t xml:space="preserve">                  |</w:t>
              <w:br/>
              <w:t xml:space="preserve">     +------------+-------------------+</w:t>
              <w:br/>
              <w:t xml:space="preserve">     |            |                   |</w:t>
              <w:br/>
              <w:t>Ranking       Safety /            Billing &amp;</w:t>
              <w:br/>
              <w:t>service       moderation          entitlements</w:t>
              <w:br/>
              <w:t xml:space="preserve">     |            |                   |</w:t>
              <w:br/>
              <w:t xml:space="preserve">     +------------+-------------------+</w:t>
              <w:br/>
              <w:t xml:space="preserve">                  |</w:t>
              <w:br/>
              <w:t xml:space="preserve">       Outbox + background workers</w:t>
              <w:br/>
              <w:t xml:space="preserve">                  |</w:t>
              <w:br/>
              <w:t xml:space="preserve">       Push / email / analytics / media</w:t>
              <w:br/>
              <w:t xml:space="preserve">                  |</w:t>
              <w:br/>
              <w:t xml:space="preserve">       Observability, audit, admin tools</w:t>
            </w:r>
          </w:p>
        </w:tc>
      </w:tr>
    </w:tbl>
    <w:p>
      <w:pPr>
        <w:spacing w:after="20"/>
      </w:pPr>
    </w:p>
    <w:p>
      <w:pPr>
        <w:pStyle w:val="Heading2"/>
      </w:pPr>
      <w:r>
        <w:t>6.2 Service boundaries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Service/module</w:t>
            </w:r>
          </w:p>
        </w:tc>
        <w:tc>
          <w:tcPr>
            <w:tcW w:type="dxa" w:w="3312"/>
            <w:vAlign w:val="center"/>
            <w:shd w:fill="176B68"/>
          </w:tcPr>
          <w:p>
            <w:pPr>
              <w:spacing w:after="20"/>
            </w:pPr>
            <w:r/>
            <w:r>
              <w:rPr>
                <w:rFonts w:ascii="Aptos" w:hAnsi="Aptos"/>
                <w:b/>
                <w:color w:val="FFFFFF"/>
                <w:sz w:val="17"/>
              </w:rPr>
              <w:t>Owns</w:t>
            </w:r>
          </w:p>
        </w:tc>
        <w:tc>
          <w:tcPr>
            <w:tcW w:type="dxa" w:w="3312"/>
            <w:vAlign w:val="center"/>
            <w:shd w:fill="176B68"/>
          </w:tcPr>
          <w:p>
            <w:pPr>
              <w:spacing w:after="20"/>
            </w:pPr>
            <w:r/>
            <w:r>
              <w:rPr>
                <w:rFonts w:ascii="Aptos" w:hAnsi="Aptos"/>
                <w:b/>
                <w:color w:val="FFFFFF"/>
                <w:sz w:val="17"/>
              </w:rPr>
              <w:t>Must not own</w:t>
            </w:r>
          </w:p>
        </w:tc>
      </w:tr>
      <w:tr>
        <w:tc>
          <w:tcPr>
            <w:tcW w:type="dxa" w:w="3312"/>
            <w:vAlign w:val="center"/>
          </w:tcPr>
          <w:p>
            <w:pPr>
              <w:spacing w:after="20"/>
            </w:pPr>
            <w:r/>
            <w:r>
              <w:rPr>
                <w:rFonts w:ascii="Aptos" w:hAnsi="Aptos"/>
                <w:b w:val="0"/>
                <w:sz w:val="16"/>
              </w:rPr>
              <w:t>Identity</w:t>
            </w:r>
          </w:p>
        </w:tc>
        <w:tc>
          <w:tcPr>
            <w:tcW w:type="dxa" w:w="3312"/>
            <w:vAlign w:val="center"/>
          </w:tcPr>
          <w:p>
            <w:pPr>
              <w:spacing w:after="20"/>
            </w:pPr>
            <w:r/>
            <w:r>
              <w:rPr>
                <w:rFonts w:ascii="Aptos" w:hAnsi="Aptos"/>
                <w:b w:val="0"/>
                <w:sz w:val="16"/>
              </w:rPr>
              <w:t>Credentials, sessions, verification state, account recovery</w:t>
            </w:r>
          </w:p>
        </w:tc>
        <w:tc>
          <w:tcPr>
            <w:tcW w:type="dxa" w:w="3312"/>
            <w:vAlign w:val="center"/>
          </w:tcPr>
          <w:p>
            <w:pPr>
              <w:spacing w:after="20"/>
            </w:pPr>
            <w:r/>
            <w:r>
              <w:rPr>
                <w:rFonts w:ascii="Aptos" w:hAnsi="Aptos"/>
                <w:b w:val="0"/>
                <w:sz w:val="16"/>
              </w:rPr>
              <w:t>Dating preferences or ranking policy.</w:t>
            </w:r>
          </w:p>
        </w:tc>
      </w:tr>
      <w:tr>
        <w:tc>
          <w:tcPr>
            <w:tcW w:type="dxa" w:w="3312"/>
            <w:vAlign w:val="center"/>
          </w:tcPr>
          <w:p>
            <w:pPr>
              <w:spacing w:after="20"/>
            </w:pPr>
            <w:r/>
            <w:r>
              <w:rPr>
                <w:rFonts w:ascii="Aptos" w:hAnsi="Aptos"/>
                <w:b w:val="0"/>
                <w:sz w:val="16"/>
              </w:rPr>
              <w:t>Profile</w:t>
            </w:r>
          </w:p>
        </w:tc>
        <w:tc>
          <w:tcPr>
            <w:tcW w:type="dxa" w:w="3312"/>
            <w:vAlign w:val="center"/>
          </w:tcPr>
          <w:p>
            <w:pPr>
              <w:spacing w:after="20"/>
            </w:pPr>
            <w:r/>
            <w:r>
              <w:rPr>
                <w:rFonts w:ascii="Aptos" w:hAnsi="Aptos"/>
                <w:b w:val="0"/>
                <w:sz w:val="16"/>
              </w:rPr>
              <w:t>Profile fields, photos references, prompts, activities, visibility settings</w:t>
            </w:r>
          </w:p>
        </w:tc>
        <w:tc>
          <w:tcPr>
            <w:tcW w:type="dxa" w:w="3312"/>
            <w:vAlign w:val="center"/>
          </w:tcPr>
          <w:p>
            <w:pPr>
              <w:spacing w:after="20"/>
            </w:pPr>
            <w:r/>
            <w:r>
              <w:rPr>
                <w:rFonts w:ascii="Aptos" w:hAnsi="Aptos"/>
                <w:b w:val="0"/>
                <w:sz w:val="16"/>
              </w:rPr>
              <w:t>Private messages or payment entitlements.</w:t>
            </w:r>
          </w:p>
        </w:tc>
      </w:tr>
      <w:tr>
        <w:tc>
          <w:tcPr>
            <w:tcW w:type="dxa" w:w="3312"/>
            <w:vAlign w:val="center"/>
          </w:tcPr>
          <w:p>
            <w:pPr>
              <w:spacing w:after="20"/>
            </w:pPr>
            <w:r/>
            <w:r>
              <w:rPr>
                <w:rFonts w:ascii="Aptos" w:hAnsi="Aptos"/>
                <w:b w:val="0"/>
                <w:sz w:val="16"/>
              </w:rPr>
              <w:t>Preferences</w:t>
            </w:r>
          </w:p>
        </w:tc>
        <w:tc>
          <w:tcPr>
            <w:tcW w:type="dxa" w:w="3312"/>
            <w:vAlign w:val="center"/>
          </w:tcPr>
          <w:p>
            <w:pPr>
              <w:spacing w:after="20"/>
            </w:pPr>
            <w:r/>
            <w:r>
              <w:rPr>
                <w:rFonts w:ascii="Aptos" w:hAnsi="Aptos"/>
                <w:b w:val="0"/>
                <w:sz w:val="16"/>
              </w:rPr>
              <w:t>Who user wants to discover, distance, age and explicit filters</w:t>
            </w:r>
          </w:p>
        </w:tc>
        <w:tc>
          <w:tcPr>
            <w:tcW w:type="dxa" w:w="3312"/>
            <w:vAlign w:val="center"/>
          </w:tcPr>
          <w:p>
            <w:pPr>
              <w:spacing w:after="20"/>
            </w:pPr>
            <w:r/>
            <w:r>
              <w:rPr>
                <w:rFonts w:ascii="Aptos" w:hAnsi="Aptos"/>
                <w:b w:val="0"/>
                <w:sz w:val="16"/>
              </w:rPr>
              <w:t>Inferred sensitive traits.</w:t>
            </w:r>
          </w:p>
        </w:tc>
      </w:tr>
      <w:tr>
        <w:tc>
          <w:tcPr>
            <w:tcW w:type="dxa" w:w="3312"/>
            <w:vAlign w:val="center"/>
          </w:tcPr>
          <w:p>
            <w:pPr>
              <w:spacing w:after="20"/>
            </w:pPr>
            <w:r/>
            <w:r>
              <w:rPr>
                <w:rFonts w:ascii="Aptos" w:hAnsi="Aptos"/>
                <w:b w:val="0"/>
                <w:sz w:val="16"/>
              </w:rPr>
              <w:t>Discovery/ranking</w:t>
            </w:r>
          </w:p>
        </w:tc>
        <w:tc>
          <w:tcPr>
            <w:tcW w:type="dxa" w:w="3312"/>
            <w:vAlign w:val="center"/>
          </w:tcPr>
          <w:p>
            <w:pPr>
              <w:spacing w:after="20"/>
            </w:pPr>
            <w:r/>
            <w:r>
              <w:rPr>
                <w:rFonts w:ascii="Aptos" w:hAnsi="Aptos"/>
                <w:b w:val="0"/>
                <w:sz w:val="16"/>
              </w:rPr>
              <w:t>Candidate retrieval, feature snapshot, scores, explanations, exposure logs</w:t>
            </w:r>
          </w:p>
        </w:tc>
        <w:tc>
          <w:tcPr>
            <w:tcW w:type="dxa" w:w="3312"/>
            <w:vAlign w:val="center"/>
          </w:tcPr>
          <w:p>
            <w:pPr>
              <w:spacing w:after="20"/>
            </w:pPr>
            <w:r/>
            <w:r>
              <w:rPr>
                <w:rFonts w:ascii="Aptos" w:hAnsi="Aptos"/>
                <w:b w:val="0"/>
                <w:sz w:val="16"/>
              </w:rPr>
              <w:t>Source-of-truth profile mutations.</w:t>
            </w:r>
          </w:p>
        </w:tc>
      </w:tr>
      <w:tr>
        <w:tc>
          <w:tcPr>
            <w:tcW w:type="dxa" w:w="3312"/>
            <w:vAlign w:val="center"/>
          </w:tcPr>
          <w:p>
            <w:pPr>
              <w:spacing w:after="20"/>
            </w:pPr>
            <w:r/>
            <w:r>
              <w:rPr>
                <w:rFonts w:ascii="Aptos" w:hAnsi="Aptos"/>
                <w:b w:val="0"/>
                <w:sz w:val="16"/>
              </w:rPr>
              <w:t>Likes/matches</w:t>
            </w:r>
          </w:p>
        </w:tc>
        <w:tc>
          <w:tcPr>
            <w:tcW w:type="dxa" w:w="3312"/>
            <w:vAlign w:val="center"/>
          </w:tcPr>
          <w:p>
            <w:pPr>
              <w:spacing w:after="20"/>
            </w:pPr>
            <w:r/>
            <w:r>
              <w:rPr>
                <w:rFonts w:ascii="Aptos" w:hAnsi="Aptos"/>
                <w:b w:val="0"/>
                <w:sz w:val="16"/>
              </w:rPr>
              <w:t>Like actions, reciprocal match creation, unmatch state</w:t>
            </w:r>
          </w:p>
        </w:tc>
        <w:tc>
          <w:tcPr>
            <w:tcW w:type="dxa" w:w="3312"/>
            <w:vAlign w:val="center"/>
          </w:tcPr>
          <w:p>
            <w:pPr>
              <w:spacing w:after="20"/>
            </w:pPr>
            <w:r/>
            <w:r>
              <w:rPr>
                <w:rFonts w:ascii="Aptos" w:hAnsi="Aptos"/>
                <w:b w:val="0"/>
                <w:sz w:val="16"/>
              </w:rPr>
              <w:t>Subscription billing.</w:t>
            </w:r>
          </w:p>
        </w:tc>
      </w:tr>
      <w:tr>
        <w:tc>
          <w:tcPr>
            <w:tcW w:type="dxa" w:w="3312"/>
            <w:vAlign w:val="center"/>
          </w:tcPr>
          <w:p>
            <w:pPr>
              <w:spacing w:after="20"/>
            </w:pPr>
            <w:r/>
            <w:r>
              <w:rPr>
                <w:rFonts w:ascii="Aptos" w:hAnsi="Aptos"/>
                <w:b w:val="0"/>
                <w:sz w:val="16"/>
              </w:rPr>
              <w:t>Messaging</w:t>
            </w:r>
          </w:p>
        </w:tc>
        <w:tc>
          <w:tcPr>
            <w:tcW w:type="dxa" w:w="3312"/>
            <w:vAlign w:val="center"/>
          </w:tcPr>
          <w:p>
            <w:pPr>
              <w:spacing w:after="20"/>
            </w:pPr>
            <w:r/>
            <w:r>
              <w:rPr>
                <w:rFonts w:ascii="Aptos" w:hAnsi="Aptos"/>
                <w:b w:val="0"/>
                <w:sz w:val="16"/>
              </w:rPr>
              <w:t>Conversation membership, message persistence, delivery state, safety hooks</w:t>
            </w:r>
          </w:p>
        </w:tc>
        <w:tc>
          <w:tcPr>
            <w:tcW w:type="dxa" w:w="3312"/>
            <w:vAlign w:val="center"/>
          </w:tcPr>
          <w:p>
            <w:pPr>
              <w:spacing w:after="20"/>
            </w:pPr>
            <w:r/>
            <w:r>
              <w:rPr>
                <w:rFonts w:ascii="Aptos" w:hAnsi="Aptos"/>
                <w:b w:val="0"/>
                <w:sz w:val="16"/>
              </w:rPr>
              <w:t>Discovery ranking decisions.</w:t>
            </w:r>
          </w:p>
        </w:tc>
      </w:tr>
      <w:tr>
        <w:tc>
          <w:tcPr>
            <w:tcW w:type="dxa" w:w="3312"/>
            <w:vAlign w:val="center"/>
          </w:tcPr>
          <w:p>
            <w:pPr>
              <w:spacing w:after="20"/>
            </w:pPr>
            <w:r/>
            <w:r>
              <w:rPr>
                <w:rFonts w:ascii="Aptos" w:hAnsi="Aptos"/>
                <w:b w:val="0"/>
                <w:sz w:val="16"/>
              </w:rPr>
              <w:t>Trust &amp; safety</w:t>
            </w:r>
          </w:p>
        </w:tc>
        <w:tc>
          <w:tcPr>
            <w:tcW w:type="dxa" w:w="3312"/>
            <w:vAlign w:val="center"/>
          </w:tcPr>
          <w:p>
            <w:pPr>
              <w:spacing w:after="20"/>
            </w:pPr>
            <w:r/>
            <w:r>
              <w:rPr>
                <w:rFonts w:ascii="Aptos" w:hAnsi="Aptos"/>
                <w:b w:val="0"/>
                <w:sz w:val="16"/>
              </w:rPr>
              <w:t>Reports, blocks, cases, sanctions, appeals, policy audit</w:t>
            </w:r>
          </w:p>
        </w:tc>
        <w:tc>
          <w:tcPr>
            <w:tcW w:type="dxa" w:w="3312"/>
            <w:vAlign w:val="center"/>
          </w:tcPr>
          <w:p>
            <w:pPr>
              <w:spacing w:after="20"/>
            </w:pPr>
            <w:r/>
            <w:r>
              <w:rPr>
                <w:rFonts w:ascii="Aptos" w:hAnsi="Aptos"/>
                <w:b w:val="0"/>
                <w:sz w:val="16"/>
              </w:rPr>
              <w:t>General-purpose analytics access.</w:t>
            </w:r>
          </w:p>
        </w:tc>
      </w:tr>
      <w:tr>
        <w:tc>
          <w:tcPr>
            <w:tcW w:type="dxa" w:w="3312"/>
            <w:vAlign w:val="center"/>
          </w:tcPr>
          <w:p>
            <w:pPr>
              <w:spacing w:after="20"/>
            </w:pPr>
            <w:r/>
            <w:r>
              <w:rPr>
                <w:rFonts w:ascii="Aptos" w:hAnsi="Aptos"/>
                <w:b w:val="0"/>
                <w:sz w:val="16"/>
              </w:rPr>
              <w:t>Billing</w:t>
            </w:r>
          </w:p>
        </w:tc>
        <w:tc>
          <w:tcPr>
            <w:tcW w:type="dxa" w:w="3312"/>
            <w:vAlign w:val="center"/>
          </w:tcPr>
          <w:p>
            <w:pPr>
              <w:spacing w:after="20"/>
            </w:pPr>
            <w:r/>
            <w:r>
              <w:rPr>
                <w:rFonts w:ascii="Aptos" w:hAnsi="Aptos"/>
                <w:b w:val="0"/>
                <w:sz w:val="16"/>
              </w:rPr>
              <w:t>Store receipts, entitlements, subscription lifecycle</w:t>
            </w:r>
          </w:p>
        </w:tc>
        <w:tc>
          <w:tcPr>
            <w:tcW w:type="dxa" w:w="3312"/>
            <w:vAlign w:val="center"/>
          </w:tcPr>
          <w:p>
            <w:pPr>
              <w:spacing w:after="20"/>
            </w:pPr>
            <w:r/>
            <w:r>
              <w:rPr>
                <w:rFonts w:ascii="Aptos" w:hAnsi="Aptos"/>
                <w:b w:val="0"/>
                <w:sz w:val="16"/>
              </w:rPr>
              <w:t>Access to sensitive profile content.</w:t>
            </w:r>
          </w:p>
        </w:tc>
      </w:tr>
      <w:tr>
        <w:tc>
          <w:tcPr>
            <w:tcW w:type="dxa" w:w="3312"/>
            <w:vAlign w:val="center"/>
          </w:tcPr>
          <w:p>
            <w:pPr>
              <w:spacing w:after="20"/>
            </w:pPr>
            <w:r/>
            <w:r>
              <w:rPr>
                <w:rFonts w:ascii="Aptos" w:hAnsi="Aptos"/>
                <w:b w:val="0"/>
                <w:sz w:val="16"/>
              </w:rPr>
              <w:t>Analytics</w:t>
            </w:r>
          </w:p>
        </w:tc>
        <w:tc>
          <w:tcPr>
            <w:tcW w:type="dxa" w:w="3312"/>
            <w:vAlign w:val="center"/>
          </w:tcPr>
          <w:p>
            <w:pPr>
              <w:spacing w:after="20"/>
            </w:pPr>
            <w:r/>
            <w:r>
              <w:rPr>
                <w:rFonts w:ascii="Aptos" w:hAnsi="Aptos"/>
                <w:b w:val="0"/>
                <w:sz w:val="16"/>
              </w:rPr>
              <w:t>Pseudonymous events, metrics, experiments</w:t>
            </w:r>
          </w:p>
        </w:tc>
        <w:tc>
          <w:tcPr>
            <w:tcW w:type="dxa" w:w="3312"/>
            <w:vAlign w:val="center"/>
          </w:tcPr>
          <w:p>
            <w:pPr>
              <w:spacing w:after="20"/>
            </w:pPr>
            <w:r/>
            <w:r>
              <w:rPr>
                <w:rFonts w:ascii="Aptos" w:hAnsi="Aptos"/>
                <w:b w:val="0"/>
                <w:sz w:val="16"/>
              </w:rPr>
              <w:t>Direct unrestricted access to raw message text.</w:t>
            </w:r>
          </w:p>
        </w:tc>
      </w:tr>
      <w:tr>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Role-gated operational actions and audit trails</w:t>
            </w:r>
          </w:p>
        </w:tc>
        <w:tc>
          <w:tcPr>
            <w:tcW w:type="dxa" w:w="3312"/>
            <w:vAlign w:val="center"/>
          </w:tcPr>
          <w:p>
            <w:pPr>
              <w:spacing w:after="20"/>
            </w:pPr>
            <w:r/>
            <w:r>
              <w:rPr>
                <w:rFonts w:ascii="Aptos" w:hAnsi="Aptos"/>
                <w:b w:val="0"/>
                <w:sz w:val="16"/>
              </w:rPr>
              <w:t>Bypassing service-level authorisation.</w:t>
            </w:r>
          </w:p>
        </w:tc>
      </w:tr>
    </w:tbl>
    <w:p>
      <w:pPr>
        <w:spacing w:after="20"/>
      </w:pPr>
    </w:p>
    <w:p>
      <w:pPr>
        <w:pStyle w:val="Heading2"/>
      </w:pPr>
      <w:r>
        <w:t>6.3 Deployment recommendations</w:t>
      </w:r>
    </w:p>
    <w:p>
      <w:pPr>
        <w:pStyle w:val="ListBullet"/>
        <w:spacing w:after="40"/>
      </w:pPr>
      <w:r>
        <w:t>Start with a modular monolith or a small number of deployable services. Keep code boundaries clear without prematurely operating many microservices.</w:t>
      </w:r>
    </w:p>
    <w:p>
      <w:pPr>
        <w:pStyle w:val="ListBullet"/>
        <w:spacing w:after="40"/>
      </w:pPr>
      <w:r>
        <w:t>Use PostgreSQL as the source of truth. Use PostGIS for geographic queries. Add Redis for caching, rate limits and queue coordination after measuring need.</w:t>
      </w:r>
    </w:p>
    <w:p>
      <w:pPr>
        <w:pStyle w:val="ListBullet"/>
        <w:spacing w:after="40"/>
      </w:pPr>
      <w:r>
        <w:t>Use object storage for photos with private buckets, signed upload/download URLs, image validation, malware/content scanning where appropriate, and removal of EXIF metadata.</w:t>
      </w:r>
    </w:p>
    <w:p>
      <w:pPr>
        <w:pStyle w:val="ListBullet"/>
        <w:spacing w:after="40"/>
      </w:pPr>
      <w:r>
        <w:t>Use a transactional outbox for reliable domain events such as match-created and report-submitted. Consumers must be idempotent.</w:t>
      </w:r>
    </w:p>
    <w:p>
      <w:pPr>
        <w:pStyle w:val="ListBullet"/>
        <w:spacing w:after="40"/>
      </w:pPr>
      <w:r>
        <w:t>Use APNs and FCM for push notifications; store notification preferences and keep sensitive details out of lock-screen payloads.</w:t>
      </w:r>
    </w:p>
    <w:p>
      <w:pPr>
        <w:pStyle w:val="ListBullet"/>
        <w:spacing w:after="40"/>
      </w:pPr>
      <w:r>
        <w:t>Use managed secrets, separate production/staging credentials, least-privilege service identities, encrypted backups and restore drills.</w:t>
      </w:r>
    </w:p>
    <w:p>
      <w:pPr>
        <w:pStyle w:val="ListBullet"/>
        <w:spacing w:after="40"/>
      </w:pPr>
      <w:r>
        <w:t>Admin access requires MFA, role-based access, reason-for-access logging and periodic access review.</w:t>
      </w:r>
    </w:p>
    <w:p>
      <w:pPr>
        <w:pStyle w:val="ListBullet"/>
        <w:spacing w:after="40"/>
      </w:pPr>
      <w:r>
        <w:t>Use CI checks for unit/integration tests, migrations, lint/type checking, dependency and secret scanning, API contract tests and mobile release validation.</w:t>
      </w:r>
    </w:p>
    <w:p>
      <w:pPr>
        <w:pStyle w:val="Heading1"/>
      </w:pPr>
      <w:r>
        <w:t>7. Database schema</w:t>
      </w:r>
    </w:p>
    <w:p>
      <w:r>
        <w:t>The following is a logical PostgreSQL schema. Field types, partitioning, indexes, encryption and retention must be finalised with the chosen framework and expected load. Use UUID primary keys, UTC timestamps and explicit lifecycle states.</w:t>
      </w:r>
    </w:p>
    <w:p>
      <w:pPr>
        <w:pStyle w:val="Heading2"/>
      </w:pPr>
      <w:r>
        <w:t>7.1 Core tables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Table</w:t>
            </w:r>
          </w:p>
        </w:tc>
        <w:tc>
          <w:tcPr>
            <w:tcW w:type="dxa" w:w="3312"/>
            <w:vAlign w:val="center"/>
            <w:shd w:fill="176B68"/>
          </w:tcPr>
          <w:p>
            <w:pPr>
              <w:spacing w:after="20"/>
            </w:pPr>
            <w:r/>
            <w:r>
              <w:rPr>
                <w:rFonts w:ascii="Aptos" w:hAnsi="Aptos"/>
                <w:b/>
                <w:color w:val="FFFFFF"/>
                <w:sz w:val="17"/>
              </w:rPr>
              <w:t>Important columns</w:t>
            </w:r>
          </w:p>
        </w:tc>
        <w:tc>
          <w:tcPr>
            <w:tcW w:type="dxa" w:w="3312"/>
            <w:vAlign w:val="center"/>
            <w:shd w:fill="176B68"/>
          </w:tcPr>
          <w:p>
            <w:pPr>
              <w:spacing w:after="20"/>
            </w:pPr>
            <w:r/>
            <w:r>
              <w:rPr>
                <w:rFonts w:ascii="Aptos" w:hAnsi="Aptos"/>
                <w:b/>
                <w:color w:val="FFFFFF"/>
                <w:sz w:val="17"/>
              </w:rPr>
              <w:t>Notes / constraints</w:t>
            </w:r>
          </w:p>
        </w:tc>
      </w:tr>
      <w:tr>
        <w:tc>
          <w:tcPr>
            <w:tcW w:type="dxa" w:w="3312"/>
            <w:vAlign w:val="center"/>
          </w:tcPr>
          <w:p>
            <w:pPr>
              <w:spacing w:after="20"/>
            </w:pPr>
            <w:r/>
            <w:r>
              <w:rPr>
                <w:rFonts w:ascii="Aptos" w:hAnsi="Aptos"/>
                <w:b w:val="0"/>
                <w:sz w:val="16"/>
              </w:rPr>
              <w:t>users</w:t>
            </w:r>
          </w:p>
        </w:tc>
        <w:tc>
          <w:tcPr>
            <w:tcW w:type="dxa" w:w="3312"/>
            <w:vAlign w:val="center"/>
          </w:tcPr>
          <w:p>
            <w:pPr>
              <w:spacing w:after="20"/>
            </w:pPr>
            <w:r/>
            <w:r>
              <w:rPr>
                <w:rFonts w:ascii="Aptos" w:hAnsi="Aptos"/>
                <w:b w:val="0"/>
                <w:sz w:val="16"/>
              </w:rPr>
              <w:t>id UUID PK; status; created_at; updated_at; deleted_at; locale; timezone</w:t>
            </w:r>
          </w:p>
        </w:tc>
        <w:tc>
          <w:tcPr>
            <w:tcW w:type="dxa" w:w="3312"/>
            <w:vAlign w:val="center"/>
          </w:tcPr>
          <w:p>
            <w:pPr>
              <w:spacing w:after="20"/>
            </w:pPr>
            <w:r/>
            <w:r>
              <w:rPr>
                <w:rFonts w:ascii="Aptos" w:hAnsi="Aptos"/>
                <w:b w:val="0"/>
                <w:sz w:val="16"/>
              </w:rPr>
              <w:t>Account lifecycle. Do not store raw passwords; use a vetted identity provider or strong password hashing.</w:t>
            </w:r>
          </w:p>
        </w:tc>
      </w:tr>
      <w:tr>
        <w:tc>
          <w:tcPr>
            <w:tcW w:type="dxa" w:w="3312"/>
            <w:vAlign w:val="center"/>
          </w:tcPr>
          <w:p>
            <w:pPr>
              <w:spacing w:after="20"/>
            </w:pPr>
            <w:r/>
            <w:r>
              <w:rPr>
                <w:rFonts w:ascii="Aptos" w:hAnsi="Aptos"/>
                <w:b w:val="0"/>
                <w:sz w:val="16"/>
              </w:rPr>
              <w:t>auth_identities</w:t>
            </w:r>
          </w:p>
        </w:tc>
        <w:tc>
          <w:tcPr>
            <w:tcW w:type="dxa" w:w="3312"/>
            <w:vAlign w:val="center"/>
          </w:tcPr>
          <w:p>
            <w:pPr>
              <w:spacing w:after="20"/>
            </w:pPr>
            <w:r/>
            <w:r>
              <w:rPr>
                <w:rFonts w:ascii="Aptos" w:hAnsi="Aptos"/>
                <w:b w:val="0"/>
                <w:sz w:val="16"/>
              </w:rPr>
              <w:t>id; user_id FK; provider; provider_subject; verified_at</w:t>
            </w:r>
          </w:p>
        </w:tc>
        <w:tc>
          <w:tcPr>
            <w:tcW w:type="dxa" w:w="3312"/>
            <w:vAlign w:val="center"/>
          </w:tcPr>
          <w:p>
            <w:pPr>
              <w:spacing w:after="20"/>
            </w:pPr>
            <w:r/>
            <w:r>
              <w:rPr>
                <w:rFonts w:ascii="Aptos" w:hAnsi="Aptos"/>
                <w:b w:val="0"/>
                <w:sz w:val="16"/>
              </w:rPr>
              <w:t>Unique(provider, provider_subject); never expose provider subject publicly.</w:t>
            </w:r>
          </w:p>
        </w:tc>
      </w:tr>
      <w:tr>
        <w:tc>
          <w:tcPr>
            <w:tcW w:type="dxa" w:w="3312"/>
            <w:vAlign w:val="center"/>
          </w:tcPr>
          <w:p>
            <w:pPr>
              <w:spacing w:after="20"/>
            </w:pPr>
            <w:r/>
            <w:r>
              <w:rPr>
                <w:rFonts w:ascii="Aptos" w:hAnsi="Aptos"/>
                <w:b w:val="0"/>
                <w:sz w:val="16"/>
              </w:rPr>
              <w:t>user_preferences</w:t>
            </w:r>
          </w:p>
        </w:tc>
        <w:tc>
          <w:tcPr>
            <w:tcW w:type="dxa" w:w="3312"/>
            <w:vAlign w:val="center"/>
          </w:tcPr>
          <w:p>
            <w:pPr>
              <w:spacing w:after="20"/>
            </w:pPr>
            <w:r/>
            <w:r>
              <w:rPr>
                <w:rFonts w:ascii="Aptos" w:hAnsi="Aptos"/>
                <w:b w:val="0"/>
                <w:sz w:val="16"/>
              </w:rPr>
              <w:t>user_id PK/FK; min_age; max_age; radius_km; intent_codes; discovery_enabled; updated_at</w:t>
            </w:r>
          </w:p>
        </w:tc>
        <w:tc>
          <w:tcPr>
            <w:tcW w:type="dxa" w:w="3312"/>
            <w:vAlign w:val="center"/>
          </w:tcPr>
          <w:p>
            <w:pPr>
              <w:spacing w:after="20"/>
            </w:pPr>
            <w:r/>
            <w:r>
              <w:rPr>
                <w:rFonts w:ascii="Aptos" w:hAnsi="Aptos"/>
                <w:b w:val="0"/>
                <w:sz w:val="16"/>
              </w:rPr>
              <w:t>Validate ranges and prevent contradictory settings.</w:t>
            </w:r>
          </w:p>
        </w:tc>
      </w:tr>
      <w:tr>
        <w:tc>
          <w:tcPr>
            <w:tcW w:type="dxa" w:w="3312"/>
            <w:vAlign w:val="center"/>
          </w:tcPr>
          <w:p>
            <w:pPr>
              <w:spacing w:after="20"/>
            </w:pPr>
            <w:r/>
            <w:r>
              <w:rPr>
                <w:rFonts w:ascii="Aptos" w:hAnsi="Aptos"/>
                <w:b w:val="0"/>
                <w:sz w:val="16"/>
              </w:rPr>
              <w:t>profiles</w:t>
            </w:r>
          </w:p>
        </w:tc>
        <w:tc>
          <w:tcPr>
            <w:tcW w:type="dxa" w:w="3312"/>
            <w:vAlign w:val="center"/>
          </w:tcPr>
          <w:p>
            <w:pPr>
              <w:spacing w:after="20"/>
            </w:pPr>
            <w:r/>
            <w:r>
              <w:rPr>
                <w:rFonts w:ascii="Aptos" w:hAnsi="Aptos"/>
                <w:b w:val="0"/>
                <w:sz w:val="16"/>
              </w:rPr>
              <w:t>user_id PK/FK; display_name; birth_date; bio; pronouns nullable; gender fields per taxonomy; visibility; moderation_state</w:t>
            </w:r>
          </w:p>
        </w:tc>
        <w:tc>
          <w:tcPr>
            <w:tcW w:type="dxa" w:w="3312"/>
            <w:vAlign w:val="center"/>
          </w:tcPr>
          <w:p>
            <w:pPr>
              <w:spacing w:after="20"/>
            </w:pPr>
            <w:r/>
            <w:r>
              <w:rPr>
                <w:rFonts w:ascii="Aptos" w:hAnsi="Aptos"/>
                <w:b w:val="0"/>
                <w:sz w:val="16"/>
              </w:rPr>
              <w:t>Keep sensitive fields segregated with explicit access policy. Compute displayed age server-side.</w:t>
            </w:r>
          </w:p>
        </w:tc>
      </w:tr>
      <w:tr>
        <w:tc>
          <w:tcPr>
            <w:tcW w:type="dxa" w:w="3312"/>
            <w:vAlign w:val="center"/>
          </w:tcPr>
          <w:p>
            <w:pPr>
              <w:spacing w:after="20"/>
            </w:pPr>
            <w:r/>
            <w:r>
              <w:rPr>
                <w:rFonts w:ascii="Aptos" w:hAnsi="Aptos"/>
                <w:b w:val="0"/>
                <w:sz w:val="16"/>
              </w:rPr>
              <w:t>profile_photos</w:t>
            </w:r>
          </w:p>
        </w:tc>
        <w:tc>
          <w:tcPr>
            <w:tcW w:type="dxa" w:w="3312"/>
            <w:vAlign w:val="center"/>
          </w:tcPr>
          <w:p>
            <w:pPr>
              <w:spacing w:after="20"/>
            </w:pPr>
            <w:r/>
            <w:r>
              <w:rPr>
                <w:rFonts w:ascii="Aptos" w:hAnsi="Aptos"/>
                <w:b w:val="0"/>
                <w:sz w:val="16"/>
              </w:rPr>
              <w:t>id; user_id; object_key; sort_order; moderation_state; created_at; removed_at</w:t>
            </w:r>
          </w:p>
        </w:tc>
        <w:tc>
          <w:tcPr>
            <w:tcW w:type="dxa" w:w="3312"/>
            <w:vAlign w:val="center"/>
          </w:tcPr>
          <w:p>
            <w:pPr>
              <w:spacing w:after="20"/>
            </w:pPr>
            <w:r/>
            <w:r>
              <w:rPr>
                <w:rFonts w:ascii="Aptos" w:hAnsi="Aptos"/>
                <w:b w:val="0"/>
                <w:sz w:val="16"/>
              </w:rPr>
              <w:t>Private storage; strip metadata; enforce ownership and limits.</w:t>
            </w:r>
          </w:p>
        </w:tc>
      </w:tr>
      <w:tr>
        <w:tc>
          <w:tcPr>
            <w:tcW w:type="dxa" w:w="3312"/>
            <w:vAlign w:val="center"/>
          </w:tcPr>
          <w:p>
            <w:pPr>
              <w:spacing w:after="20"/>
            </w:pPr>
            <w:r/>
            <w:r>
              <w:rPr>
                <w:rFonts w:ascii="Aptos" w:hAnsi="Aptos"/>
                <w:b w:val="0"/>
                <w:sz w:val="16"/>
              </w:rPr>
              <w:t>profile_prompts</w:t>
            </w:r>
          </w:p>
        </w:tc>
        <w:tc>
          <w:tcPr>
            <w:tcW w:type="dxa" w:w="3312"/>
            <w:vAlign w:val="center"/>
          </w:tcPr>
          <w:p>
            <w:pPr>
              <w:spacing w:after="20"/>
            </w:pPr>
            <w:r/>
            <w:r>
              <w:rPr>
                <w:rFonts w:ascii="Aptos" w:hAnsi="Aptos"/>
                <w:b w:val="0"/>
                <w:sz w:val="16"/>
              </w:rPr>
              <w:t>id; user_id; prompt_key; answer_text; moderation_state; updated_at</w:t>
            </w:r>
          </w:p>
        </w:tc>
        <w:tc>
          <w:tcPr>
            <w:tcW w:type="dxa" w:w="3312"/>
            <w:vAlign w:val="center"/>
          </w:tcPr>
          <w:p>
            <w:pPr>
              <w:spacing w:after="20"/>
            </w:pPr>
            <w:r/>
            <w:r>
              <w:rPr>
                <w:rFonts w:ascii="Aptos" w:hAnsi="Aptos"/>
                <w:b w:val="0"/>
                <w:sz w:val="16"/>
              </w:rPr>
              <w:t>Allow prompt versioning and moderation.</w:t>
            </w:r>
          </w:p>
        </w:tc>
      </w:tr>
      <w:tr>
        <w:tc>
          <w:tcPr>
            <w:tcW w:type="dxa" w:w="3312"/>
            <w:vAlign w:val="center"/>
          </w:tcPr>
          <w:p>
            <w:pPr>
              <w:spacing w:after="20"/>
            </w:pPr>
            <w:r/>
            <w:r>
              <w:rPr>
                <w:rFonts w:ascii="Aptos" w:hAnsi="Aptos"/>
                <w:b w:val="0"/>
                <w:sz w:val="16"/>
              </w:rPr>
              <w:t>activities</w:t>
            </w:r>
          </w:p>
        </w:tc>
        <w:tc>
          <w:tcPr>
            <w:tcW w:type="dxa" w:w="3312"/>
            <w:vAlign w:val="center"/>
          </w:tcPr>
          <w:p>
            <w:pPr>
              <w:spacing w:after="20"/>
            </w:pPr>
            <w:r/>
            <w:r>
              <w:rPr>
                <w:rFonts w:ascii="Aptos" w:hAnsi="Aptos"/>
                <w:b w:val="0"/>
                <w:sz w:val="16"/>
              </w:rPr>
              <w:t>id; canonical_name; category; status</w:t>
            </w:r>
          </w:p>
        </w:tc>
        <w:tc>
          <w:tcPr>
            <w:tcW w:type="dxa" w:w="3312"/>
            <w:vAlign w:val="center"/>
          </w:tcPr>
          <w:p>
            <w:pPr>
              <w:spacing w:after="20"/>
            </w:pPr>
            <w:r/>
            <w:r>
              <w:rPr>
                <w:rFonts w:ascii="Aptos" w:hAnsi="Aptos"/>
                <w:b w:val="0"/>
                <w:sz w:val="16"/>
              </w:rPr>
              <w:t>Curated taxonomy with synonyms; avoid uncontrolled duplicates.</w:t>
            </w:r>
          </w:p>
        </w:tc>
      </w:tr>
      <w:tr>
        <w:tc>
          <w:tcPr>
            <w:tcW w:type="dxa" w:w="3312"/>
            <w:vAlign w:val="center"/>
          </w:tcPr>
          <w:p>
            <w:pPr>
              <w:spacing w:after="20"/>
            </w:pPr>
            <w:r/>
            <w:r>
              <w:rPr>
                <w:rFonts w:ascii="Aptos" w:hAnsi="Aptos"/>
                <w:b w:val="0"/>
                <w:sz w:val="16"/>
              </w:rPr>
              <w:t>user_activities</w:t>
            </w:r>
          </w:p>
        </w:tc>
        <w:tc>
          <w:tcPr>
            <w:tcW w:type="dxa" w:w="3312"/>
            <w:vAlign w:val="center"/>
          </w:tcPr>
          <w:p>
            <w:pPr>
              <w:spacing w:after="20"/>
            </w:pPr>
            <w:r/>
            <w:r>
              <w:rPr>
                <w:rFonts w:ascii="Aptos" w:hAnsi="Aptos"/>
                <w:b w:val="0"/>
                <w:sz w:val="16"/>
              </w:rPr>
              <w:t>user_id; activity_id; proficiency/interest optional</w:t>
            </w:r>
          </w:p>
        </w:tc>
        <w:tc>
          <w:tcPr>
            <w:tcW w:type="dxa" w:w="3312"/>
            <w:vAlign w:val="center"/>
          </w:tcPr>
          <w:p>
            <w:pPr>
              <w:spacing w:after="20"/>
            </w:pPr>
            <w:r/>
            <w:r>
              <w:rPr>
                <w:rFonts w:ascii="Aptos" w:hAnsi="Aptos"/>
                <w:b w:val="0"/>
                <w:sz w:val="16"/>
              </w:rPr>
              <w:t>Composite PK; no inference from unrelated activity.</w:t>
            </w:r>
          </w:p>
        </w:tc>
      </w:tr>
      <w:tr>
        <w:tc>
          <w:tcPr>
            <w:tcW w:type="dxa" w:w="3312"/>
            <w:vAlign w:val="center"/>
          </w:tcPr>
          <w:p>
            <w:pPr>
              <w:spacing w:after="20"/>
            </w:pPr>
            <w:r/>
            <w:r>
              <w:rPr>
                <w:rFonts w:ascii="Aptos" w:hAnsi="Aptos"/>
                <w:b w:val="0"/>
                <w:sz w:val="16"/>
              </w:rPr>
              <w:t>relationship_preferences</w:t>
            </w:r>
          </w:p>
        </w:tc>
        <w:tc>
          <w:tcPr>
            <w:tcW w:type="dxa" w:w="3312"/>
            <w:vAlign w:val="center"/>
          </w:tcPr>
          <w:p>
            <w:pPr>
              <w:spacing w:after="20"/>
            </w:pPr>
            <w:r/>
            <w:r>
              <w:rPr>
                <w:rFonts w:ascii="Aptos" w:hAnsi="Aptos"/>
                <w:b w:val="0"/>
                <w:sz w:val="16"/>
              </w:rPr>
              <w:t>user_id; field_key; selected_values; visibility; updated_at</w:t>
            </w:r>
          </w:p>
        </w:tc>
        <w:tc>
          <w:tcPr>
            <w:tcW w:type="dxa" w:w="3312"/>
            <w:vAlign w:val="center"/>
          </w:tcPr>
          <w:p>
            <w:pPr>
              <w:spacing w:after="20"/>
            </w:pPr>
            <w:r/>
            <w:r>
              <w:rPr>
                <w:rFonts w:ascii="Aptos" w:hAnsi="Aptos"/>
                <w:b w:val="0"/>
                <w:sz w:val="16"/>
              </w:rPr>
              <w:t>Consider normalised rows for query-heavy fields; record user intent, not inferred labels.</w:t>
            </w:r>
          </w:p>
        </w:tc>
      </w:tr>
      <w:tr>
        <w:tc>
          <w:tcPr>
            <w:tcW w:type="dxa" w:w="3312"/>
            <w:vAlign w:val="center"/>
          </w:tcPr>
          <w:p>
            <w:pPr>
              <w:spacing w:after="20"/>
            </w:pPr>
            <w:r/>
            <w:r>
              <w:rPr>
                <w:rFonts w:ascii="Aptos" w:hAnsi="Aptos"/>
                <w:b w:val="0"/>
                <w:sz w:val="16"/>
              </w:rPr>
              <w:t>blocks</w:t>
            </w:r>
          </w:p>
        </w:tc>
        <w:tc>
          <w:tcPr>
            <w:tcW w:type="dxa" w:w="3312"/>
            <w:vAlign w:val="center"/>
          </w:tcPr>
          <w:p>
            <w:pPr>
              <w:spacing w:after="20"/>
            </w:pPr>
            <w:r/>
            <w:r>
              <w:rPr>
                <w:rFonts w:ascii="Aptos" w:hAnsi="Aptos"/>
                <w:b w:val="0"/>
                <w:sz w:val="16"/>
              </w:rPr>
              <w:t>blocker_user_id; blocked_user_id; created_at; reason_code nullable</w:t>
            </w:r>
          </w:p>
        </w:tc>
        <w:tc>
          <w:tcPr>
            <w:tcW w:type="dxa" w:w="3312"/>
            <w:vAlign w:val="center"/>
          </w:tcPr>
          <w:p>
            <w:pPr>
              <w:spacing w:after="20"/>
            </w:pPr>
            <w:r/>
            <w:r>
              <w:rPr>
                <w:rFonts w:ascii="Aptos" w:hAnsi="Aptos"/>
                <w:b w:val="0"/>
                <w:sz w:val="16"/>
              </w:rPr>
              <w:t>Composite PK; no self-block; enforce immediately in all surfaces.</w:t>
            </w:r>
          </w:p>
        </w:tc>
      </w:tr>
      <w:tr>
        <w:tc>
          <w:tcPr>
            <w:tcW w:type="dxa" w:w="3312"/>
            <w:vAlign w:val="center"/>
          </w:tcPr>
          <w:p>
            <w:pPr>
              <w:spacing w:after="20"/>
            </w:pPr>
            <w:r/>
            <w:r>
              <w:rPr>
                <w:rFonts w:ascii="Aptos" w:hAnsi="Aptos"/>
                <w:b w:val="0"/>
                <w:sz w:val="16"/>
              </w:rPr>
              <w:t>likes</w:t>
            </w:r>
          </w:p>
        </w:tc>
        <w:tc>
          <w:tcPr>
            <w:tcW w:type="dxa" w:w="3312"/>
            <w:vAlign w:val="center"/>
          </w:tcPr>
          <w:p>
            <w:pPr>
              <w:spacing w:after="20"/>
            </w:pPr>
            <w:r/>
            <w:r>
              <w:rPr>
                <w:rFonts w:ascii="Aptos" w:hAnsi="Aptos"/>
                <w:b w:val="0"/>
                <w:sz w:val="16"/>
              </w:rPr>
              <w:t>id; sender_user_id; recipient_user_id; target_type; target_id nullable; comment nullable; created_at; state</w:t>
            </w:r>
          </w:p>
        </w:tc>
        <w:tc>
          <w:tcPr>
            <w:tcW w:type="dxa" w:w="3312"/>
            <w:vAlign w:val="center"/>
          </w:tcPr>
          <w:p>
            <w:pPr>
              <w:spacing w:after="20"/>
            </w:pPr>
            <w:r/>
            <w:r>
              <w:rPr>
                <w:rFonts w:ascii="Aptos" w:hAnsi="Aptos"/>
                <w:b w:val="0"/>
                <w:sz w:val="16"/>
              </w:rPr>
              <w:t>Unique active like per sender/recipient policy; idempotency key; rate limits.</w:t>
            </w:r>
          </w:p>
        </w:tc>
      </w:tr>
      <w:tr>
        <w:tc>
          <w:tcPr>
            <w:tcW w:type="dxa" w:w="3312"/>
            <w:vAlign w:val="center"/>
          </w:tcPr>
          <w:p>
            <w:pPr>
              <w:spacing w:after="20"/>
            </w:pPr>
            <w:r/>
            <w:r>
              <w:rPr>
                <w:rFonts w:ascii="Aptos" w:hAnsi="Aptos"/>
                <w:b w:val="0"/>
                <w:sz w:val="16"/>
              </w:rPr>
              <w:t>matches</w:t>
            </w:r>
          </w:p>
        </w:tc>
        <w:tc>
          <w:tcPr>
            <w:tcW w:type="dxa" w:w="3312"/>
            <w:vAlign w:val="center"/>
          </w:tcPr>
          <w:p>
            <w:pPr>
              <w:spacing w:after="20"/>
            </w:pPr>
            <w:r/>
            <w:r>
              <w:rPr>
                <w:rFonts w:ascii="Aptos" w:hAnsi="Aptos"/>
                <w:b w:val="0"/>
                <w:sz w:val="16"/>
              </w:rPr>
              <w:t>id; user_a_id; user_b_id; created_at; status; ended_at; ended_by nullable</w:t>
            </w:r>
          </w:p>
        </w:tc>
        <w:tc>
          <w:tcPr>
            <w:tcW w:type="dxa" w:w="3312"/>
            <w:vAlign w:val="center"/>
          </w:tcPr>
          <w:p>
            <w:pPr>
              <w:spacing w:after="20"/>
            </w:pPr>
            <w:r/>
            <w:r>
              <w:rPr>
                <w:rFonts w:ascii="Aptos" w:hAnsi="Aptos"/>
                <w:b w:val="0"/>
                <w:sz w:val="16"/>
              </w:rPr>
              <w:t>Canonical order of user IDs; unique active pair; create transactionally on reciprocal likes.</w:t>
            </w:r>
          </w:p>
        </w:tc>
      </w:tr>
      <w:tr>
        <w:tc>
          <w:tcPr>
            <w:tcW w:type="dxa" w:w="3312"/>
            <w:vAlign w:val="center"/>
          </w:tcPr>
          <w:p>
            <w:pPr>
              <w:spacing w:after="20"/>
            </w:pPr>
            <w:r/>
            <w:r>
              <w:rPr>
                <w:rFonts w:ascii="Aptos" w:hAnsi="Aptos"/>
                <w:b w:val="0"/>
                <w:sz w:val="16"/>
              </w:rPr>
              <w:t>conversations</w:t>
            </w:r>
          </w:p>
        </w:tc>
        <w:tc>
          <w:tcPr>
            <w:tcW w:type="dxa" w:w="3312"/>
            <w:vAlign w:val="center"/>
          </w:tcPr>
          <w:p>
            <w:pPr>
              <w:spacing w:after="20"/>
            </w:pPr>
            <w:r/>
            <w:r>
              <w:rPr>
                <w:rFonts w:ascii="Aptos" w:hAnsi="Aptos"/>
                <w:b w:val="0"/>
                <w:sz w:val="16"/>
              </w:rPr>
              <w:t>id; match_id unique FK; created_at; status</w:t>
            </w:r>
          </w:p>
        </w:tc>
        <w:tc>
          <w:tcPr>
            <w:tcW w:type="dxa" w:w="3312"/>
            <w:vAlign w:val="center"/>
          </w:tcPr>
          <w:p>
            <w:pPr>
              <w:spacing w:after="20"/>
            </w:pPr>
            <w:r/>
            <w:r>
              <w:rPr>
                <w:rFonts w:ascii="Aptos" w:hAnsi="Aptos"/>
                <w:b w:val="0"/>
                <w:sz w:val="16"/>
              </w:rPr>
              <w:t>One conversation per match in MVP.</w:t>
            </w:r>
          </w:p>
        </w:tc>
      </w:tr>
      <w:tr>
        <w:tc>
          <w:tcPr>
            <w:tcW w:type="dxa" w:w="3312"/>
            <w:vAlign w:val="center"/>
          </w:tcPr>
          <w:p>
            <w:pPr>
              <w:spacing w:after="20"/>
            </w:pPr>
            <w:r/>
            <w:r>
              <w:rPr>
                <w:rFonts w:ascii="Aptos" w:hAnsi="Aptos"/>
                <w:b w:val="0"/>
                <w:sz w:val="16"/>
              </w:rPr>
              <w:t>messages</w:t>
            </w:r>
          </w:p>
        </w:tc>
        <w:tc>
          <w:tcPr>
            <w:tcW w:type="dxa" w:w="3312"/>
            <w:vAlign w:val="center"/>
          </w:tcPr>
          <w:p>
            <w:pPr>
              <w:spacing w:after="20"/>
            </w:pPr>
            <w:r/>
            <w:r>
              <w:rPr>
                <w:rFonts w:ascii="Aptos" w:hAnsi="Aptos"/>
                <w:b w:val="0"/>
                <w:sz w:val="16"/>
              </w:rPr>
              <w:t>id; conversation_id; sender_user_id; body_ciphertext or body; created_at; edited_at; deleted_at; moderation_state</w:t>
            </w:r>
          </w:p>
        </w:tc>
        <w:tc>
          <w:tcPr>
            <w:tcW w:type="dxa" w:w="3312"/>
            <w:vAlign w:val="center"/>
          </w:tcPr>
          <w:p>
            <w:pPr>
              <w:spacing w:after="20"/>
            </w:pPr>
            <w:r/>
            <w:r>
              <w:rPr>
                <w:rFonts w:ascii="Aptos" w:hAnsi="Aptos"/>
                <w:b w:val="0"/>
                <w:sz w:val="16"/>
              </w:rPr>
              <w:t>Membership check on every access; define retention and deletion semantics; never log raw body.</w:t>
            </w:r>
          </w:p>
        </w:tc>
      </w:tr>
      <w:tr>
        <w:tc>
          <w:tcPr>
            <w:tcW w:type="dxa" w:w="3312"/>
            <w:vAlign w:val="center"/>
          </w:tcPr>
          <w:p>
            <w:pPr>
              <w:spacing w:after="20"/>
            </w:pPr>
            <w:r/>
            <w:r>
              <w:rPr>
                <w:rFonts w:ascii="Aptos" w:hAnsi="Aptos"/>
                <w:b w:val="0"/>
                <w:sz w:val="16"/>
              </w:rPr>
              <w:t>message_receipts</w:t>
            </w:r>
          </w:p>
        </w:tc>
        <w:tc>
          <w:tcPr>
            <w:tcW w:type="dxa" w:w="3312"/>
            <w:vAlign w:val="center"/>
          </w:tcPr>
          <w:p>
            <w:pPr>
              <w:spacing w:after="20"/>
            </w:pPr>
            <w:r/>
            <w:r>
              <w:rPr>
                <w:rFonts w:ascii="Aptos" w:hAnsi="Aptos"/>
                <w:b w:val="0"/>
                <w:sz w:val="16"/>
              </w:rPr>
              <w:t>message_id; user_id; delivered_at; read_at nullable</w:t>
            </w:r>
          </w:p>
        </w:tc>
        <w:tc>
          <w:tcPr>
            <w:tcW w:type="dxa" w:w="3312"/>
            <w:vAlign w:val="center"/>
          </w:tcPr>
          <w:p>
            <w:pPr>
              <w:spacing w:after="20"/>
            </w:pPr>
            <w:r/>
            <w:r>
              <w:rPr>
                <w:rFonts w:ascii="Aptos" w:hAnsi="Aptos"/>
                <w:b w:val="0"/>
                <w:sz w:val="16"/>
              </w:rPr>
              <w:t>Consider whether read receipts are needed; make privacy preferences explicit.</w:t>
            </w:r>
          </w:p>
        </w:tc>
      </w:tr>
      <w:tr>
        <w:tc>
          <w:tcPr>
            <w:tcW w:type="dxa" w:w="3312"/>
            <w:vAlign w:val="center"/>
          </w:tcPr>
          <w:p>
            <w:pPr>
              <w:spacing w:after="20"/>
            </w:pPr>
            <w:r/>
            <w:r>
              <w:rPr>
                <w:rFonts w:ascii="Aptos" w:hAnsi="Aptos"/>
                <w:b w:val="0"/>
                <w:sz w:val="16"/>
              </w:rPr>
              <w:t>reports</w:t>
            </w:r>
          </w:p>
        </w:tc>
        <w:tc>
          <w:tcPr>
            <w:tcW w:type="dxa" w:w="3312"/>
            <w:vAlign w:val="center"/>
          </w:tcPr>
          <w:p>
            <w:pPr>
              <w:spacing w:after="20"/>
            </w:pPr>
            <w:r/>
            <w:r>
              <w:rPr>
                <w:rFonts w:ascii="Aptos" w:hAnsi="Aptos"/>
                <w:b w:val="0"/>
                <w:sz w:val="16"/>
              </w:rPr>
              <w:t>id; reporter_user_id; subject_user_id; match_id nullable; category; description; created_at; status; case_id</w:t>
            </w:r>
          </w:p>
        </w:tc>
        <w:tc>
          <w:tcPr>
            <w:tcW w:type="dxa" w:w="3312"/>
            <w:vAlign w:val="center"/>
          </w:tcPr>
          <w:p>
            <w:pPr>
              <w:spacing w:after="20"/>
            </w:pPr>
            <w:r/>
            <w:r>
              <w:rPr>
                <w:rFonts w:ascii="Aptos" w:hAnsi="Aptos"/>
                <w:b w:val="0"/>
                <w:sz w:val="16"/>
              </w:rPr>
              <w:t>Restrict access; reporter identity hidden from reported party.</w:t>
            </w:r>
          </w:p>
        </w:tc>
      </w:tr>
      <w:tr>
        <w:tc>
          <w:tcPr>
            <w:tcW w:type="dxa" w:w="3312"/>
            <w:vAlign w:val="center"/>
          </w:tcPr>
          <w:p>
            <w:pPr>
              <w:spacing w:after="20"/>
            </w:pPr>
            <w:r/>
            <w:r>
              <w:rPr>
                <w:rFonts w:ascii="Aptos" w:hAnsi="Aptos"/>
                <w:b w:val="0"/>
                <w:sz w:val="16"/>
              </w:rPr>
              <w:t>safety_cases</w:t>
            </w:r>
          </w:p>
        </w:tc>
        <w:tc>
          <w:tcPr>
            <w:tcW w:type="dxa" w:w="3312"/>
            <w:vAlign w:val="center"/>
          </w:tcPr>
          <w:p>
            <w:pPr>
              <w:spacing w:after="20"/>
            </w:pPr>
            <w:r/>
            <w:r>
              <w:rPr>
                <w:rFonts w:ascii="Aptos" w:hAnsi="Aptos"/>
                <w:b w:val="0"/>
                <w:sz w:val="16"/>
              </w:rPr>
              <w:t>id; severity; status; assigned_to; policy_code; opened_at; closed_at; resolution_code</w:t>
            </w:r>
          </w:p>
        </w:tc>
        <w:tc>
          <w:tcPr>
            <w:tcW w:type="dxa" w:w="3312"/>
            <w:vAlign w:val="center"/>
          </w:tcPr>
          <w:p>
            <w:pPr>
              <w:spacing w:after="20"/>
            </w:pPr>
            <w:r/>
            <w:r>
              <w:rPr>
                <w:rFonts w:ascii="Aptos" w:hAnsi="Aptos"/>
                <w:b w:val="0"/>
                <w:sz w:val="16"/>
              </w:rPr>
              <w:t>Access is staff-only and audited.</w:t>
            </w:r>
          </w:p>
        </w:tc>
      </w:tr>
      <w:tr>
        <w:tc>
          <w:tcPr>
            <w:tcW w:type="dxa" w:w="3312"/>
            <w:vAlign w:val="center"/>
          </w:tcPr>
          <w:p>
            <w:pPr>
              <w:spacing w:after="20"/>
            </w:pPr>
            <w:r/>
            <w:r>
              <w:rPr>
                <w:rFonts w:ascii="Aptos" w:hAnsi="Aptos"/>
                <w:b w:val="0"/>
                <w:sz w:val="16"/>
              </w:rPr>
              <w:t>safety_evidence</w:t>
            </w:r>
          </w:p>
        </w:tc>
        <w:tc>
          <w:tcPr>
            <w:tcW w:type="dxa" w:w="3312"/>
            <w:vAlign w:val="center"/>
          </w:tcPr>
          <w:p>
            <w:pPr>
              <w:spacing w:after="20"/>
            </w:pPr>
            <w:r/>
            <w:r>
              <w:rPr>
                <w:rFonts w:ascii="Aptos" w:hAnsi="Aptos"/>
                <w:b w:val="0"/>
                <w:sz w:val="16"/>
              </w:rPr>
              <w:t>id; case_id; evidence_type; object_key/reference; captured_at; retention_until</w:t>
            </w:r>
          </w:p>
        </w:tc>
        <w:tc>
          <w:tcPr>
            <w:tcW w:type="dxa" w:w="3312"/>
            <w:vAlign w:val="center"/>
          </w:tcPr>
          <w:p>
            <w:pPr>
              <w:spacing w:after="20"/>
            </w:pPr>
            <w:r/>
            <w:r>
              <w:rPr>
                <w:rFonts w:ascii="Aptos" w:hAnsi="Aptos"/>
                <w:b w:val="0"/>
                <w:sz w:val="16"/>
              </w:rPr>
              <w:t>Store only necessary evidence; enforce case-based permissions and deletion/legal hold.</w:t>
            </w:r>
          </w:p>
        </w:tc>
      </w:tr>
      <w:tr>
        <w:tc>
          <w:tcPr>
            <w:tcW w:type="dxa" w:w="3312"/>
            <w:vAlign w:val="center"/>
          </w:tcPr>
          <w:p>
            <w:pPr>
              <w:spacing w:after="20"/>
            </w:pPr>
            <w:r/>
            <w:r>
              <w:rPr>
                <w:rFonts w:ascii="Aptos" w:hAnsi="Aptos"/>
                <w:b w:val="0"/>
                <w:sz w:val="16"/>
              </w:rPr>
              <w:t>audit_events</w:t>
            </w:r>
          </w:p>
        </w:tc>
        <w:tc>
          <w:tcPr>
            <w:tcW w:type="dxa" w:w="3312"/>
            <w:vAlign w:val="center"/>
          </w:tcPr>
          <w:p>
            <w:pPr>
              <w:spacing w:after="20"/>
            </w:pPr>
            <w:r/>
            <w:r>
              <w:rPr>
                <w:rFonts w:ascii="Aptos" w:hAnsi="Aptos"/>
                <w:b w:val="0"/>
                <w:sz w:val="16"/>
              </w:rPr>
              <w:t>id; actor_type; actor_id; action; target_type; target_id; reason; created_at; request_id</w:t>
            </w:r>
          </w:p>
        </w:tc>
        <w:tc>
          <w:tcPr>
            <w:tcW w:type="dxa" w:w="3312"/>
            <w:vAlign w:val="center"/>
          </w:tcPr>
          <w:p>
            <w:pPr>
              <w:spacing w:after="20"/>
            </w:pPr>
            <w:r/>
            <w:r>
              <w:rPr>
                <w:rFonts w:ascii="Aptos" w:hAnsi="Aptos"/>
                <w:b w:val="0"/>
                <w:sz w:val="16"/>
              </w:rPr>
              <w:t>Append-only or tamper-evident; redact secrets and message bodies.</w:t>
            </w:r>
          </w:p>
        </w:tc>
      </w:tr>
      <w:tr>
        <w:tc>
          <w:tcPr>
            <w:tcW w:type="dxa" w:w="3312"/>
            <w:vAlign w:val="center"/>
          </w:tcPr>
          <w:p>
            <w:pPr>
              <w:spacing w:after="20"/>
            </w:pPr>
            <w:r/>
            <w:r>
              <w:rPr>
                <w:rFonts w:ascii="Aptos" w:hAnsi="Aptos"/>
                <w:b w:val="0"/>
                <w:sz w:val="16"/>
              </w:rPr>
              <w:t>recommendation_impressions</w:t>
            </w:r>
          </w:p>
        </w:tc>
        <w:tc>
          <w:tcPr>
            <w:tcW w:type="dxa" w:w="3312"/>
            <w:vAlign w:val="center"/>
          </w:tcPr>
          <w:p>
            <w:pPr>
              <w:spacing w:after="20"/>
            </w:pPr>
            <w:r/>
            <w:r>
              <w:rPr>
                <w:rFonts w:ascii="Aptos" w:hAnsi="Aptos"/>
                <w:b w:val="0"/>
                <w:sz w:val="16"/>
              </w:rPr>
              <w:t>id; viewer_user_id; candidate_user_id; position; ranker_version; reason_codes; created_at; experiment_id</w:t>
            </w:r>
          </w:p>
        </w:tc>
        <w:tc>
          <w:tcPr>
            <w:tcW w:type="dxa" w:w="3312"/>
            <w:vAlign w:val="center"/>
          </w:tcPr>
          <w:p>
            <w:pPr>
              <w:spacing w:after="20"/>
            </w:pPr>
            <w:r/>
            <w:r>
              <w:rPr>
                <w:rFonts w:ascii="Aptos" w:hAnsi="Aptos"/>
                <w:b w:val="0"/>
                <w:sz w:val="16"/>
              </w:rPr>
              <w:t>Do not store sensitive explanations unnecessarily; apply retention.</w:t>
            </w:r>
          </w:p>
        </w:tc>
      </w:tr>
      <w:tr>
        <w:tc>
          <w:tcPr>
            <w:tcW w:type="dxa" w:w="3312"/>
            <w:vAlign w:val="center"/>
          </w:tcPr>
          <w:p>
            <w:pPr>
              <w:spacing w:after="20"/>
            </w:pPr>
            <w:r/>
            <w:r>
              <w:rPr>
                <w:rFonts w:ascii="Aptos" w:hAnsi="Aptos"/>
                <w:b w:val="0"/>
                <w:sz w:val="16"/>
              </w:rPr>
              <w:t>interaction_events</w:t>
            </w:r>
          </w:p>
        </w:tc>
        <w:tc>
          <w:tcPr>
            <w:tcW w:type="dxa" w:w="3312"/>
            <w:vAlign w:val="center"/>
          </w:tcPr>
          <w:p>
            <w:pPr>
              <w:spacing w:after="20"/>
            </w:pPr>
            <w:r/>
            <w:r>
              <w:rPr>
                <w:rFonts w:ascii="Aptos" w:hAnsi="Aptos"/>
                <w:b w:val="0"/>
                <w:sz w:val="16"/>
              </w:rPr>
              <w:t>id; actor_user_id; target_user_id nullable; event_type; event_time; source; schema_version; metadata_minimal</w:t>
            </w:r>
          </w:p>
        </w:tc>
        <w:tc>
          <w:tcPr>
            <w:tcW w:type="dxa" w:w="3312"/>
            <w:vAlign w:val="center"/>
          </w:tcPr>
          <w:p>
            <w:pPr>
              <w:spacing w:after="20"/>
            </w:pPr>
            <w:r/>
            <w:r>
              <w:rPr>
                <w:rFonts w:ascii="Aptos" w:hAnsi="Aptos"/>
                <w:b w:val="0"/>
                <w:sz w:val="16"/>
              </w:rPr>
              <w:t>Pseudonymous where feasible; validate metadata schema and retention.</w:t>
            </w:r>
          </w:p>
        </w:tc>
      </w:tr>
      <w:tr>
        <w:tc>
          <w:tcPr>
            <w:tcW w:type="dxa" w:w="3312"/>
            <w:vAlign w:val="center"/>
          </w:tcPr>
          <w:p>
            <w:pPr>
              <w:spacing w:after="20"/>
            </w:pPr>
            <w:r/>
            <w:r>
              <w:rPr>
                <w:rFonts w:ascii="Aptos" w:hAnsi="Aptos"/>
                <w:b w:val="0"/>
                <w:sz w:val="16"/>
              </w:rPr>
              <w:t>consent_records</w:t>
            </w:r>
          </w:p>
        </w:tc>
        <w:tc>
          <w:tcPr>
            <w:tcW w:type="dxa" w:w="3312"/>
            <w:vAlign w:val="center"/>
          </w:tcPr>
          <w:p>
            <w:pPr>
              <w:spacing w:after="20"/>
            </w:pPr>
            <w:r/>
            <w:r>
              <w:rPr>
                <w:rFonts w:ascii="Aptos" w:hAnsi="Aptos"/>
                <w:b w:val="0"/>
                <w:sz w:val="16"/>
              </w:rPr>
              <w:t>id; user_id; purpose; policy_version; choice; captured_at; withdrawn_at</w:t>
            </w:r>
          </w:p>
        </w:tc>
        <w:tc>
          <w:tcPr>
            <w:tcW w:type="dxa" w:w="3312"/>
            <w:vAlign w:val="center"/>
          </w:tcPr>
          <w:p>
            <w:pPr>
              <w:spacing w:after="20"/>
            </w:pPr>
            <w:r/>
            <w:r>
              <w:rPr>
                <w:rFonts w:ascii="Aptos" w:hAnsi="Aptos"/>
                <w:b w:val="0"/>
                <w:sz w:val="16"/>
              </w:rPr>
              <w:t>Consent must be purpose-specific where required; don't use a single blanket flag.</w:t>
            </w:r>
          </w:p>
        </w:tc>
      </w:tr>
      <w:tr>
        <w:tc>
          <w:tcPr>
            <w:tcW w:type="dxa" w:w="3312"/>
            <w:vAlign w:val="center"/>
          </w:tcPr>
          <w:p>
            <w:pPr>
              <w:spacing w:after="20"/>
            </w:pPr>
            <w:r/>
            <w:r>
              <w:rPr>
                <w:rFonts w:ascii="Aptos" w:hAnsi="Aptos"/>
                <w:b w:val="0"/>
                <w:sz w:val="16"/>
              </w:rPr>
              <w:t>subscriptions</w:t>
            </w:r>
          </w:p>
        </w:tc>
        <w:tc>
          <w:tcPr>
            <w:tcW w:type="dxa" w:w="3312"/>
            <w:vAlign w:val="center"/>
          </w:tcPr>
          <w:p>
            <w:pPr>
              <w:spacing w:after="20"/>
            </w:pPr>
            <w:r/>
            <w:r>
              <w:rPr>
                <w:rFonts w:ascii="Aptos" w:hAnsi="Aptos"/>
                <w:b w:val="0"/>
                <w:sz w:val="16"/>
              </w:rPr>
              <w:t>id; user_id; store; store_product_id; status; period_start; period_end; original_transaction_ref</w:t>
            </w:r>
          </w:p>
        </w:tc>
        <w:tc>
          <w:tcPr>
            <w:tcW w:type="dxa" w:w="3312"/>
            <w:vAlign w:val="center"/>
          </w:tcPr>
          <w:p>
            <w:pPr>
              <w:spacing w:after="20"/>
            </w:pPr>
            <w:r/>
            <w:r>
              <w:rPr>
                <w:rFonts w:ascii="Aptos" w:hAnsi="Aptos"/>
                <w:b w:val="0"/>
                <w:sz w:val="16"/>
              </w:rPr>
              <w:t>Verify server-side store receipts; don't store payment-card details.</w:t>
            </w:r>
          </w:p>
        </w:tc>
      </w:tr>
      <w:tr>
        <w:tc>
          <w:tcPr>
            <w:tcW w:type="dxa" w:w="3312"/>
            <w:vAlign w:val="center"/>
          </w:tcPr>
          <w:p>
            <w:pPr>
              <w:spacing w:after="20"/>
            </w:pPr>
            <w:r/>
            <w:r>
              <w:rPr>
                <w:rFonts w:ascii="Aptos" w:hAnsi="Aptos"/>
                <w:b w:val="0"/>
                <w:sz w:val="16"/>
              </w:rPr>
              <w:t>entitlements</w:t>
            </w:r>
          </w:p>
        </w:tc>
        <w:tc>
          <w:tcPr>
            <w:tcW w:type="dxa" w:w="3312"/>
            <w:vAlign w:val="center"/>
          </w:tcPr>
          <w:p>
            <w:pPr>
              <w:spacing w:after="20"/>
            </w:pPr>
            <w:r/>
            <w:r>
              <w:rPr>
                <w:rFonts w:ascii="Aptos" w:hAnsi="Aptos"/>
                <w:b w:val="0"/>
                <w:sz w:val="16"/>
              </w:rPr>
              <w:t>user_id; entitlement_key; source; starts_at; expires_at; status</w:t>
            </w:r>
          </w:p>
        </w:tc>
        <w:tc>
          <w:tcPr>
            <w:tcW w:type="dxa" w:w="3312"/>
            <w:vAlign w:val="center"/>
          </w:tcPr>
          <w:p>
            <w:pPr>
              <w:spacing w:after="20"/>
            </w:pPr>
            <w:r/>
            <w:r>
              <w:rPr>
                <w:rFonts w:ascii="Aptos" w:hAnsi="Aptos"/>
                <w:b w:val="0"/>
                <w:sz w:val="16"/>
              </w:rPr>
              <w:t>Server-authoritative, idempotently updated.</w:t>
            </w:r>
          </w:p>
        </w:tc>
      </w:tr>
      <w:tr>
        <w:tc>
          <w:tcPr>
            <w:tcW w:type="dxa" w:w="3312"/>
            <w:vAlign w:val="center"/>
          </w:tcPr>
          <w:p>
            <w:pPr>
              <w:spacing w:after="20"/>
            </w:pPr>
            <w:r/>
            <w:r>
              <w:rPr>
                <w:rFonts w:ascii="Aptos" w:hAnsi="Aptos"/>
                <w:b w:val="0"/>
                <w:sz w:val="16"/>
              </w:rPr>
              <w:t>deletion_jobs</w:t>
            </w:r>
          </w:p>
        </w:tc>
        <w:tc>
          <w:tcPr>
            <w:tcW w:type="dxa" w:w="3312"/>
            <w:vAlign w:val="center"/>
          </w:tcPr>
          <w:p>
            <w:pPr>
              <w:spacing w:after="20"/>
            </w:pPr>
            <w:r/>
            <w:r>
              <w:rPr>
                <w:rFonts w:ascii="Aptos" w:hAnsi="Aptos"/>
                <w:b w:val="0"/>
                <w:sz w:val="16"/>
              </w:rPr>
              <w:t>id; user_id; requested_at; status; completed_at; exceptions_reason</w:t>
            </w:r>
          </w:p>
        </w:tc>
        <w:tc>
          <w:tcPr>
            <w:tcW w:type="dxa" w:w="3312"/>
            <w:vAlign w:val="center"/>
          </w:tcPr>
          <w:p>
            <w:pPr>
              <w:spacing w:after="20"/>
            </w:pPr>
            <w:r/>
            <w:r>
              <w:rPr>
                <w:rFonts w:ascii="Aptos" w:hAnsi="Aptos"/>
                <w:b w:val="0"/>
                <w:sz w:val="16"/>
              </w:rPr>
              <w:t>Track downstream deletion across media, analytics, backups and vendors.</w:t>
            </w:r>
          </w:p>
        </w:tc>
      </w:tr>
    </w:tbl>
    <w:p>
      <w:pPr>
        <w:spacing w:after="20"/>
      </w:pPr>
    </w:p>
    <w:p>
      <w:pPr>
        <w:pStyle w:val="Heading2"/>
      </w:pPr>
      <w:r>
        <w:t>7.2 Indexes and constraints</w:t>
      </w:r>
    </w:p>
    <w:p>
      <w:pPr>
        <w:pStyle w:val="ListBullet"/>
        <w:spacing w:after="40"/>
      </w:pPr>
      <w:r>
        <w:t>Profiles: index active/discoverable status and commonly queried preference fields; use partial indexes for active users.</w:t>
      </w:r>
    </w:p>
    <w:p>
      <w:pPr>
        <w:pStyle w:val="ListBullet"/>
        <w:spacing w:after="40"/>
      </w:pPr>
      <w:r>
        <w:t>Geography: store a suitably coarse location point or geospatial representation with restricted access; index using PostGIS GiST. Avoid exact coordinates in public API responses.</w:t>
      </w:r>
    </w:p>
    <w:p>
      <w:pPr>
        <w:pStyle w:val="ListBullet"/>
        <w:spacing w:after="40"/>
      </w:pPr>
      <w:r>
        <w:t>Likes: indexes on (recipient_user_id, state, created_at) and (sender_user_id, recipient_user_id); enforce idempotency.</w:t>
      </w:r>
    </w:p>
    <w:p>
      <w:pPr>
        <w:pStyle w:val="ListBullet"/>
        <w:spacing w:after="40"/>
      </w:pPr>
      <w:r>
        <w:t>Matches: unique canonical pair and active-state constraints; create match in a transaction to prevent duplicates under concurrent likes.</w:t>
      </w:r>
    </w:p>
    <w:p>
      <w:pPr>
        <w:pStyle w:val="ListBullet"/>
        <w:spacing w:after="40"/>
      </w:pPr>
      <w:r>
        <w:t>Messages: index (conversation_id, created_at, id) for stable pagination.</w:t>
      </w:r>
    </w:p>
    <w:p>
      <w:pPr>
        <w:pStyle w:val="ListBullet"/>
        <w:spacing w:after="40"/>
      </w:pPr>
      <w:r>
        <w:t>Reports/cases: index status, severity, created_at and assignment; enforce staff-only access at service and database layers where feasible.</w:t>
      </w:r>
    </w:p>
    <w:p>
      <w:pPr>
        <w:pStyle w:val="ListBullet"/>
        <w:spacing w:after="40"/>
      </w:pPr>
      <w:r>
        <w:t>Events: partition by time only when volume warrants it; establish TTL/retention and avoid collecting raw data without a use case.</w:t>
      </w:r>
    </w:p>
    <w:p>
      <w:pPr>
        <w:pStyle w:val="ListBullet"/>
        <w:spacing w:after="40"/>
      </w:pPr>
      <w:r>
        <w:t>All foreign keys should have intentional delete behavior; avoid cascading away safety evidence that must be retained lawfully.</w:t>
      </w:r>
    </w:p>
    <w:p>
      <w:pPr>
        <w:pStyle w:val="Heading2"/>
      </w:pPr>
      <w:r>
        <w:t>7.3 Data model notes</w:t>
      </w:r>
    </w:p>
    <w:p>
      <w:r>
        <w:t>Keep identity data, public profile data, private preferences, message content, safety evidence and analytics logically separated. A user’s gender, orientation, religious beliefs, health, ethnicity or sex-life information may be special-category data or reveal such data; do not infer these traits. Document a lawful basis and any Article 9 condition where applicable before processing.</w:t>
      </w:r>
    </w:p>
    <w:p>
      <w:pPr>
        <w:pStyle w:val="Heading1"/>
      </w:pPr>
      <w:r>
        <w:t>8. API design and contracts</w:t>
      </w:r>
    </w:p>
    <w:p>
      <w:r>
        <w:t>Use versioned JSON REST APIs initially. WebSockets or a managed real-time service may deliver new messages, but durable message writes must go through an authenticated, authorised backend. All APIs require schema validation, rate limits, request IDs and consistent error formats.</w:t>
      </w:r>
    </w:p>
    <w:p>
      <w:pPr>
        <w:pStyle w:val="Heading2"/>
      </w:pPr>
      <w:r>
        <w:t>8.1 API boundaries and example endpoints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Domain</w:t>
            </w:r>
          </w:p>
        </w:tc>
        <w:tc>
          <w:tcPr>
            <w:tcW w:type="dxa" w:w="3312"/>
            <w:vAlign w:val="center"/>
            <w:shd w:fill="176B68"/>
          </w:tcPr>
          <w:p>
            <w:pPr>
              <w:spacing w:after="20"/>
            </w:pPr>
            <w:r/>
            <w:r>
              <w:rPr>
                <w:rFonts w:ascii="Aptos" w:hAnsi="Aptos"/>
                <w:b/>
                <w:color w:val="FFFFFF"/>
                <w:sz w:val="17"/>
              </w:rPr>
              <w:t>Endpoint examples</w:t>
            </w:r>
          </w:p>
        </w:tc>
        <w:tc>
          <w:tcPr>
            <w:tcW w:type="dxa" w:w="3312"/>
            <w:vAlign w:val="center"/>
            <w:shd w:fill="176B68"/>
          </w:tcPr>
          <w:p>
            <w:pPr>
              <w:spacing w:after="20"/>
            </w:pPr>
            <w:r/>
            <w:r>
              <w:rPr>
                <w:rFonts w:ascii="Aptos" w:hAnsi="Aptos"/>
                <w:b/>
                <w:color w:val="FFFFFF"/>
                <w:sz w:val="17"/>
              </w:rPr>
              <w:t>Rules</w:t>
            </w:r>
          </w:p>
        </w:tc>
      </w:tr>
      <w:tr>
        <w:tc>
          <w:tcPr>
            <w:tcW w:type="dxa" w:w="3312"/>
            <w:vAlign w:val="center"/>
          </w:tcPr>
          <w:p>
            <w:pPr>
              <w:spacing w:after="20"/>
            </w:pPr>
            <w:r/>
            <w:r>
              <w:rPr>
                <w:rFonts w:ascii="Aptos" w:hAnsi="Aptos"/>
                <w:b w:val="0"/>
                <w:sz w:val="16"/>
              </w:rPr>
              <w:t>Auth</w:t>
            </w:r>
          </w:p>
        </w:tc>
        <w:tc>
          <w:tcPr>
            <w:tcW w:type="dxa" w:w="3312"/>
            <w:vAlign w:val="center"/>
          </w:tcPr>
          <w:p>
            <w:pPr>
              <w:spacing w:after="20"/>
            </w:pPr>
            <w:r/>
            <w:r>
              <w:rPr>
                <w:rFonts w:ascii="Aptos" w:hAnsi="Aptos"/>
                <w:b w:val="0"/>
                <w:sz w:val="16"/>
              </w:rPr>
              <w:t>POST /v1/auth/signup; POST /v1/auth/login; POST /v1/auth/logout; POST /v1/auth/recovery</w:t>
            </w:r>
          </w:p>
        </w:tc>
        <w:tc>
          <w:tcPr>
            <w:tcW w:type="dxa" w:w="3312"/>
            <w:vAlign w:val="center"/>
          </w:tcPr>
          <w:p>
            <w:pPr>
              <w:spacing w:after="20"/>
            </w:pPr>
            <w:r/>
            <w:r>
              <w:rPr>
                <w:rFonts w:ascii="Aptos" w:hAnsi="Aptos"/>
                <w:b w:val="0"/>
                <w:sz w:val="16"/>
              </w:rPr>
              <w:t>Brute-force protection, verification, session rotation and generic recovery responses.</w:t>
            </w:r>
          </w:p>
        </w:tc>
      </w:tr>
      <w:tr>
        <w:tc>
          <w:tcPr>
            <w:tcW w:type="dxa" w:w="3312"/>
            <w:vAlign w:val="center"/>
          </w:tcPr>
          <w:p>
            <w:pPr>
              <w:spacing w:after="20"/>
            </w:pPr>
            <w:r/>
            <w:r>
              <w:rPr>
                <w:rFonts w:ascii="Aptos" w:hAnsi="Aptos"/>
                <w:b w:val="0"/>
                <w:sz w:val="16"/>
              </w:rPr>
              <w:t>Me/profile</w:t>
            </w:r>
          </w:p>
        </w:tc>
        <w:tc>
          <w:tcPr>
            <w:tcW w:type="dxa" w:w="3312"/>
            <w:vAlign w:val="center"/>
          </w:tcPr>
          <w:p>
            <w:pPr>
              <w:spacing w:after="20"/>
            </w:pPr>
            <w:r/>
            <w:r>
              <w:rPr>
                <w:rFonts w:ascii="Aptos" w:hAnsi="Aptos"/>
                <w:b w:val="0"/>
                <w:sz w:val="16"/>
              </w:rPr>
              <w:t>GET /v1/me; PATCH /v1/me/profile; POST /v1/me/photos/upload-url; DELETE /v1/me/photos/{id}</w:t>
            </w:r>
          </w:p>
        </w:tc>
        <w:tc>
          <w:tcPr>
            <w:tcW w:type="dxa" w:w="3312"/>
            <w:vAlign w:val="center"/>
          </w:tcPr>
          <w:p>
            <w:pPr>
              <w:spacing w:after="20"/>
            </w:pPr>
            <w:r/>
            <w:r>
              <w:rPr>
                <w:rFonts w:ascii="Aptos" w:hAnsi="Aptos"/>
                <w:b w:val="0"/>
                <w:sz w:val="16"/>
              </w:rPr>
              <w:t>Owner-only; validate media and moderation status; use signed upload URLs.</w:t>
            </w:r>
          </w:p>
        </w:tc>
      </w:tr>
      <w:tr>
        <w:tc>
          <w:tcPr>
            <w:tcW w:type="dxa" w:w="3312"/>
            <w:vAlign w:val="center"/>
          </w:tcPr>
          <w:p>
            <w:pPr>
              <w:spacing w:after="20"/>
            </w:pPr>
            <w:r/>
            <w:r>
              <w:rPr>
                <w:rFonts w:ascii="Aptos" w:hAnsi="Aptos"/>
                <w:b w:val="0"/>
                <w:sz w:val="16"/>
              </w:rPr>
              <w:t>Preferences</w:t>
            </w:r>
          </w:p>
        </w:tc>
        <w:tc>
          <w:tcPr>
            <w:tcW w:type="dxa" w:w="3312"/>
            <w:vAlign w:val="center"/>
          </w:tcPr>
          <w:p>
            <w:pPr>
              <w:spacing w:after="20"/>
            </w:pPr>
            <w:r/>
            <w:r>
              <w:rPr>
                <w:rFonts w:ascii="Aptos" w:hAnsi="Aptos"/>
                <w:b w:val="0"/>
                <w:sz w:val="16"/>
              </w:rPr>
              <w:t>GET /v1/me/preferences; PUT /v1/me/preferences</w:t>
            </w:r>
          </w:p>
        </w:tc>
        <w:tc>
          <w:tcPr>
            <w:tcW w:type="dxa" w:w="3312"/>
            <w:vAlign w:val="center"/>
          </w:tcPr>
          <w:p>
            <w:pPr>
              <w:spacing w:after="20"/>
            </w:pPr>
            <w:r/>
            <w:r>
              <w:rPr>
                <w:rFonts w:ascii="Aptos" w:hAnsi="Aptos"/>
                <w:b w:val="0"/>
                <w:sz w:val="16"/>
              </w:rPr>
              <w:t>Validate age/radius/intent; track material preference changes.</w:t>
            </w:r>
          </w:p>
        </w:tc>
      </w:tr>
      <w:tr>
        <w:tc>
          <w:tcPr>
            <w:tcW w:type="dxa" w:w="3312"/>
            <w:vAlign w:val="center"/>
          </w:tcPr>
          <w:p>
            <w:pPr>
              <w:spacing w:after="20"/>
            </w:pPr>
            <w:r/>
            <w:r>
              <w:rPr>
                <w:rFonts w:ascii="Aptos" w:hAnsi="Aptos"/>
                <w:b w:val="0"/>
                <w:sz w:val="16"/>
              </w:rPr>
              <w:t>Discovery</w:t>
            </w:r>
          </w:p>
        </w:tc>
        <w:tc>
          <w:tcPr>
            <w:tcW w:type="dxa" w:w="3312"/>
            <w:vAlign w:val="center"/>
          </w:tcPr>
          <w:p>
            <w:pPr>
              <w:spacing w:after="20"/>
            </w:pPr>
            <w:r/>
            <w:r>
              <w:rPr>
                <w:rFonts w:ascii="Aptos" w:hAnsi="Aptos"/>
                <w:b w:val="0"/>
                <w:sz w:val="16"/>
              </w:rPr>
              <w:t>GET /v1/discovery/recommendations?cursor=...; POST /v1/discovery/feedback</w:t>
            </w:r>
          </w:p>
        </w:tc>
        <w:tc>
          <w:tcPr>
            <w:tcW w:type="dxa" w:w="3312"/>
            <w:vAlign w:val="center"/>
          </w:tcPr>
          <w:p>
            <w:pPr>
              <w:spacing w:after="20"/>
            </w:pPr>
            <w:r/>
            <w:r>
              <w:rPr>
                <w:rFonts w:ascii="Aptos" w:hAnsi="Aptos"/>
                <w:b w:val="0"/>
                <w:sz w:val="16"/>
              </w:rPr>
              <w:t>Server applies constraints and exclusions; return explanation reason codes, not raw model scores.</w:t>
            </w:r>
          </w:p>
        </w:tc>
      </w:tr>
      <w:tr>
        <w:tc>
          <w:tcPr>
            <w:tcW w:type="dxa" w:w="3312"/>
            <w:vAlign w:val="center"/>
          </w:tcPr>
          <w:p>
            <w:pPr>
              <w:spacing w:after="20"/>
            </w:pPr>
            <w:r/>
            <w:r>
              <w:rPr>
                <w:rFonts w:ascii="Aptos" w:hAnsi="Aptos"/>
                <w:b w:val="0"/>
                <w:sz w:val="16"/>
              </w:rPr>
              <w:t>Likes</w:t>
            </w:r>
          </w:p>
        </w:tc>
        <w:tc>
          <w:tcPr>
            <w:tcW w:type="dxa" w:w="3312"/>
            <w:vAlign w:val="center"/>
          </w:tcPr>
          <w:p>
            <w:pPr>
              <w:spacing w:after="20"/>
            </w:pPr>
            <w:r/>
            <w:r>
              <w:rPr>
                <w:rFonts w:ascii="Aptos" w:hAnsi="Aptos"/>
                <w:b w:val="0"/>
                <w:sz w:val="16"/>
              </w:rPr>
              <w:t>POST /v1/likes; GET /v1/me/likes/incoming; DELETE /v1/likes/{id}</w:t>
            </w:r>
          </w:p>
        </w:tc>
        <w:tc>
          <w:tcPr>
            <w:tcW w:type="dxa" w:w="3312"/>
            <w:vAlign w:val="center"/>
          </w:tcPr>
          <w:p>
            <w:pPr>
              <w:spacing w:after="20"/>
            </w:pPr>
            <w:r/>
            <w:r>
              <w:rPr>
                <w:rFonts w:ascii="Aptos" w:hAnsi="Aptos"/>
                <w:b w:val="0"/>
                <w:sz w:val="16"/>
              </w:rPr>
              <w:t>Idempotency-Key; spam limits; free users can view incoming likes.</w:t>
            </w:r>
          </w:p>
        </w:tc>
      </w:tr>
      <w:tr>
        <w:tc>
          <w:tcPr>
            <w:tcW w:type="dxa" w:w="3312"/>
            <w:vAlign w:val="center"/>
          </w:tcPr>
          <w:p>
            <w:pPr>
              <w:spacing w:after="20"/>
            </w:pPr>
            <w:r/>
            <w:r>
              <w:rPr>
                <w:rFonts w:ascii="Aptos" w:hAnsi="Aptos"/>
                <w:b w:val="0"/>
                <w:sz w:val="16"/>
              </w:rPr>
              <w:t>Matches</w:t>
            </w:r>
          </w:p>
        </w:tc>
        <w:tc>
          <w:tcPr>
            <w:tcW w:type="dxa" w:w="3312"/>
            <w:vAlign w:val="center"/>
          </w:tcPr>
          <w:p>
            <w:pPr>
              <w:spacing w:after="20"/>
            </w:pPr>
            <w:r/>
            <w:r>
              <w:rPr>
                <w:rFonts w:ascii="Aptos" w:hAnsi="Aptos"/>
                <w:b w:val="0"/>
                <w:sz w:val="16"/>
              </w:rPr>
              <w:t>GET /v1/matches; GET /v1/matches/{id}; POST /v1/matches/{id}/unmatch</w:t>
            </w:r>
          </w:p>
        </w:tc>
        <w:tc>
          <w:tcPr>
            <w:tcW w:type="dxa" w:w="3312"/>
            <w:vAlign w:val="center"/>
          </w:tcPr>
          <w:p>
            <w:pPr>
              <w:spacing w:after="20"/>
            </w:pPr>
            <w:r/>
            <w:r>
              <w:rPr>
                <w:rFonts w:ascii="Aptos" w:hAnsi="Aptos"/>
                <w:b w:val="0"/>
                <w:sz w:val="16"/>
              </w:rPr>
              <w:t>Verify membership; no duplicate active pair.</w:t>
            </w:r>
          </w:p>
        </w:tc>
      </w:tr>
      <w:tr>
        <w:tc>
          <w:tcPr>
            <w:tcW w:type="dxa" w:w="3312"/>
            <w:vAlign w:val="center"/>
          </w:tcPr>
          <w:p>
            <w:pPr>
              <w:spacing w:after="20"/>
            </w:pPr>
            <w:r/>
            <w:r>
              <w:rPr>
                <w:rFonts w:ascii="Aptos" w:hAnsi="Aptos"/>
                <w:b w:val="0"/>
                <w:sz w:val="16"/>
              </w:rPr>
              <w:t>Messages</w:t>
            </w:r>
          </w:p>
        </w:tc>
        <w:tc>
          <w:tcPr>
            <w:tcW w:type="dxa" w:w="3312"/>
            <w:vAlign w:val="center"/>
          </w:tcPr>
          <w:p>
            <w:pPr>
              <w:spacing w:after="20"/>
            </w:pPr>
            <w:r/>
            <w:r>
              <w:rPr>
                <w:rFonts w:ascii="Aptos" w:hAnsi="Aptos"/>
                <w:b w:val="0"/>
                <w:sz w:val="16"/>
              </w:rPr>
              <w:t>GET /v1/matches/{id}/messages?cursor=...; POST /v1/matches/{id}/messages</w:t>
            </w:r>
          </w:p>
        </w:tc>
        <w:tc>
          <w:tcPr>
            <w:tcW w:type="dxa" w:w="3312"/>
            <w:vAlign w:val="center"/>
          </w:tcPr>
          <w:p>
            <w:pPr>
              <w:spacing w:after="20"/>
            </w:pPr>
            <w:r/>
            <w:r>
              <w:rPr>
                <w:rFonts w:ascii="Aptos" w:hAnsi="Aptos"/>
                <w:b w:val="0"/>
                <w:sz w:val="16"/>
              </w:rPr>
              <w:t>Match and block checks; size/rate limits; content safety handling.</w:t>
            </w:r>
          </w:p>
        </w:tc>
      </w:tr>
      <w:tr>
        <w:tc>
          <w:tcPr>
            <w:tcW w:type="dxa" w:w="3312"/>
            <w:vAlign w:val="center"/>
          </w:tcPr>
          <w:p>
            <w:pPr>
              <w:spacing w:after="20"/>
            </w:pPr>
            <w:r/>
            <w:r>
              <w:rPr>
                <w:rFonts w:ascii="Aptos" w:hAnsi="Aptos"/>
                <w:b w:val="0"/>
                <w:sz w:val="16"/>
              </w:rPr>
              <w:t>Safety</w:t>
            </w:r>
          </w:p>
        </w:tc>
        <w:tc>
          <w:tcPr>
            <w:tcW w:type="dxa" w:w="3312"/>
            <w:vAlign w:val="center"/>
          </w:tcPr>
          <w:p>
            <w:pPr>
              <w:spacing w:after="20"/>
            </w:pPr>
            <w:r/>
            <w:r>
              <w:rPr>
                <w:rFonts w:ascii="Aptos" w:hAnsi="Aptos"/>
                <w:b w:val="0"/>
                <w:sz w:val="16"/>
              </w:rPr>
              <w:t>POST /v1/reports; POST /v1/blocks; DELETE /v1/blocks/{userId}; GET /v1/me/safety-reports/{id}</w:t>
            </w:r>
          </w:p>
        </w:tc>
        <w:tc>
          <w:tcPr>
            <w:tcW w:type="dxa" w:w="3312"/>
            <w:vAlign w:val="center"/>
          </w:tcPr>
          <w:p>
            <w:pPr>
              <w:spacing w:after="20"/>
            </w:pPr>
            <w:r/>
            <w:r>
              <w:rPr>
                <w:rFonts w:ascii="Aptos" w:hAnsi="Aptos"/>
                <w:b w:val="0"/>
                <w:sz w:val="16"/>
              </w:rPr>
              <w:t>Do not reveal report author; immediate block; staff case management separated.</w:t>
            </w:r>
          </w:p>
        </w:tc>
      </w:tr>
      <w:tr>
        <w:tc>
          <w:tcPr>
            <w:tcW w:type="dxa" w:w="3312"/>
            <w:vAlign w:val="center"/>
          </w:tcPr>
          <w:p>
            <w:pPr>
              <w:spacing w:after="20"/>
            </w:pPr>
            <w:r/>
            <w:r>
              <w:rPr>
                <w:rFonts w:ascii="Aptos" w:hAnsi="Aptos"/>
                <w:b w:val="0"/>
                <w:sz w:val="16"/>
              </w:rPr>
              <w:t>Privacy</w:t>
            </w:r>
          </w:p>
        </w:tc>
        <w:tc>
          <w:tcPr>
            <w:tcW w:type="dxa" w:w="3312"/>
            <w:vAlign w:val="center"/>
          </w:tcPr>
          <w:p>
            <w:pPr>
              <w:spacing w:after="20"/>
            </w:pPr>
            <w:r/>
            <w:r>
              <w:rPr>
                <w:rFonts w:ascii="Aptos" w:hAnsi="Aptos"/>
                <w:b w:val="0"/>
                <w:sz w:val="16"/>
              </w:rPr>
              <w:t>GET /v1/me/data-export; POST /v1/me/deletion-request; GET /v1/me/privacy-settings</w:t>
            </w:r>
          </w:p>
        </w:tc>
        <w:tc>
          <w:tcPr>
            <w:tcW w:type="dxa" w:w="3312"/>
            <w:vAlign w:val="center"/>
          </w:tcPr>
          <w:p>
            <w:pPr>
              <w:spacing w:after="20"/>
            </w:pPr>
            <w:r/>
            <w:r>
              <w:rPr>
                <w:rFonts w:ascii="Aptos" w:hAnsi="Aptos"/>
                <w:b w:val="0"/>
                <w:sz w:val="16"/>
              </w:rPr>
              <w:t>Authenticated, audited; export/deletion workflow and status.</w:t>
            </w:r>
          </w:p>
        </w:tc>
      </w:tr>
      <w:tr>
        <w:tc>
          <w:tcPr>
            <w:tcW w:type="dxa" w:w="3312"/>
            <w:vAlign w:val="center"/>
          </w:tcPr>
          <w:p>
            <w:pPr>
              <w:spacing w:after="20"/>
            </w:pPr>
            <w:r/>
            <w:r>
              <w:rPr>
                <w:rFonts w:ascii="Aptos" w:hAnsi="Aptos"/>
                <w:b w:val="0"/>
                <w:sz w:val="16"/>
              </w:rPr>
              <w:t>Billing</w:t>
            </w:r>
          </w:p>
        </w:tc>
        <w:tc>
          <w:tcPr>
            <w:tcW w:type="dxa" w:w="3312"/>
            <w:vAlign w:val="center"/>
          </w:tcPr>
          <w:p>
            <w:pPr>
              <w:spacing w:after="20"/>
            </w:pPr>
            <w:r/>
            <w:r>
              <w:rPr>
                <w:rFonts w:ascii="Aptos" w:hAnsi="Aptos"/>
                <w:b w:val="0"/>
                <w:sz w:val="16"/>
              </w:rPr>
              <w:t>POST /v1/billing/store-notifications; GET /v1/me/entitlements; POST /v1/billing/restore</w:t>
            </w:r>
          </w:p>
        </w:tc>
        <w:tc>
          <w:tcPr>
            <w:tcW w:type="dxa" w:w="3312"/>
            <w:vAlign w:val="center"/>
          </w:tcPr>
          <w:p>
            <w:pPr>
              <w:spacing w:after="20"/>
            </w:pPr>
            <w:r/>
            <w:r>
              <w:rPr>
                <w:rFonts w:ascii="Aptos" w:hAnsi="Aptos"/>
                <w:b w:val="0"/>
                <w:sz w:val="16"/>
              </w:rPr>
              <w:t>Verify signed store events server-side; idempotent lifecycle handling.</w:t>
            </w:r>
          </w:p>
        </w:tc>
      </w:tr>
      <w:tr>
        <w:tc>
          <w:tcPr>
            <w:tcW w:type="dxa" w:w="3312"/>
            <w:vAlign w:val="center"/>
          </w:tcPr>
          <w:p>
            <w:pPr>
              <w:spacing w:after="20"/>
            </w:pPr>
            <w:r/>
            <w:r>
              <w:rPr>
                <w:rFonts w:ascii="Aptos" w:hAnsi="Aptos"/>
                <w:b w:val="0"/>
                <w:sz w:val="16"/>
              </w:rPr>
              <w:t>Admin</w:t>
            </w:r>
          </w:p>
        </w:tc>
        <w:tc>
          <w:tcPr>
            <w:tcW w:type="dxa" w:w="3312"/>
            <w:vAlign w:val="center"/>
          </w:tcPr>
          <w:p>
            <w:pPr>
              <w:spacing w:after="20"/>
            </w:pPr>
            <w:r/>
            <w:r>
              <w:rPr>
                <w:rFonts w:ascii="Aptos" w:hAnsi="Aptos"/>
                <w:b w:val="0"/>
                <w:sz w:val="16"/>
              </w:rPr>
              <w:t>GET /v1/admin/cases; POST /v1/admin/cases/{id}/decision; POST /v1/admin/users/{id}/restriction</w:t>
            </w:r>
          </w:p>
        </w:tc>
        <w:tc>
          <w:tcPr>
            <w:tcW w:type="dxa" w:w="3312"/>
            <w:vAlign w:val="center"/>
          </w:tcPr>
          <w:p>
            <w:pPr>
              <w:spacing w:after="20"/>
            </w:pPr>
            <w:r/>
            <w:r>
              <w:rPr>
                <w:rFonts w:ascii="Aptos" w:hAnsi="Aptos"/>
                <w:b w:val="0"/>
                <w:sz w:val="16"/>
              </w:rPr>
              <w:t>Separate staff identity, MFA, least privilege, reason required, audit event mandatory.</w:t>
            </w:r>
          </w:p>
        </w:tc>
      </w:tr>
    </w:tbl>
    <w:p>
      <w:pPr>
        <w:spacing w:after="20"/>
      </w:pPr>
    </w:p>
    <w:p>
      <w:pPr>
        <w:pStyle w:val="Heading2"/>
      </w:pPr>
      <w:r>
        <w:t>8.2 Example discovery response</w:t>
      </w:r>
    </w:p>
    <w:tbl>
      <w:tblPr>
        <w:tblW w:type="auto" w:w="0"/>
        <w:tblLook w:firstColumn="1" w:firstRow="1" w:lastColumn="0" w:lastRow="0" w:noHBand="0" w:noVBand="1" w:val="04A0"/>
      </w:tblPr>
      <w:tblGrid>
        <w:gridCol w:w="9936"/>
      </w:tblGrid>
      <w:tr>
        <w:tc>
          <w:tcPr>
            <w:tcW w:type="dxa" w:w="9936"/>
            <w:shd w:fill="F2F4F6"/>
          </w:tcPr>
          <w:p>
            <w:r/>
            <w:r>
              <w:rPr>
                <w:rFonts w:ascii="Consolas" w:hAnsi="Consolas"/>
                <w:sz w:val="16"/>
              </w:rPr>
              <w:t>{</w:t>
              <w:br/>
              <w:t xml:space="preserve">  "items": [</w:t>
              <w:br/>
              <w:t xml:space="preserve">    {</w:t>
              <w:br/>
              <w:t xml:space="preserve">      "candidateId": "uuid",</w:t>
              <w:br/>
              <w:t xml:space="preserve">      "profileVersion": "v12",</w:t>
              <w:br/>
              <w:t xml:space="preserve">      "rankPosition": 1,</w:t>
              <w:br/>
              <w:t xml:space="preserve">      "explanations": [</w:t>
              <w:br/>
              <w:t xml:space="preserve">        {"type": "shared_activity", "label": "You both enjoy hiking"},</w:t>
              <w:br/>
              <w:t xml:space="preserve">        {"type": "stated_goal_alignment", "label": "You are both looking for a long-term relationship"}</w:t>
              <w:br/>
              <w:t xml:space="preserve">      ],</w:t>
              <w:br/>
              <w:t xml:space="preserve">      "actions": ["like_profile", "comment_on_prompt", "pass"]</w:t>
              <w:br/>
              <w:t xml:space="preserve">    }</w:t>
              <w:br/>
              <w:t xml:space="preserve">  ],</w:t>
              <w:br/>
              <w:t xml:space="preserve">  "nextCursor": "opaque-cursor",</w:t>
              <w:br/>
              <w:t xml:space="preserve">  "rankerVersion": "baseline-1",</w:t>
              <w:br/>
              <w:t xml:space="preserve">  "requestId": "uuid"</w:t>
              <w:br/>
              <w:t>}</w:t>
            </w:r>
          </w:p>
        </w:tc>
      </w:tr>
    </w:tbl>
    <w:p>
      <w:pPr>
        <w:spacing w:after="20"/>
      </w:pPr>
    </w:p>
    <w:p>
      <w:r>
        <w:t>Do not return directional interest probabilities, hidden preference weights, other users' engagement counts or sensitive model features to clients.</w:t>
      </w:r>
    </w:p>
    <w:p>
      <w:pPr>
        <w:pStyle w:val="Heading2"/>
      </w:pPr>
      <w:r>
        <w:t>8.3 API error and idempotency policy</w:t>
      </w:r>
    </w:p>
    <w:p>
      <w:pPr>
        <w:pStyle w:val="ListBullet"/>
        <w:spacing w:after="40"/>
      </w:pPr>
      <w:r>
        <w:t>Use stable error codes such as VALIDATION_ERROR, AUTH_REQUIRED, RATE_LIMITED, NOT_ELIGIBLE, BLOCKED and CONFLICT.</w:t>
      </w:r>
    </w:p>
    <w:p>
      <w:pPr>
        <w:pStyle w:val="ListBullet"/>
        <w:spacing w:after="40"/>
      </w:pPr>
      <w:r>
        <w:t>Use Idempotency-Key for like creation, match-related mutations, billing webhook processing and other retryable writes.</w:t>
      </w:r>
    </w:p>
    <w:p>
      <w:pPr>
        <w:pStyle w:val="ListBullet"/>
        <w:spacing w:after="40"/>
      </w:pPr>
      <w:r>
        <w:t>Use cursor pagination with stable ordering; avoid unbounded list endpoints.</w:t>
      </w:r>
    </w:p>
    <w:p>
      <w:pPr>
        <w:pStyle w:val="ListBullet"/>
        <w:spacing w:after="40"/>
      </w:pPr>
      <w:r>
        <w:t>Apply authorisation checks at the resource level, not only at route entry.</w:t>
      </w:r>
    </w:p>
    <w:p>
      <w:pPr>
        <w:pStyle w:val="ListBullet"/>
        <w:spacing w:after="40"/>
      </w:pPr>
      <w:r>
        <w:t>Do not expose whether an account exists through recovery or verification error messages where that creates enumeration risk.</w:t>
      </w:r>
    </w:p>
    <w:p>
      <w:pPr>
        <w:pStyle w:val="ListBullet"/>
        <w:spacing w:after="40"/>
      </w:pPr>
      <w:r>
        <w:t>Webhook handlers verify signatures, persist event IDs, process idempotently and alert on repeated failures.</w:t>
      </w:r>
    </w:p>
    <w:p>
      <w:pPr>
        <w:pStyle w:val="Heading1"/>
      </w:pPr>
      <w:r>
        <w:t>9. Privacy, safety and compliance</w:t>
      </w:r>
    </w:p>
    <w:p>
      <w:pPr>
        <w:pStyle w:val="Heading2"/>
      </w:pPr>
      <w:r>
        <w:t>9.1 Privacy-by-design controls</w:t>
      </w:r>
    </w:p>
    <w:p>
      <w:pPr>
        <w:pStyle w:val="ListBullet"/>
        <w:spacing w:after="40"/>
      </w:pPr>
      <w:r>
        <w:t>Complete a Data Protection Impact Assessment before launching high-risk profiling or processing sensitive relationship data at scale.</w:t>
      </w:r>
    </w:p>
    <w:p>
      <w:pPr>
        <w:pStyle w:val="ListBullet"/>
        <w:spacing w:after="40"/>
      </w:pPr>
      <w:r>
        <w:t>Map every field and event to a defined purpose, lawful basis, retention period, access role and deletion behaviour.</w:t>
      </w:r>
    </w:p>
    <w:p>
      <w:pPr>
        <w:pStyle w:val="ListBullet"/>
        <w:spacing w:after="40"/>
      </w:pPr>
      <w:r>
        <w:t>Use explicit consent where legally required for special-category processing; consent must be granular, informed, withdrawable and recorded.</w:t>
      </w:r>
    </w:p>
    <w:p>
      <w:pPr>
        <w:pStyle w:val="ListBullet"/>
        <w:spacing w:after="40"/>
      </w:pPr>
      <w:r>
        <w:t>Do not infer sensitive traits from photographs, prompt text, message content, activity patterns or embeddings.</w:t>
      </w:r>
    </w:p>
    <w:p>
      <w:pPr>
        <w:pStyle w:val="ListBullet"/>
        <w:spacing w:after="40"/>
      </w:pPr>
      <w:r>
        <w:t>Make optional profile fields optional; explain visibility separately from collection and processing.</w:t>
      </w:r>
    </w:p>
    <w:p>
      <w:pPr>
        <w:pStyle w:val="ListBullet"/>
        <w:spacing w:after="40"/>
      </w:pPr>
      <w:r>
        <w:t>Use approximate distance bands in public UI; do not expose exact coordinates, home/work patterns or a location API that enables triangulation.</w:t>
      </w:r>
    </w:p>
    <w:p>
      <w:pPr>
        <w:pStyle w:val="ListBullet"/>
        <w:spacing w:after="40"/>
      </w:pPr>
      <w:r>
        <w:t>Separate analytics from identity using pseudonymous IDs; aggregate or anonymise data when possible and review re-identification risk.</w:t>
      </w:r>
    </w:p>
    <w:p>
      <w:pPr>
        <w:pStyle w:val="ListBullet"/>
        <w:spacing w:after="40"/>
      </w:pPr>
      <w:r>
        <w:t>Provide access, correction, export, objection and deletion workflows as applicable; propagate deletion to vendors and derived features under documented policies.</w:t>
      </w:r>
    </w:p>
    <w:p>
      <w:pPr>
        <w:pStyle w:val="ListBullet"/>
        <w:spacing w:after="40"/>
      </w:pPr>
      <w:r>
        <w:t>Encrypt data in transit and at rest; use managed keys, restricted service identities, access logs and tested incident response.</w:t>
      </w:r>
    </w:p>
    <w:p>
      <w:pPr>
        <w:pStyle w:val="ListBullet"/>
        <w:spacing w:after="40"/>
      </w:pPr>
      <w:r>
        <w:t>Define retention for messages, reports, safety evidence, recommendation impressions, backups and vendor logs; do not promise immediate erasure where lawful exceptions apply.</w:t>
      </w:r>
    </w:p>
    <w:p>
      <w:pPr>
        <w:pStyle w:val="ListBullet"/>
        <w:spacing w:after="40"/>
      </w:pPr>
      <w:r>
        <w:t>Keep private message bodies out of application logs, analytics events and general-purpose model prompts by default.</w:t>
      </w:r>
    </w:p>
    <w:p>
      <w:pPr>
        <w:pStyle w:val="ListBullet"/>
        <w:spacing w:after="40"/>
      </w:pPr>
      <w:r>
        <w:t>Review SDKs and mobile permissions for data minimisation; avoid contact-book uploads unless a separate, justified opt-in feature is later introduced.</w:t>
      </w:r>
    </w:p>
    <w:p>
      <w:pPr>
        <w:pStyle w:val="Heading2"/>
      </w:pPr>
      <w:r>
        <w:t>9.2 UK legal and platform review</w:t>
      </w:r>
    </w:p>
    <w:p>
      <w:r>
        <w:t>The service should obtain specialist advice before launch. This blueprint is not legal advice and does not decide whether every statutory duty applies to the final product.</w:t>
      </w:r>
    </w:p>
    <w:p>
      <w:pPr>
        <w:pStyle w:val="ListBullet"/>
        <w:spacing w:after="40"/>
      </w:pPr>
      <w:r>
        <w:t>UK GDPR and Data Protection Act 2018: lawful basis, special-category condition, transparency, data rights, processor contracts, security and DPIA obligations.</w:t>
      </w:r>
    </w:p>
    <w:p>
      <w:pPr>
        <w:pStyle w:val="ListBullet"/>
        <w:spacing w:after="40"/>
      </w:pPr>
      <w:r>
        <w:t>ICO profiling guidance: explain meaningful aspects of personalisation, allow preference correction and objection where applicable, check for bias and document governance.</w:t>
      </w:r>
    </w:p>
    <w:p>
      <w:pPr>
        <w:pStyle w:val="ListBullet"/>
        <w:spacing w:after="40"/>
      </w:pPr>
      <w:r>
        <w:t>Ofcom Online Safety Act guidance: assess whether the service is in scope and identify applicable duties for user-to-user services, illegal content, children's access and risk assessments.</w:t>
      </w:r>
    </w:p>
    <w:p>
      <w:pPr>
        <w:pStyle w:val="ListBullet"/>
        <w:spacing w:after="40"/>
      </w:pPr>
      <w:r>
        <w:t>App Store and Google Play policies: user-generated content, moderation, subscriptions, privacy disclosures, account deletion and age rating.</w:t>
      </w:r>
    </w:p>
    <w:p>
      <w:pPr>
        <w:pStyle w:val="ListBullet"/>
        <w:spacing w:after="40"/>
      </w:pPr>
      <w:r>
        <w:t>Consumer law and subscriptions: transparent pricing, renewal/cancellation terms, refunds, promotional claims and accessible terms.</w:t>
      </w:r>
    </w:p>
    <w:p>
      <w:pPr>
        <w:pStyle w:val="ListBullet"/>
        <w:spacing w:after="40"/>
      </w:pPr>
      <w:r>
        <w:t>International expansion: assess local privacy, online safety, age assurance, consumer protection and cross-border transfer requirements per jurisdiction.</w:t>
      </w:r>
    </w:p>
    <w:p>
      <w:pPr>
        <w:pStyle w:val="Heading2"/>
      </w:pPr>
      <w:r>
        <w:t>9.3 Safety operations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Control</w:t>
            </w:r>
          </w:p>
        </w:tc>
        <w:tc>
          <w:tcPr>
            <w:tcW w:type="dxa" w:w="4968"/>
            <w:vAlign w:val="center"/>
            <w:shd w:fill="176B68"/>
          </w:tcPr>
          <w:p>
            <w:pPr>
              <w:spacing w:after="20"/>
            </w:pPr>
            <w:r/>
            <w:r>
              <w:rPr>
                <w:rFonts w:ascii="Aptos" w:hAnsi="Aptos"/>
                <w:b/>
                <w:color w:val="FFFFFF"/>
                <w:sz w:val="17"/>
              </w:rPr>
              <w:t>Minimum operating standard</w:t>
            </w:r>
          </w:p>
        </w:tc>
      </w:tr>
      <w:tr>
        <w:tc>
          <w:tcPr>
            <w:tcW w:type="dxa" w:w="4968"/>
            <w:vAlign w:val="center"/>
          </w:tcPr>
          <w:p>
            <w:pPr>
              <w:spacing w:after="20"/>
            </w:pPr>
            <w:r/>
            <w:r>
              <w:rPr>
                <w:rFonts w:ascii="Aptos" w:hAnsi="Aptos"/>
                <w:b w:val="0"/>
                <w:sz w:val="16"/>
              </w:rPr>
              <w:t>Reporting</w:t>
            </w:r>
          </w:p>
        </w:tc>
        <w:tc>
          <w:tcPr>
            <w:tcW w:type="dxa" w:w="4968"/>
            <w:vAlign w:val="center"/>
          </w:tcPr>
          <w:p>
            <w:pPr>
              <w:spacing w:after="20"/>
            </w:pPr>
            <w:r/>
            <w:r>
              <w:rPr>
                <w:rFonts w:ascii="Aptos" w:hAnsi="Aptos"/>
                <w:b w:val="0"/>
                <w:sz w:val="16"/>
              </w:rPr>
              <w:t>Available from profile, conversation and message surfaces; categories map to policy and severity.</w:t>
            </w:r>
          </w:p>
        </w:tc>
      </w:tr>
      <w:tr>
        <w:tc>
          <w:tcPr>
            <w:tcW w:type="dxa" w:w="4968"/>
            <w:vAlign w:val="center"/>
          </w:tcPr>
          <w:p>
            <w:pPr>
              <w:spacing w:after="20"/>
            </w:pPr>
            <w:r/>
            <w:r>
              <w:rPr>
                <w:rFonts w:ascii="Aptos" w:hAnsi="Aptos"/>
                <w:b w:val="0"/>
                <w:sz w:val="16"/>
              </w:rPr>
              <w:t>Blocking</w:t>
            </w:r>
          </w:p>
        </w:tc>
        <w:tc>
          <w:tcPr>
            <w:tcW w:type="dxa" w:w="4968"/>
            <w:vAlign w:val="center"/>
          </w:tcPr>
          <w:p>
            <w:pPr>
              <w:spacing w:after="20"/>
            </w:pPr>
            <w:r/>
            <w:r>
              <w:rPr>
                <w:rFonts w:ascii="Aptos" w:hAnsi="Aptos"/>
                <w:b w:val="0"/>
                <w:sz w:val="16"/>
              </w:rPr>
              <w:t>Immediate hide/exclusion from discovery and communication; block cannot notify the blocked party of reporter identity.</w:t>
            </w:r>
          </w:p>
        </w:tc>
      </w:tr>
      <w:tr>
        <w:tc>
          <w:tcPr>
            <w:tcW w:type="dxa" w:w="4968"/>
            <w:vAlign w:val="center"/>
          </w:tcPr>
          <w:p>
            <w:pPr>
              <w:spacing w:after="20"/>
            </w:pPr>
            <w:r/>
            <w:r>
              <w:rPr>
                <w:rFonts w:ascii="Aptos" w:hAnsi="Aptos"/>
                <w:b w:val="0"/>
                <w:sz w:val="16"/>
              </w:rPr>
              <w:t>Moderation queue</w:t>
            </w:r>
          </w:p>
        </w:tc>
        <w:tc>
          <w:tcPr>
            <w:tcW w:type="dxa" w:w="4968"/>
            <w:vAlign w:val="center"/>
          </w:tcPr>
          <w:p>
            <w:pPr>
              <w:spacing w:after="20"/>
            </w:pPr>
            <w:r/>
            <w:r>
              <w:rPr>
                <w:rFonts w:ascii="Aptos" w:hAnsi="Aptos"/>
                <w:b w:val="0"/>
                <w:sz w:val="16"/>
              </w:rPr>
              <w:t>Prioritise credible threats, sexual exploitation, extortion, underage risk and imminent harm; staff coverage matches launch hours and geography.</w:t>
            </w:r>
          </w:p>
        </w:tc>
      </w:tr>
      <w:tr>
        <w:tc>
          <w:tcPr>
            <w:tcW w:type="dxa" w:w="4968"/>
            <w:vAlign w:val="center"/>
          </w:tcPr>
          <w:p>
            <w:pPr>
              <w:spacing w:after="20"/>
            </w:pPr>
            <w:r/>
            <w:r>
              <w:rPr>
                <w:rFonts w:ascii="Aptos" w:hAnsi="Aptos"/>
                <w:b w:val="0"/>
                <w:sz w:val="16"/>
              </w:rPr>
              <w:t>Escalation</w:t>
            </w:r>
          </w:p>
        </w:tc>
        <w:tc>
          <w:tcPr>
            <w:tcW w:type="dxa" w:w="4968"/>
            <w:vAlign w:val="center"/>
          </w:tcPr>
          <w:p>
            <w:pPr>
              <w:spacing w:after="20"/>
            </w:pPr>
            <w:r/>
            <w:r>
              <w:rPr>
                <w:rFonts w:ascii="Aptos" w:hAnsi="Aptos"/>
                <w:b w:val="0"/>
                <w:sz w:val="16"/>
              </w:rPr>
              <w:t>Written runbooks for threats, suspected exploitation, credible imminent danger, law-enforcement requests and data breaches.</w:t>
            </w:r>
          </w:p>
        </w:tc>
      </w:tr>
      <w:tr>
        <w:tc>
          <w:tcPr>
            <w:tcW w:type="dxa" w:w="4968"/>
            <w:vAlign w:val="center"/>
          </w:tcPr>
          <w:p>
            <w:pPr>
              <w:spacing w:after="20"/>
            </w:pPr>
            <w:r/>
            <w:r>
              <w:rPr>
                <w:rFonts w:ascii="Aptos" w:hAnsi="Aptos"/>
                <w:b w:val="0"/>
                <w:sz w:val="16"/>
              </w:rPr>
              <w:t>Appeals</w:t>
            </w:r>
          </w:p>
        </w:tc>
        <w:tc>
          <w:tcPr>
            <w:tcW w:type="dxa" w:w="4968"/>
            <w:vAlign w:val="center"/>
          </w:tcPr>
          <w:p>
            <w:pPr>
              <w:spacing w:after="20"/>
            </w:pPr>
            <w:r/>
            <w:r>
              <w:rPr>
                <w:rFonts w:ascii="Aptos" w:hAnsi="Aptos"/>
                <w:b w:val="0"/>
                <w:sz w:val="16"/>
              </w:rPr>
              <w:t>Documented appeal path for material restrictions; human review for consequential cases where appropriate.</w:t>
            </w:r>
          </w:p>
        </w:tc>
      </w:tr>
      <w:tr>
        <w:tc>
          <w:tcPr>
            <w:tcW w:type="dxa" w:w="4968"/>
            <w:vAlign w:val="center"/>
          </w:tcPr>
          <w:p>
            <w:pPr>
              <w:spacing w:after="20"/>
            </w:pPr>
            <w:r/>
            <w:r>
              <w:rPr>
                <w:rFonts w:ascii="Aptos" w:hAnsi="Aptos"/>
                <w:b w:val="0"/>
                <w:sz w:val="16"/>
              </w:rPr>
              <w:t>Staff security</w:t>
            </w:r>
          </w:p>
        </w:tc>
        <w:tc>
          <w:tcPr>
            <w:tcW w:type="dxa" w:w="4968"/>
            <w:vAlign w:val="center"/>
          </w:tcPr>
          <w:p>
            <w:pPr>
              <w:spacing w:after="20"/>
            </w:pPr>
            <w:r/>
            <w:r>
              <w:rPr>
                <w:rFonts w:ascii="Aptos" w:hAnsi="Aptos"/>
                <w:b w:val="0"/>
                <w:sz w:val="16"/>
              </w:rPr>
              <w:t>MFA, role-based permissions, least privilege, case assignment, access logs, confidentiality training and periodic review.</w:t>
            </w:r>
          </w:p>
        </w:tc>
      </w:tr>
      <w:tr>
        <w:tc>
          <w:tcPr>
            <w:tcW w:type="dxa" w:w="4968"/>
            <w:vAlign w:val="center"/>
          </w:tcPr>
          <w:p>
            <w:pPr>
              <w:spacing w:after="20"/>
            </w:pPr>
            <w:r/>
            <w:r>
              <w:rPr>
                <w:rFonts w:ascii="Aptos" w:hAnsi="Aptos"/>
                <w:b w:val="0"/>
                <w:sz w:val="16"/>
              </w:rPr>
              <w:t>Anti-scam</w:t>
            </w:r>
          </w:p>
        </w:tc>
        <w:tc>
          <w:tcPr>
            <w:tcW w:type="dxa" w:w="4968"/>
            <w:vAlign w:val="center"/>
          </w:tcPr>
          <w:p>
            <w:pPr>
              <w:spacing w:after="20"/>
            </w:pPr>
            <w:r/>
            <w:r>
              <w:rPr>
                <w:rFonts w:ascii="Aptos" w:hAnsi="Aptos"/>
                <w:b w:val="0"/>
                <w:sz w:val="16"/>
              </w:rPr>
              <w:t>Rate limits, account-age risk signals, repeated-message patterns, suspicious payment requests, impersonation reports and user education.</w:t>
            </w:r>
          </w:p>
        </w:tc>
      </w:tr>
      <w:tr>
        <w:tc>
          <w:tcPr>
            <w:tcW w:type="dxa" w:w="4968"/>
            <w:vAlign w:val="center"/>
          </w:tcPr>
          <w:p>
            <w:pPr>
              <w:spacing w:after="20"/>
            </w:pPr>
            <w:r/>
            <w:r>
              <w:rPr>
                <w:rFonts w:ascii="Aptos" w:hAnsi="Aptos"/>
                <w:b w:val="0"/>
                <w:sz w:val="16"/>
              </w:rPr>
              <w:t>Safety measurement</w:t>
            </w:r>
          </w:p>
        </w:tc>
        <w:tc>
          <w:tcPr>
            <w:tcW w:type="dxa" w:w="4968"/>
            <w:vAlign w:val="center"/>
          </w:tcPr>
          <w:p>
            <w:pPr>
              <w:spacing w:after="20"/>
            </w:pPr>
            <w:r/>
            <w:r>
              <w:rPr>
                <w:rFonts w:ascii="Aptos" w:hAnsi="Aptos"/>
                <w:b w:val="0"/>
                <w:sz w:val="16"/>
              </w:rPr>
              <w:t>Track incident rates with denominators, response times, repeat-offender outcomes and false positives; do not suppress reports to improve metrics.</w:t>
            </w:r>
          </w:p>
        </w:tc>
      </w:tr>
    </w:tbl>
    <w:p>
      <w:pPr>
        <w:spacing w:after="20"/>
      </w:pPr>
    </w:p>
    <w:p>
      <w:pPr>
        <w:pStyle w:val="Heading1"/>
      </w:pPr>
      <w:r>
        <w:t>10. Analytics, success metrics and experimentation</w:t>
      </w:r>
    </w:p>
    <w:p>
      <w:pPr>
        <w:pStyle w:val="Heading2"/>
      </w:pPr>
      <w:r>
        <w:t>10.1 Event taxonomy</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Event</w:t>
            </w:r>
          </w:p>
        </w:tc>
        <w:tc>
          <w:tcPr>
            <w:tcW w:type="dxa" w:w="3312"/>
            <w:vAlign w:val="center"/>
            <w:shd w:fill="176B68"/>
          </w:tcPr>
          <w:p>
            <w:pPr>
              <w:spacing w:after="20"/>
            </w:pPr>
            <w:r/>
            <w:r>
              <w:rPr>
                <w:rFonts w:ascii="Aptos" w:hAnsi="Aptos"/>
                <w:b/>
                <w:color w:val="FFFFFF"/>
                <w:sz w:val="17"/>
              </w:rPr>
              <w:t>Required properties (minimal)</w:t>
            </w:r>
          </w:p>
        </w:tc>
        <w:tc>
          <w:tcPr>
            <w:tcW w:type="dxa" w:w="3312"/>
            <w:vAlign w:val="center"/>
            <w:shd w:fill="176B68"/>
          </w:tcPr>
          <w:p>
            <w:pPr>
              <w:spacing w:after="20"/>
            </w:pPr>
            <w:r/>
            <w:r>
              <w:rPr>
                <w:rFonts w:ascii="Aptos" w:hAnsi="Aptos"/>
                <w:b/>
                <w:color w:val="FFFFFF"/>
                <w:sz w:val="17"/>
              </w:rPr>
              <w:t>Purpose</w:t>
            </w:r>
          </w:p>
        </w:tc>
      </w:tr>
      <w:tr>
        <w:tc>
          <w:tcPr>
            <w:tcW w:type="dxa" w:w="3312"/>
            <w:vAlign w:val="center"/>
          </w:tcPr>
          <w:p>
            <w:pPr>
              <w:spacing w:after="20"/>
            </w:pPr>
            <w:r/>
            <w:r>
              <w:rPr>
                <w:rFonts w:ascii="Aptos" w:hAnsi="Aptos"/>
                <w:b w:val="0"/>
                <w:sz w:val="16"/>
              </w:rPr>
              <w:t>profile_completed</w:t>
            </w:r>
          </w:p>
        </w:tc>
        <w:tc>
          <w:tcPr>
            <w:tcW w:type="dxa" w:w="3312"/>
            <w:vAlign w:val="center"/>
          </w:tcPr>
          <w:p>
            <w:pPr>
              <w:spacing w:after="20"/>
            </w:pPr>
            <w:r/>
            <w:r>
              <w:rPr>
                <w:rFonts w:ascii="Aptos" w:hAnsi="Aptos"/>
                <w:b w:val="0"/>
                <w:sz w:val="16"/>
              </w:rPr>
              <w:t>user_pseudonymous_id, completion_band, timestamp</w:t>
            </w:r>
          </w:p>
        </w:tc>
        <w:tc>
          <w:tcPr>
            <w:tcW w:type="dxa" w:w="3312"/>
            <w:vAlign w:val="center"/>
          </w:tcPr>
          <w:p>
            <w:pPr>
              <w:spacing w:after="20"/>
            </w:pPr>
            <w:r/>
            <w:r>
              <w:rPr>
                <w:rFonts w:ascii="Aptos" w:hAnsi="Aptos"/>
                <w:b w:val="0"/>
                <w:sz w:val="16"/>
              </w:rPr>
              <w:t>Onboarding funnel.</w:t>
            </w:r>
          </w:p>
        </w:tc>
      </w:tr>
      <w:tr>
        <w:tc>
          <w:tcPr>
            <w:tcW w:type="dxa" w:w="3312"/>
            <w:vAlign w:val="center"/>
          </w:tcPr>
          <w:p>
            <w:pPr>
              <w:spacing w:after="20"/>
            </w:pPr>
            <w:r/>
            <w:r>
              <w:rPr>
                <w:rFonts w:ascii="Aptos" w:hAnsi="Aptos"/>
                <w:b w:val="0"/>
                <w:sz w:val="16"/>
              </w:rPr>
              <w:t>recommendation_impression</w:t>
            </w:r>
          </w:p>
        </w:tc>
        <w:tc>
          <w:tcPr>
            <w:tcW w:type="dxa" w:w="3312"/>
            <w:vAlign w:val="center"/>
          </w:tcPr>
          <w:p>
            <w:pPr>
              <w:spacing w:after="20"/>
            </w:pPr>
            <w:r/>
            <w:r>
              <w:rPr>
                <w:rFonts w:ascii="Aptos" w:hAnsi="Aptos"/>
                <w:b w:val="0"/>
                <w:sz w:val="16"/>
              </w:rPr>
              <w:t>viewer_id, candidate_id, position, ranker_version, experiment_id</w:t>
            </w:r>
          </w:p>
        </w:tc>
        <w:tc>
          <w:tcPr>
            <w:tcW w:type="dxa" w:w="3312"/>
            <w:vAlign w:val="center"/>
          </w:tcPr>
          <w:p>
            <w:pPr>
              <w:spacing w:after="20"/>
            </w:pPr>
            <w:r/>
            <w:r>
              <w:rPr>
                <w:rFonts w:ascii="Aptos" w:hAnsi="Aptos"/>
                <w:b w:val="0"/>
                <w:sz w:val="16"/>
              </w:rPr>
              <w:t>Exposure-aware evaluation.</w:t>
            </w:r>
          </w:p>
        </w:tc>
      </w:tr>
      <w:tr>
        <w:tc>
          <w:tcPr>
            <w:tcW w:type="dxa" w:w="3312"/>
            <w:vAlign w:val="center"/>
          </w:tcPr>
          <w:p>
            <w:pPr>
              <w:spacing w:after="20"/>
            </w:pPr>
            <w:r/>
            <w:r>
              <w:rPr>
                <w:rFonts w:ascii="Aptos" w:hAnsi="Aptos"/>
                <w:b w:val="0"/>
                <w:sz w:val="16"/>
              </w:rPr>
              <w:t>profile_action</w:t>
            </w:r>
          </w:p>
        </w:tc>
        <w:tc>
          <w:tcPr>
            <w:tcW w:type="dxa" w:w="3312"/>
            <w:vAlign w:val="center"/>
          </w:tcPr>
          <w:p>
            <w:pPr>
              <w:spacing w:after="20"/>
            </w:pPr>
            <w:r/>
            <w:r>
              <w:rPr>
                <w:rFonts w:ascii="Aptos" w:hAnsi="Aptos"/>
                <w:b w:val="0"/>
                <w:sz w:val="16"/>
              </w:rPr>
              <w:t>actor_id, target_id, action_type, target_type, ranker_version</w:t>
            </w:r>
          </w:p>
        </w:tc>
        <w:tc>
          <w:tcPr>
            <w:tcW w:type="dxa" w:w="3312"/>
            <w:vAlign w:val="center"/>
          </w:tcPr>
          <w:p>
            <w:pPr>
              <w:spacing w:after="20"/>
            </w:pPr>
            <w:r/>
            <w:r>
              <w:rPr>
                <w:rFonts w:ascii="Aptos" w:hAnsi="Aptos"/>
                <w:b w:val="0"/>
                <w:sz w:val="16"/>
              </w:rPr>
              <w:t>Preference learning.</w:t>
            </w:r>
          </w:p>
        </w:tc>
      </w:tr>
      <w:tr>
        <w:tc>
          <w:tcPr>
            <w:tcW w:type="dxa" w:w="3312"/>
            <w:vAlign w:val="center"/>
          </w:tcPr>
          <w:p>
            <w:pPr>
              <w:spacing w:after="20"/>
            </w:pPr>
            <w:r/>
            <w:r>
              <w:rPr>
                <w:rFonts w:ascii="Aptos" w:hAnsi="Aptos"/>
                <w:b w:val="0"/>
                <w:sz w:val="16"/>
              </w:rPr>
              <w:t>match_created</w:t>
            </w:r>
          </w:p>
        </w:tc>
        <w:tc>
          <w:tcPr>
            <w:tcW w:type="dxa" w:w="3312"/>
            <w:vAlign w:val="center"/>
          </w:tcPr>
          <w:p>
            <w:pPr>
              <w:spacing w:after="20"/>
            </w:pPr>
            <w:r/>
            <w:r>
              <w:rPr>
                <w:rFonts w:ascii="Aptos" w:hAnsi="Aptos"/>
                <w:b w:val="0"/>
                <w:sz w:val="16"/>
              </w:rPr>
              <w:t>match_id, participants_pseudonymous, source, timestamp</w:t>
            </w:r>
          </w:p>
        </w:tc>
        <w:tc>
          <w:tcPr>
            <w:tcW w:type="dxa" w:w="3312"/>
            <w:vAlign w:val="center"/>
          </w:tcPr>
          <w:p>
            <w:pPr>
              <w:spacing w:after="20"/>
            </w:pPr>
            <w:r/>
            <w:r>
              <w:rPr>
                <w:rFonts w:ascii="Aptos" w:hAnsi="Aptos"/>
                <w:b w:val="0"/>
                <w:sz w:val="16"/>
              </w:rPr>
              <w:t>Mutual-interest funnel.</w:t>
            </w:r>
          </w:p>
        </w:tc>
      </w:tr>
      <w:tr>
        <w:tc>
          <w:tcPr>
            <w:tcW w:type="dxa" w:w="3312"/>
            <w:vAlign w:val="center"/>
          </w:tcPr>
          <w:p>
            <w:pPr>
              <w:spacing w:after="20"/>
            </w:pPr>
            <w:r/>
            <w:r>
              <w:rPr>
                <w:rFonts w:ascii="Aptos" w:hAnsi="Aptos"/>
                <w:b w:val="0"/>
                <w:sz w:val="16"/>
              </w:rPr>
              <w:t>message_sent</w:t>
            </w:r>
          </w:p>
        </w:tc>
        <w:tc>
          <w:tcPr>
            <w:tcW w:type="dxa" w:w="3312"/>
            <w:vAlign w:val="center"/>
          </w:tcPr>
          <w:p>
            <w:pPr>
              <w:spacing w:after="20"/>
            </w:pPr>
            <w:r/>
            <w:r>
              <w:rPr>
                <w:rFonts w:ascii="Aptos" w:hAnsi="Aptos"/>
                <w:b w:val="0"/>
                <w:sz w:val="16"/>
              </w:rPr>
              <w:t>conversation_id, sender_pseudonymous, message_length_band, moderation_flags summary</w:t>
            </w:r>
          </w:p>
        </w:tc>
        <w:tc>
          <w:tcPr>
            <w:tcW w:type="dxa" w:w="3312"/>
            <w:vAlign w:val="center"/>
          </w:tcPr>
          <w:p>
            <w:pPr>
              <w:spacing w:after="20"/>
            </w:pPr>
            <w:r/>
            <w:r>
              <w:rPr>
                <w:rFonts w:ascii="Aptos" w:hAnsi="Aptos"/>
                <w:b w:val="0"/>
                <w:sz w:val="16"/>
              </w:rPr>
              <w:t>Conversation health; no raw body in analytics.</w:t>
            </w:r>
          </w:p>
        </w:tc>
      </w:tr>
      <w:tr>
        <w:tc>
          <w:tcPr>
            <w:tcW w:type="dxa" w:w="3312"/>
            <w:vAlign w:val="center"/>
          </w:tcPr>
          <w:p>
            <w:pPr>
              <w:spacing w:after="20"/>
            </w:pPr>
            <w:r/>
            <w:r>
              <w:rPr>
                <w:rFonts w:ascii="Aptos" w:hAnsi="Aptos"/>
                <w:b w:val="0"/>
                <w:sz w:val="16"/>
              </w:rPr>
              <w:t>report_submitted</w:t>
            </w:r>
          </w:p>
        </w:tc>
        <w:tc>
          <w:tcPr>
            <w:tcW w:type="dxa" w:w="3312"/>
            <w:vAlign w:val="center"/>
          </w:tcPr>
          <w:p>
            <w:pPr>
              <w:spacing w:after="20"/>
            </w:pPr>
            <w:r/>
            <w:r>
              <w:rPr>
                <w:rFonts w:ascii="Aptos" w:hAnsi="Aptos"/>
                <w:b w:val="0"/>
                <w:sz w:val="16"/>
              </w:rPr>
              <w:t>category, severity, surface, timestamp</w:t>
            </w:r>
          </w:p>
        </w:tc>
        <w:tc>
          <w:tcPr>
            <w:tcW w:type="dxa" w:w="3312"/>
            <w:vAlign w:val="center"/>
          </w:tcPr>
          <w:p>
            <w:pPr>
              <w:spacing w:after="20"/>
            </w:pPr>
            <w:r/>
            <w:r>
              <w:rPr>
                <w:rFonts w:ascii="Aptos" w:hAnsi="Aptos"/>
                <w:b w:val="0"/>
                <w:sz w:val="16"/>
              </w:rPr>
              <w:t>Safety monitoring; restrict access.</w:t>
            </w:r>
          </w:p>
        </w:tc>
      </w:tr>
      <w:tr>
        <w:tc>
          <w:tcPr>
            <w:tcW w:type="dxa" w:w="3312"/>
            <w:vAlign w:val="center"/>
          </w:tcPr>
          <w:p>
            <w:pPr>
              <w:spacing w:after="20"/>
            </w:pPr>
            <w:r/>
            <w:r>
              <w:rPr>
                <w:rFonts w:ascii="Aptos" w:hAnsi="Aptos"/>
                <w:b w:val="0"/>
                <w:sz w:val="16"/>
              </w:rPr>
              <w:t>block_created</w:t>
            </w:r>
          </w:p>
        </w:tc>
        <w:tc>
          <w:tcPr>
            <w:tcW w:type="dxa" w:w="3312"/>
            <w:vAlign w:val="center"/>
          </w:tcPr>
          <w:p>
            <w:pPr>
              <w:spacing w:after="20"/>
            </w:pPr>
            <w:r/>
            <w:r>
              <w:rPr>
                <w:rFonts w:ascii="Aptos" w:hAnsi="Aptos"/>
                <w:b w:val="0"/>
                <w:sz w:val="16"/>
              </w:rPr>
              <w:t>source_surface, reason_code optional</w:t>
            </w:r>
          </w:p>
        </w:tc>
        <w:tc>
          <w:tcPr>
            <w:tcW w:type="dxa" w:w="3312"/>
            <w:vAlign w:val="center"/>
          </w:tcPr>
          <w:p>
            <w:pPr>
              <w:spacing w:after="20"/>
            </w:pPr>
            <w:r/>
            <w:r>
              <w:rPr>
                <w:rFonts w:ascii="Aptos" w:hAnsi="Aptos"/>
                <w:b w:val="0"/>
                <w:sz w:val="16"/>
              </w:rPr>
              <w:t>Safety and user control.</w:t>
            </w:r>
          </w:p>
        </w:tc>
      </w:tr>
      <w:tr>
        <w:tc>
          <w:tcPr>
            <w:tcW w:type="dxa" w:w="3312"/>
            <w:vAlign w:val="center"/>
          </w:tcPr>
          <w:p>
            <w:pPr>
              <w:spacing w:after="20"/>
            </w:pPr>
            <w:r/>
            <w:r>
              <w:rPr>
                <w:rFonts w:ascii="Aptos" w:hAnsi="Aptos"/>
                <w:b w:val="0"/>
                <w:sz w:val="16"/>
              </w:rPr>
              <w:t>date_feedback_submitted</w:t>
            </w:r>
          </w:p>
        </w:tc>
        <w:tc>
          <w:tcPr>
            <w:tcW w:type="dxa" w:w="3312"/>
            <w:vAlign w:val="center"/>
          </w:tcPr>
          <w:p>
            <w:pPr>
              <w:spacing w:after="20"/>
            </w:pPr>
            <w:r/>
            <w:r>
              <w:rPr>
                <w:rFonts w:ascii="Aptos" w:hAnsi="Aptos"/>
                <w:b w:val="0"/>
                <w:sz w:val="16"/>
              </w:rPr>
              <w:t>optional categorical feedback, consent/purpose reference</w:t>
            </w:r>
          </w:p>
        </w:tc>
        <w:tc>
          <w:tcPr>
            <w:tcW w:type="dxa" w:w="3312"/>
            <w:vAlign w:val="center"/>
          </w:tcPr>
          <w:p>
            <w:pPr>
              <w:spacing w:after="20"/>
            </w:pPr>
            <w:r/>
            <w:r>
              <w:rPr>
                <w:rFonts w:ascii="Aptos" w:hAnsi="Aptos"/>
                <w:b w:val="0"/>
                <w:sz w:val="16"/>
              </w:rPr>
              <w:t>Outcome evaluation.</w:t>
            </w:r>
          </w:p>
        </w:tc>
      </w:tr>
      <w:tr>
        <w:tc>
          <w:tcPr>
            <w:tcW w:type="dxa" w:w="3312"/>
            <w:vAlign w:val="center"/>
          </w:tcPr>
          <w:p>
            <w:pPr>
              <w:spacing w:after="20"/>
            </w:pPr>
            <w:r/>
            <w:r>
              <w:rPr>
                <w:rFonts w:ascii="Aptos" w:hAnsi="Aptos"/>
                <w:b w:val="0"/>
                <w:sz w:val="16"/>
              </w:rPr>
              <w:t>subscription_state_changed</w:t>
            </w:r>
          </w:p>
        </w:tc>
        <w:tc>
          <w:tcPr>
            <w:tcW w:type="dxa" w:w="3312"/>
            <w:vAlign w:val="center"/>
          </w:tcPr>
          <w:p>
            <w:pPr>
              <w:spacing w:after="20"/>
            </w:pPr>
            <w:r/>
            <w:r>
              <w:rPr>
                <w:rFonts w:ascii="Aptos" w:hAnsi="Aptos"/>
                <w:b w:val="0"/>
                <w:sz w:val="16"/>
              </w:rPr>
              <w:t>store, product, state, reason code</w:t>
            </w:r>
          </w:p>
        </w:tc>
        <w:tc>
          <w:tcPr>
            <w:tcW w:type="dxa" w:w="3312"/>
            <w:vAlign w:val="center"/>
          </w:tcPr>
          <w:p>
            <w:pPr>
              <w:spacing w:after="20"/>
            </w:pPr>
            <w:r/>
            <w:r>
              <w:rPr>
                <w:rFonts w:ascii="Aptos" w:hAnsi="Aptos"/>
                <w:b w:val="0"/>
                <w:sz w:val="16"/>
              </w:rPr>
              <w:t>Revenue and billing reliability.</w:t>
            </w:r>
          </w:p>
        </w:tc>
      </w:tr>
      <w:tr>
        <w:tc>
          <w:tcPr>
            <w:tcW w:type="dxa" w:w="3312"/>
            <w:vAlign w:val="center"/>
          </w:tcPr>
          <w:p>
            <w:pPr>
              <w:spacing w:after="20"/>
            </w:pPr>
            <w:r/>
            <w:r>
              <w:rPr>
                <w:rFonts w:ascii="Aptos" w:hAnsi="Aptos"/>
                <w:b w:val="0"/>
                <w:sz w:val="16"/>
              </w:rPr>
              <w:t>deletion_requested/completed</w:t>
            </w:r>
          </w:p>
        </w:tc>
        <w:tc>
          <w:tcPr>
            <w:tcW w:type="dxa" w:w="3312"/>
            <w:vAlign w:val="center"/>
          </w:tcPr>
          <w:p>
            <w:pPr>
              <w:spacing w:after="20"/>
            </w:pPr>
            <w:r/>
            <w:r>
              <w:rPr>
                <w:rFonts w:ascii="Aptos" w:hAnsi="Aptos"/>
                <w:b w:val="0"/>
                <w:sz w:val="16"/>
              </w:rPr>
              <w:t>workflow status, timestamps, exception code</w:t>
            </w:r>
          </w:p>
        </w:tc>
        <w:tc>
          <w:tcPr>
            <w:tcW w:type="dxa" w:w="3312"/>
            <w:vAlign w:val="center"/>
          </w:tcPr>
          <w:p>
            <w:pPr>
              <w:spacing w:after="20"/>
            </w:pPr>
            <w:r/>
            <w:r>
              <w:rPr>
                <w:rFonts w:ascii="Aptos" w:hAnsi="Aptos"/>
                <w:b w:val="0"/>
                <w:sz w:val="16"/>
              </w:rPr>
              <w:t>Privacy operations.</w:t>
            </w:r>
          </w:p>
        </w:tc>
      </w:tr>
    </w:tbl>
    <w:p>
      <w:pPr>
        <w:spacing w:after="20"/>
      </w:pPr>
    </w:p>
    <w:p>
      <w:pPr>
        <w:pStyle w:val="Heading2"/>
      </w:pPr>
      <w:r>
        <w:t>10.2 North-star metric</w:t>
      </w:r>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PROPOSED NORTH STAR  </w:t>
            </w:r>
            <w:r>
              <w:t>Weekly mutually meaningful connections per 1,000 active users: a connection must involve reciprocal match, a two-sided conversation under a clearly defined threshold, and no known safety exclusion. Validate the definition with user research; report date outcomes separately as optional feedback.</w:t>
            </w:r>
          </w:p>
        </w:tc>
      </w:tr>
    </w:tbl>
    <w:p>
      <w:pPr>
        <w:spacing w:after="20"/>
      </w:pPr>
    </w:p>
    <w:p>
      <w:pPr>
        <w:pStyle w:val="Heading2"/>
      </w:pPr>
      <w:r>
        <w:t>10.3 Supporting metrics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Category</w:t>
            </w:r>
          </w:p>
        </w:tc>
        <w:tc>
          <w:tcPr>
            <w:tcW w:type="dxa" w:w="4968"/>
            <w:vAlign w:val="center"/>
            <w:shd w:fill="176B68"/>
          </w:tcPr>
          <w:p>
            <w:pPr>
              <w:spacing w:after="20"/>
            </w:pPr>
            <w:r/>
            <w:r>
              <w:rPr>
                <w:rFonts w:ascii="Aptos" w:hAnsi="Aptos"/>
                <w:b/>
                <w:color w:val="FFFFFF"/>
                <w:sz w:val="17"/>
              </w:rPr>
              <w:t>Metrics</w:t>
            </w:r>
          </w:p>
        </w:tc>
      </w:tr>
      <w:tr>
        <w:tc>
          <w:tcPr>
            <w:tcW w:type="dxa" w:w="4968"/>
            <w:vAlign w:val="center"/>
          </w:tcPr>
          <w:p>
            <w:pPr>
              <w:spacing w:after="20"/>
            </w:pPr>
            <w:r/>
            <w:r>
              <w:rPr>
                <w:rFonts w:ascii="Aptos" w:hAnsi="Aptos"/>
                <w:b w:val="0"/>
                <w:sz w:val="16"/>
              </w:rPr>
              <w:t>Activation</w:t>
            </w:r>
          </w:p>
        </w:tc>
        <w:tc>
          <w:tcPr>
            <w:tcW w:type="dxa" w:w="4968"/>
            <w:vAlign w:val="center"/>
          </w:tcPr>
          <w:p>
            <w:pPr>
              <w:spacing w:after="20"/>
            </w:pPr>
            <w:r/>
            <w:r>
              <w:rPr>
                <w:rFonts w:ascii="Aptos" w:hAnsi="Aptos"/>
                <w:b w:val="0"/>
                <w:sz w:val="16"/>
              </w:rPr>
              <w:t>Signup completion, profile completion, time to first relevant recommendation, first-week return.</w:t>
            </w:r>
          </w:p>
        </w:tc>
      </w:tr>
      <w:tr>
        <w:tc>
          <w:tcPr>
            <w:tcW w:type="dxa" w:w="4968"/>
            <w:vAlign w:val="center"/>
          </w:tcPr>
          <w:p>
            <w:pPr>
              <w:spacing w:after="20"/>
            </w:pPr>
            <w:r/>
            <w:r>
              <w:rPr>
                <w:rFonts w:ascii="Aptos" w:hAnsi="Aptos"/>
                <w:b w:val="0"/>
                <w:sz w:val="16"/>
              </w:rPr>
              <w:t>Matching</w:t>
            </w:r>
          </w:p>
        </w:tc>
        <w:tc>
          <w:tcPr>
            <w:tcW w:type="dxa" w:w="4968"/>
            <w:vAlign w:val="center"/>
          </w:tcPr>
          <w:p>
            <w:pPr>
              <w:spacing w:after="20"/>
            </w:pPr>
            <w:r/>
            <w:r>
              <w:rPr>
                <w:rFonts w:ascii="Aptos" w:hAnsi="Aptos"/>
                <w:b w:val="0"/>
                <w:sz w:val="16"/>
              </w:rPr>
              <w:t>Mutual matches per eligible impression, reciprocal like rate, candidate coverage, match-to-conversation conversion.</w:t>
            </w:r>
          </w:p>
        </w:tc>
      </w:tr>
      <w:tr>
        <w:tc>
          <w:tcPr>
            <w:tcW w:type="dxa" w:w="4968"/>
            <w:vAlign w:val="center"/>
          </w:tcPr>
          <w:p>
            <w:pPr>
              <w:spacing w:after="20"/>
            </w:pPr>
            <w:r/>
            <w:r>
              <w:rPr>
                <w:rFonts w:ascii="Aptos" w:hAnsi="Aptos"/>
                <w:b w:val="0"/>
                <w:sz w:val="16"/>
              </w:rPr>
              <w:t>Conversation</w:t>
            </w:r>
          </w:p>
        </w:tc>
        <w:tc>
          <w:tcPr>
            <w:tcW w:type="dxa" w:w="4968"/>
            <w:vAlign w:val="center"/>
          </w:tcPr>
          <w:p>
            <w:pPr>
              <w:spacing w:after="20"/>
            </w:pPr>
            <w:r/>
            <w:r>
              <w:rPr>
                <w:rFonts w:ascii="Aptos" w:hAnsi="Aptos"/>
                <w:b w:val="0"/>
                <w:sz w:val="16"/>
              </w:rPr>
              <w:t>Two-sided conversation rate, time to first reply, conversation drop-off; avoid using raw message volume as a success target.</w:t>
            </w:r>
          </w:p>
        </w:tc>
      </w:tr>
      <w:tr>
        <w:tc>
          <w:tcPr>
            <w:tcW w:type="dxa" w:w="4968"/>
            <w:vAlign w:val="center"/>
          </w:tcPr>
          <w:p>
            <w:pPr>
              <w:spacing w:after="20"/>
            </w:pPr>
            <w:r/>
            <w:r>
              <w:rPr>
                <w:rFonts w:ascii="Aptos" w:hAnsi="Aptos"/>
                <w:b w:val="0"/>
                <w:sz w:val="16"/>
              </w:rPr>
              <w:t>Outcomes</w:t>
            </w:r>
          </w:p>
        </w:tc>
        <w:tc>
          <w:tcPr>
            <w:tcW w:type="dxa" w:w="4968"/>
            <w:vAlign w:val="center"/>
          </w:tcPr>
          <w:p>
            <w:pPr>
              <w:spacing w:after="20"/>
            </w:pPr>
            <w:r/>
            <w:r>
              <w:rPr>
                <w:rFonts w:ascii="Aptos" w:hAnsi="Aptos"/>
                <w:b w:val="0"/>
                <w:sz w:val="16"/>
              </w:rPr>
              <w:t>Optional date-arranged/date-attended feedback, second-date intention, user-reported recommendation usefulness, successful-relationship exit survey.</w:t>
            </w:r>
          </w:p>
        </w:tc>
      </w:tr>
      <w:tr>
        <w:tc>
          <w:tcPr>
            <w:tcW w:type="dxa" w:w="4968"/>
            <w:vAlign w:val="center"/>
          </w:tcPr>
          <w:p>
            <w:pPr>
              <w:spacing w:after="20"/>
            </w:pPr>
            <w:r/>
            <w:r>
              <w:rPr>
                <w:rFonts w:ascii="Aptos" w:hAnsi="Aptos"/>
                <w:b w:val="0"/>
                <w:sz w:val="16"/>
              </w:rPr>
              <w:t>Fairness</w:t>
            </w:r>
          </w:p>
        </w:tc>
        <w:tc>
          <w:tcPr>
            <w:tcW w:type="dxa" w:w="4968"/>
            <w:vAlign w:val="center"/>
          </w:tcPr>
          <w:p>
            <w:pPr>
              <w:spacing w:after="20"/>
            </w:pPr>
            <w:r/>
            <w:r>
              <w:rPr>
                <w:rFonts w:ascii="Aptos" w:hAnsi="Aptos"/>
                <w:b w:val="0"/>
                <w:sz w:val="16"/>
              </w:rPr>
              <w:t>Exposure concentration, new-user coverage, impression distribution, candidate diversity, outcome differences where lawful to measure.</w:t>
            </w:r>
          </w:p>
        </w:tc>
      </w:tr>
      <w:tr>
        <w:tc>
          <w:tcPr>
            <w:tcW w:type="dxa" w:w="4968"/>
            <w:vAlign w:val="center"/>
          </w:tcPr>
          <w:p>
            <w:pPr>
              <w:spacing w:after="20"/>
            </w:pPr>
            <w:r/>
            <w:r>
              <w:rPr>
                <w:rFonts w:ascii="Aptos" w:hAnsi="Aptos"/>
                <w:b w:val="0"/>
                <w:sz w:val="16"/>
              </w:rPr>
              <w:t>Safety</w:t>
            </w:r>
          </w:p>
        </w:tc>
        <w:tc>
          <w:tcPr>
            <w:tcW w:type="dxa" w:w="4968"/>
            <w:vAlign w:val="center"/>
          </w:tcPr>
          <w:p>
            <w:pPr>
              <w:spacing w:after="20"/>
            </w:pPr>
            <w:r/>
            <w:r>
              <w:rPr>
                <w:rFonts w:ascii="Aptos" w:hAnsi="Aptos"/>
                <w:b w:val="0"/>
                <w:sz w:val="16"/>
              </w:rPr>
              <w:t>Reports per active user, severe report response time, repeat-offender rate, block success, appeal reversal rate and user trust survey.</w:t>
            </w:r>
          </w:p>
        </w:tc>
      </w:tr>
      <w:tr>
        <w:tc>
          <w:tcPr>
            <w:tcW w:type="dxa" w:w="4968"/>
            <w:vAlign w:val="center"/>
          </w:tcPr>
          <w:p>
            <w:pPr>
              <w:spacing w:after="20"/>
            </w:pPr>
            <w:r/>
            <w:r>
              <w:rPr>
                <w:rFonts w:ascii="Aptos" w:hAnsi="Aptos"/>
                <w:b w:val="0"/>
                <w:sz w:val="16"/>
              </w:rPr>
              <w:t>Business</w:t>
            </w:r>
          </w:p>
        </w:tc>
        <w:tc>
          <w:tcPr>
            <w:tcW w:type="dxa" w:w="4968"/>
            <w:vAlign w:val="center"/>
          </w:tcPr>
          <w:p>
            <w:pPr>
              <w:spacing w:after="20"/>
            </w:pPr>
            <w:r/>
            <w:r>
              <w:rPr>
                <w:rFonts w:ascii="Aptos" w:hAnsi="Aptos"/>
                <w:b w:val="0"/>
                <w:sz w:val="16"/>
              </w:rPr>
              <w:t>D30 retention, paid conversion, churn, refund rate, event margin, customer support cost and free-user satisfaction.</w:t>
            </w:r>
          </w:p>
        </w:tc>
      </w:tr>
      <w:tr>
        <w:tc>
          <w:tcPr>
            <w:tcW w:type="dxa" w:w="4968"/>
            <w:vAlign w:val="center"/>
          </w:tcPr>
          <w:p>
            <w:pPr>
              <w:spacing w:after="20"/>
            </w:pPr>
            <w:r/>
            <w:r>
              <w:rPr>
                <w:rFonts w:ascii="Aptos" w:hAnsi="Aptos"/>
                <w:b w:val="0"/>
                <w:sz w:val="16"/>
              </w:rPr>
              <w:t>Reliability</w:t>
            </w:r>
          </w:p>
        </w:tc>
        <w:tc>
          <w:tcPr>
            <w:tcW w:type="dxa" w:w="4968"/>
            <w:vAlign w:val="center"/>
          </w:tcPr>
          <w:p>
            <w:pPr>
              <w:spacing w:after="20"/>
            </w:pPr>
            <w:r/>
            <w:r>
              <w:rPr>
                <w:rFonts w:ascii="Aptos" w:hAnsi="Aptos"/>
                <w:b w:val="0"/>
                <w:sz w:val="16"/>
              </w:rPr>
              <w:t>API latency/error rate, message delivery, queue lag, crash-free sessions, backup restore success and incident recovery time.</w:t>
            </w:r>
          </w:p>
        </w:tc>
      </w:tr>
    </w:tbl>
    <w:p>
      <w:pPr>
        <w:spacing w:after="20"/>
      </w:pPr>
    </w:p>
    <w:p>
      <w:pPr>
        <w:pStyle w:val="Heading2"/>
      </w:pPr>
      <w:r>
        <w:t>10.4 Experimentation policy</w:t>
      </w:r>
    </w:p>
    <w:p>
      <w:pPr>
        <w:pStyle w:val="ListBullet"/>
        <w:spacing w:after="40"/>
      </w:pPr>
      <w:r>
        <w:t>Pre-register the hypothesis, primary metric, guardrails, sample-size method, duration and rollback threshold.</w:t>
      </w:r>
    </w:p>
    <w:p>
      <w:pPr>
        <w:pStyle w:val="ListBullet"/>
        <w:spacing w:after="40"/>
      </w:pPr>
      <w:r>
        <w:t>Randomise at user or stable cohort level where interference between users is manageable; reciprocal systems require careful experiment design because one user's treatment affects another user's outcomes.</w:t>
      </w:r>
    </w:p>
    <w:p>
      <w:pPr>
        <w:pStyle w:val="ListBullet"/>
        <w:spacing w:after="40"/>
      </w:pPr>
      <w:r>
        <w:t>Use shadow evaluation before exposing users to a new ranker.</w:t>
      </w:r>
    </w:p>
    <w:p>
      <w:pPr>
        <w:pStyle w:val="ListBullet"/>
        <w:spacing w:after="40"/>
      </w:pPr>
      <w:r>
        <w:t>Do not run experiments that intentionally hide incoming likes, degrade free-user quality, weaken safety or manipulate emotional vulnerability.</w:t>
      </w:r>
    </w:p>
    <w:p>
      <w:pPr>
        <w:pStyle w:val="ListBullet"/>
        <w:spacing w:after="40"/>
      </w:pPr>
      <w:r>
        <w:t>Check for exposure imbalance, demographic disparities and safety regressions before increasing rollout.</w:t>
      </w:r>
    </w:p>
    <w:p>
      <w:pPr>
        <w:pStyle w:val="ListBullet"/>
        <w:spacing w:after="40"/>
      </w:pPr>
      <w:r>
        <w:t>Report confidence intervals and practical effect sizes; do not ship solely because a p-value crosses a threshold.</w:t>
      </w:r>
    </w:p>
    <w:p>
      <w:pPr>
        <w:pStyle w:val="Heading1"/>
      </w:pPr>
      <w:r>
        <w:t>11. Phased implementation plan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shd w:fill="176B68"/>
          </w:tcPr>
          <w:p>
            <w:pPr>
              <w:spacing w:after="20"/>
            </w:pPr>
            <w:r/>
            <w:r>
              <w:rPr>
                <w:rFonts w:ascii="Aptos" w:hAnsi="Aptos"/>
                <w:b/>
                <w:color w:val="FFFFFF"/>
                <w:sz w:val="17"/>
              </w:rPr>
              <w:t>Phase</w:t>
            </w:r>
          </w:p>
        </w:tc>
        <w:tc>
          <w:tcPr>
            <w:tcW w:type="dxa" w:w="2484"/>
            <w:vAlign w:val="center"/>
            <w:shd w:fill="176B68"/>
          </w:tcPr>
          <w:p>
            <w:pPr>
              <w:spacing w:after="20"/>
            </w:pPr>
            <w:r/>
            <w:r>
              <w:rPr>
                <w:rFonts w:ascii="Aptos" w:hAnsi="Aptos"/>
                <w:b/>
                <w:color w:val="FFFFFF"/>
                <w:sz w:val="17"/>
              </w:rPr>
              <w:t>Indicative duration</w:t>
            </w:r>
          </w:p>
        </w:tc>
        <w:tc>
          <w:tcPr>
            <w:tcW w:type="dxa" w:w="2484"/>
            <w:vAlign w:val="center"/>
            <w:shd w:fill="176B68"/>
          </w:tcPr>
          <w:p>
            <w:pPr>
              <w:spacing w:after="20"/>
            </w:pPr>
            <w:r/>
            <w:r>
              <w:rPr>
                <w:rFonts w:ascii="Aptos" w:hAnsi="Aptos"/>
                <w:b/>
                <w:color w:val="FFFFFF"/>
                <w:sz w:val="17"/>
              </w:rPr>
              <w:t>Deliverables</w:t>
            </w:r>
          </w:p>
        </w:tc>
        <w:tc>
          <w:tcPr>
            <w:tcW w:type="dxa" w:w="2484"/>
            <w:vAlign w:val="center"/>
            <w:shd w:fill="176B68"/>
          </w:tcPr>
          <w:p>
            <w:pPr>
              <w:spacing w:after="20"/>
            </w:pPr>
            <w:r/>
            <w:r>
              <w:rPr>
                <w:rFonts w:ascii="Aptos" w:hAnsi="Aptos"/>
                <w:b/>
                <w:color w:val="FFFFFF"/>
                <w:sz w:val="17"/>
              </w:rPr>
              <w:t>Exit gate</w:t>
            </w:r>
          </w:p>
        </w:tc>
      </w:tr>
      <w:tr>
        <w:tc>
          <w:tcPr>
            <w:tcW w:type="dxa" w:w="2484"/>
            <w:vAlign w:val="center"/>
          </w:tcPr>
          <w:p>
            <w:pPr>
              <w:spacing w:after="20"/>
            </w:pPr>
            <w:r/>
            <w:r>
              <w:rPr>
                <w:rFonts w:ascii="Aptos" w:hAnsi="Aptos"/>
                <w:b w:val="0"/>
                <w:sz w:val="16"/>
              </w:rPr>
              <w:t>0. Discovery and governance</w:t>
            </w:r>
          </w:p>
        </w:tc>
        <w:tc>
          <w:tcPr>
            <w:tcW w:type="dxa" w:w="2484"/>
            <w:vAlign w:val="center"/>
          </w:tcPr>
          <w:p>
            <w:pPr>
              <w:spacing w:after="20"/>
            </w:pPr>
            <w:r/>
            <w:r>
              <w:rPr>
                <w:rFonts w:ascii="Aptos" w:hAnsi="Aptos"/>
                <w:b w:val="0"/>
                <w:sz w:val="16"/>
              </w:rPr>
              <w:t>2–3 weeks</w:t>
            </w:r>
          </w:p>
        </w:tc>
        <w:tc>
          <w:tcPr>
            <w:tcW w:type="dxa" w:w="2484"/>
            <w:vAlign w:val="center"/>
          </w:tcPr>
          <w:p>
            <w:pPr>
              <w:spacing w:after="20"/>
            </w:pPr>
            <w:r/>
            <w:r>
              <w:rPr>
                <w:rFonts w:ascii="Aptos" w:hAnsi="Aptos"/>
                <w:b w:val="0"/>
                <w:sz w:val="16"/>
              </w:rPr>
              <w:t>User interviews, competitive walkthroughs, launch-market choice, data map, DPIA scoping, prototype and pricing research.</w:t>
            </w:r>
          </w:p>
        </w:tc>
        <w:tc>
          <w:tcPr>
            <w:tcW w:type="dxa" w:w="2484"/>
            <w:vAlign w:val="center"/>
          </w:tcPr>
          <w:p>
            <w:pPr>
              <w:spacing w:after="20"/>
            </w:pPr>
            <w:r/>
            <w:r>
              <w:rPr>
                <w:rFonts w:ascii="Aptos" w:hAnsi="Aptos"/>
                <w:b w:val="0"/>
                <w:sz w:val="16"/>
              </w:rPr>
              <w:t>Problem validated with target users; risks and assumptions have owners.</w:t>
            </w:r>
          </w:p>
        </w:tc>
      </w:tr>
      <w:tr>
        <w:tc>
          <w:tcPr>
            <w:tcW w:type="dxa" w:w="2484"/>
            <w:vAlign w:val="center"/>
          </w:tcPr>
          <w:p>
            <w:pPr>
              <w:spacing w:after="20"/>
            </w:pPr>
            <w:r/>
            <w:r>
              <w:rPr>
                <w:rFonts w:ascii="Aptos" w:hAnsi="Aptos"/>
                <w:b w:val="0"/>
                <w:sz w:val="16"/>
              </w:rPr>
              <w:t>1. UX and architecture</w:t>
            </w:r>
          </w:p>
        </w:tc>
        <w:tc>
          <w:tcPr>
            <w:tcW w:type="dxa" w:w="2484"/>
            <w:vAlign w:val="center"/>
          </w:tcPr>
          <w:p>
            <w:pPr>
              <w:spacing w:after="20"/>
            </w:pPr>
            <w:r/>
            <w:r>
              <w:rPr>
                <w:rFonts w:ascii="Aptos" w:hAnsi="Aptos"/>
                <w:b w:val="0"/>
                <w:sz w:val="16"/>
              </w:rPr>
              <w:t>2–3 weeks; overlaps</w:t>
            </w:r>
          </w:p>
        </w:tc>
        <w:tc>
          <w:tcPr>
            <w:tcW w:type="dxa" w:w="2484"/>
            <w:vAlign w:val="center"/>
          </w:tcPr>
          <w:p>
            <w:pPr>
              <w:spacing w:after="20"/>
            </w:pPr>
            <w:r/>
            <w:r>
              <w:rPr>
                <w:rFonts w:ascii="Aptos" w:hAnsi="Aptos"/>
                <w:b w:val="0"/>
                <w:sz w:val="16"/>
              </w:rPr>
              <w:t>Flows, design system, API contracts, threat model, schema, analytics taxonomy, moderation policy and admin wireframes.</w:t>
            </w:r>
          </w:p>
        </w:tc>
        <w:tc>
          <w:tcPr>
            <w:tcW w:type="dxa" w:w="2484"/>
            <w:vAlign w:val="center"/>
          </w:tcPr>
          <w:p>
            <w:pPr>
              <w:spacing w:after="20"/>
            </w:pPr>
            <w:r/>
            <w:r>
              <w:rPr>
                <w:rFonts w:ascii="Aptos" w:hAnsi="Aptos"/>
                <w:b w:val="0"/>
                <w:sz w:val="16"/>
              </w:rPr>
              <w:t>Design usability tests pass; architecture/security review completed.</w:t>
            </w:r>
          </w:p>
        </w:tc>
      </w:tr>
      <w:tr>
        <w:tc>
          <w:tcPr>
            <w:tcW w:type="dxa" w:w="2484"/>
            <w:vAlign w:val="center"/>
          </w:tcPr>
          <w:p>
            <w:pPr>
              <w:spacing w:after="20"/>
            </w:pPr>
            <w:r/>
            <w:r>
              <w:rPr>
                <w:rFonts w:ascii="Aptos" w:hAnsi="Aptos"/>
                <w:b w:val="0"/>
                <w:sz w:val="16"/>
              </w:rPr>
              <w:t>2. MVP foundation</w:t>
            </w:r>
          </w:p>
        </w:tc>
        <w:tc>
          <w:tcPr>
            <w:tcW w:type="dxa" w:w="2484"/>
            <w:vAlign w:val="center"/>
          </w:tcPr>
          <w:p>
            <w:pPr>
              <w:spacing w:after="20"/>
            </w:pPr>
            <w:r/>
            <w:r>
              <w:rPr>
                <w:rFonts w:ascii="Aptos" w:hAnsi="Aptos"/>
                <w:b w:val="0"/>
                <w:sz w:val="16"/>
              </w:rPr>
              <w:t>4–6 weeks</w:t>
            </w:r>
          </w:p>
        </w:tc>
        <w:tc>
          <w:tcPr>
            <w:tcW w:type="dxa" w:w="2484"/>
            <w:vAlign w:val="center"/>
          </w:tcPr>
          <w:p>
            <w:pPr>
              <w:spacing w:after="20"/>
            </w:pPr>
            <w:r/>
            <w:r>
              <w:rPr>
                <w:rFonts w:ascii="Aptos" w:hAnsi="Aptos"/>
                <w:b w:val="0"/>
                <w:sz w:val="16"/>
              </w:rPr>
              <w:t>Auth, profiles, preferences, media, discovery baseline, likes, matches, messaging, block/report and admin basics.</w:t>
            </w:r>
          </w:p>
        </w:tc>
        <w:tc>
          <w:tcPr>
            <w:tcW w:type="dxa" w:w="2484"/>
            <w:vAlign w:val="center"/>
          </w:tcPr>
          <w:p>
            <w:pPr>
              <w:spacing w:after="20"/>
            </w:pPr>
            <w:r/>
            <w:r>
              <w:rPr>
                <w:rFonts w:ascii="Aptos" w:hAnsi="Aptos"/>
                <w:b w:val="0"/>
                <w:sz w:val="16"/>
              </w:rPr>
              <w:t>Critical flows work end-to-end in staging; migrations and backups tested.</w:t>
            </w:r>
          </w:p>
        </w:tc>
      </w:tr>
      <w:tr>
        <w:tc>
          <w:tcPr>
            <w:tcW w:type="dxa" w:w="2484"/>
            <w:vAlign w:val="center"/>
          </w:tcPr>
          <w:p>
            <w:pPr>
              <w:spacing w:after="20"/>
            </w:pPr>
            <w:r/>
            <w:r>
              <w:rPr>
                <w:rFonts w:ascii="Aptos" w:hAnsi="Aptos"/>
                <w:b w:val="0"/>
                <w:sz w:val="16"/>
              </w:rPr>
              <w:t>3. Ranking and safety hardening</w:t>
            </w:r>
          </w:p>
        </w:tc>
        <w:tc>
          <w:tcPr>
            <w:tcW w:type="dxa" w:w="2484"/>
            <w:vAlign w:val="center"/>
          </w:tcPr>
          <w:p>
            <w:pPr>
              <w:spacing w:after="20"/>
            </w:pPr>
            <w:r/>
            <w:r>
              <w:rPr>
                <w:rFonts w:ascii="Aptos" w:hAnsi="Aptos"/>
                <w:b w:val="0"/>
                <w:sz w:val="16"/>
              </w:rPr>
              <w:t>3–4 weeks</w:t>
            </w:r>
          </w:p>
        </w:tc>
        <w:tc>
          <w:tcPr>
            <w:tcW w:type="dxa" w:w="2484"/>
            <w:vAlign w:val="center"/>
          </w:tcPr>
          <w:p>
            <w:pPr>
              <w:spacing w:after="20"/>
            </w:pPr>
            <w:r/>
            <w:r>
              <w:rPr>
                <w:rFonts w:ascii="Aptos" w:hAnsi="Aptos"/>
                <w:b w:val="0"/>
                <w:sz w:val="16"/>
              </w:rPr>
              <w:t>Reciprocal baseline, explanation reasons, exposure logging, anti-spam, moderation queue, privacy/export/delete workflows.</w:t>
            </w:r>
          </w:p>
        </w:tc>
        <w:tc>
          <w:tcPr>
            <w:tcW w:type="dxa" w:w="2484"/>
            <w:vAlign w:val="center"/>
          </w:tcPr>
          <w:p>
            <w:pPr>
              <w:spacing w:after="20"/>
            </w:pPr>
            <w:r/>
            <w:r>
              <w:rPr>
                <w:rFonts w:ascii="Aptos" w:hAnsi="Aptos"/>
                <w:b w:val="0"/>
                <w:sz w:val="16"/>
              </w:rPr>
              <w:t>Offline ranking checks, abuse simulations, privacy review and security tests pass.</w:t>
            </w:r>
          </w:p>
        </w:tc>
      </w:tr>
      <w:tr>
        <w:tc>
          <w:tcPr>
            <w:tcW w:type="dxa" w:w="2484"/>
            <w:vAlign w:val="center"/>
          </w:tcPr>
          <w:p>
            <w:pPr>
              <w:spacing w:after="20"/>
            </w:pPr>
            <w:r/>
            <w:r>
              <w:rPr>
                <w:rFonts w:ascii="Aptos" w:hAnsi="Aptos"/>
                <w:b w:val="0"/>
                <w:sz w:val="16"/>
              </w:rPr>
              <w:t>4. Closed beta</w:t>
            </w:r>
          </w:p>
        </w:tc>
        <w:tc>
          <w:tcPr>
            <w:tcW w:type="dxa" w:w="2484"/>
            <w:vAlign w:val="center"/>
          </w:tcPr>
          <w:p>
            <w:pPr>
              <w:spacing w:after="20"/>
            </w:pPr>
            <w:r/>
            <w:r>
              <w:rPr>
                <w:rFonts w:ascii="Aptos" w:hAnsi="Aptos"/>
                <w:b w:val="0"/>
                <w:sz w:val="16"/>
              </w:rPr>
              <w:t>3–4 weeks</w:t>
            </w:r>
          </w:p>
        </w:tc>
        <w:tc>
          <w:tcPr>
            <w:tcW w:type="dxa" w:w="2484"/>
            <w:vAlign w:val="center"/>
          </w:tcPr>
          <w:p>
            <w:pPr>
              <w:spacing w:after="20"/>
            </w:pPr>
            <w:r/>
            <w:r>
              <w:rPr>
                <w:rFonts w:ascii="Aptos" w:hAnsi="Aptos"/>
                <w:b w:val="0"/>
                <w:sz w:val="16"/>
              </w:rPr>
              <w:t>Small geographically concentrated cohort, support playbooks, crash/performance monitoring, interviews and controlled model comparisons.</w:t>
            </w:r>
          </w:p>
        </w:tc>
        <w:tc>
          <w:tcPr>
            <w:tcW w:type="dxa" w:w="2484"/>
            <w:vAlign w:val="center"/>
          </w:tcPr>
          <w:p>
            <w:pPr>
              <w:spacing w:after="20"/>
            </w:pPr>
            <w:r/>
            <w:r>
              <w:rPr>
                <w:rFonts w:ascii="Aptos" w:hAnsi="Aptos"/>
                <w:b w:val="0"/>
                <w:sz w:val="16"/>
              </w:rPr>
              <w:t>No unresolved critical safety/security issues; users find relevant candidates and can complete core journeys.</w:t>
            </w:r>
          </w:p>
        </w:tc>
      </w:tr>
      <w:tr>
        <w:tc>
          <w:tcPr>
            <w:tcW w:type="dxa" w:w="2484"/>
            <w:vAlign w:val="center"/>
          </w:tcPr>
          <w:p>
            <w:pPr>
              <w:spacing w:after="20"/>
            </w:pPr>
            <w:r/>
            <w:r>
              <w:rPr>
                <w:rFonts w:ascii="Aptos" w:hAnsi="Aptos"/>
                <w:b w:val="0"/>
                <w:sz w:val="16"/>
              </w:rPr>
              <w:t>5. Public launch</w:t>
            </w:r>
          </w:p>
        </w:tc>
        <w:tc>
          <w:tcPr>
            <w:tcW w:type="dxa" w:w="2484"/>
            <w:vAlign w:val="center"/>
          </w:tcPr>
          <w:p>
            <w:pPr>
              <w:spacing w:after="20"/>
            </w:pPr>
            <w:r/>
            <w:r>
              <w:rPr>
                <w:rFonts w:ascii="Aptos" w:hAnsi="Aptos"/>
                <w:b w:val="0"/>
                <w:sz w:val="16"/>
              </w:rPr>
              <w:t>2–4 weeks</w:t>
            </w:r>
          </w:p>
        </w:tc>
        <w:tc>
          <w:tcPr>
            <w:tcW w:type="dxa" w:w="2484"/>
            <w:vAlign w:val="center"/>
          </w:tcPr>
          <w:p>
            <w:pPr>
              <w:spacing w:after="20"/>
            </w:pPr>
            <w:r/>
            <w:r>
              <w:rPr>
                <w:rFonts w:ascii="Aptos" w:hAnsi="Aptos"/>
                <w:b w:val="0"/>
                <w:sz w:val="16"/>
              </w:rPr>
              <w:t>Store releases, onboarding improvements, acquisition, billing tier only if validated, incident coverage and dashboards.</w:t>
            </w:r>
          </w:p>
        </w:tc>
        <w:tc>
          <w:tcPr>
            <w:tcW w:type="dxa" w:w="2484"/>
            <w:vAlign w:val="center"/>
          </w:tcPr>
          <w:p>
            <w:pPr>
              <w:spacing w:after="20"/>
            </w:pPr>
            <w:r/>
            <w:r>
              <w:rPr>
                <w:rFonts w:ascii="Aptos" w:hAnsi="Aptos"/>
                <w:b w:val="0"/>
                <w:sz w:val="16"/>
              </w:rPr>
              <w:t>Operational readiness, legal/store compliance, support capacity and rollback plans approved.</w:t>
            </w:r>
          </w:p>
        </w:tc>
      </w:tr>
      <w:tr>
        <w:tc>
          <w:tcPr>
            <w:tcW w:type="dxa" w:w="2484"/>
            <w:vAlign w:val="center"/>
          </w:tcPr>
          <w:p>
            <w:pPr>
              <w:spacing w:after="20"/>
            </w:pPr>
            <w:r/>
            <w:r>
              <w:rPr>
                <w:rFonts w:ascii="Aptos" w:hAnsi="Aptos"/>
                <w:b w:val="0"/>
                <w:sz w:val="16"/>
              </w:rPr>
              <w:t>6. Optimisation</w:t>
            </w:r>
          </w:p>
        </w:tc>
        <w:tc>
          <w:tcPr>
            <w:tcW w:type="dxa" w:w="2484"/>
            <w:vAlign w:val="center"/>
          </w:tcPr>
          <w:p>
            <w:pPr>
              <w:spacing w:after="20"/>
            </w:pPr>
            <w:r/>
            <w:r>
              <w:rPr>
                <w:rFonts w:ascii="Aptos" w:hAnsi="Aptos"/>
                <w:b w:val="0"/>
                <w:sz w:val="16"/>
              </w:rPr>
              <w:t>Ongoing</w:t>
            </w:r>
          </w:p>
        </w:tc>
        <w:tc>
          <w:tcPr>
            <w:tcW w:type="dxa" w:w="2484"/>
            <w:vAlign w:val="center"/>
          </w:tcPr>
          <w:p>
            <w:pPr>
              <w:spacing w:after="20"/>
            </w:pPr>
            <w:r/>
            <w:r>
              <w:rPr>
                <w:rFonts w:ascii="Aptos" w:hAnsi="Aptos"/>
                <w:b w:val="0"/>
                <w:sz w:val="16"/>
              </w:rPr>
              <w:t>Model calibration, fair exposure, optional AI helper, events and pricing experiments.</w:t>
            </w:r>
          </w:p>
        </w:tc>
        <w:tc>
          <w:tcPr>
            <w:tcW w:type="dxa" w:w="2484"/>
            <w:vAlign w:val="center"/>
          </w:tcPr>
          <w:p>
            <w:pPr>
              <w:spacing w:after="20"/>
            </w:pPr>
            <w:r/>
            <w:r>
              <w:rPr>
                <w:rFonts w:ascii="Aptos" w:hAnsi="Aptos"/>
                <w:b w:val="0"/>
                <w:sz w:val="16"/>
              </w:rPr>
              <w:t>Each expansion has evidence, guardrails and measurable user benefit.</w:t>
            </w:r>
          </w:p>
        </w:tc>
      </w:tr>
    </w:tbl>
    <w:p>
      <w:pPr>
        <w:spacing w:after="20"/>
      </w:pPr>
    </w:p>
    <w:p>
      <w:pPr>
        <w:pStyle w:val="Heading2"/>
      </w:pPr>
      <w:r>
        <w:t>11.1 Suggested team shape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76B68"/>
          </w:tcPr>
          <w:p>
            <w:pPr>
              <w:spacing w:after="20"/>
            </w:pPr>
            <w:r/>
            <w:r>
              <w:rPr>
                <w:rFonts w:ascii="Aptos" w:hAnsi="Aptos"/>
                <w:b/>
                <w:color w:val="FFFFFF"/>
                <w:sz w:val="17"/>
              </w:rPr>
              <w:t>Role</w:t>
            </w:r>
          </w:p>
        </w:tc>
        <w:tc>
          <w:tcPr>
            <w:tcW w:type="dxa" w:w="4968"/>
            <w:vAlign w:val="center"/>
            <w:shd w:fill="176B68"/>
          </w:tcPr>
          <w:p>
            <w:pPr>
              <w:spacing w:after="20"/>
            </w:pPr>
            <w:r/>
            <w:r>
              <w:rPr>
                <w:rFonts w:ascii="Aptos" w:hAnsi="Aptos"/>
                <w:b/>
                <w:color w:val="FFFFFF"/>
                <w:sz w:val="17"/>
              </w:rPr>
              <w:t>Responsibility</w:t>
            </w:r>
          </w:p>
        </w:tc>
      </w:tr>
      <w:tr>
        <w:tc>
          <w:tcPr>
            <w:tcW w:type="dxa" w:w="4968"/>
            <w:vAlign w:val="center"/>
          </w:tcPr>
          <w:p>
            <w:pPr>
              <w:spacing w:after="20"/>
            </w:pPr>
            <w:r/>
            <w:r>
              <w:rPr>
                <w:rFonts w:ascii="Aptos" w:hAnsi="Aptos"/>
                <w:b w:val="0"/>
                <w:sz w:val="16"/>
              </w:rPr>
              <w:t>Product lead/founder</w:t>
            </w:r>
          </w:p>
        </w:tc>
        <w:tc>
          <w:tcPr>
            <w:tcW w:type="dxa" w:w="4968"/>
            <w:vAlign w:val="center"/>
          </w:tcPr>
          <w:p>
            <w:pPr>
              <w:spacing w:after="20"/>
            </w:pPr>
            <w:r/>
            <w:r>
              <w:rPr>
                <w:rFonts w:ascii="Aptos" w:hAnsi="Aptos"/>
                <w:b w:val="0"/>
                <w:sz w:val="16"/>
              </w:rPr>
              <w:t>Product decisions, user research, roadmap, pricing and prioritisation.</w:t>
            </w:r>
          </w:p>
        </w:tc>
      </w:tr>
      <w:tr>
        <w:tc>
          <w:tcPr>
            <w:tcW w:type="dxa" w:w="4968"/>
            <w:vAlign w:val="center"/>
          </w:tcPr>
          <w:p>
            <w:pPr>
              <w:spacing w:after="20"/>
            </w:pPr>
            <w:r/>
            <w:r>
              <w:rPr>
                <w:rFonts w:ascii="Aptos" w:hAnsi="Aptos"/>
                <w:b w:val="0"/>
                <w:sz w:val="16"/>
              </w:rPr>
              <w:t>Product designer</w:t>
            </w:r>
          </w:p>
        </w:tc>
        <w:tc>
          <w:tcPr>
            <w:tcW w:type="dxa" w:w="4968"/>
            <w:vAlign w:val="center"/>
          </w:tcPr>
          <w:p>
            <w:pPr>
              <w:spacing w:after="20"/>
            </w:pPr>
            <w:r/>
            <w:r>
              <w:rPr>
                <w:rFonts w:ascii="Aptos" w:hAnsi="Aptos"/>
                <w:b w:val="0"/>
                <w:sz w:val="16"/>
              </w:rPr>
              <w:t>Onboarding, profiles, discovery, accessibility, conversation and safety flows.</w:t>
            </w:r>
          </w:p>
        </w:tc>
      </w:tr>
      <w:tr>
        <w:tc>
          <w:tcPr>
            <w:tcW w:type="dxa" w:w="4968"/>
            <w:vAlign w:val="center"/>
          </w:tcPr>
          <w:p>
            <w:pPr>
              <w:spacing w:after="20"/>
            </w:pPr>
            <w:r/>
            <w:r>
              <w:rPr>
                <w:rFonts w:ascii="Aptos" w:hAnsi="Aptos"/>
                <w:b w:val="0"/>
                <w:sz w:val="16"/>
              </w:rPr>
              <w:t>Mobile engineer(s)</w:t>
            </w:r>
          </w:p>
        </w:tc>
        <w:tc>
          <w:tcPr>
            <w:tcW w:type="dxa" w:w="4968"/>
            <w:vAlign w:val="center"/>
          </w:tcPr>
          <w:p>
            <w:pPr>
              <w:spacing w:after="20"/>
            </w:pPr>
            <w:r/>
            <w:r>
              <w:rPr>
                <w:rFonts w:ascii="Aptos" w:hAnsi="Aptos"/>
                <w:b w:val="0"/>
                <w:sz w:val="16"/>
              </w:rPr>
              <w:t>iOS/Android app, push, media, analytics and release pipelines.</w:t>
            </w:r>
          </w:p>
        </w:tc>
      </w:tr>
      <w:tr>
        <w:tc>
          <w:tcPr>
            <w:tcW w:type="dxa" w:w="4968"/>
            <w:vAlign w:val="center"/>
          </w:tcPr>
          <w:p>
            <w:pPr>
              <w:spacing w:after="20"/>
            </w:pPr>
            <w:r/>
            <w:r>
              <w:rPr>
                <w:rFonts w:ascii="Aptos" w:hAnsi="Aptos"/>
                <w:b w:val="0"/>
                <w:sz w:val="16"/>
              </w:rPr>
              <w:t>Backend engineer(s)</w:t>
            </w:r>
          </w:p>
        </w:tc>
        <w:tc>
          <w:tcPr>
            <w:tcW w:type="dxa" w:w="4968"/>
            <w:vAlign w:val="center"/>
          </w:tcPr>
          <w:p>
            <w:pPr>
              <w:spacing w:after="20"/>
            </w:pPr>
            <w:r/>
            <w:r>
              <w:rPr>
                <w:rFonts w:ascii="Aptos" w:hAnsi="Aptos"/>
                <w:b w:val="0"/>
                <w:sz w:val="16"/>
              </w:rPr>
              <w:t>Identity, profiles, likes/matches, messaging, APIs, jobs and data model.</w:t>
            </w:r>
          </w:p>
        </w:tc>
      </w:tr>
      <w:tr>
        <w:tc>
          <w:tcPr>
            <w:tcW w:type="dxa" w:w="4968"/>
            <w:vAlign w:val="center"/>
          </w:tcPr>
          <w:p>
            <w:pPr>
              <w:spacing w:after="20"/>
            </w:pPr>
            <w:r/>
            <w:r>
              <w:rPr>
                <w:rFonts w:ascii="Aptos" w:hAnsi="Aptos"/>
                <w:b w:val="0"/>
                <w:sz w:val="16"/>
              </w:rPr>
              <w:t>ML/data engineer (part-time initially)</w:t>
            </w:r>
          </w:p>
        </w:tc>
        <w:tc>
          <w:tcPr>
            <w:tcW w:type="dxa" w:w="4968"/>
            <w:vAlign w:val="center"/>
          </w:tcPr>
          <w:p>
            <w:pPr>
              <w:spacing w:after="20"/>
            </w:pPr>
            <w:r/>
            <w:r>
              <w:rPr>
                <w:rFonts w:ascii="Aptos" w:hAnsi="Aptos"/>
                <w:b w:val="0"/>
                <w:sz w:val="16"/>
              </w:rPr>
              <w:t>Feature definitions, ranking baseline, evaluation, exposure logging and experimentation.</w:t>
            </w:r>
          </w:p>
        </w:tc>
      </w:tr>
      <w:tr>
        <w:tc>
          <w:tcPr>
            <w:tcW w:type="dxa" w:w="4968"/>
            <w:vAlign w:val="center"/>
          </w:tcPr>
          <w:p>
            <w:pPr>
              <w:spacing w:after="20"/>
            </w:pPr>
            <w:r/>
            <w:r>
              <w:rPr>
                <w:rFonts w:ascii="Aptos" w:hAnsi="Aptos"/>
                <w:b w:val="0"/>
                <w:sz w:val="16"/>
              </w:rPr>
              <w:t>Trust &amp; safety lead/operations</w:t>
            </w:r>
          </w:p>
        </w:tc>
        <w:tc>
          <w:tcPr>
            <w:tcW w:type="dxa" w:w="4968"/>
            <w:vAlign w:val="center"/>
          </w:tcPr>
          <w:p>
            <w:pPr>
              <w:spacing w:after="20"/>
            </w:pPr>
            <w:r/>
            <w:r>
              <w:rPr>
                <w:rFonts w:ascii="Aptos" w:hAnsi="Aptos"/>
                <w:b w:val="0"/>
                <w:sz w:val="16"/>
              </w:rPr>
              <w:t>Policy, moderation workflows, escalations, incident response and appeals.</w:t>
            </w:r>
          </w:p>
        </w:tc>
      </w:tr>
      <w:tr>
        <w:tc>
          <w:tcPr>
            <w:tcW w:type="dxa" w:w="4968"/>
            <w:vAlign w:val="center"/>
          </w:tcPr>
          <w:p>
            <w:pPr>
              <w:spacing w:after="20"/>
            </w:pPr>
            <w:r/>
            <w:r>
              <w:rPr>
                <w:rFonts w:ascii="Aptos" w:hAnsi="Aptos"/>
                <w:b w:val="0"/>
                <w:sz w:val="16"/>
              </w:rPr>
              <w:t>Security/privacy/legal support</w:t>
            </w:r>
          </w:p>
        </w:tc>
        <w:tc>
          <w:tcPr>
            <w:tcW w:type="dxa" w:w="4968"/>
            <w:vAlign w:val="center"/>
          </w:tcPr>
          <w:p>
            <w:pPr>
              <w:spacing w:after="20"/>
            </w:pPr>
            <w:r/>
            <w:r>
              <w:rPr>
                <w:rFonts w:ascii="Aptos" w:hAnsi="Aptos"/>
                <w:b w:val="0"/>
                <w:sz w:val="16"/>
              </w:rPr>
              <w:t>DPIA, threat model, contracts, app-store and jurisdictional review.</w:t>
            </w:r>
          </w:p>
        </w:tc>
      </w:tr>
      <w:tr>
        <w:tc>
          <w:tcPr>
            <w:tcW w:type="dxa" w:w="4968"/>
            <w:vAlign w:val="center"/>
          </w:tcPr>
          <w:p>
            <w:pPr>
              <w:spacing w:after="20"/>
            </w:pPr>
            <w:r/>
            <w:r>
              <w:rPr>
                <w:rFonts w:ascii="Aptos" w:hAnsi="Aptos"/>
                <w:b w:val="0"/>
                <w:sz w:val="16"/>
              </w:rPr>
              <w:t>QA/automation</w:t>
            </w:r>
          </w:p>
        </w:tc>
        <w:tc>
          <w:tcPr>
            <w:tcW w:type="dxa" w:w="4968"/>
            <w:vAlign w:val="center"/>
          </w:tcPr>
          <w:p>
            <w:pPr>
              <w:spacing w:after="20"/>
            </w:pPr>
            <w:r/>
            <w:r>
              <w:rPr>
                <w:rFonts w:ascii="Aptos" w:hAnsi="Aptos"/>
                <w:b w:val="0"/>
                <w:sz w:val="16"/>
              </w:rPr>
              <w:t>Core journey tests, abuse cases, load tests, regression and device coverage.</w:t>
            </w:r>
          </w:p>
        </w:tc>
      </w:tr>
    </w:tbl>
    <w:p>
      <w:pPr>
        <w:spacing w:after="20"/>
      </w:pPr>
    </w:p>
    <w:p>
      <w:pPr>
        <w:pStyle w:val="Heading2"/>
      </w:pPr>
      <w:r>
        <w:t>11.2 Release gates</w:t>
      </w:r>
    </w:p>
    <w:p>
      <w:pPr>
        <w:pStyle w:val="ListBullet"/>
        <w:spacing w:after="40"/>
      </w:pPr>
      <w:r>
        <w:t>No launch with unresolved critical/high security findings without formally approved remediation or risk treatment.</w:t>
      </w:r>
    </w:p>
    <w:p>
      <w:pPr>
        <w:pStyle w:val="ListBullet"/>
        <w:spacing w:after="40"/>
      </w:pPr>
      <w:r>
        <w:t>All core user journeys covered by automated tests: signup, profile, recommendation, like, mutual match, messaging, block, report, unmatch, deletion and subscription restore if enabled.</w:t>
      </w:r>
    </w:p>
    <w:p>
      <w:pPr>
        <w:pStyle w:val="ListBullet"/>
        <w:spacing w:after="40"/>
      </w:pPr>
      <w:r>
        <w:t>Concurrency test confirms one active match per pair and idempotent like/message/billing behaviour.</w:t>
      </w:r>
    </w:p>
    <w:p>
      <w:pPr>
        <w:pStyle w:val="ListBullet"/>
        <w:spacing w:after="40"/>
      </w:pPr>
      <w:r>
        <w:t>Backup restore has been demonstrated; alerting, on-call ownership and rollback procedure are documented.</w:t>
      </w:r>
    </w:p>
    <w:p>
      <w:pPr>
        <w:pStyle w:val="ListBullet"/>
        <w:spacing w:after="40"/>
      </w:pPr>
      <w:r>
        <w:t>Privacy notices, consent flows, data export/deletion and retention controls are tested in staging.</w:t>
      </w:r>
    </w:p>
    <w:p>
      <w:pPr>
        <w:pStyle w:val="ListBullet"/>
        <w:spacing w:after="40"/>
      </w:pPr>
      <w:r>
        <w:t>Moderation staff, policy, escalation contacts and case-management permissions are ready before public signup.</w:t>
      </w:r>
    </w:p>
    <w:p>
      <w:pPr>
        <w:pStyle w:val="ListBullet"/>
        <w:spacing w:after="40"/>
      </w:pPr>
      <w:r>
        <w:t>App-store policy review and all jurisdiction-specific legal reviews are complete.</w:t>
      </w:r>
    </w:p>
    <w:p>
      <w:pPr>
        <w:pStyle w:val="ListBullet"/>
        <w:spacing w:after="40"/>
      </w:pPr>
      <w:r>
        <w:t>Beta has adequate local user density and an operational response plan; do not declare success from registration count alone.</w:t>
      </w:r>
    </w:p>
    <w:p>
      <w:pPr>
        <w:pStyle w:val="Heading1"/>
      </w:pPr>
      <w:r>
        <w:t>12. Risks and open questions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76B68"/>
          </w:tcPr>
          <w:p>
            <w:pPr>
              <w:spacing w:after="20"/>
            </w:pPr>
            <w:r/>
            <w:r>
              <w:rPr>
                <w:rFonts w:ascii="Aptos" w:hAnsi="Aptos"/>
                <w:b/>
                <w:color w:val="FFFFFF"/>
                <w:sz w:val="17"/>
              </w:rPr>
              <w:t>Risk</w:t>
            </w:r>
          </w:p>
        </w:tc>
        <w:tc>
          <w:tcPr>
            <w:tcW w:type="dxa" w:w="3312"/>
            <w:vAlign w:val="center"/>
            <w:shd w:fill="176B68"/>
          </w:tcPr>
          <w:p>
            <w:pPr>
              <w:spacing w:after="20"/>
            </w:pPr>
            <w:r/>
            <w:r>
              <w:rPr>
                <w:rFonts w:ascii="Aptos" w:hAnsi="Aptos"/>
                <w:b/>
                <w:color w:val="FFFFFF"/>
                <w:sz w:val="17"/>
              </w:rPr>
              <w:t>Impact</w:t>
            </w:r>
          </w:p>
        </w:tc>
        <w:tc>
          <w:tcPr>
            <w:tcW w:type="dxa" w:w="3312"/>
            <w:vAlign w:val="center"/>
            <w:shd w:fill="176B68"/>
          </w:tcPr>
          <w:p>
            <w:pPr>
              <w:spacing w:after="20"/>
            </w:pPr>
            <w:r/>
            <w:r>
              <w:rPr>
                <w:rFonts w:ascii="Aptos" w:hAnsi="Aptos"/>
                <w:b/>
                <w:color w:val="FFFFFF"/>
                <w:sz w:val="17"/>
              </w:rPr>
              <w:t>Mitigation / next action</w:t>
            </w:r>
          </w:p>
        </w:tc>
      </w:tr>
      <w:tr>
        <w:tc>
          <w:tcPr>
            <w:tcW w:type="dxa" w:w="3312"/>
            <w:vAlign w:val="center"/>
          </w:tcPr>
          <w:p>
            <w:pPr>
              <w:spacing w:after="20"/>
            </w:pPr>
            <w:r/>
            <w:r>
              <w:rPr>
                <w:rFonts w:ascii="Aptos" w:hAnsi="Aptos"/>
                <w:b w:val="0"/>
                <w:sz w:val="16"/>
              </w:rPr>
              <w:t>Low local density</w:t>
            </w:r>
          </w:p>
        </w:tc>
        <w:tc>
          <w:tcPr>
            <w:tcW w:type="dxa" w:w="3312"/>
            <w:vAlign w:val="center"/>
          </w:tcPr>
          <w:p>
            <w:pPr>
              <w:spacing w:after="20"/>
            </w:pPr>
            <w:r/>
            <w:r>
              <w:rPr>
                <w:rFonts w:ascii="Aptos" w:hAnsi="Aptos"/>
                <w:b w:val="0"/>
                <w:sz w:val="16"/>
              </w:rPr>
              <w:t>Users see few relevant candidates; poor retention.</w:t>
            </w:r>
          </w:p>
        </w:tc>
        <w:tc>
          <w:tcPr>
            <w:tcW w:type="dxa" w:w="3312"/>
            <w:vAlign w:val="center"/>
          </w:tcPr>
          <w:p>
            <w:pPr>
              <w:spacing w:after="20"/>
            </w:pPr>
            <w:r/>
            <w:r>
              <w:rPr>
                <w:rFonts w:ascii="Aptos" w:hAnsi="Aptos"/>
                <w:b w:val="0"/>
                <w:sz w:val="16"/>
              </w:rPr>
              <w:t>Launch in a concentrated area, seed both sides ethically, measure active eligible pool.</w:t>
            </w:r>
          </w:p>
        </w:tc>
      </w:tr>
      <w:tr>
        <w:tc>
          <w:tcPr>
            <w:tcW w:type="dxa" w:w="3312"/>
            <w:vAlign w:val="center"/>
          </w:tcPr>
          <w:p>
            <w:pPr>
              <w:spacing w:after="20"/>
            </w:pPr>
            <w:r/>
            <w:r>
              <w:rPr>
                <w:rFonts w:ascii="Aptos" w:hAnsi="Aptos"/>
                <w:b w:val="0"/>
                <w:sz w:val="16"/>
              </w:rPr>
              <w:t>Ranking feedback loops</w:t>
            </w:r>
          </w:p>
        </w:tc>
        <w:tc>
          <w:tcPr>
            <w:tcW w:type="dxa" w:w="3312"/>
            <w:vAlign w:val="center"/>
          </w:tcPr>
          <w:p>
            <w:pPr>
              <w:spacing w:after="20"/>
            </w:pPr>
            <w:r/>
            <w:r>
              <w:rPr>
                <w:rFonts w:ascii="Aptos" w:hAnsi="Aptos"/>
                <w:b w:val="0"/>
                <w:sz w:val="16"/>
              </w:rPr>
              <w:t>Already-visible profiles dominate exposure.</w:t>
            </w:r>
          </w:p>
        </w:tc>
        <w:tc>
          <w:tcPr>
            <w:tcW w:type="dxa" w:w="3312"/>
            <w:vAlign w:val="center"/>
          </w:tcPr>
          <w:p>
            <w:pPr>
              <w:spacing w:after="20"/>
            </w:pPr>
            <w:r/>
            <w:r>
              <w:rPr>
                <w:rFonts w:ascii="Aptos" w:hAnsi="Aptos"/>
                <w:b w:val="0"/>
                <w:sz w:val="16"/>
              </w:rPr>
              <w:t>Exposure logs, re-ranking constraints, cold-start exploration and fairness dashboards.</w:t>
            </w:r>
          </w:p>
        </w:tc>
      </w:tr>
      <w:tr>
        <w:tc>
          <w:tcPr>
            <w:tcW w:type="dxa" w:w="3312"/>
            <w:vAlign w:val="center"/>
          </w:tcPr>
          <w:p>
            <w:pPr>
              <w:spacing w:after="20"/>
            </w:pPr>
            <w:r/>
            <w:r>
              <w:rPr>
                <w:rFonts w:ascii="Aptos" w:hAnsi="Aptos"/>
                <w:b w:val="0"/>
                <w:sz w:val="16"/>
              </w:rPr>
              <w:t>Sparse or biased labels</w:t>
            </w:r>
          </w:p>
        </w:tc>
        <w:tc>
          <w:tcPr>
            <w:tcW w:type="dxa" w:w="3312"/>
            <w:vAlign w:val="center"/>
          </w:tcPr>
          <w:p>
            <w:pPr>
              <w:spacing w:after="20"/>
            </w:pPr>
            <w:r/>
            <w:r>
              <w:rPr>
                <w:rFonts w:ascii="Aptos" w:hAnsi="Aptos"/>
                <w:b w:val="0"/>
                <w:sz w:val="16"/>
              </w:rPr>
              <w:t>Likes reflect exposure and context, not true compatibility.</w:t>
            </w:r>
          </w:p>
        </w:tc>
        <w:tc>
          <w:tcPr>
            <w:tcW w:type="dxa" w:w="3312"/>
            <w:vAlign w:val="center"/>
          </w:tcPr>
          <w:p>
            <w:pPr>
              <w:spacing w:after="20"/>
            </w:pPr>
            <w:r/>
            <w:r>
              <w:rPr>
                <w:rFonts w:ascii="Aptos" w:hAnsi="Aptos"/>
                <w:b w:val="0"/>
                <w:sz w:val="16"/>
              </w:rPr>
              <w:t>Separate impression from action, use uncertainty, test multiple outcome measures.</w:t>
            </w:r>
          </w:p>
        </w:tc>
      </w:tr>
      <w:tr>
        <w:tc>
          <w:tcPr>
            <w:tcW w:type="dxa" w:w="3312"/>
            <w:vAlign w:val="center"/>
          </w:tcPr>
          <w:p>
            <w:pPr>
              <w:spacing w:after="20"/>
            </w:pPr>
            <w:r/>
            <w:r>
              <w:rPr>
                <w:rFonts w:ascii="Aptos" w:hAnsi="Aptos"/>
                <w:b w:val="0"/>
                <w:sz w:val="16"/>
              </w:rPr>
              <w:t>Sensitive-data misuse</w:t>
            </w:r>
          </w:p>
        </w:tc>
        <w:tc>
          <w:tcPr>
            <w:tcW w:type="dxa" w:w="3312"/>
            <w:vAlign w:val="center"/>
          </w:tcPr>
          <w:p>
            <w:pPr>
              <w:spacing w:after="20"/>
            </w:pPr>
            <w:r/>
            <w:r>
              <w:rPr>
                <w:rFonts w:ascii="Aptos" w:hAnsi="Aptos"/>
                <w:b w:val="0"/>
                <w:sz w:val="16"/>
              </w:rPr>
              <w:t>Legal harm and loss of trust.</w:t>
            </w:r>
          </w:p>
        </w:tc>
        <w:tc>
          <w:tcPr>
            <w:tcW w:type="dxa" w:w="3312"/>
            <w:vAlign w:val="center"/>
          </w:tcPr>
          <w:p>
            <w:pPr>
              <w:spacing w:after="20"/>
            </w:pPr>
            <w:r/>
            <w:r>
              <w:rPr>
                <w:rFonts w:ascii="Aptos" w:hAnsi="Aptos"/>
                <w:b w:val="0"/>
                <w:sz w:val="16"/>
              </w:rPr>
              <w:t>Minimise data, no sensitive inference, DPIA, restricted access and explicit purpose controls.</w:t>
            </w:r>
          </w:p>
        </w:tc>
      </w:tr>
      <w:tr>
        <w:tc>
          <w:tcPr>
            <w:tcW w:type="dxa" w:w="3312"/>
            <w:vAlign w:val="center"/>
          </w:tcPr>
          <w:p>
            <w:pPr>
              <w:spacing w:after="20"/>
            </w:pPr>
            <w:r/>
            <w:r>
              <w:rPr>
                <w:rFonts w:ascii="Aptos" w:hAnsi="Aptos"/>
                <w:b w:val="0"/>
                <w:sz w:val="16"/>
              </w:rPr>
              <w:t>Abuse/scams</w:t>
            </w:r>
          </w:p>
        </w:tc>
        <w:tc>
          <w:tcPr>
            <w:tcW w:type="dxa" w:w="3312"/>
            <w:vAlign w:val="center"/>
          </w:tcPr>
          <w:p>
            <w:pPr>
              <w:spacing w:after="20"/>
            </w:pPr>
            <w:r/>
            <w:r>
              <w:rPr>
                <w:rFonts w:ascii="Aptos" w:hAnsi="Aptos"/>
                <w:b w:val="0"/>
                <w:sz w:val="16"/>
              </w:rPr>
              <w:t>Direct user harm and reputational damage.</w:t>
            </w:r>
          </w:p>
        </w:tc>
        <w:tc>
          <w:tcPr>
            <w:tcW w:type="dxa" w:w="3312"/>
            <w:vAlign w:val="center"/>
          </w:tcPr>
          <w:p>
            <w:pPr>
              <w:spacing w:after="20"/>
            </w:pPr>
            <w:r/>
            <w:r>
              <w:rPr>
                <w:rFonts w:ascii="Aptos" w:hAnsi="Aptos"/>
                <w:b w:val="0"/>
                <w:sz w:val="16"/>
              </w:rPr>
              <w:t>Safety staffing, reporting, rate limits, anti-scam education and incident escalation.</w:t>
            </w:r>
          </w:p>
        </w:tc>
      </w:tr>
      <w:tr>
        <w:tc>
          <w:tcPr>
            <w:tcW w:type="dxa" w:w="3312"/>
            <w:vAlign w:val="center"/>
          </w:tcPr>
          <w:p>
            <w:pPr>
              <w:spacing w:after="20"/>
            </w:pPr>
            <w:r/>
            <w:r>
              <w:rPr>
                <w:rFonts w:ascii="Aptos" w:hAnsi="Aptos"/>
                <w:b w:val="0"/>
                <w:sz w:val="16"/>
              </w:rPr>
              <w:t>Subscription damages trust</w:t>
            </w:r>
          </w:p>
        </w:tc>
        <w:tc>
          <w:tcPr>
            <w:tcW w:type="dxa" w:w="3312"/>
            <w:vAlign w:val="center"/>
          </w:tcPr>
          <w:p>
            <w:pPr>
              <w:spacing w:after="20"/>
            </w:pPr>
            <w:r/>
            <w:r>
              <w:rPr>
                <w:rFonts w:ascii="Aptos" w:hAnsi="Aptos"/>
                <w:b w:val="0"/>
                <w:sz w:val="16"/>
              </w:rPr>
              <w:t>Free users feel deliberately disadvantaged.</w:t>
            </w:r>
          </w:p>
        </w:tc>
        <w:tc>
          <w:tcPr>
            <w:tcW w:type="dxa" w:w="3312"/>
            <w:vAlign w:val="center"/>
          </w:tcPr>
          <w:p>
            <w:pPr>
              <w:spacing w:after="20"/>
            </w:pPr>
            <w:r/>
            <w:r>
              <w:rPr>
                <w:rFonts w:ascii="Aptos" w:hAnsi="Aptos"/>
                <w:b w:val="0"/>
                <w:sz w:val="16"/>
              </w:rPr>
              <w:t>Protect core experience; measure satisfaction and complaints by tier.</w:t>
            </w:r>
          </w:p>
        </w:tc>
      </w:tr>
      <w:tr>
        <w:tc>
          <w:tcPr>
            <w:tcW w:type="dxa" w:w="3312"/>
            <w:vAlign w:val="center"/>
          </w:tcPr>
          <w:p>
            <w:pPr>
              <w:spacing w:after="20"/>
            </w:pPr>
            <w:r/>
            <w:r>
              <w:rPr>
                <w:rFonts w:ascii="Aptos" w:hAnsi="Aptos"/>
                <w:b w:val="0"/>
                <w:sz w:val="16"/>
              </w:rPr>
              <w:t>AI hallucinated explanations</w:t>
            </w:r>
          </w:p>
        </w:tc>
        <w:tc>
          <w:tcPr>
            <w:tcW w:type="dxa" w:w="3312"/>
            <w:vAlign w:val="center"/>
          </w:tcPr>
          <w:p>
            <w:pPr>
              <w:spacing w:after="20"/>
            </w:pPr>
            <w:r/>
            <w:r>
              <w:rPr>
                <w:rFonts w:ascii="Aptos" w:hAnsi="Aptos"/>
                <w:b w:val="0"/>
                <w:sz w:val="16"/>
              </w:rPr>
              <w:t>Misleading users about compatibility.</w:t>
            </w:r>
          </w:p>
        </w:tc>
        <w:tc>
          <w:tcPr>
            <w:tcW w:type="dxa" w:w="3312"/>
            <w:vAlign w:val="center"/>
          </w:tcPr>
          <w:p>
            <w:pPr>
              <w:spacing w:after="20"/>
            </w:pPr>
            <w:r/>
            <w:r>
              <w:rPr>
                <w:rFonts w:ascii="Aptos" w:hAnsi="Aptos"/>
                <w:b w:val="0"/>
                <w:sz w:val="16"/>
              </w:rPr>
              <w:t>Template explanations grounded in profile facts; user review; audit and fallback.</w:t>
            </w:r>
          </w:p>
        </w:tc>
      </w:tr>
      <w:tr>
        <w:tc>
          <w:tcPr>
            <w:tcW w:type="dxa" w:w="3312"/>
            <w:vAlign w:val="center"/>
          </w:tcPr>
          <w:p>
            <w:pPr>
              <w:spacing w:after="20"/>
            </w:pPr>
            <w:r/>
            <w:r>
              <w:rPr>
                <w:rFonts w:ascii="Aptos" w:hAnsi="Aptos"/>
                <w:b w:val="0"/>
                <w:sz w:val="16"/>
              </w:rPr>
              <w:t>Premature microservices</w:t>
            </w:r>
          </w:p>
        </w:tc>
        <w:tc>
          <w:tcPr>
            <w:tcW w:type="dxa" w:w="3312"/>
            <w:vAlign w:val="center"/>
          </w:tcPr>
          <w:p>
            <w:pPr>
              <w:spacing w:after="20"/>
            </w:pPr>
            <w:r/>
            <w:r>
              <w:rPr>
                <w:rFonts w:ascii="Aptos" w:hAnsi="Aptos"/>
                <w:b w:val="0"/>
                <w:sz w:val="16"/>
              </w:rPr>
              <w:t>Operational overhead and slow delivery.</w:t>
            </w:r>
          </w:p>
        </w:tc>
        <w:tc>
          <w:tcPr>
            <w:tcW w:type="dxa" w:w="3312"/>
            <w:vAlign w:val="center"/>
          </w:tcPr>
          <w:p>
            <w:pPr>
              <w:spacing w:after="20"/>
            </w:pPr>
            <w:r/>
            <w:r>
              <w:rPr>
                <w:rFonts w:ascii="Aptos" w:hAnsi="Aptos"/>
                <w:b w:val="0"/>
                <w:sz w:val="16"/>
              </w:rPr>
              <w:t>Start modular; split only when ownership, load or reliability justifies it.</w:t>
            </w:r>
          </w:p>
        </w:tc>
      </w:tr>
      <w:tr>
        <w:tc>
          <w:tcPr>
            <w:tcW w:type="dxa" w:w="3312"/>
            <w:vAlign w:val="center"/>
          </w:tcPr>
          <w:p>
            <w:pPr>
              <w:spacing w:after="20"/>
            </w:pPr>
            <w:r/>
            <w:r>
              <w:rPr>
                <w:rFonts w:ascii="Aptos" w:hAnsi="Aptos"/>
                <w:b w:val="0"/>
                <w:sz w:val="16"/>
              </w:rPr>
              <w:t>Legal scope uncertainty</w:t>
            </w:r>
          </w:p>
        </w:tc>
        <w:tc>
          <w:tcPr>
            <w:tcW w:type="dxa" w:w="3312"/>
            <w:vAlign w:val="center"/>
          </w:tcPr>
          <w:p>
            <w:pPr>
              <w:spacing w:after="20"/>
            </w:pPr>
            <w:r/>
            <w:r>
              <w:rPr>
                <w:rFonts w:ascii="Aptos" w:hAnsi="Aptos"/>
                <w:b w:val="0"/>
                <w:sz w:val="16"/>
              </w:rPr>
              <w:t>Late redesign or enforcement risk.</w:t>
            </w:r>
          </w:p>
        </w:tc>
        <w:tc>
          <w:tcPr>
            <w:tcW w:type="dxa" w:w="3312"/>
            <w:vAlign w:val="center"/>
          </w:tcPr>
          <w:p>
            <w:pPr>
              <w:spacing w:after="20"/>
            </w:pPr>
            <w:r/>
            <w:r>
              <w:rPr>
                <w:rFonts w:ascii="Aptos" w:hAnsi="Aptos"/>
                <w:b w:val="0"/>
                <w:sz w:val="16"/>
              </w:rPr>
              <w:t>Specialist UK advice, Ofcom scope assessment and privacy review before public launch.</w:t>
            </w:r>
          </w:p>
        </w:tc>
      </w:tr>
      <w:tr>
        <w:tc>
          <w:tcPr>
            <w:tcW w:type="dxa" w:w="3312"/>
            <w:vAlign w:val="center"/>
          </w:tcPr>
          <w:p>
            <w:pPr>
              <w:spacing w:after="20"/>
            </w:pPr>
            <w:r/>
            <w:r>
              <w:rPr>
                <w:rFonts w:ascii="Aptos" w:hAnsi="Aptos"/>
                <w:b w:val="0"/>
                <w:sz w:val="16"/>
              </w:rPr>
              <w:t>Outcome metric manipulation</w:t>
            </w:r>
          </w:p>
        </w:tc>
        <w:tc>
          <w:tcPr>
            <w:tcW w:type="dxa" w:w="3312"/>
            <w:vAlign w:val="center"/>
          </w:tcPr>
          <w:p>
            <w:pPr>
              <w:spacing w:after="20"/>
            </w:pPr>
            <w:r/>
            <w:r>
              <w:rPr>
                <w:rFonts w:ascii="Aptos" w:hAnsi="Aptos"/>
                <w:b w:val="0"/>
                <w:sz w:val="16"/>
              </w:rPr>
              <w:t>Product optimises engagement rather than relationships.</w:t>
            </w:r>
          </w:p>
        </w:tc>
        <w:tc>
          <w:tcPr>
            <w:tcW w:type="dxa" w:w="3312"/>
            <w:vAlign w:val="center"/>
          </w:tcPr>
          <w:p>
            <w:pPr>
              <w:spacing w:after="20"/>
            </w:pPr>
            <w:r/>
            <w:r>
              <w:rPr>
                <w:rFonts w:ascii="Aptos" w:hAnsi="Aptos"/>
                <w:b w:val="0"/>
                <w:sz w:val="16"/>
              </w:rPr>
              <w:t>Balanced scorecard, safety guardrails, optional user-reported outcomes and independent review.</w:t>
            </w:r>
          </w:p>
        </w:tc>
      </w:tr>
    </w:tbl>
    <w:p>
      <w:pPr>
        <w:spacing w:after="20"/>
      </w:pPr>
    </w:p>
    <w:p>
      <w:pPr>
        <w:pStyle w:val="Heading2"/>
      </w:pPr>
      <w:r>
        <w:t>Questions that must be answered before implementation</w:t>
      </w:r>
    </w:p>
    <w:p>
      <w:pPr>
        <w:pStyle w:val="ListBullet"/>
        <w:spacing w:after="40"/>
      </w:pPr>
      <w:r>
        <w:t>Which UK city or region is the initial launch market, and how will we acquire a balanced, active cohort?</w:t>
      </w:r>
    </w:p>
    <w:p>
      <w:pPr>
        <w:pStyle w:val="ListBullet"/>
        <w:spacing w:after="40"/>
      </w:pPr>
      <w:r>
        <w:t>Will the app support only one-to-one profiles at launch? (Recommended: yes.)</w:t>
      </w:r>
    </w:p>
    <w:p>
      <w:pPr>
        <w:pStyle w:val="ListBullet"/>
        <w:spacing w:after="40"/>
      </w:pPr>
      <w:r>
        <w:t>What exact gender/orientation taxonomy and visibility controls are needed for the initial audience?</w:t>
      </w:r>
    </w:p>
    <w:p>
      <w:pPr>
        <w:pStyle w:val="ListBullet"/>
        <w:spacing w:after="40"/>
      </w:pPr>
      <w:r>
        <w:t>Which verification method is proportionate, affordable and acceptable to users?</w:t>
      </w:r>
    </w:p>
    <w:p>
      <w:pPr>
        <w:pStyle w:val="ListBullet"/>
        <w:spacing w:after="40"/>
      </w:pPr>
      <w:r>
        <w:t>What moderation coverage and escalation support can be staffed from day one?</w:t>
      </w:r>
    </w:p>
    <w:p>
      <w:pPr>
        <w:pStyle w:val="ListBullet"/>
        <w:spacing w:after="40"/>
      </w:pPr>
      <w:r>
        <w:t>What is the initial budget and team size, and is a modular monolith preferred for launch?</w:t>
      </w:r>
    </w:p>
    <w:p>
      <w:pPr>
        <w:pStyle w:val="ListBullet"/>
        <w:spacing w:after="40"/>
      </w:pPr>
      <w:r>
        <w:t>What is the chosen subscription price and which non-essential benefits are worth paying for?</w:t>
      </w:r>
    </w:p>
    <w:p>
      <w:pPr>
        <w:pStyle w:val="ListBullet"/>
        <w:spacing w:after="40"/>
      </w:pPr>
      <w:r>
        <w:t>What are the retention periods for messages, analytics, recommendation exposures and safety evidence?</w:t>
      </w:r>
    </w:p>
    <w:p>
      <w:pPr>
        <w:pStyle w:val="ListBullet"/>
        <w:spacing w:after="40"/>
      </w:pPr>
      <w:r>
        <w:t>Which jurisdictions are in scope for launch, and which store policies apply to subscriptions and user-generated content?</w:t>
      </w:r>
    </w:p>
    <w:p>
      <w:pPr>
        <w:pStyle w:val="Heading1"/>
      </w:pPr>
      <w:r>
        <w:t>13. Research references</w:t>
      </w:r>
    </w:p>
    <w:p>
      <w:r>
        <w:t>These sources inform the design direction. They do not establish the proposed weights, pricing or feature set as optimal; those require product-specific validation.</w:t>
      </w:r>
    </w:p>
    <w:p>
      <w:pPr>
        <w:spacing w:after="40"/>
      </w:pPr>
      <w:r>
        <w:rPr>
          <w:b/>
        </w:rPr>
        <w:t xml:space="preserve">R1 — Reciprocal recommendation research: </w:t>
      </w:r>
      <w:r>
        <w:t xml:space="preserve">Pizzato et al., “Recommending people to people: the nature of reciprocal recommenders with a case study in online dating,” User Modeling and User-Adapted Interaction (2013). Explains why both parties' preferences matter and discusses implicit vs explicit profile signals. </w:t>
      </w:r>
      <w:r>
        <w:rPr>
          <w:color w:val="176B68"/>
        </w:rPr>
        <w:t>https://doi.org/10.1007/s11257-012-9125-0</w:t>
      </w:r>
    </w:p>
    <w:p>
      <w:pPr>
        <w:spacing w:after="40"/>
      </w:pPr>
      <w:r>
        <w:rPr>
          <w:b/>
        </w:rPr>
        <w:t xml:space="preserve">R2 — Reciprocal recommendation systems: </w:t>
      </w:r>
      <w:r>
        <w:t xml:space="preserve">Xia et al., “Reciprocal Recommendation System for Online Dating,” arXiv (2015). Evaluates reciprocal ranking approaches on dating-platform data. </w:t>
      </w:r>
      <w:r>
        <w:rPr>
          <w:color w:val="176B68"/>
        </w:rPr>
        <w:t>https://arxiv.org/abs/1501.06247</w:t>
      </w:r>
    </w:p>
    <w:p>
      <w:pPr>
        <w:spacing w:after="40"/>
      </w:pPr>
      <w:r>
        <w:rPr>
          <w:b/>
        </w:rPr>
        <w:t xml:space="preserve">R3 — ICO profiling and automated decision-making: </w:t>
      </w:r>
      <w:r>
        <w:t xml:space="preserve">ICO, “Rights related to automated decision making including profiling.” Guidance on transparency, fairness, correction, challenge and when Article 22 protections apply. </w:t>
      </w:r>
      <w:r>
        <w:rPr>
          <w:color w:val="176B68"/>
        </w:rPr>
        <w:t>https://ico.org.uk/for-organisations/uk-gdpr-guidance-and-resources/individual-rights/individual-rights/rights-related-to-automated-decision-making-including-profiling/</w:t>
      </w:r>
    </w:p>
    <w:p>
      <w:pPr>
        <w:spacing w:after="40"/>
      </w:pPr>
      <w:r>
        <w:rPr>
          <w:b/>
        </w:rPr>
        <w:t xml:space="preserve">R4 — ICO special-category data: </w:t>
      </w:r>
      <w:r>
        <w:t xml:space="preserve">ICO, “What are the rules on special category data?” Covers Article 6 lawful basis, Article 9 condition, DPIA and safeguards; guidance notes recent legislative changes may mean some pages are under review. </w:t>
      </w:r>
      <w:r>
        <w:rPr>
          <w:color w:val="176B68"/>
        </w:rPr>
        <w:t>https://ico.org.uk/for-organisations/uk-gdpr-guidance-and-resources/lawful-basis/special-category-data/what-are-the-rules-on-special-category-data/</w:t>
      </w:r>
    </w:p>
    <w:p>
      <w:pPr>
        <w:spacing w:after="40"/>
      </w:pPr>
      <w:r>
        <w:rPr>
          <w:b/>
        </w:rPr>
        <w:t xml:space="preserve">R5 — Ofcom dating/social discovery guidance: </w:t>
      </w:r>
      <w:r>
        <w:t xml:space="preserve">Ofcom, “Dating and social discovery: know the online safety risks, rules and how to comply,” published 18 May 2026. Advises providers to assess applicability of the Online Safety Act and understand service risks and duties. </w:t>
      </w:r>
      <w:r>
        <w:rPr>
          <w:color w:val="176B68"/>
        </w:rPr>
        <w:t>https://www.ofcom.org.uk/online-safety/illegal-and-harmful-content/dating-and-social-discovery-know-the-online-safety-risks-rules-and-how-to-comply</w:t>
      </w:r>
    </w:p>
    <w:p>
      <w:pPr>
        <w:spacing w:after="40"/>
      </w:pPr>
      <w:r>
        <w:rPr>
          <w:b/>
        </w:rPr>
        <w:t xml:space="preserve">R6 — Ofcom Online Safety Act service guide: </w:t>
      </w:r>
      <w:r>
        <w:t xml:space="preserve">Ofcom, “Online Safety Act compliance guide for providers of online services.” General scope and compliance guidance. </w:t>
      </w:r>
      <w:r>
        <w:rPr>
          <w:color w:val="176B68"/>
        </w:rPr>
        <w:t>https://www.ofcom.org.uk/online-safety/illegal-and-harmful-content/guide-for-services</w:t>
      </w:r>
    </w:p>
    <w:p>
      <w:pPr>
        <w:pStyle w:val="Heading1"/>
      </w:pPr>
      <w:r>
        <w:t>Final recommendation</w:t>
      </w:r>
    </w:p>
    <w:p>
      <w:r>
        <w:t>Build a trustworthy relationship product first, not an AI showcase. The launch advantage should be reciprocal recommendations, useful explanations, meaningful free access and competent safety operations. Begin with a transparent baseline, collect only the data needed to improve it, and promote more complex models only when measured evidence shows they create better mutual connections without increasing harm or unfairness.</w:t>
      </w:r>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FIRST 30 DAYS  </w:t>
            </w:r>
            <w:r>
              <w:t>1) Select the launch market and target cohort. 2) Interview prospective users and test a clickable prototype. 3) Complete data mapping and DPIA scoping. 4) Approve MVP flows and moderation policy. 5) Freeze API/schema contracts and instrument the core funnel before building ranking personalisation.</w:t>
            </w:r>
          </w:p>
        </w:tc>
      </w:tr>
    </w:tbl>
    <w:p>
      <w:pPr>
        <w:spacing w:after="20"/>
      </w:pPr>
    </w:p>
    <w:p>
      <w:r>
        <w:br w:type="page"/>
      </w:r>
    </w:p>
    <w:p>
      <w:pPr>
        <w:pStyle w:val="Heading1"/>
      </w:pPr>
      <w:r>
        <w:t>Addendum — Verified-First Trust &amp; Safety System</w:t>
      </w:r>
    </w:p>
    <w:p>
      <w:r>
        <w:t>Product direction added after the initial blueprint: make trust and verification a defining feature of the service. The goal is to reduce bots, catfishing, scams and repeat abuse while protecting legitimate users from false positives. This is a proposed design; identity methods, access thresholds, retention and legal bases require validation before launch.</w:t>
      </w:r>
    </w:p>
    <w:tbl>
      <w:tblPr>
        <w:tblW w:type="auto" w:w="0"/>
        <w:tblLook w:firstColumn="1" w:firstRow="1" w:lastColumn="0" w:lastRow="0" w:noHBand="0" w:noVBand="1" w:val="04A0"/>
      </w:tblPr>
      <w:tblGrid>
        <w:gridCol w:w="9936"/>
      </w:tblGrid>
      <w:tr>
        <w:tc>
          <w:tcPr>
            <w:tcW w:type="dxa" w:w="9936"/>
            <w:shd w:fill="EAF3F2"/>
          </w:tcPr>
          <w:p>
            <w:pPr>
              <w:spacing w:after="40"/>
            </w:pPr>
            <w:r/>
            <w:r>
              <w:rPr>
                <w:b/>
                <w:color w:val="176B68"/>
              </w:rPr>
              <w:t xml:space="preserve">CORE PRINCIPLE  </w:t>
            </w:r>
            <w:r>
              <w:t>Use layered evidence and risk-based decisions. A phone number, IP address, device signal or reused image is a clue—not definitive proof of identity or wrongdoing.</w:t>
            </w:r>
          </w:p>
        </w:tc>
      </w:tr>
    </w:tbl>
    <w:p>
      <w:pPr>
        <w:pStyle w:val="Heading2"/>
      </w:pPr>
      <w:r>
        <w:t>A. Verification tiers and product policy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76B68"/>
          </w:tcPr>
          <w:p>
            <w:r>
              <w:rPr>
                <w:b/>
                <w:color w:val="FFFFFF"/>
                <w:sz w:val="17"/>
              </w:rPr>
              <w:t>Tier</w:t>
            </w:r>
          </w:p>
        </w:tc>
        <w:tc>
          <w:tcPr>
            <w:tcW w:type="dxa" w:w="2484"/>
            <w:shd w:fill="176B68"/>
          </w:tcPr>
          <w:p>
            <w:r>
              <w:rPr>
                <w:b/>
                <w:color w:val="FFFFFF"/>
                <w:sz w:val="17"/>
              </w:rPr>
              <w:t>Evidence / checks</w:t>
            </w:r>
          </w:p>
        </w:tc>
        <w:tc>
          <w:tcPr>
            <w:tcW w:type="dxa" w:w="2484"/>
            <w:shd w:fill="176B68"/>
          </w:tcPr>
          <w:p>
            <w:r>
              <w:rPr>
                <w:b/>
                <w:color w:val="FFFFFF"/>
                <w:sz w:val="17"/>
              </w:rPr>
              <w:t>Suggested permissions</w:t>
            </w:r>
          </w:p>
        </w:tc>
        <w:tc>
          <w:tcPr>
            <w:tcW w:type="dxa" w:w="2484"/>
            <w:shd w:fill="176B68"/>
          </w:tcPr>
          <w:p>
            <w:r>
              <w:rPr>
                <w:b/>
                <w:color w:val="FFFFFF"/>
                <w:sz w:val="17"/>
              </w:rPr>
              <w:t>Important limitation</w:t>
            </w:r>
          </w:p>
        </w:tc>
      </w:tr>
      <w:tr>
        <w:tc>
          <w:tcPr>
            <w:tcW w:type="dxa" w:w="2484"/>
          </w:tcPr>
          <w:p>
            <w:pPr>
              <w:spacing w:after="20"/>
            </w:pPr>
            <w:r>
              <w:rPr>
                <w:sz w:val="16"/>
              </w:rPr>
              <w:t>Account verified</w:t>
            </w:r>
          </w:p>
        </w:tc>
        <w:tc>
          <w:tcPr>
            <w:tcW w:type="dxa" w:w="2484"/>
          </w:tcPr>
          <w:p>
            <w:pPr>
              <w:spacing w:after="20"/>
            </w:pPr>
            <w:r>
              <w:rPr>
                <w:sz w:val="16"/>
              </w:rPr>
              <w:t>Verified email or phone; signup abuse checks; age eligibility controls.</w:t>
            </w:r>
          </w:p>
        </w:tc>
        <w:tc>
          <w:tcPr>
            <w:tcW w:type="dxa" w:w="2484"/>
          </w:tcPr>
          <w:p>
            <w:pPr>
              <w:spacing w:after="20"/>
            </w:pPr>
            <w:r>
              <w:rPr>
                <w:sz w:val="16"/>
              </w:rPr>
              <w:t>Create profile, browse and use low-risk features subject to moderation.</w:t>
            </w:r>
          </w:p>
        </w:tc>
        <w:tc>
          <w:tcPr>
            <w:tcW w:type="dxa" w:w="2484"/>
          </w:tcPr>
          <w:p>
            <w:pPr>
              <w:spacing w:after="20"/>
            </w:pPr>
            <w:r>
              <w:rPr>
                <w:sz w:val="16"/>
              </w:rPr>
              <w:t>Contact control does not establish real-world identity.</w:t>
            </w:r>
          </w:p>
        </w:tc>
      </w:tr>
      <w:tr>
        <w:tc>
          <w:tcPr>
            <w:tcW w:type="dxa" w:w="2484"/>
          </w:tcPr>
          <w:p>
            <w:pPr>
              <w:spacing w:after="20"/>
            </w:pPr>
            <w:r>
              <w:rPr>
                <w:sz w:val="16"/>
              </w:rPr>
              <w:t>Person verified</w:t>
            </w:r>
          </w:p>
        </w:tc>
        <w:tc>
          <w:tcPr>
            <w:tcW w:type="dxa" w:w="2484"/>
          </w:tcPr>
          <w:p>
            <w:pPr>
              <w:spacing w:after="20"/>
            </w:pPr>
            <w:r>
              <w:rPr>
                <w:sz w:val="16"/>
              </w:rPr>
              <w:t>Privacy-conscious selfie/liveness or approved identity provider; compare verification result to the profile owner.</w:t>
            </w:r>
          </w:p>
        </w:tc>
        <w:tc>
          <w:tcPr>
            <w:tcW w:type="dxa" w:w="2484"/>
          </w:tcPr>
          <w:p>
            <w:pPr>
              <w:spacing w:after="20"/>
            </w:pPr>
            <w:r>
              <w:rPr>
                <w:sz w:val="16"/>
              </w:rPr>
              <w:t>Eligible to like, comment and initiate conversations; receive a visible verification indicator.</w:t>
            </w:r>
          </w:p>
        </w:tc>
        <w:tc>
          <w:tcPr>
            <w:tcW w:type="dxa" w:w="2484"/>
          </w:tcPr>
          <w:p>
            <w:pPr>
              <w:spacing w:after="20"/>
            </w:pPr>
            <w:r>
              <w:rPr>
                <w:sz w:val="16"/>
              </w:rPr>
              <w:t>Verification method must be accessible, proportionate and reviewed for spoofing and bias.</w:t>
            </w:r>
          </w:p>
        </w:tc>
      </w:tr>
      <w:tr>
        <w:tc>
          <w:tcPr>
            <w:tcW w:type="dxa" w:w="2484"/>
          </w:tcPr>
          <w:p>
            <w:pPr>
              <w:spacing w:after="20"/>
            </w:pPr>
            <w:r>
              <w:rPr>
                <w:sz w:val="16"/>
              </w:rPr>
              <w:t>Trusted participation</w:t>
            </w:r>
          </w:p>
        </w:tc>
        <w:tc>
          <w:tcPr>
            <w:tcW w:type="dxa" w:w="2484"/>
          </w:tcPr>
          <w:p>
            <w:pPr>
              <w:spacing w:after="20"/>
            </w:pPr>
            <w:r>
              <w:rPr>
                <w:sz w:val="16"/>
              </w:rPr>
              <w:t>Ongoing abuse-risk checks, image reuse signals, scam patterns and resolved safety outcomes.</w:t>
            </w:r>
          </w:p>
        </w:tc>
        <w:tc>
          <w:tcPr>
            <w:tcW w:type="dxa" w:w="2484"/>
          </w:tcPr>
          <w:p>
            <w:pPr>
              <w:spacing w:after="20"/>
            </w:pPr>
            <w:r>
              <w:rPr>
                <w:sz w:val="16"/>
              </w:rPr>
              <w:t>May improve discovery confidence; never promise that a user is completely safe.</w:t>
            </w:r>
          </w:p>
        </w:tc>
        <w:tc>
          <w:tcPr>
            <w:tcW w:type="dxa" w:w="2484"/>
          </w:tcPr>
          <w:p>
            <w:pPr>
              <w:spacing w:after="20"/>
            </w:pPr>
            <w:r>
              <w:rPr>
                <w:sz w:val="16"/>
              </w:rPr>
              <w:t>Risk status changes over time and must not become an opaque permanent label.</w:t>
            </w:r>
          </w:p>
        </w:tc>
      </w:tr>
    </w:tbl>
    <w:p/>
    <w:p>
      <w:r>
        <w:t>Recommended launch hypothesis: require account verification for all active accounts and person verification before initiating likes or messages. Allow users to browse onboarding and complete a profile before finishing verification. Provide a human-reviewed alternative for people who cannot use the default method. Test completion and exclusion rates before making person verification a universal gate. Verification should be free; do not sell trust.</w:t>
      </w:r>
    </w:p>
    <w:p>
      <w:pPr>
        <w:pStyle w:val="Heading2"/>
      </w:pPr>
      <w:r>
        <w:t>B. Blocking and repeat-abuse prevention</w:t>
      </w:r>
    </w:p>
    <w:p>
      <w:r>
        <w:t>A block is an immediate user-safety control. It must stop direct contact and hide the blocked account from discovery for the blocker, without requiring a report. A report creates a separate moderation case. For substantiated serious abuse, the system can restrict or suspend the account and use proportionate signals to detect attempts to return.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Signal</w:t>
            </w:r>
          </w:p>
        </w:tc>
        <w:tc>
          <w:tcPr>
            <w:tcW w:type="dxa" w:w="3312"/>
            <w:shd w:fill="176B68"/>
          </w:tcPr>
          <w:p>
            <w:r>
              <w:rPr>
                <w:b/>
                <w:color w:val="FFFFFF"/>
                <w:sz w:val="17"/>
              </w:rPr>
              <w:t>How to use it</w:t>
            </w:r>
          </w:p>
        </w:tc>
        <w:tc>
          <w:tcPr>
            <w:tcW w:type="dxa" w:w="3312"/>
            <w:shd w:fill="176B68"/>
          </w:tcPr>
          <w:p>
            <w:r>
              <w:rPr>
                <w:b/>
                <w:color w:val="FFFFFF"/>
                <w:sz w:val="17"/>
              </w:rPr>
              <w:t>Do not do this</w:t>
            </w:r>
          </w:p>
        </w:tc>
      </w:tr>
      <w:tr>
        <w:tc>
          <w:tcPr>
            <w:tcW w:type="dxa" w:w="3312"/>
          </w:tcPr>
          <w:p>
            <w:pPr>
              <w:spacing w:after="20"/>
            </w:pPr>
            <w:r>
              <w:rPr>
                <w:sz w:val="16"/>
              </w:rPr>
              <w:t>Account identifiers</w:t>
            </w:r>
          </w:p>
        </w:tc>
        <w:tc>
          <w:tcPr>
            <w:tcW w:type="dxa" w:w="3312"/>
          </w:tcPr>
          <w:p>
            <w:pPr>
              <w:spacing w:after="20"/>
            </w:pPr>
            <w:r>
              <w:rPr>
                <w:sz w:val="16"/>
              </w:rPr>
              <w:t>Link known account IDs, verified contact tokens and prior enforcement decisions in a restricted trust service.</w:t>
            </w:r>
          </w:p>
        </w:tc>
        <w:tc>
          <w:tcPr>
            <w:tcW w:type="dxa" w:w="3312"/>
          </w:tcPr>
          <w:p>
            <w:pPr>
              <w:spacing w:after="20"/>
            </w:pPr>
            <w:r>
              <w:rPr>
                <w:sz w:val="16"/>
              </w:rPr>
              <w:t>Expose the reporter or blocked user's details to the other party.</w:t>
            </w:r>
          </w:p>
        </w:tc>
      </w:tr>
      <w:tr>
        <w:tc>
          <w:tcPr>
            <w:tcW w:type="dxa" w:w="3312"/>
          </w:tcPr>
          <w:p>
            <w:pPr>
              <w:spacing w:after="20"/>
            </w:pPr>
            <w:r>
              <w:rPr>
                <w:sz w:val="16"/>
              </w:rPr>
              <w:t>IP/network reputation</w:t>
            </w:r>
          </w:p>
        </w:tc>
        <w:tc>
          <w:tcPr>
            <w:tcW w:type="dxa" w:w="3312"/>
          </w:tcPr>
          <w:p>
            <w:pPr>
              <w:spacing w:after="20"/>
            </w:pPr>
            <w:r>
              <w:rPr>
                <w:sz w:val="16"/>
              </w:rPr>
              <w:t>Use short-lived IP risk signals, rate limits, velocity checks, known proxy/datacenter risk and network-level abuse patterns.</w:t>
            </w:r>
          </w:p>
        </w:tc>
        <w:tc>
          <w:tcPr>
            <w:tcW w:type="dxa" w:w="3312"/>
          </w:tcPr>
          <w:p>
            <w:pPr>
              <w:spacing w:after="20"/>
            </w:pPr>
            <w:r>
              <w:rPr>
                <w:sz w:val="16"/>
              </w:rPr>
              <w:t>Permanently ban every user sharing an IP; households, campuses, workplaces, mobile carriers and VPNs can share addresses.</w:t>
            </w:r>
          </w:p>
        </w:tc>
      </w:tr>
      <w:tr>
        <w:tc>
          <w:tcPr>
            <w:tcW w:type="dxa" w:w="3312"/>
          </w:tcPr>
          <w:p>
            <w:pPr>
              <w:spacing w:after="20"/>
            </w:pPr>
            <w:r>
              <w:rPr>
                <w:sz w:val="16"/>
              </w:rPr>
              <w:t>Device / session signals</w:t>
            </w:r>
          </w:p>
        </w:tc>
        <w:tc>
          <w:tcPr>
            <w:tcW w:type="dxa" w:w="3312"/>
          </w:tcPr>
          <w:p>
            <w:pPr>
              <w:spacing w:after="20"/>
            </w:pPr>
            <w:r>
              <w:rPr>
                <w:sz w:val="16"/>
              </w:rPr>
              <w:t>Use proportionate first-party risk tokens and platform integrity signals, with disclosure and limited retention.</w:t>
            </w:r>
          </w:p>
        </w:tc>
        <w:tc>
          <w:tcPr>
            <w:tcW w:type="dxa" w:w="3312"/>
          </w:tcPr>
          <w:p>
            <w:pPr>
              <w:spacing w:after="20"/>
            </w:pPr>
            <w:r>
              <w:rPr>
                <w:sz w:val="16"/>
              </w:rPr>
              <w:t>Create covert, persistent cross-app fingerprints or treat a device match as conclusive identity.</w:t>
            </w:r>
          </w:p>
        </w:tc>
      </w:tr>
      <w:tr>
        <w:tc>
          <w:tcPr>
            <w:tcW w:type="dxa" w:w="3312"/>
          </w:tcPr>
          <w:p>
            <w:pPr>
              <w:spacing w:after="20"/>
            </w:pPr>
            <w:r>
              <w:rPr>
                <w:sz w:val="16"/>
              </w:rPr>
              <w:t>Signup and behaviour patterns</w:t>
            </w:r>
          </w:p>
        </w:tc>
        <w:tc>
          <w:tcPr>
            <w:tcW w:type="dxa" w:w="3312"/>
          </w:tcPr>
          <w:p>
            <w:pPr>
              <w:spacing w:after="20"/>
            </w:pPr>
            <w:r>
              <w:rPr>
                <w:sz w:val="16"/>
              </w:rPr>
              <w:t>Detect signup bursts, repeated profile creation, automated likes/messages, rapid account rotation, spam templates and coordinated activity.</w:t>
            </w:r>
          </w:p>
        </w:tc>
        <w:tc>
          <w:tcPr>
            <w:tcW w:type="dxa" w:w="3312"/>
          </w:tcPr>
          <w:p>
            <w:pPr>
              <w:spacing w:after="20"/>
            </w:pPr>
            <w:r>
              <w:rPr>
                <w:sz w:val="16"/>
              </w:rPr>
              <w:t>Ban solely because a user behaves unusually; allow uncertainty and accessibility-related patterns.</w:t>
            </w:r>
          </w:p>
        </w:tc>
      </w:tr>
      <w:tr>
        <w:tc>
          <w:tcPr>
            <w:tcW w:type="dxa" w:w="3312"/>
          </w:tcPr>
          <w:p>
            <w:pPr>
              <w:spacing w:after="20"/>
            </w:pPr>
            <w:r>
              <w:rPr>
                <w:sz w:val="16"/>
              </w:rPr>
              <w:t>Phone/email reuse</w:t>
            </w:r>
          </w:p>
        </w:tc>
        <w:tc>
          <w:tcPr>
            <w:tcW w:type="dxa" w:w="3312"/>
          </w:tcPr>
          <w:p>
            <w:pPr>
              <w:spacing w:after="20"/>
            </w:pPr>
            <w:r>
              <w:rPr>
                <w:sz w:val="16"/>
              </w:rPr>
              <w:t>Store protected, access-restricted keyed hashes or provider tokens where appropriate to detect repeat abuse.</w:t>
            </w:r>
          </w:p>
        </w:tc>
        <w:tc>
          <w:tcPr>
            <w:tcW w:type="dxa" w:w="3312"/>
          </w:tcPr>
          <w:p>
            <w:pPr>
              <w:spacing w:after="20"/>
            </w:pPr>
            <w:r>
              <w:rPr>
                <w:sz w:val="16"/>
              </w:rPr>
              <w:t>Store more raw identifiers than needed or use them for unrelated marketing.</w:t>
            </w:r>
          </w:p>
        </w:tc>
      </w:tr>
      <w:tr>
        <w:tc>
          <w:tcPr>
            <w:tcW w:type="dxa" w:w="3312"/>
          </w:tcPr>
          <w:p>
            <w:pPr>
              <w:spacing w:after="20"/>
            </w:pPr>
            <w:r>
              <w:rPr>
                <w:sz w:val="16"/>
              </w:rPr>
              <w:t>Image reuse</w:t>
            </w:r>
          </w:p>
        </w:tc>
        <w:tc>
          <w:tcPr>
            <w:tcW w:type="dxa" w:w="3312"/>
          </w:tcPr>
          <w:p>
            <w:pPr>
              <w:spacing w:after="20"/>
            </w:pPr>
            <w:r>
              <w:rPr>
                <w:sz w:val="16"/>
              </w:rPr>
              <w:t>Use exact hashes and perceptual hashes to identify repeated or near-duplicate uploaded images, including cropped/re-encoded variants.</w:t>
            </w:r>
          </w:p>
        </w:tc>
        <w:tc>
          <w:tcPr>
            <w:tcW w:type="dxa" w:w="3312"/>
          </w:tcPr>
          <w:p>
            <w:pPr>
              <w:spacing w:after="20"/>
            </w:pPr>
            <w:r>
              <w:rPr>
                <w:sz w:val="16"/>
              </w:rPr>
              <w:t>Assume every reused image proves catfishing; legitimate users can reuse their own photos or licensed images.</w:t>
            </w:r>
          </w:p>
        </w:tc>
      </w:tr>
      <w:tr>
        <w:tc>
          <w:tcPr>
            <w:tcW w:type="dxa" w:w="3312"/>
          </w:tcPr>
          <w:p>
            <w:pPr>
              <w:spacing w:after="20"/>
            </w:pPr>
            <w:r>
              <w:rPr>
                <w:sz w:val="16"/>
              </w:rPr>
              <w:t>Report linkage</w:t>
            </w:r>
          </w:p>
        </w:tc>
        <w:tc>
          <w:tcPr>
            <w:tcW w:type="dxa" w:w="3312"/>
          </w:tcPr>
          <w:p>
            <w:pPr>
              <w:spacing w:after="20"/>
            </w:pPr>
            <w:r>
              <w:rPr>
                <w:sz w:val="16"/>
              </w:rPr>
              <w:t>Compare new account signals with prior substantiated cases and evidence, using confidence thresholds and human review for serious actions.</w:t>
            </w:r>
          </w:p>
        </w:tc>
        <w:tc>
          <w:tcPr>
            <w:tcW w:type="dxa" w:w="3312"/>
          </w:tcPr>
          <w:p>
            <w:pPr>
              <w:spacing w:after="20"/>
            </w:pPr>
            <w:r>
              <w:rPr>
                <w:sz w:val="16"/>
              </w:rPr>
              <w:t>Treat unverified allegations as established fact or automatically blacklist a whole network.</w:t>
            </w:r>
          </w:p>
        </w:tc>
      </w:tr>
    </w:tbl>
    <w:p/>
    <w:p>
      <w:pPr>
        <w:pStyle w:val="Heading2"/>
      </w:pPr>
      <w:r>
        <w:t>C. Image and media abuse detection</w:t>
      </w:r>
    </w:p>
    <w:p>
      <w:pPr>
        <w:pStyle w:val="ListBullet"/>
        <w:spacing w:after="40"/>
      </w:pPr>
      <w:r>
        <w:t>At upload, validate file type and size, decode safely, strip EXIF/location metadata, scan for malware, create safe renditions and submit content to the moderation pipeline.</w:t>
      </w:r>
    </w:p>
    <w:p>
      <w:pPr>
        <w:pStyle w:val="ListBullet"/>
        <w:spacing w:after="40"/>
      </w:pPr>
      <w:r>
        <w:t>Compute a cryptographic hash for exact duplicate detection and a perceptual hash for near-duplicate detection after normalisation. Store hashes separately from public profile data with access controls and a retention purpose.</w:t>
      </w:r>
    </w:p>
    <w:p>
      <w:pPr>
        <w:pStyle w:val="ListBullet"/>
        <w:spacing w:after="40"/>
      </w:pPr>
      <w:r>
        <w:t>Compare new media against images tied to confirmed policy violations and against duplicate media across accounts. A match raises a risk signal; it is not an automatic ban by itself.</w:t>
      </w:r>
    </w:p>
    <w:p>
      <w:pPr>
        <w:pStyle w:val="ListBullet"/>
        <w:spacing w:after="40"/>
      </w:pPr>
      <w:r>
        <w:t>Use image similarity only for the defined anti-impersonation/abuse purpose. Do not perform face recognition to identify a person across the internet or infer protected/sensitive traits from a face.</w:t>
      </w:r>
    </w:p>
    <w:p>
      <w:pPr>
        <w:pStyle w:val="ListBullet"/>
        <w:spacing w:after="40"/>
      </w:pPr>
      <w:r>
        <w:t>If using a vendor for face match or liveness, evaluate whether biometric data or special-category data is processed, whether templates are retained, whether processing is performed by a processor or controller, and what lawful basis/Article 9 condition and DPIA are required.</w:t>
      </w:r>
    </w:p>
    <w:p>
      <w:pPr>
        <w:pStyle w:val="ListBullet"/>
        <w:spacing w:after="40"/>
      </w:pPr>
      <w:r>
        <w:t>Create a safe evidence workflow for reports: restrict evidence access to authorised reviewers, record access, define retention and legal-hold rules, and prevent reported users from accessing the reporter's evidence.</w:t>
      </w:r>
    </w:p>
    <w:p>
      <w:pPr>
        <w:pStyle w:val="Heading2"/>
      </w:pPr>
      <w:r>
        <w:t>D. Risk scoring and enforcement ladder</w:t>
      </w:r>
    </w:p>
    <w:p>
      <w:r>
        <w:t>Keep a dedicated trust-risk score separate from romantic compatibility. Never let a low trust score silently alter a person's relationship desirability score. Use risk scoring to decide whether to rate-limit, challenge, queue for review or restrict an account—not to secretly rank people as better or worse partners.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Risk level</w:t>
            </w:r>
          </w:p>
        </w:tc>
        <w:tc>
          <w:tcPr>
            <w:tcW w:type="dxa" w:w="3312"/>
            <w:shd w:fill="176B68"/>
          </w:tcPr>
          <w:p>
            <w:r>
              <w:rPr>
                <w:b/>
                <w:color w:val="FFFFFF"/>
                <w:sz w:val="17"/>
              </w:rPr>
              <w:t>Possible response</w:t>
            </w:r>
          </w:p>
        </w:tc>
        <w:tc>
          <w:tcPr>
            <w:tcW w:type="dxa" w:w="3312"/>
            <w:shd w:fill="176B68"/>
          </w:tcPr>
          <w:p>
            <w:r>
              <w:rPr>
                <w:b/>
                <w:color w:val="FFFFFF"/>
                <w:sz w:val="17"/>
              </w:rPr>
              <w:t>Review standard</w:t>
            </w:r>
          </w:p>
        </w:tc>
      </w:tr>
      <w:tr>
        <w:tc>
          <w:tcPr>
            <w:tcW w:type="dxa" w:w="3312"/>
          </w:tcPr>
          <w:p>
            <w:pPr>
              <w:spacing w:after="20"/>
            </w:pPr>
            <w:r>
              <w:rPr>
                <w:sz w:val="16"/>
              </w:rPr>
              <w:t>Low / uncertain</w:t>
            </w:r>
          </w:p>
        </w:tc>
        <w:tc>
          <w:tcPr>
            <w:tcW w:type="dxa" w:w="3312"/>
          </w:tcPr>
          <w:p>
            <w:pPr>
              <w:spacing w:after="20"/>
            </w:pPr>
            <w:r>
              <w:rPr>
                <w:sz w:val="16"/>
              </w:rPr>
              <w:t>Allow normal use; collect minimal additional signal; apply ordinary rate limits.</w:t>
            </w:r>
          </w:p>
        </w:tc>
        <w:tc>
          <w:tcPr>
            <w:tcW w:type="dxa" w:w="3312"/>
          </w:tcPr>
          <w:p>
            <w:pPr>
              <w:spacing w:after="20"/>
            </w:pPr>
            <w:r>
              <w:rPr>
                <w:sz w:val="16"/>
              </w:rPr>
              <w:t>No adverse action based on a single weak signal.</w:t>
            </w:r>
          </w:p>
        </w:tc>
      </w:tr>
      <w:tr>
        <w:tc>
          <w:tcPr>
            <w:tcW w:type="dxa" w:w="3312"/>
          </w:tcPr>
          <w:p>
            <w:pPr>
              <w:spacing w:after="20"/>
            </w:pPr>
            <w:r>
              <w:rPr>
                <w:sz w:val="16"/>
              </w:rPr>
              <w:t>Elevated</w:t>
            </w:r>
          </w:p>
        </w:tc>
        <w:tc>
          <w:tcPr>
            <w:tcW w:type="dxa" w:w="3312"/>
          </w:tcPr>
          <w:p>
            <w:pPr>
              <w:spacing w:after="20"/>
            </w:pPr>
            <w:r>
              <w:rPr>
                <w:sz w:val="16"/>
              </w:rPr>
              <w:t>Slow down high-risk actions, require step-up verification, limit bulk messaging or temporarily hold suspicious media.</w:t>
            </w:r>
          </w:p>
        </w:tc>
        <w:tc>
          <w:tcPr>
            <w:tcW w:type="dxa" w:w="3312"/>
          </w:tcPr>
          <w:p>
            <w:pPr>
              <w:spacing w:after="20"/>
            </w:pPr>
            <w:r>
              <w:rPr>
                <w:sz w:val="16"/>
              </w:rPr>
              <w:t>Clear user-facing explanation where safe; automated release when challenge succeeds.</w:t>
            </w:r>
          </w:p>
        </w:tc>
      </w:tr>
      <w:tr>
        <w:tc>
          <w:tcPr>
            <w:tcW w:type="dxa" w:w="3312"/>
          </w:tcPr>
          <w:p>
            <w:pPr>
              <w:spacing w:after="20"/>
            </w:pPr>
            <w:r>
              <w:rPr>
                <w:sz w:val="16"/>
              </w:rPr>
              <w:t>High confidence abuse</w:t>
            </w:r>
          </w:p>
        </w:tc>
        <w:tc>
          <w:tcPr>
            <w:tcW w:type="dxa" w:w="3312"/>
          </w:tcPr>
          <w:p>
            <w:pPr>
              <w:spacing w:after="20"/>
            </w:pPr>
            <w:r>
              <w:rPr>
                <w:sz w:val="16"/>
              </w:rPr>
              <w:t>Temporarily restrict relevant functionality, preserve necessary evidence and open a priority moderation case.</w:t>
            </w:r>
          </w:p>
        </w:tc>
        <w:tc>
          <w:tcPr>
            <w:tcW w:type="dxa" w:w="3312"/>
          </w:tcPr>
          <w:p>
            <w:pPr>
              <w:spacing w:after="20"/>
            </w:pPr>
            <w:r>
              <w:rPr>
                <w:sz w:val="16"/>
              </w:rPr>
              <w:t>Human review for material account restrictions when feasible; documented policy and reason.</w:t>
            </w:r>
          </w:p>
        </w:tc>
      </w:tr>
      <w:tr>
        <w:tc>
          <w:tcPr>
            <w:tcW w:type="dxa" w:w="3312"/>
          </w:tcPr>
          <w:p>
            <w:pPr>
              <w:spacing w:after="20"/>
            </w:pPr>
            <w:r>
              <w:rPr>
                <w:sz w:val="16"/>
              </w:rPr>
              <w:t>Confirmed severe/repeat abuse</w:t>
            </w:r>
          </w:p>
        </w:tc>
        <w:tc>
          <w:tcPr>
            <w:tcW w:type="dxa" w:w="3312"/>
          </w:tcPr>
          <w:p>
            <w:pPr>
              <w:spacing w:after="20"/>
            </w:pPr>
            <w:r>
              <w:rPr>
                <w:sz w:val="16"/>
              </w:rPr>
              <w:t>Suspend or ban account; invalidate sessions; block known linked accounts using strong, corroborated evidence; monitor re-entry attempts.</w:t>
            </w:r>
          </w:p>
        </w:tc>
        <w:tc>
          <w:tcPr>
            <w:tcW w:type="dxa" w:w="3312"/>
          </w:tcPr>
          <w:p>
            <w:pPr>
              <w:spacing w:after="20"/>
            </w:pPr>
            <w:r>
              <w:rPr>
                <w:sz w:val="16"/>
              </w:rPr>
              <w:t>Record evidence, decision and appeal route; do not indiscriminately ban shared IPs/devices.</w:t>
            </w:r>
          </w:p>
        </w:tc>
      </w:tr>
      <w:tr>
        <w:tc>
          <w:tcPr>
            <w:tcW w:type="dxa" w:w="3312"/>
          </w:tcPr>
          <w:p>
            <w:pPr>
              <w:spacing w:after="20"/>
            </w:pPr>
            <w:r>
              <w:rPr>
                <w:sz w:val="16"/>
              </w:rPr>
              <w:t>Appeal / false positive</w:t>
            </w:r>
          </w:p>
        </w:tc>
        <w:tc>
          <w:tcPr>
            <w:tcW w:type="dxa" w:w="3312"/>
          </w:tcPr>
          <w:p>
            <w:pPr>
              <w:spacing w:after="20"/>
            </w:pPr>
            <w:r>
              <w:rPr>
                <w:sz w:val="16"/>
              </w:rPr>
              <w:t>Provide an accessible appeal and alternate verification route; restore access when evidence no longer supports restriction.</w:t>
            </w:r>
          </w:p>
        </w:tc>
        <w:tc>
          <w:tcPr>
            <w:tcW w:type="dxa" w:w="3312"/>
          </w:tcPr>
          <w:p>
            <w:pPr>
              <w:spacing w:after="20"/>
            </w:pPr>
            <w:r>
              <w:rPr>
                <w:sz w:val="16"/>
              </w:rPr>
              <w:t>Independent review for significant enforcement decisions.</w:t>
            </w:r>
          </w:p>
        </w:tc>
      </w:tr>
    </w:tbl>
    <w:p/>
    <w:p>
      <w:pPr>
        <w:pStyle w:val="Heading2"/>
      </w:pPr>
      <w:r>
        <w:t>E. Data model additions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Table</w:t>
            </w:r>
          </w:p>
        </w:tc>
        <w:tc>
          <w:tcPr>
            <w:tcW w:type="dxa" w:w="3312"/>
            <w:shd w:fill="176B68"/>
          </w:tcPr>
          <w:p>
            <w:r>
              <w:rPr>
                <w:b/>
                <w:color w:val="FFFFFF"/>
                <w:sz w:val="17"/>
              </w:rPr>
              <w:t>Suggested fields</w:t>
            </w:r>
          </w:p>
        </w:tc>
        <w:tc>
          <w:tcPr>
            <w:tcW w:type="dxa" w:w="3312"/>
            <w:shd w:fill="176B68"/>
          </w:tcPr>
          <w:p>
            <w:r>
              <w:rPr>
                <w:b/>
                <w:color w:val="FFFFFF"/>
                <w:sz w:val="17"/>
              </w:rPr>
              <w:t>Controls</w:t>
            </w:r>
          </w:p>
        </w:tc>
      </w:tr>
      <w:tr>
        <w:tc>
          <w:tcPr>
            <w:tcW w:type="dxa" w:w="3312"/>
          </w:tcPr>
          <w:p>
            <w:pPr>
              <w:spacing w:after="20"/>
            </w:pPr>
            <w:r>
              <w:rPr>
                <w:sz w:val="16"/>
              </w:rPr>
              <w:t>verification_checks</w:t>
            </w:r>
          </w:p>
        </w:tc>
        <w:tc>
          <w:tcPr>
            <w:tcW w:type="dxa" w:w="3312"/>
          </w:tcPr>
          <w:p>
            <w:pPr>
              <w:spacing w:after="20"/>
            </w:pPr>
            <w:r>
              <w:rPr>
                <w:sz w:val="16"/>
              </w:rPr>
              <w:t>id, user_id, method, provider_ref, status, checked_at, expires_at, failure_code</w:t>
            </w:r>
          </w:p>
        </w:tc>
        <w:tc>
          <w:tcPr>
            <w:tcW w:type="dxa" w:w="3312"/>
          </w:tcPr>
          <w:p>
            <w:pPr>
              <w:spacing w:after="20"/>
            </w:pPr>
            <w:r>
              <w:rPr>
                <w:sz w:val="16"/>
              </w:rPr>
              <w:t>Store provider reference and result where possible, not raw identity documents or selfie video.</w:t>
            </w:r>
          </w:p>
        </w:tc>
      </w:tr>
      <w:tr>
        <w:tc>
          <w:tcPr>
            <w:tcW w:type="dxa" w:w="3312"/>
          </w:tcPr>
          <w:p>
            <w:pPr>
              <w:spacing w:after="20"/>
            </w:pPr>
            <w:r>
              <w:rPr>
                <w:sz w:val="16"/>
              </w:rPr>
              <w:t>trust_signals</w:t>
            </w:r>
          </w:p>
        </w:tc>
        <w:tc>
          <w:tcPr>
            <w:tcW w:type="dxa" w:w="3312"/>
          </w:tcPr>
          <w:p>
            <w:pPr>
              <w:spacing w:after="20"/>
            </w:pPr>
            <w:r>
              <w:rPr>
                <w:sz w:val="16"/>
              </w:rPr>
              <w:t>id, subject_user_id, signal_type, protected_value/token, confidence, source, observed_at, expires_at</w:t>
            </w:r>
          </w:p>
        </w:tc>
        <w:tc>
          <w:tcPr>
            <w:tcW w:type="dxa" w:w="3312"/>
          </w:tcPr>
          <w:p>
            <w:pPr>
              <w:spacing w:after="20"/>
            </w:pPr>
            <w:r>
              <w:rPr>
                <w:sz w:val="16"/>
              </w:rPr>
              <w:t>Restricted service access; short retention; documented purpose and deletion rules.</w:t>
            </w:r>
          </w:p>
        </w:tc>
      </w:tr>
      <w:tr>
        <w:tc>
          <w:tcPr>
            <w:tcW w:type="dxa" w:w="3312"/>
          </w:tcPr>
          <w:p>
            <w:pPr>
              <w:spacing w:after="20"/>
            </w:pPr>
            <w:r>
              <w:rPr>
                <w:sz w:val="16"/>
              </w:rPr>
              <w:t>media_fingerprints</w:t>
            </w:r>
          </w:p>
        </w:tc>
        <w:tc>
          <w:tcPr>
            <w:tcW w:type="dxa" w:w="3312"/>
          </w:tcPr>
          <w:p>
            <w:pPr>
              <w:spacing w:after="20"/>
            </w:pPr>
            <w:r>
              <w:rPr>
                <w:sz w:val="16"/>
              </w:rPr>
              <w:t>media_id, exact_hash, perceptual_hash_version, perceptual_hash, moderation_reference, created_at</w:t>
            </w:r>
          </w:p>
        </w:tc>
        <w:tc>
          <w:tcPr>
            <w:tcW w:type="dxa" w:w="3312"/>
          </w:tcPr>
          <w:p>
            <w:pPr>
              <w:spacing w:after="20"/>
            </w:pPr>
            <w:r>
              <w:rPr>
                <w:sz w:val="16"/>
              </w:rPr>
              <w:t>Private; access logged; avoid public exposure and indefinite retention.</w:t>
            </w:r>
          </w:p>
        </w:tc>
      </w:tr>
      <w:tr>
        <w:tc>
          <w:tcPr>
            <w:tcW w:type="dxa" w:w="3312"/>
          </w:tcPr>
          <w:p>
            <w:pPr>
              <w:spacing w:after="20"/>
            </w:pPr>
            <w:r>
              <w:rPr>
                <w:sz w:val="16"/>
              </w:rPr>
              <w:t>enforcement_actions</w:t>
            </w:r>
          </w:p>
        </w:tc>
        <w:tc>
          <w:tcPr>
            <w:tcW w:type="dxa" w:w="3312"/>
          </w:tcPr>
          <w:p>
            <w:pPr>
              <w:spacing w:after="20"/>
            </w:pPr>
            <w:r>
              <w:rPr>
                <w:sz w:val="16"/>
              </w:rPr>
              <w:t>id, user_id, action_type, policy_code, confidence_band, case_id, starts_at, ends_at, actor_id</w:t>
            </w:r>
          </w:p>
        </w:tc>
        <w:tc>
          <w:tcPr>
            <w:tcW w:type="dxa" w:w="3312"/>
          </w:tcPr>
          <w:p>
            <w:pPr>
              <w:spacing w:after="20"/>
            </w:pPr>
            <w:r>
              <w:rPr>
                <w:sz w:val="16"/>
              </w:rPr>
              <w:t>Append-only audit semantics; record rationale and expiry/review date.</w:t>
            </w:r>
          </w:p>
        </w:tc>
      </w:tr>
      <w:tr>
        <w:tc>
          <w:tcPr>
            <w:tcW w:type="dxa" w:w="3312"/>
          </w:tcPr>
          <w:p>
            <w:pPr>
              <w:spacing w:after="20"/>
            </w:pPr>
            <w:r>
              <w:rPr>
                <w:sz w:val="16"/>
              </w:rPr>
              <w:t>linked_account_evidence</w:t>
            </w:r>
          </w:p>
        </w:tc>
        <w:tc>
          <w:tcPr>
            <w:tcW w:type="dxa" w:w="3312"/>
          </w:tcPr>
          <w:p>
            <w:pPr>
              <w:spacing w:after="20"/>
            </w:pPr>
            <w:r>
              <w:rPr>
                <w:sz w:val="16"/>
              </w:rPr>
              <w:t>id, case_id, account_a_id, account_b_id, link_type, confidence, evidence_refs, reviewed_at</w:t>
            </w:r>
          </w:p>
        </w:tc>
        <w:tc>
          <w:tcPr>
            <w:tcW w:type="dxa" w:w="3312"/>
          </w:tcPr>
          <w:p>
            <w:pPr>
              <w:spacing w:after="20"/>
            </w:pPr>
            <w:r>
              <w:rPr>
                <w:sz w:val="16"/>
              </w:rPr>
              <w:t>Restricted to trust staff; a link is not automatically proof of common identity.</w:t>
            </w:r>
          </w:p>
        </w:tc>
      </w:tr>
      <w:tr>
        <w:tc>
          <w:tcPr>
            <w:tcW w:type="dxa" w:w="3312"/>
          </w:tcPr>
          <w:p>
            <w:pPr>
              <w:spacing w:after="20"/>
            </w:pPr>
            <w:r>
              <w:rPr>
                <w:sz w:val="16"/>
              </w:rPr>
              <w:t>verification_appeals</w:t>
            </w:r>
          </w:p>
        </w:tc>
        <w:tc>
          <w:tcPr>
            <w:tcW w:type="dxa" w:w="3312"/>
          </w:tcPr>
          <w:p>
            <w:pPr>
              <w:spacing w:after="20"/>
            </w:pPr>
            <w:r>
              <w:rPr>
                <w:sz w:val="16"/>
              </w:rPr>
              <w:t>id, user_id, check_id, reason_code, status, reviewer_id, created_at, resolved_at</w:t>
            </w:r>
          </w:p>
        </w:tc>
        <w:tc>
          <w:tcPr>
            <w:tcW w:type="dxa" w:w="3312"/>
          </w:tcPr>
          <w:p>
            <w:pPr>
              <w:spacing w:after="20"/>
            </w:pPr>
            <w:r>
              <w:rPr>
                <w:sz w:val="16"/>
              </w:rPr>
              <w:t>Separate access, reasonable review SLA and outcome logging.</w:t>
            </w:r>
          </w:p>
        </w:tc>
      </w:tr>
    </w:tbl>
    <w:p/>
    <w:p>
      <w:pPr>
        <w:pStyle w:val="Heading2"/>
      </w:pPr>
      <w:r>
        <w:t>F. API and service changes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Endpoint / service</w:t>
            </w:r>
          </w:p>
        </w:tc>
        <w:tc>
          <w:tcPr>
            <w:tcW w:type="dxa" w:w="3312"/>
            <w:shd w:fill="176B68"/>
          </w:tcPr>
          <w:p>
            <w:r>
              <w:rPr>
                <w:b/>
                <w:color w:val="FFFFFF"/>
                <w:sz w:val="17"/>
              </w:rPr>
              <w:t>Purpose</w:t>
            </w:r>
          </w:p>
        </w:tc>
        <w:tc>
          <w:tcPr>
            <w:tcW w:type="dxa" w:w="3312"/>
            <w:shd w:fill="176B68"/>
          </w:tcPr>
          <w:p>
            <w:r>
              <w:rPr>
                <w:b/>
                <w:color w:val="FFFFFF"/>
                <w:sz w:val="17"/>
              </w:rPr>
              <w:t>Rules</w:t>
            </w:r>
          </w:p>
        </w:tc>
      </w:tr>
      <w:tr>
        <w:tc>
          <w:tcPr>
            <w:tcW w:type="dxa" w:w="3312"/>
          </w:tcPr>
          <w:p>
            <w:pPr>
              <w:spacing w:after="20"/>
            </w:pPr>
            <w:r>
              <w:rPr>
                <w:sz w:val="16"/>
              </w:rPr>
              <w:t>POST /v1/verification/session</w:t>
            </w:r>
          </w:p>
        </w:tc>
        <w:tc>
          <w:tcPr>
            <w:tcW w:type="dxa" w:w="3312"/>
          </w:tcPr>
          <w:p>
            <w:pPr>
              <w:spacing w:after="20"/>
            </w:pPr>
            <w:r>
              <w:rPr>
                <w:sz w:val="16"/>
              </w:rPr>
              <w:t>Create a verification session with approved provider.</w:t>
            </w:r>
          </w:p>
        </w:tc>
        <w:tc>
          <w:tcPr>
            <w:tcW w:type="dxa" w:w="3312"/>
          </w:tcPr>
          <w:p>
            <w:pPr>
              <w:spacing w:after="20"/>
            </w:pPr>
            <w:r>
              <w:rPr>
                <w:sz w:val="16"/>
              </w:rPr>
              <w:t>Short-lived session; provider secrets server-side; do not accept client-asserted success.</w:t>
            </w:r>
          </w:p>
        </w:tc>
      </w:tr>
      <w:tr>
        <w:tc>
          <w:tcPr>
            <w:tcW w:type="dxa" w:w="3312"/>
          </w:tcPr>
          <w:p>
            <w:pPr>
              <w:spacing w:after="20"/>
            </w:pPr>
            <w:r>
              <w:rPr>
                <w:sz w:val="16"/>
              </w:rPr>
              <w:t>GET /v1/me/verification</w:t>
            </w:r>
          </w:p>
        </w:tc>
        <w:tc>
          <w:tcPr>
            <w:tcW w:type="dxa" w:w="3312"/>
          </w:tcPr>
          <w:p>
            <w:pPr>
              <w:spacing w:after="20"/>
            </w:pPr>
            <w:r>
              <w:rPr>
                <w:sz w:val="16"/>
              </w:rPr>
              <w:t>Return user's verification state and next step.</w:t>
            </w:r>
          </w:p>
        </w:tc>
        <w:tc>
          <w:tcPr>
            <w:tcW w:type="dxa" w:w="3312"/>
          </w:tcPr>
          <w:p>
            <w:pPr>
              <w:spacing w:after="20"/>
            </w:pPr>
            <w:r>
              <w:rPr>
                <w:sz w:val="16"/>
              </w:rPr>
              <w:t>Return status and user-facing reason only; never expose internal risk evidence.</w:t>
            </w:r>
          </w:p>
        </w:tc>
      </w:tr>
      <w:tr>
        <w:tc>
          <w:tcPr>
            <w:tcW w:type="dxa" w:w="3312"/>
          </w:tcPr>
          <w:p>
            <w:pPr>
              <w:spacing w:after="20"/>
            </w:pPr>
            <w:r>
              <w:rPr>
                <w:sz w:val="16"/>
              </w:rPr>
              <w:t>POST /v1/verification/provider-webhook</w:t>
            </w:r>
          </w:p>
        </w:tc>
        <w:tc>
          <w:tcPr>
            <w:tcW w:type="dxa" w:w="3312"/>
          </w:tcPr>
          <w:p>
            <w:pPr>
              <w:spacing w:after="20"/>
            </w:pPr>
            <w:r>
              <w:rPr>
                <w:sz w:val="16"/>
              </w:rPr>
              <w:t>Receive provider results.</w:t>
            </w:r>
          </w:p>
        </w:tc>
        <w:tc>
          <w:tcPr>
            <w:tcW w:type="dxa" w:w="3312"/>
          </w:tcPr>
          <w:p>
            <w:pPr>
              <w:spacing w:after="20"/>
            </w:pPr>
            <w:r>
              <w:rPr>
                <w:sz w:val="16"/>
              </w:rPr>
              <w:t>Verify signature, deduplicate event IDs, process idempotently and audit.</w:t>
            </w:r>
          </w:p>
        </w:tc>
      </w:tr>
      <w:tr>
        <w:tc>
          <w:tcPr>
            <w:tcW w:type="dxa" w:w="3312"/>
          </w:tcPr>
          <w:p>
            <w:pPr>
              <w:spacing w:after="20"/>
            </w:pPr>
            <w:r>
              <w:rPr>
                <w:sz w:val="16"/>
              </w:rPr>
              <w:t>POST /v1/safety/reports</w:t>
            </w:r>
          </w:p>
        </w:tc>
        <w:tc>
          <w:tcPr>
            <w:tcW w:type="dxa" w:w="3312"/>
          </w:tcPr>
          <w:p>
            <w:pPr>
              <w:spacing w:after="20"/>
            </w:pPr>
            <w:r>
              <w:rPr>
                <w:sz w:val="16"/>
              </w:rPr>
              <w:t>Create report and evidence references.</w:t>
            </w:r>
          </w:p>
        </w:tc>
        <w:tc>
          <w:tcPr>
            <w:tcW w:type="dxa" w:w="3312"/>
          </w:tcPr>
          <w:p>
            <w:pPr>
              <w:spacing w:after="20"/>
            </w:pPr>
            <w:r>
              <w:rPr>
                <w:sz w:val="16"/>
              </w:rPr>
              <w:t>Reporter identity hidden from reported user; abuse rate limits and evidence permissions.</w:t>
            </w:r>
          </w:p>
        </w:tc>
      </w:tr>
      <w:tr>
        <w:tc>
          <w:tcPr>
            <w:tcW w:type="dxa" w:w="3312"/>
          </w:tcPr>
          <w:p>
            <w:pPr>
              <w:spacing w:after="20"/>
            </w:pPr>
            <w:r>
              <w:rPr>
                <w:sz w:val="16"/>
              </w:rPr>
              <w:t>POST /v1/safety/blocks</w:t>
            </w:r>
          </w:p>
        </w:tc>
        <w:tc>
          <w:tcPr>
            <w:tcW w:type="dxa" w:w="3312"/>
          </w:tcPr>
          <w:p>
            <w:pPr>
              <w:spacing w:after="20"/>
            </w:pPr>
            <w:r>
              <w:rPr>
                <w:sz w:val="16"/>
              </w:rPr>
              <w:t>Immediately block a user.</w:t>
            </w:r>
          </w:p>
        </w:tc>
        <w:tc>
          <w:tcPr>
            <w:tcW w:type="dxa" w:w="3312"/>
          </w:tcPr>
          <w:p>
            <w:pPr>
              <w:spacing w:after="20"/>
            </w:pPr>
            <w:r>
              <w:rPr>
                <w:sz w:val="16"/>
              </w:rPr>
              <w:t>Apply across discovery, likes and messaging; idempotent.</w:t>
            </w:r>
          </w:p>
        </w:tc>
      </w:tr>
      <w:tr>
        <w:tc>
          <w:tcPr>
            <w:tcW w:type="dxa" w:w="3312"/>
          </w:tcPr>
          <w:p>
            <w:pPr>
              <w:spacing w:after="20"/>
            </w:pPr>
            <w:r>
              <w:rPr>
                <w:sz w:val="16"/>
              </w:rPr>
              <w:t>Trust &amp; Safety service</w:t>
            </w:r>
          </w:p>
        </w:tc>
        <w:tc>
          <w:tcPr>
            <w:tcW w:type="dxa" w:w="3312"/>
          </w:tcPr>
          <w:p>
            <w:pPr>
              <w:spacing w:after="20"/>
            </w:pPr>
            <w:r>
              <w:rPr>
                <w:sz w:val="16"/>
              </w:rPr>
              <w:t>Evaluate risk signals, step-up challenges and enforcement recommendations.</w:t>
            </w:r>
          </w:p>
        </w:tc>
        <w:tc>
          <w:tcPr>
            <w:tcW w:type="dxa" w:w="3312"/>
          </w:tcPr>
          <w:p>
            <w:pPr>
              <w:spacing w:after="20"/>
            </w:pPr>
            <w:r>
              <w:rPr>
                <w:sz w:val="16"/>
              </w:rPr>
              <w:t>Separate from ranking; least privilege; explainable reason codes and review controls.</w:t>
            </w:r>
          </w:p>
        </w:tc>
      </w:tr>
    </w:tbl>
    <w:p/>
    <w:p>
      <w:pPr>
        <w:pStyle w:val="Heading2"/>
      </w:pPr>
      <w:r>
        <w:t>G. Acceptance criteria for Verified-First</w:t>
      </w:r>
    </w:p>
    <w:p>
      <w:pPr>
        <w:pStyle w:val="ListBullet"/>
        <w:spacing w:after="40"/>
      </w:pPr>
      <w:r>
        <w:t>Verification is free, the status is clear, and users understand what each verification tier actually proves.</w:t>
      </w:r>
    </w:p>
    <w:p>
      <w:pPr>
        <w:pStyle w:val="ListBullet"/>
        <w:spacing w:after="40"/>
      </w:pPr>
      <w:r>
        <w:t>Unverified accounts cannot bypass the chosen interaction gate through alternate API routes or modified clients.</w:t>
      </w:r>
    </w:p>
    <w:p>
      <w:pPr>
        <w:pStyle w:val="ListBullet"/>
        <w:spacing w:after="40"/>
      </w:pPr>
      <w:r>
        <w:t>A block takes effect immediately across discovery and messaging; it is not dependent on moderation review.</w:t>
      </w:r>
    </w:p>
    <w:p>
      <w:pPr>
        <w:pStyle w:val="ListBullet"/>
        <w:spacing w:after="40"/>
      </w:pPr>
      <w:r>
        <w:t>A substantiated ban can invalidate active sessions and trigger risk-based checks for likely re-entry attempts.</w:t>
      </w:r>
    </w:p>
    <w:p>
      <w:pPr>
        <w:pStyle w:val="ListBullet"/>
        <w:spacing w:after="40"/>
      </w:pPr>
      <w:r>
        <w:t>A shared IP, shared device, reused image or single report cannot by itself trigger a permanent ban.</w:t>
      </w:r>
    </w:p>
    <w:p>
      <w:pPr>
        <w:pStyle w:val="ListBullet"/>
        <w:spacing w:after="40"/>
      </w:pPr>
      <w:r>
        <w:t>Near-duplicate image detection is tested on resized, cropped and re-encoded images, with a human-review path for ambiguous results.</w:t>
      </w:r>
    </w:p>
    <w:p>
      <w:pPr>
        <w:pStyle w:val="ListBullet"/>
        <w:spacing w:after="40"/>
      </w:pPr>
      <w:r>
        <w:t>Verification failures have a safe retry and appeal path; no raw identity documents or selfie video are retained unless specifically necessary and legally reviewed.</w:t>
      </w:r>
    </w:p>
    <w:p>
      <w:pPr>
        <w:pStyle w:val="ListBullet"/>
        <w:spacing w:after="40"/>
      </w:pPr>
      <w:r>
        <w:t>Staff can inspect the evidence supporting a restriction, but all access is role-gated and audited.</w:t>
      </w:r>
    </w:p>
    <w:p>
      <w:pPr>
        <w:pStyle w:val="ListBullet"/>
        <w:spacing w:after="40"/>
      </w:pPr>
      <w:r>
        <w:t>False-positive rate, verification completion, appeal overturn rate, repeat-abuse rate and time to resolve urgent reports are measured.</w:t>
      </w:r>
    </w:p>
    <w:p>
      <w:pPr>
        <w:pStyle w:val="ListBullet"/>
        <w:spacing w:after="40"/>
      </w:pPr>
      <w:r>
        <w:t>A privacy/security review confirms retention, lawful basis, vendor contracts, access controls and deletion behaviour before launch.</w:t>
      </w:r>
    </w:p>
    <w:p>
      <w:pPr>
        <w:pStyle w:val="Heading2"/>
      </w:pPr>
      <w:r>
        <w:t>H. Validation decisions</w:t>
      </w:r>
    </w:p>
    <w:p>
      <w:pPr>
        <w:pStyle w:val="ListBullet"/>
        <w:spacing w:after="40"/>
      </w:pPr>
      <w:r>
        <w:t>Whether person verification is mandatory before likes/messages or whether risk-based gating provides better accessibility and conversion.</w:t>
      </w:r>
    </w:p>
    <w:p>
      <w:pPr>
        <w:pStyle w:val="ListBullet"/>
        <w:spacing w:after="40"/>
      </w:pPr>
      <w:r>
        <w:t>Which verification vendor and method work for the intended regions, identities, devices and accessibility needs.</w:t>
      </w:r>
    </w:p>
    <w:p>
      <w:pPr>
        <w:pStyle w:val="ListBullet"/>
        <w:spacing w:after="40"/>
      </w:pPr>
      <w:r>
        <w:t>Whether IP/device signals are necessary and proportionate; which values are stored, how long they live and who can query them.</w:t>
      </w:r>
    </w:p>
    <w:p>
      <w:pPr>
        <w:pStyle w:val="ListBullet"/>
        <w:spacing w:after="40"/>
      </w:pPr>
      <w:r>
        <w:t>Which image similarity system and moderation vendor meet privacy, accuracy, security and cost requirements.</w:t>
      </w:r>
    </w:p>
    <w:p>
      <w:pPr>
        <w:pStyle w:val="ListBullet"/>
        <w:spacing w:after="40"/>
      </w:pPr>
      <w:r>
        <w:t>The threshold for automated friction versus human review, and the response-time commitments for urgent cases.</w:t>
      </w:r>
    </w:p>
    <w:p>
      <w:pPr>
        <w:pStyle w:val="ListBullet"/>
        <w:spacing w:after="40"/>
      </w:pPr>
      <w:r>
        <w:t>How to handle users sharing devices, numbers, networks or household accounts without wrongly linking them.</w:t>
      </w:r>
    </w:p>
    <w:tbl>
      <w:tblPr>
        <w:tblW w:type="auto" w:w="0"/>
        <w:tblLook w:firstColumn="1" w:firstRow="1" w:lastColumn="0" w:lastRow="0" w:noHBand="0" w:noVBand="1" w:val="04A0"/>
      </w:tblPr>
      <w:tblGrid>
        <w:gridCol w:w="9936"/>
      </w:tblGrid>
      <w:tr>
        <w:tc>
          <w:tcPr>
            <w:tcW w:type="dxa" w:w="9936"/>
            <w:shd w:fill="FFF2D8"/>
          </w:tcPr>
          <w:p>
            <w:pPr>
              <w:spacing w:after="40"/>
            </w:pPr>
            <w:r/>
            <w:r>
              <w:rPr>
                <w:b/>
                <w:color w:val="176B68"/>
              </w:rPr>
              <w:t xml:space="preserve">RECOMMENDED DESIGN DECISION  </w:t>
            </w:r>
            <w:r>
              <w:t>Use verified-first interaction permissions, layered anti-abuse signals, immediate user blocking, evidence-based repeat-offender enforcement and a real appeal process. Treat IP, device and image signals as corroborating evidence—not identity by themselves.</w:t>
            </w:r>
          </w:p>
        </w:tc>
      </w:tr>
    </w:tbl>
    <w:p>
      <w:r>
        <w:br w:type="page"/>
      </w:r>
    </w:p>
    <w:p>
      <w:pPr>
        <w:pStyle w:val="Heading1"/>
      </w:pPr>
      <w:r>
        <w:t>Addendum — Visible verification indicators on profiles</w:t>
      </w:r>
    </w:p>
    <w:p>
      <w:r>
        <w:t>Product decision confirmed: profiles will visibly indicate verification status. The badge system should make it easy to understand what has actually been verified, without implying that any verification method guarantees safety, honesty or relationship intentions.</w:t>
      </w:r>
    </w:p>
    <w:p>
      <w:pPr>
        <w:pStyle w:val="Heading2"/>
      </w:pPr>
      <w:r>
        <w:t>1. Profile badge system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Indicator</w:t>
            </w:r>
          </w:p>
        </w:tc>
        <w:tc>
          <w:tcPr>
            <w:tcW w:type="dxa" w:w="3312"/>
            <w:shd w:fill="176B68"/>
          </w:tcPr>
          <w:p>
            <w:r>
              <w:rPr>
                <w:b/>
                <w:color w:val="FFFFFF"/>
                <w:sz w:val="17"/>
              </w:rPr>
              <w:t>Meaning shown to users</w:t>
            </w:r>
          </w:p>
        </w:tc>
        <w:tc>
          <w:tcPr>
            <w:tcW w:type="dxa" w:w="3312"/>
            <w:shd w:fill="176B68"/>
          </w:tcPr>
          <w:p>
            <w:r>
              <w:rPr>
                <w:b/>
                <w:color w:val="FFFFFF"/>
                <w:sz w:val="17"/>
              </w:rPr>
              <w:t>Display rule</w:t>
            </w:r>
          </w:p>
        </w:tc>
      </w:tr>
      <w:tr>
        <w:tc>
          <w:tcPr>
            <w:tcW w:type="dxa" w:w="3312"/>
          </w:tcPr>
          <w:p>
            <w:pPr>
              <w:spacing w:after="20"/>
            </w:pPr>
            <w:r>
              <w:rPr>
                <w:sz w:val="16"/>
              </w:rPr>
              <w:t>Contact verified</w:t>
            </w:r>
          </w:p>
        </w:tc>
        <w:tc>
          <w:tcPr>
            <w:tcW w:type="dxa" w:w="3312"/>
          </w:tcPr>
          <w:p>
            <w:pPr>
              <w:spacing w:after="20"/>
            </w:pPr>
            <w:r>
              <w:rPr>
                <w:sz w:val="16"/>
              </w:rPr>
              <w:t>The account verified control of an email address or phone number.</w:t>
            </w:r>
          </w:p>
        </w:tc>
        <w:tc>
          <w:tcPr>
            <w:tcW w:type="dxa" w:w="3312"/>
          </w:tcPr>
          <w:p>
            <w:pPr>
              <w:spacing w:after="20"/>
            </w:pPr>
            <w:r>
              <w:rPr>
                <w:sz w:val="16"/>
              </w:rPr>
              <w:t>Use a distinct, modest indicator; do not call this identity verification.</w:t>
            </w:r>
          </w:p>
        </w:tc>
      </w:tr>
      <w:tr>
        <w:tc>
          <w:tcPr>
            <w:tcW w:type="dxa" w:w="3312"/>
          </w:tcPr>
          <w:p>
            <w:pPr>
              <w:spacing w:after="20"/>
            </w:pPr>
            <w:r>
              <w:rPr>
                <w:sz w:val="16"/>
              </w:rPr>
              <w:t>Person verified</w:t>
            </w:r>
          </w:p>
        </w:tc>
        <w:tc>
          <w:tcPr>
            <w:tcW w:type="dxa" w:w="3312"/>
          </w:tcPr>
          <w:p>
            <w:pPr>
              <w:spacing w:after="20"/>
            </w:pPr>
            <w:r>
              <w:rPr>
                <w:sz w:val="16"/>
              </w:rPr>
              <w:t>The account holder completed the platform's approved person-verification process.</w:t>
            </w:r>
          </w:p>
        </w:tc>
        <w:tc>
          <w:tcPr>
            <w:tcW w:type="dxa" w:w="3312"/>
          </w:tcPr>
          <w:p>
            <w:pPr>
              <w:spacing w:after="20"/>
            </w:pPr>
            <w:r>
              <w:rPr>
                <w:sz w:val="16"/>
              </w:rPr>
              <w:t>Use the primary verified badge, with an accessible label and a short explanation of the method.</w:t>
            </w:r>
          </w:p>
        </w:tc>
      </w:tr>
      <w:tr>
        <w:tc>
          <w:tcPr>
            <w:tcW w:type="dxa" w:w="3312"/>
          </w:tcPr>
          <w:p>
            <w:pPr>
              <w:spacing w:after="20"/>
            </w:pPr>
            <w:r>
              <w:rPr>
                <w:sz w:val="16"/>
              </w:rPr>
              <w:t>Verification pending</w:t>
            </w:r>
          </w:p>
        </w:tc>
        <w:tc>
          <w:tcPr>
            <w:tcW w:type="dxa" w:w="3312"/>
          </w:tcPr>
          <w:p>
            <w:pPr>
              <w:spacing w:after="20"/>
            </w:pPr>
            <w:r>
              <w:rPr>
                <w:sz w:val="16"/>
              </w:rPr>
              <w:t>The check has not completed.</w:t>
            </w:r>
          </w:p>
        </w:tc>
        <w:tc>
          <w:tcPr>
            <w:tcW w:type="dxa" w:w="3312"/>
          </w:tcPr>
          <w:p>
            <w:pPr>
              <w:spacing w:after="20"/>
            </w:pPr>
            <w:r>
              <w:rPr>
                <w:sz w:val="16"/>
              </w:rPr>
              <w:t>Show only to the account owner in settings, not as a public badge.</w:t>
            </w:r>
          </w:p>
        </w:tc>
      </w:tr>
      <w:tr>
        <w:tc>
          <w:tcPr>
            <w:tcW w:type="dxa" w:w="3312"/>
          </w:tcPr>
          <w:p>
            <w:pPr>
              <w:spacing w:after="20"/>
            </w:pPr>
            <w:r>
              <w:rPr>
                <w:sz w:val="16"/>
              </w:rPr>
              <w:t>Verification expired / needs review</w:t>
            </w:r>
          </w:p>
        </w:tc>
        <w:tc>
          <w:tcPr>
            <w:tcW w:type="dxa" w:w="3312"/>
          </w:tcPr>
          <w:p>
            <w:pPr>
              <w:spacing w:after="20"/>
            </w:pPr>
            <w:r>
              <w:rPr>
                <w:sz w:val="16"/>
              </w:rPr>
              <w:t>The check is no longer current or requires another step.</w:t>
            </w:r>
          </w:p>
        </w:tc>
        <w:tc>
          <w:tcPr>
            <w:tcW w:type="dxa" w:w="3312"/>
          </w:tcPr>
          <w:p>
            <w:pPr>
              <w:spacing w:after="20"/>
            </w:pPr>
            <w:r>
              <w:rPr>
                <w:sz w:val="16"/>
              </w:rPr>
              <w:t>Remove or change the public person-verified badge until status is resolved; explain privately to the account owner.</w:t>
            </w:r>
          </w:p>
        </w:tc>
      </w:tr>
      <w:tr>
        <w:tc>
          <w:tcPr>
            <w:tcW w:type="dxa" w:w="3312"/>
          </w:tcPr>
          <w:p>
            <w:pPr>
              <w:spacing w:after="20"/>
            </w:pPr>
            <w:r>
              <w:rPr>
                <w:sz w:val="16"/>
              </w:rPr>
              <w:t>No badge</w:t>
            </w:r>
          </w:p>
        </w:tc>
        <w:tc>
          <w:tcPr>
            <w:tcW w:type="dxa" w:w="3312"/>
          </w:tcPr>
          <w:p>
            <w:pPr>
              <w:spacing w:after="20"/>
            </w:pPr>
            <w:r>
              <w:rPr>
                <w:sz w:val="16"/>
              </w:rPr>
              <w:t>The account has not completed that verification tier.</w:t>
            </w:r>
          </w:p>
        </w:tc>
        <w:tc>
          <w:tcPr>
            <w:tcW w:type="dxa" w:w="3312"/>
          </w:tcPr>
          <w:p>
            <w:pPr>
              <w:spacing w:after="20"/>
            </w:pPr>
            <w:r>
              <w:rPr>
                <w:sz w:val="16"/>
              </w:rPr>
              <w:t>Do not label the user as fake or suspicious solely because no badge is present.</w:t>
            </w:r>
          </w:p>
        </w:tc>
      </w:tr>
    </w:tbl>
    <w:p/>
    <w:p>
      <w:pPr>
        <w:pStyle w:val="Heading2"/>
      </w:pPr>
      <w:r>
        <w:t>2. Where badges appear</w:t>
      </w:r>
    </w:p>
    <w:p>
      <w:pPr>
        <w:pStyle w:val="ListBullet"/>
        <w:spacing w:after="40"/>
      </w:pPr>
      <w:r>
        <w:t>Show the person-verification badge beside the display name on discovery cards, full profiles and match details.</w:t>
      </w:r>
    </w:p>
    <w:p>
      <w:pPr>
        <w:pStyle w:val="ListBullet"/>
        <w:spacing w:after="40"/>
      </w:pPr>
      <w:r>
        <w:t>Show the same indicator consistently in incoming likes and conversation headers so users do not have to guess whether a badge means the same thing in different screens.</w:t>
      </w:r>
    </w:p>
    <w:p>
      <w:pPr>
        <w:pStyle w:val="ListBullet"/>
        <w:spacing w:after="40"/>
      </w:pPr>
      <w:r>
        <w:t>Tapping or selecting the badge opens a short explanation of what was checked, what it does not prove, and how the process protects privacy.</w:t>
      </w:r>
    </w:p>
    <w:p>
      <w:pPr>
        <w:pStyle w:val="ListBullet"/>
        <w:spacing w:after="40"/>
      </w:pPr>
      <w:r>
        <w:t>Use both an icon and accessible text/semantics; never communicate verification by colour alone.</w:t>
      </w:r>
    </w:p>
    <w:p>
      <w:pPr>
        <w:pStyle w:val="ListBullet"/>
        <w:spacing w:after="40"/>
      </w:pPr>
      <w:r>
        <w:t>Avoid exposing verification provider, document type, legal name, date of birth or other verification evidence to other users.</w:t>
      </w:r>
    </w:p>
    <w:p>
      <w:pPr>
        <w:pStyle w:val="ListBullet"/>
        <w:spacing w:after="40"/>
      </w:pPr>
      <w:r>
        <w:t>Do not sell badge placement or allow a paid subscription to purchase verification status.</w:t>
      </w:r>
    </w:p>
    <w:p>
      <w:pPr>
        <w:pStyle w:val="ListBullet"/>
        <w:spacing w:after="40"/>
      </w:pPr>
      <w:r>
        <w:t>If a profile is under a material safety restriction, the safety system can limit its visibility independently of the badge.</w:t>
      </w:r>
    </w:p>
    <w:p>
      <w:pPr>
        <w:pStyle w:val="Heading2"/>
      </w:pPr>
      <w:r>
        <w:t>3. Suggested user-facing copy</w:t>
      </w:r>
    </w:p>
    <w:tbl>
      <w:tblPr>
        <w:tblStyle w:val="LightShading-Accent1"/>
        <w:tblW w:type="auto" w:w="0"/>
        <w:tblLook w:firstColumn="1" w:firstRow="1" w:lastColumn="0" w:lastRow="0" w:noHBand="0" w:noVBand="1" w:val="04A0"/>
      </w:tblPr>
      <w:tblGrid>
        <w:gridCol w:w="4968"/>
        <w:gridCol w:w="4968"/>
      </w:tblGrid>
      <w:tr>
        <w:tc>
          <w:tcPr>
            <w:tcW w:type="dxa" w:w="4968"/>
            <w:shd w:fill="176B68"/>
          </w:tcPr>
          <w:p>
            <w:r>
              <w:rPr>
                <w:b/>
                <w:color w:val="FFFFFF"/>
                <w:sz w:val="17"/>
              </w:rPr>
              <w:t>Surface</w:t>
            </w:r>
          </w:p>
        </w:tc>
        <w:tc>
          <w:tcPr>
            <w:tcW w:type="dxa" w:w="4968"/>
            <w:shd w:fill="176B68"/>
          </w:tcPr>
          <w:p>
            <w:r>
              <w:rPr>
                <w:b/>
                <w:color w:val="FFFFFF"/>
                <w:sz w:val="17"/>
              </w:rPr>
              <w:t>Suggested copy</w:t>
            </w:r>
          </w:p>
        </w:tc>
      </w:tr>
      <w:tr>
        <w:tc>
          <w:tcPr>
            <w:tcW w:type="dxa" w:w="4968"/>
          </w:tcPr>
          <w:p>
            <w:pPr>
              <w:spacing w:after="20"/>
            </w:pPr>
            <w:r>
              <w:rPr>
                <w:sz w:val="16"/>
              </w:rPr>
              <w:t>Person-verified badge tooltip</w:t>
            </w:r>
          </w:p>
        </w:tc>
        <w:tc>
          <w:tcPr>
            <w:tcW w:type="dxa" w:w="4968"/>
          </w:tcPr>
          <w:p>
            <w:pPr>
              <w:spacing w:after="20"/>
            </w:pPr>
            <w:r>
              <w:rPr>
                <w:sz w:val="16"/>
              </w:rPr>
              <w:t>Person verified: this account completed our person-verification check. Verification does not guarantee someone's intentions or behaviour.</w:t>
            </w:r>
          </w:p>
        </w:tc>
      </w:tr>
      <w:tr>
        <w:tc>
          <w:tcPr>
            <w:tcW w:type="dxa" w:w="4968"/>
          </w:tcPr>
          <w:p>
            <w:pPr>
              <w:spacing w:after="20"/>
            </w:pPr>
            <w:r>
              <w:rPr>
                <w:sz w:val="16"/>
              </w:rPr>
              <w:t>Contact-verified badge tooltip</w:t>
            </w:r>
          </w:p>
        </w:tc>
        <w:tc>
          <w:tcPr>
            <w:tcW w:type="dxa" w:w="4968"/>
          </w:tcPr>
          <w:p>
            <w:pPr>
              <w:spacing w:after="20"/>
            </w:pPr>
            <w:r>
              <w:rPr>
                <w:sz w:val="16"/>
              </w:rPr>
              <w:t>Contact verified: this account confirmed access to a phone number or email address. This is not proof of real-world identity.</w:t>
            </w:r>
          </w:p>
        </w:tc>
      </w:tr>
      <w:tr>
        <w:tc>
          <w:tcPr>
            <w:tcW w:type="dxa" w:w="4968"/>
          </w:tcPr>
          <w:p>
            <w:pPr>
              <w:spacing w:after="20"/>
            </w:pPr>
            <w:r>
              <w:rPr>
                <w:sz w:val="16"/>
              </w:rPr>
              <w:t>Verification settings</w:t>
            </w:r>
          </w:p>
        </w:tc>
        <w:tc>
          <w:tcPr>
            <w:tcW w:type="dxa" w:w="4968"/>
          </w:tcPr>
          <w:p>
            <w:pPr>
              <w:spacing w:after="20"/>
            </w:pPr>
            <w:r>
              <w:rPr>
                <w:sz w:val="16"/>
              </w:rPr>
              <w:t>Verification helps people understand what checks an account has completed. We limit access to verification information and do not display identity documents on your profile.</w:t>
            </w:r>
          </w:p>
        </w:tc>
      </w:tr>
      <w:tr>
        <w:tc>
          <w:tcPr>
            <w:tcW w:type="dxa" w:w="4968"/>
          </w:tcPr>
          <w:p>
            <w:pPr>
              <w:spacing w:after="20"/>
            </w:pPr>
            <w:r>
              <w:rPr>
                <w:sz w:val="16"/>
              </w:rPr>
              <w:t>No badge help text</w:t>
            </w:r>
          </w:p>
        </w:tc>
        <w:tc>
          <w:tcPr>
            <w:tcW w:type="dxa" w:w="4968"/>
          </w:tcPr>
          <w:p>
            <w:pPr>
              <w:spacing w:after="20"/>
            </w:pPr>
            <w:r>
              <w:rPr>
                <w:sz w:val="16"/>
              </w:rPr>
              <w:t>This person has not completed this verification step. That alone does not mean the account is fake.</w:t>
            </w:r>
          </w:p>
        </w:tc>
      </w:tr>
    </w:tbl>
    <w:p/>
    <w:p>
      <w:pPr>
        <w:pStyle w:val="Heading2"/>
      </w:pPr>
      <w:r>
        <w:t>4. Technical and moderation requirements</w:t>
      </w:r>
    </w:p>
    <w:p>
      <w:pPr>
        <w:pStyle w:val="ListBullet"/>
        <w:spacing w:after="40"/>
      </w:pPr>
      <w:r>
        <w:t>Verification state must be server-authoritative. Mobile clients must never be allowed to set or self-assert a public badge.</w:t>
      </w:r>
    </w:p>
    <w:p>
      <w:pPr>
        <w:pStyle w:val="ListBullet"/>
        <w:spacing w:after="40"/>
      </w:pPr>
      <w:r>
        <w:t>Represent verification method, status, verified_at, expires_at, provider reference and policy/version used as separate fields. Keep public profile responses to a minimal badge type and display state.</w:t>
      </w:r>
    </w:p>
    <w:p>
      <w:pPr>
        <w:pStyle w:val="ListBullet"/>
        <w:spacing w:after="40"/>
      </w:pPr>
      <w:r>
        <w:t>Update public badge state only after a signed provider result or authorised staff decision has been validated and recorded.</w:t>
      </w:r>
    </w:p>
    <w:p>
      <w:pPr>
        <w:pStyle w:val="ListBullet"/>
        <w:spacing w:after="40"/>
      </w:pPr>
      <w:r>
        <w:t>If a verification result is revoked, expires or is found to be fraudulent, invalidate the badge promptly and record the reason in restricted audit data.</w:t>
      </w:r>
    </w:p>
    <w:p>
      <w:pPr>
        <w:pStyle w:val="ListBullet"/>
        <w:spacing w:after="40"/>
      </w:pPr>
      <w:r>
        <w:t>Badge status must not override reports, blocks, moderation decisions or new evidence of abuse.</w:t>
      </w:r>
    </w:p>
    <w:p>
      <w:pPr>
        <w:pStyle w:val="ListBullet"/>
        <w:spacing w:after="40"/>
      </w:pPr>
      <w:r>
        <w:t>Measure verification completion, drop-off, accessibility failure, appeal overturns and user understanding of badge meaning.</w:t>
      </w:r>
    </w:p>
    <w:p>
      <w:pPr>
        <w:pStyle w:val="ListBullet"/>
        <w:spacing w:after="40"/>
      </w:pPr>
      <w:r>
        <w:t>Test screen readers, dynamic text, colour contrast, translated labels and compact profile layouts.</w:t>
      </w:r>
    </w:p>
    <w:p>
      <w:pPr>
        <w:pStyle w:val="Heading2"/>
      </w:pPr>
      <w:r>
        <w:t>5. Acceptance criteria</w:t>
      </w:r>
    </w:p>
    <w:p>
      <w:pPr>
        <w:pStyle w:val="ListBullet"/>
        <w:spacing w:after="40"/>
      </w:pPr>
      <w:r>
        <w:t>Every public verification badge has a defined and documented meaning.</w:t>
      </w:r>
    </w:p>
    <w:p>
      <w:pPr>
        <w:pStyle w:val="ListBullet"/>
        <w:spacing w:after="40"/>
      </w:pPr>
      <w:r>
        <w:t>The badge appears consistently across discovery, profile, incoming likes, matches and conversation screens.</w:t>
      </w:r>
    </w:p>
    <w:p>
      <w:pPr>
        <w:pStyle w:val="ListBullet"/>
        <w:spacing w:after="40"/>
      </w:pPr>
      <w:r>
        <w:t>Tapping the badge explains what was verified and clearly states that verification is not a safety guarantee.</w:t>
      </w:r>
    </w:p>
    <w:p>
      <w:pPr>
        <w:pStyle w:val="ListBullet"/>
        <w:spacing w:after="40"/>
      </w:pPr>
      <w:r>
        <w:t>No user can obtain or retain a badge by editing client requests or replaying an unsigned webhook.</w:t>
      </w:r>
    </w:p>
    <w:p>
      <w:pPr>
        <w:pStyle w:val="ListBullet"/>
        <w:spacing w:after="40"/>
      </w:pPr>
      <w:r>
        <w:t>A revoked or expired person-verification status updates the public indicator within the defined service-level objective.</w:t>
      </w:r>
    </w:p>
    <w:p>
      <w:pPr>
        <w:pStyle w:val="ListBullet"/>
        <w:spacing w:after="40"/>
      </w:pPr>
      <w:r>
        <w:t>Verification data and evidence are not exposed through public profile APIs or analytics.</w:t>
      </w:r>
    </w:p>
    <w:p>
      <w:pPr>
        <w:pStyle w:val="ListBullet"/>
        <w:spacing w:after="40"/>
      </w:pPr>
      <w:r>
        <w:t>Paid tiers cannot buy, fabricate or suppress verification indicators.</w:t>
      </w:r>
    </w:p>
    <w:p>
      <w:r>
        <w:br w:type="page"/>
      </w:r>
    </w:p>
    <w:p>
      <w:pPr>
        <w:pStyle w:val="Heading1"/>
      </w:pPr>
      <w:r>
        <w:t>Research Addendum — Evidence, Product Decisions and Experiments</w:t>
      </w:r>
    </w:p>
    <w:p>
      <w:r>
        <w:t>Purpose: record additional research after the initial product blueprint. Findings below distinguish authoritative guidance, academic evidence and anecdotal community reports. The sources support the direction of the product, but they do not prove that the proposed app or its algorithm will outperform competitors. Product-specific claims require testing.</w:t>
      </w:r>
    </w:p>
    <w:p>
      <w:pPr>
        <w:pStyle w:val="Heading2"/>
      </w:pPr>
      <w:r>
        <w:t>1. Verification and profile authenticity</w:t>
      </w:r>
    </w:p>
    <w:p>
      <w:r>
        <w:t>Tinder's published Photo Check documentation describes video-selfie liveness checks and comparison with profile photos, including comparison of face representations across accounts to help identify reuse of a person's likeness. Its ID + Photo Verification flow combines photo verification with an identity-document check in selected markets and provides a visible profile badge. Tinder explicitly states that verification does not guarantee a person's safety or intentions.</w:t>
      </w:r>
    </w:p>
    <w:p>
      <w:r>
        <w:t>Product implication: our visible badge should describe the exact check completed. Verification should be combined with ongoing risk signals and safety operations, not treated as a permanent trust guarantee. We should evaluate a privacy-conscious provider and compare selfie-only verification with ID-plus-photo verification, including completion rates, accessibility, spoof resistance, cost and appeal rates.</w:t>
      </w:r>
    </w:p>
    <w:p>
      <w:r>
        <w:t>Privacy implication: ICO guidance states that biometric data processed for the purpose of uniquely identifying a person is special-category biometric data. Before implementing face matching, the company must establish a lawful basis and an applicable special-category condition, assess necessity and proportionality, and complete a DPIA where required. Guidance is subject to legal change, so the latest ICO material and specialist advice must be checked before launch.</w:t>
      </w:r>
    </w:p>
    <w:p>
      <w:pPr>
        <w:pStyle w:val="Heading2"/>
      </w:pPr>
      <w:r>
        <w:t>2. Safety as a product differentiator</w:t>
      </w:r>
    </w:p>
    <w:p>
      <w:r>
        <w:t>Pew Research Center's 2023 report on US online daters found that 48% of people who had ever used dating platforms reported at least one of four unwanted behaviours measured: unsolicited sexually explicit content, continued contact after rejection, offensive name-calling or threats. The study is US-based and does not establish UK prevalence, but it provides credible evidence that unwanted behaviour is a significant part of the user experience.</w:t>
      </w:r>
    </w:p>
    <w:p>
      <w:pPr>
        <w:pStyle w:val="ListBullet"/>
        <w:spacing w:after="40"/>
      </w:pPr>
      <w:r>
        <w:t>Treat blocking as immediate and separate from reporting. Blocking should stop contact and discovery exposure without requiring a moderator decision.</w:t>
      </w:r>
    </w:p>
    <w:p>
      <w:pPr>
        <w:pStyle w:val="ListBullet"/>
        <w:spacing w:after="40"/>
      </w:pPr>
      <w:r>
        <w:t>Treat reports as allegations requiring proportionate triage, not as automatic proof. Severe and credible reports need rapid escalation; consequential restrictions need documented rationale and appeal routes.</w:t>
      </w:r>
    </w:p>
    <w:p>
      <w:pPr>
        <w:pStyle w:val="ListBullet"/>
        <w:spacing w:after="40"/>
      </w:pPr>
      <w:r>
        <w:t>Measure safety by incident rates, resolution times, repeat-offender rates, false positives and user trust—not simply the number of accounts removed.</w:t>
      </w:r>
    </w:p>
    <w:p>
      <w:pPr>
        <w:pStyle w:val="ListBullet"/>
        <w:spacing w:after="40"/>
      </w:pPr>
      <w:r>
        <w:t>Do not permanently ban all users sharing an IP address, device or image. Those signals can be shared by legitimate users and must be corroborated.</w:t>
      </w:r>
    </w:p>
    <w:p>
      <w:pPr>
        <w:pStyle w:val="Heading2"/>
      </w:pPr>
      <w:r>
        <w:t>3. Reciprocal matching and exposure fairness</w:t>
      </w:r>
    </w:p>
    <w:p>
      <w:r>
        <w:t>The RecSys 2024 paper 'Fair Reciprocal Recommendation in Matching Markets' models success as mutual interest and identifies a trade-off between maximising expected matches and ensuring fair recommendation opportunities. Its experiments suggest that a match-maximising heuristic can create substantial opportunity inequality, while a fairness-aware approach can retain relatively high expected matching performance.</w:t>
      </w:r>
    </w:p>
    <w:p>
      <w:r>
        <w:t>Product implication: do not use a single popularity score or maximise clicks. The ranking pipeline should estimate interest in both directions, apply explicit user constraints, and then re-rank with controlled exposure, freshness and cold-start considerations. Fairness metrics should be chosen carefully and measured only where data collection is lawful, necessary and sufficiently privacy-protective.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76B68"/>
          </w:tcPr>
          <w:p>
            <w:r>
              <w:rPr>
                <w:b/>
                <w:color w:val="FFFFFF"/>
                <w:sz w:val="17"/>
              </w:rPr>
              <w:t>Experiment</w:t>
            </w:r>
          </w:p>
        </w:tc>
        <w:tc>
          <w:tcPr>
            <w:tcW w:type="dxa" w:w="2484"/>
            <w:shd w:fill="176B68"/>
          </w:tcPr>
          <w:p>
            <w:r>
              <w:rPr>
                <w:b/>
                <w:color w:val="FFFFFF"/>
                <w:sz w:val="17"/>
              </w:rPr>
              <w:t>Hypothesis</w:t>
            </w:r>
          </w:p>
        </w:tc>
        <w:tc>
          <w:tcPr>
            <w:tcW w:type="dxa" w:w="2484"/>
            <w:shd w:fill="176B68"/>
          </w:tcPr>
          <w:p>
            <w:r>
              <w:rPr>
                <w:b/>
                <w:color w:val="FFFFFF"/>
                <w:sz w:val="17"/>
              </w:rPr>
              <w:t>Primary measure</w:t>
            </w:r>
          </w:p>
        </w:tc>
        <w:tc>
          <w:tcPr>
            <w:tcW w:type="dxa" w:w="2484"/>
            <w:shd w:fill="176B68"/>
          </w:tcPr>
          <w:p>
            <w:r>
              <w:rPr>
                <w:b/>
                <w:color w:val="FFFFFF"/>
                <w:sz w:val="17"/>
              </w:rPr>
              <w:t>Guardrails</w:t>
            </w:r>
          </w:p>
        </w:tc>
      </w:tr>
      <w:tr>
        <w:tc>
          <w:tcPr>
            <w:tcW w:type="dxa" w:w="2484"/>
          </w:tcPr>
          <w:p>
            <w:pPr>
              <w:spacing w:after="20"/>
            </w:pPr>
            <w:r>
              <w:rPr>
                <w:sz w:val="16"/>
              </w:rPr>
              <w:t>Reciprocal baseline vs one-sided ranking</w:t>
            </w:r>
          </w:p>
        </w:tc>
        <w:tc>
          <w:tcPr>
            <w:tcW w:type="dxa" w:w="2484"/>
          </w:tcPr>
          <w:p>
            <w:pPr>
              <w:spacing w:after="20"/>
            </w:pPr>
            <w:r>
              <w:rPr>
                <w:sz w:val="16"/>
              </w:rPr>
              <w:t>Mutual prediction creates more mutually wanted connections.</w:t>
            </w:r>
          </w:p>
        </w:tc>
        <w:tc>
          <w:tcPr>
            <w:tcW w:type="dxa" w:w="2484"/>
          </w:tcPr>
          <w:p>
            <w:pPr>
              <w:spacing w:after="20"/>
            </w:pPr>
            <w:r>
              <w:rPr>
                <w:sz w:val="16"/>
              </w:rPr>
              <w:t>Mutual likes per eligible impression; match-to-conversation rate.</w:t>
            </w:r>
          </w:p>
        </w:tc>
        <w:tc>
          <w:tcPr>
            <w:tcW w:type="dxa" w:w="2484"/>
          </w:tcPr>
          <w:p>
            <w:pPr>
              <w:spacing w:after="20"/>
            </w:pPr>
            <w:r>
              <w:rPr>
                <w:sz w:val="16"/>
              </w:rPr>
              <w:t>Safety incidents, candidate coverage, exposure concentration.</w:t>
            </w:r>
          </w:p>
        </w:tc>
      </w:tr>
      <w:tr>
        <w:tc>
          <w:tcPr>
            <w:tcW w:type="dxa" w:w="2484"/>
          </w:tcPr>
          <w:p>
            <w:pPr>
              <w:spacing w:after="20"/>
            </w:pPr>
            <w:r>
              <w:rPr>
                <w:sz w:val="16"/>
              </w:rPr>
              <w:t>Exposure-aware re-ranking</w:t>
            </w:r>
          </w:p>
        </w:tc>
        <w:tc>
          <w:tcPr>
            <w:tcW w:type="dxa" w:w="2484"/>
          </w:tcPr>
          <w:p>
            <w:pPr>
              <w:spacing w:after="20"/>
            </w:pPr>
            <w:r>
              <w:rPr>
                <w:sz w:val="16"/>
              </w:rPr>
              <w:t>A small fairness constraint can improve coverage without materially harming match quality.</w:t>
            </w:r>
          </w:p>
        </w:tc>
        <w:tc>
          <w:tcPr>
            <w:tcW w:type="dxa" w:w="2484"/>
          </w:tcPr>
          <w:p>
            <w:pPr>
              <w:spacing w:after="20"/>
            </w:pPr>
            <w:r>
              <w:rPr>
                <w:sz w:val="16"/>
              </w:rPr>
              <w:t>Eligible users receiving meaningful exposure; reciprocal match rate.</w:t>
            </w:r>
          </w:p>
        </w:tc>
        <w:tc>
          <w:tcPr>
            <w:tcW w:type="dxa" w:w="2484"/>
          </w:tcPr>
          <w:p>
            <w:pPr>
              <w:spacing w:after="20"/>
            </w:pPr>
            <w:r>
              <w:rPr>
                <w:sz w:val="16"/>
              </w:rPr>
              <w:t>No arbitrary quotas that override hard preferences; monitor cohort disparities.</w:t>
            </w:r>
          </w:p>
        </w:tc>
      </w:tr>
      <w:tr>
        <w:tc>
          <w:tcPr>
            <w:tcW w:type="dxa" w:w="2484"/>
          </w:tcPr>
          <w:p>
            <w:pPr>
              <w:spacing w:after="20"/>
            </w:pPr>
            <w:r>
              <w:rPr>
                <w:sz w:val="16"/>
              </w:rPr>
              <w:t>Explanation variants</w:t>
            </w:r>
          </w:p>
        </w:tc>
        <w:tc>
          <w:tcPr>
            <w:tcW w:type="dxa" w:w="2484"/>
          </w:tcPr>
          <w:p>
            <w:pPr>
              <w:spacing w:after="20"/>
            </w:pPr>
            <w:r>
              <w:rPr>
                <w:sz w:val="16"/>
              </w:rPr>
              <w:t>Grounded reasons increase user trust and interaction quality.</w:t>
            </w:r>
          </w:p>
        </w:tc>
        <w:tc>
          <w:tcPr>
            <w:tcW w:type="dxa" w:w="2484"/>
          </w:tcPr>
          <w:p>
            <w:pPr>
              <w:spacing w:after="20"/>
            </w:pPr>
            <w:r>
              <w:rPr>
                <w:sz w:val="16"/>
              </w:rPr>
              <w:t>Profile action rate plus user-rated recommendation usefulness.</w:t>
            </w:r>
          </w:p>
        </w:tc>
        <w:tc>
          <w:tcPr>
            <w:tcW w:type="dxa" w:w="2484"/>
          </w:tcPr>
          <w:p>
            <w:pPr>
              <w:spacing w:after="20"/>
            </w:pPr>
            <w:r>
              <w:rPr>
                <w:sz w:val="16"/>
              </w:rPr>
              <w:t>No misleading certainty; no disclosure of private inferred signals.</w:t>
            </w:r>
          </w:p>
        </w:tc>
      </w:tr>
      <w:tr>
        <w:tc>
          <w:tcPr>
            <w:tcW w:type="dxa" w:w="2484"/>
          </w:tcPr>
          <w:p>
            <w:pPr>
              <w:spacing w:after="20"/>
            </w:pPr>
            <w:r>
              <w:rPr>
                <w:sz w:val="16"/>
              </w:rPr>
              <w:t>New-user cold-start treatment</w:t>
            </w:r>
          </w:p>
        </w:tc>
        <w:tc>
          <w:tcPr>
            <w:tcW w:type="dxa" w:w="2484"/>
          </w:tcPr>
          <w:p>
            <w:pPr>
              <w:spacing w:after="20"/>
            </w:pPr>
            <w:r>
              <w:rPr>
                <w:sz w:val="16"/>
              </w:rPr>
              <w:t>Explicit preferences and limited exploration help new profiles get discovered.</w:t>
            </w:r>
          </w:p>
        </w:tc>
        <w:tc>
          <w:tcPr>
            <w:tcW w:type="dxa" w:w="2484"/>
          </w:tcPr>
          <w:p>
            <w:pPr>
              <w:spacing w:after="20"/>
            </w:pPr>
            <w:r>
              <w:rPr>
                <w:sz w:val="16"/>
              </w:rPr>
              <w:t>Time to first relevant recommendation and first mutual match.</w:t>
            </w:r>
          </w:p>
        </w:tc>
        <w:tc>
          <w:tcPr>
            <w:tcW w:type="dxa" w:w="2484"/>
          </w:tcPr>
          <w:p>
            <w:pPr>
              <w:spacing w:after="20"/>
            </w:pPr>
            <w:r>
              <w:rPr>
                <w:sz w:val="16"/>
              </w:rPr>
              <w:t>Report exposure inequality and spam/fraud rates.</w:t>
            </w:r>
          </w:p>
        </w:tc>
      </w:tr>
      <w:tr>
        <w:tc>
          <w:tcPr>
            <w:tcW w:type="dxa" w:w="2484"/>
          </w:tcPr>
          <w:p>
            <w:pPr>
              <w:spacing w:after="20"/>
            </w:pPr>
            <w:r>
              <w:rPr>
                <w:sz w:val="16"/>
              </w:rPr>
              <w:t>User-controlled preference feedback</w:t>
            </w:r>
          </w:p>
        </w:tc>
        <w:tc>
          <w:tcPr>
            <w:tcW w:type="dxa" w:w="2484"/>
          </w:tcPr>
          <w:p>
            <w:pPr>
              <w:spacing w:after="20"/>
            </w:pPr>
            <w:r>
              <w:rPr>
                <w:sz w:val="16"/>
              </w:rPr>
              <w:t>'More like this' and 'less like this' improve relevance with user agency.</w:t>
            </w:r>
          </w:p>
        </w:tc>
        <w:tc>
          <w:tcPr>
            <w:tcW w:type="dxa" w:w="2484"/>
          </w:tcPr>
          <w:p>
            <w:pPr>
              <w:spacing w:after="20"/>
            </w:pPr>
            <w:r>
              <w:rPr>
                <w:sz w:val="16"/>
              </w:rPr>
              <w:t>Recommendation satisfaction and ranking calibration.</w:t>
            </w:r>
          </w:p>
        </w:tc>
        <w:tc>
          <w:tcPr>
            <w:tcW w:type="dxa" w:w="2484"/>
          </w:tcPr>
          <w:p>
            <w:pPr>
              <w:spacing w:after="20"/>
            </w:pPr>
            <w:r>
              <w:rPr>
                <w:sz w:val="16"/>
              </w:rPr>
              <w:t>Easy reset; avoid inferring sensitive traits.</w:t>
            </w:r>
          </w:p>
        </w:tc>
      </w:tr>
    </w:tbl>
    <w:p/>
    <w:p>
      <w:pPr>
        <w:pStyle w:val="Heading2"/>
      </w:pPr>
      <w:r>
        <w:t>4. Monetisation: qualitative evidence and a testable policy</w:t>
      </w:r>
    </w:p>
    <w:p>
      <w:r>
        <w:t>Recent public Reddit discussions about Hinge and other dating apps include complaints about limited free likes, obscured incoming likes, paid visibility and subscription value. These posts are qualitative, self-selected and not representative. They are useful for discovering pain points, not for estimating how many users hold a view or what price will maximise revenue.</w:t>
      </w:r>
    </w:p>
    <w:p>
      <w:r>
        <w:t>Product policy recommendation: the free tier includes profile creation, useful recommendations, visible incoming likes, mutual matching, messaging and safety controls. Paid features should add optional convenience or richer insights rather than removing essential access.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176B68"/>
          </w:tcPr>
          <w:p>
            <w:r>
              <w:rPr>
                <w:b/>
                <w:color w:val="FFFFFF"/>
                <w:sz w:val="17"/>
              </w:rPr>
              <w:t>Test</w:t>
            </w:r>
          </w:p>
        </w:tc>
        <w:tc>
          <w:tcPr>
            <w:tcW w:type="dxa" w:w="2484"/>
            <w:shd w:fill="176B68"/>
          </w:tcPr>
          <w:p>
            <w:r>
              <w:rPr>
                <w:b/>
                <w:color w:val="FFFFFF"/>
                <w:sz w:val="17"/>
              </w:rPr>
              <w:t>Variants</w:t>
            </w:r>
          </w:p>
        </w:tc>
        <w:tc>
          <w:tcPr>
            <w:tcW w:type="dxa" w:w="2484"/>
            <w:shd w:fill="176B68"/>
          </w:tcPr>
          <w:p>
            <w:r>
              <w:rPr>
                <w:b/>
                <w:color w:val="FFFFFF"/>
                <w:sz w:val="17"/>
              </w:rPr>
              <w:t>Measure</w:t>
            </w:r>
          </w:p>
        </w:tc>
        <w:tc>
          <w:tcPr>
            <w:tcW w:type="dxa" w:w="2484"/>
            <w:shd w:fill="176B68"/>
          </w:tcPr>
          <w:p>
            <w:r>
              <w:rPr>
                <w:b/>
                <w:color w:val="FFFFFF"/>
                <w:sz w:val="17"/>
              </w:rPr>
              <w:t>Decision rule</w:t>
            </w:r>
          </w:p>
        </w:tc>
      </w:tr>
      <w:tr>
        <w:tc>
          <w:tcPr>
            <w:tcW w:type="dxa" w:w="2484"/>
          </w:tcPr>
          <w:p>
            <w:pPr>
              <w:spacing w:after="20"/>
            </w:pPr>
            <w:r>
              <w:rPr>
                <w:sz w:val="16"/>
              </w:rPr>
              <w:t>Price sensitivity</w:t>
            </w:r>
          </w:p>
        </w:tc>
        <w:tc>
          <w:tcPr>
            <w:tcW w:type="dxa" w:w="2484"/>
          </w:tcPr>
          <w:p>
            <w:pPr>
              <w:spacing w:after="20"/>
            </w:pPr>
            <w:r>
              <w:rPr>
                <w:sz w:val="16"/>
              </w:rPr>
              <w:t>Several transparent monthly/annual price points tested with real purchase intent or a controlled launch.</w:t>
            </w:r>
          </w:p>
        </w:tc>
        <w:tc>
          <w:tcPr>
            <w:tcW w:type="dxa" w:w="2484"/>
          </w:tcPr>
          <w:p>
            <w:pPr>
              <w:spacing w:after="20"/>
            </w:pPr>
            <w:r>
              <w:rPr>
                <w:sz w:val="16"/>
              </w:rPr>
              <w:t>Paid conversion, net revenue per eligible user, refunds and churn.</w:t>
            </w:r>
          </w:p>
        </w:tc>
        <w:tc>
          <w:tcPr>
            <w:tcW w:type="dxa" w:w="2484"/>
          </w:tcPr>
          <w:p>
            <w:pPr>
              <w:spacing w:after="20"/>
            </w:pPr>
            <w:r>
              <w:rPr>
                <w:sz w:val="16"/>
              </w:rPr>
              <w:t>Choose based on sustainable contribution and user trust, not conversion alone.</w:t>
            </w:r>
          </w:p>
        </w:tc>
      </w:tr>
      <w:tr>
        <w:tc>
          <w:tcPr>
            <w:tcW w:type="dxa" w:w="2484"/>
          </w:tcPr>
          <w:p>
            <w:pPr>
              <w:spacing w:after="20"/>
            </w:pPr>
            <w:r>
              <w:rPr>
                <w:sz w:val="16"/>
              </w:rPr>
              <w:t>Premium benefit</w:t>
            </w:r>
          </w:p>
        </w:tc>
        <w:tc>
          <w:tcPr>
            <w:tcW w:type="dxa" w:w="2484"/>
          </w:tcPr>
          <w:p>
            <w:pPr>
              <w:spacing w:after="20"/>
            </w:pPr>
            <w:r>
              <w:rPr>
                <w:sz w:val="16"/>
              </w:rPr>
              <w:t>Advanced filters vs optional profile coaching vs deeper compatibility reflection.</w:t>
            </w:r>
          </w:p>
        </w:tc>
        <w:tc>
          <w:tcPr>
            <w:tcW w:type="dxa" w:w="2484"/>
          </w:tcPr>
          <w:p>
            <w:pPr>
              <w:spacing w:after="20"/>
            </w:pPr>
            <w:r>
              <w:rPr>
                <w:sz w:val="16"/>
              </w:rPr>
              <w:t>Incremental willingness to pay and satisfaction.</w:t>
            </w:r>
          </w:p>
        </w:tc>
        <w:tc>
          <w:tcPr>
            <w:tcW w:type="dxa" w:w="2484"/>
          </w:tcPr>
          <w:p>
            <w:pPr>
              <w:spacing w:after="20"/>
            </w:pPr>
            <w:r>
              <w:rPr>
                <w:sz w:val="16"/>
              </w:rPr>
              <w:t>Do not put safety or mutual messaging behind a paywall.</w:t>
            </w:r>
          </w:p>
        </w:tc>
      </w:tr>
      <w:tr>
        <w:tc>
          <w:tcPr>
            <w:tcW w:type="dxa" w:w="2484"/>
          </w:tcPr>
          <w:p>
            <w:pPr>
              <w:spacing w:after="20"/>
            </w:pPr>
            <w:r>
              <w:rPr>
                <w:sz w:val="16"/>
              </w:rPr>
              <w:t>Free-tier fairness</w:t>
            </w:r>
          </w:p>
        </w:tc>
        <w:tc>
          <w:tcPr>
            <w:tcW w:type="dxa" w:w="2484"/>
          </w:tcPr>
          <w:p>
            <w:pPr>
              <w:spacing w:after="20"/>
            </w:pPr>
            <w:r>
              <w:rPr>
                <w:sz w:val="16"/>
              </w:rPr>
              <w:t>Stable core experience across free cohorts; no deliberate exposure suppression.</w:t>
            </w:r>
          </w:p>
        </w:tc>
        <w:tc>
          <w:tcPr>
            <w:tcW w:type="dxa" w:w="2484"/>
          </w:tcPr>
          <w:p>
            <w:pPr>
              <w:spacing w:after="20"/>
            </w:pPr>
            <w:r>
              <w:rPr>
                <w:sz w:val="16"/>
              </w:rPr>
              <w:t>Free-user satisfaction, organic referrals, retention and complaint rate.</w:t>
            </w:r>
          </w:p>
        </w:tc>
        <w:tc>
          <w:tcPr>
            <w:tcW w:type="dxa" w:w="2484"/>
          </w:tcPr>
          <w:p>
            <w:pPr>
              <w:spacing w:after="20"/>
            </w:pPr>
            <w:r>
              <w:rPr>
                <w:sz w:val="16"/>
              </w:rPr>
              <w:t>Reject changes that materially harm core connection access to drive upgrades.</w:t>
            </w:r>
          </w:p>
        </w:tc>
      </w:tr>
      <w:tr>
        <w:tc>
          <w:tcPr>
            <w:tcW w:type="dxa" w:w="2484"/>
          </w:tcPr>
          <w:p>
            <w:pPr>
              <w:spacing w:after="20"/>
            </w:pPr>
            <w:r>
              <w:rPr>
                <w:sz w:val="16"/>
              </w:rPr>
              <w:t>Events revenue</w:t>
            </w:r>
          </w:p>
        </w:tc>
        <w:tc>
          <w:tcPr>
            <w:tcW w:type="dxa" w:w="2484"/>
          </w:tcPr>
          <w:p>
            <w:pPr>
              <w:spacing w:after="20"/>
            </w:pPr>
            <w:r>
              <w:rPr>
                <w:sz w:val="16"/>
              </w:rPr>
              <w:t>Optional paid singles events after local density exists.</w:t>
            </w:r>
          </w:p>
        </w:tc>
        <w:tc>
          <w:tcPr>
            <w:tcW w:type="dxa" w:w="2484"/>
          </w:tcPr>
          <w:p>
            <w:pPr>
              <w:spacing w:after="20"/>
            </w:pPr>
            <w:r>
              <w:rPr>
                <w:sz w:val="16"/>
              </w:rPr>
              <w:t>Attendance, repeat attendance, event margin and safety incidents.</w:t>
            </w:r>
          </w:p>
        </w:tc>
        <w:tc>
          <w:tcPr>
            <w:tcW w:type="dxa" w:w="2484"/>
          </w:tcPr>
          <w:p>
            <w:pPr>
              <w:spacing w:after="20"/>
            </w:pPr>
            <w:r>
              <w:rPr>
                <w:sz w:val="16"/>
              </w:rPr>
              <w:t>Expand only when users want offline experiences and operations can support them.</w:t>
            </w:r>
          </w:p>
        </w:tc>
      </w:tr>
    </w:tbl>
    <w:p/>
    <w:p>
      <w:pPr>
        <w:pStyle w:val="Heading2"/>
      </w:pPr>
      <w:r>
        <w:t>5. Launch density and cold-start strategy</w:t>
      </w:r>
    </w:p>
    <w:p>
      <w:r>
        <w:t>A broad adult audience is an appropriate long-term ambition, but launching everywhere at once risks creating a thin pool of active, compatible users. The recommended launch strategy is a geographically concentrated beta with clear relationship intent, a balanced acquisition plan and an explicit minimum viable local pool.</w:t>
      </w:r>
    </w:p>
    <w:p>
      <w:pPr>
        <w:pStyle w:val="ListBullet"/>
        <w:spacing w:after="40"/>
      </w:pPr>
      <w:r>
        <w:t>Choose one initial metro area based on founder reach, user research, acquisition cost and support capacity.</w:t>
      </w:r>
    </w:p>
    <w:p>
      <w:pPr>
        <w:pStyle w:val="ListBullet"/>
        <w:spacing w:after="40"/>
      </w:pPr>
      <w:r>
        <w:t>Measure active eligible users by geography and preference constraints, not total registrations.</w:t>
      </w:r>
    </w:p>
    <w:p>
      <w:pPr>
        <w:pStyle w:val="ListBullet"/>
        <w:spacing w:after="40"/>
      </w:pPr>
      <w:r>
        <w:t>Run research interviews and usability tests before public launch; recruit a diverse beta cohort and avoid fake or undisclosed seeded profiles.</w:t>
      </w:r>
    </w:p>
    <w:p>
      <w:pPr>
        <w:pStyle w:val="ListBullet"/>
        <w:spacing w:after="40"/>
      </w:pPr>
      <w:r>
        <w:t>Show honest low-pool states and let users widen their radius; do not fabricate activity or imply there are more local candidates than exist.</w:t>
      </w:r>
    </w:p>
    <w:p>
      <w:pPr>
        <w:pStyle w:val="ListBullet"/>
        <w:spacing w:after="40"/>
      </w:pPr>
      <w:r>
        <w:t>Expand geography only when recommendation quality, safety coverage and local density meet defined thresholds.</w:t>
      </w:r>
    </w:p>
    <w:p>
      <w:pPr>
        <w:pStyle w:val="Heading2"/>
      </w:pPr>
      <w:r>
        <w:t>6. Regulatory workstream to complete before launch</w:t>
      </w:r>
    </w:p>
    <w:p>
      <w:r>
        <w:t>Ofcom published dating and social discovery guidance on 18 May 2026. The company should assess whether the service is in scope of the Online Safety Act and identify applicable duties rather than assume every duty applies identically to every product. UK GDPR, Data Protection Act requirements, consumer subscription rules, app-store policies and any later launch-country obligations also require review.</w:t>
      </w:r>
    </w:p>
    <w:p>
      <w:pPr>
        <w:pStyle w:val="ListBullet"/>
        <w:spacing w:after="40"/>
      </w:pPr>
      <w:r>
        <w:t>Complete a service-scope assessment with UK online-safety counsel and document applicable Ofcom duties.</w:t>
      </w:r>
    </w:p>
    <w:p>
      <w:pPr>
        <w:pStyle w:val="ListBullet"/>
        <w:spacing w:after="40"/>
      </w:pPr>
      <w:r>
        <w:t>Complete data mapping and DPIA scoping for relationship preferences, location, profiling, moderation evidence and verification.</w:t>
      </w:r>
    </w:p>
    <w:p>
      <w:pPr>
        <w:pStyle w:val="ListBullet"/>
        <w:spacing w:after="40"/>
      </w:pPr>
      <w:r>
        <w:t>Document purpose, lawful basis, any Article 9 condition, retention, access control and vendor responsibilities for every sensitive processing activity.</w:t>
      </w:r>
    </w:p>
    <w:p>
      <w:pPr>
        <w:pStyle w:val="ListBullet"/>
        <w:spacing w:after="40"/>
      </w:pPr>
      <w:r>
        <w:t>Review verification vendors' retention, biometric processing, data transfers, security, deletion and accessibility before selecting a provider.</w:t>
      </w:r>
    </w:p>
    <w:p>
      <w:pPr>
        <w:pStyle w:val="ListBullet"/>
        <w:spacing w:after="40"/>
      </w:pPr>
      <w:r>
        <w:t>Test data access, correction, export and deletion processes, including downstream processors and backup lifecycle.</w:t>
      </w:r>
    </w:p>
    <w:p>
      <w:pPr>
        <w:pStyle w:val="Heading2"/>
      </w:pPr>
      <w:r>
        <w:t>7. New research-driven product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76B68"/>
          </w:tcPr>
          <w:p>
            <w:r>
              <w:rPr>
                <w:b/>
                <w:color w:val="FFFFFF"/>
                <w:sz w:val="17"/>
              </w:rPr>
              <w:t>Requirement ID</w:t>
            </w:r>
          </w:p>
        </w:tc>
        <w:tc>
          <w:tcPr>
            <w:tcW w:type="dxa" w:w="3312"/>
            <w:shd w:fill="176B68"/>
          </w:tcPr>
          <w:p>
            <w:r>
              <w:rPr>
                <w:b/>
                <w:color w:val="FFFFFF"/>
                <w:sz w:val="17"/>
              </w:rPr>
              <w:t>Requirement</w:t>
            </w:r>
          </w:p>
        </w:tc>
        <w:tc>
          <w:tcPr>
            <w:tcW w:type="dxa" w:w="3312"/>
            <w:shd w:fill="176B68"/>
          </w:tcPr>
          <w:p>
            <w:r>
              <w:rPr>
                <w:b/>
                <w:color w:val="FFFFFF"/>
                <w:sz w:val="17"/>
              </w:rPr>
              <w:t>Acceptance criteria</w:t>
            </w:r>
          </w:p>
        </w:tc>
      </w:tr>
      <w:tr>
        <w:tc>
          <w:tcPr>
            <w:tcW w:type="dxa" w:w="3312"/>
          </w:tcPr>
          <w:p>
            <w:pPr>
              <w:spacing w:after="20"/>
            </w:pPr>
            <w:r>
              <w:rPr>
                <w:sz w:val="16"/>
              </w:rPr>
              <w:t>TR-020</w:t>
            </w:r>
          </w:p>
        </w:tc>
        <w:tc>
          <w:tcPr>
            <w:tcW w:type="dxa" w:w="3312"/>
          </w:tcPr>
          <w:p>
            <w:pPr>
              <w:spacing w:after="20"/>
            </w:pPr>
            <w:r>
              <w:rPr>
                <w:sz w:val="16"/>
              </w:rPr>
              <w:t>Verification method transparency</w:t>
            </w:r>
          </w:p>
        </w:tc>
        <w:tc>
          <w:tcPr>
            <w:tcW w:type="dxa" w:w="3312"/>
          </w:tcPr>
          <w:p>
            <w:pPr>
              <w:spacing w:after="20"/>
            </w:pPr>
            <w:r>
              <w:rPr>
                <w:sz w:val="16"/>
              </w:rPr>
              <w:t>Every badge explains exactly what was verified and what it does not prove.</w:t>
            </w:r>
          </w:p>
        </w:tc>
      </w:tr>
      <w:tr>
        <w:tc>
          <w:tcPr>
            <w:tcW w:type="dxa" w:w="3312"/>
          </w:tcPr>
          <w:p>
            <w:pPr>
              <w:spacing w:after="20"/>
            </w:pPr>
            <w:r>
              <w:rPr>
                <w:sz w:val="16"/>
              </w:rPr>
              <w:t>TR-021</w:t>
            </w:r>
          </w:p>
        </w:tc>
        <w:tc>
          <w:tcPr>
            <w:tcW w:type="dxa" w:w="3312"/>
          </w:tcPr>
          <w:p>
            <w:pPr>
              <w:spacing w:after="20"/>
            </w:pPr>
            <w:r>
              <w:rPr>
                <w:sz w:val="16"/>
              </w:rPr>
              <w:t>Biometric privacy review</w:t>
            </w:r>
          </w:p>
        </w:tc>
        <w:tc>
          <w:tcPr>
            <w:tcW w:type="dxa" w:w="3312"/>
          </w:tcPr>
          <w:p>
            <w:pPr>
              <w:spacing w:after="20"/>
            </w:pPr>
            <w:r>
              <w:rPr>
                <w:sz w:val="16"/>
              </w:rPr>
              <w:t>No face-matching implementation reaches production without documented lawful basis, applicable special-category condition, DPIA decision and retention plan.</w:t>
            </w:r>
          </w:p>
        </w:tc>
      </w:tr>
      <w:tr>
        <w:tc>
          <w:tcPr>
            <w:tcW w:type="dxa" w:w="3312"/>
          </w:tcPr>
          <w:p>
            <w:pPr>
              <w:spacing w:after="20"/>
            </w:pPr>
            <w:r>
              <w:rPr>
                <w:sz w:val="16"/>
              </w:rPr>
              <w:t>TR-022</w:t>
            </w:r>
          </w:p>
        </w:tc>
        <w:tc>
          <w:tcPr>
            <w:tcW w:type="dxa" w:w="3312"/>
          </w:tcPr>
          <w:p>
            <w:pPr>
              <w:spacing w:after="20"/>
            </w:pPr>
            <w:r>
              <w:rPr>
                <w:sz w:val="16"/>
              </w:rPr>
              <w:t>Exposure fairness telemetry</w:t>
            </w:r>
          </w:p>
        </w:tc>
        <w:tc>
          <w:tcPr>
            <w:tcW w:type="dxa" w:w="3312"/>
          </w:tcPr>
          <w:p>
            <w:pPr>
              <w:spacing w:after="20"/>
            </w:pPr>
            <w:r>
              <w:rPr>
                <w:sz w:val="16"/>
              </w:rPr>
              <w:t>Store eligible impression and ranking-version data with minimised fields and a defined retention schedule.</w:t>
            </w:r>
          </w:p>
        </w:tc>
      </w:tr>
      <w:tr>
        <w:tc>
          <w:tcPr>
            <w:tcW w:type="dxa" w:w="3312"/>
          </w:tcPr>
          <w:p>
            <w:pPr>
              <w:spacing w:after="20"/>
            </w:pPr>
            <w:r>
              <w:rPr>
                <w:sz w:val="16"/>
              </w:rPr>
              <w:t>TR-023</w:t>
            </w:r>
          </w:p>
        </w:tc>
        <w:tc>
          <w:tcPr>
            <w:tcW w:type="dxa" w:w="3312"/>
          </w:tcPr>
          <w:p>
            <w:pPr>
              <w:spacing w:after="20"/>
            </w:pPr>
            <w:r>
              <w:rPr>
                <w:sz w:val="16"/>
              </w:rPr>
              <w:t>Appeal and false-positive measurement</w:t>
            </w:r>
          </w:p>
        </w:tc>
        <w:tc>
          <w:tcPr>
            <w:tcW w:type="dxa" w:w="3312"/>
          </w:tcPr>
          <w:p>
            <w:pPr>
              <w:spacing w:after="20"/>
            </w:pPr>
            <w:r>
              <w:rPr>
                <w:sz w:val="16"/>
              </w:rPr>
              <w:t>Material restrictions have a documented review/appeal route; appeal outcomes and reversal rates are monitored.</w:t>
            </w:r>
          </w:p>
        </w:tc>
      </w:tr>
      <w:tr>
        <w:tc>
          <w:tcPr>
            <w:tcW w:type="dxa" w:w="3312"/>
          </w:tcPr>
          <w:p>
            <w:pPr>
              <w:spacing w:after="20"/>
            </w:pPr>
            <w:r>
              <w:rPr>
                <w:sz w:val="16"/>
              </w:rPr>
              <w:t>PR-020</w:t>
            </w:r>
          </w:p>
        </w:tc>
        <w:tc>
          <w:tcPr>
            <w:tcW w:type="dxa" w:w="3312"/>
          </w:tcPr>
          <w:p>
            <w:pPr>
              <w:spacing w:after="20"/>
            </w:pPr>
            <w:r>
              <w:rPr>
                <w:sz w:val="16"/>
              </w:rPr>
              <w:t>Free-tier integrity</w:t>
            </w:r>
          </w:p>
        </w:tc>
        <w:tc>
          <w:tcPr>
            <w:tcW w:type="dxa" w:w="3312"/>
          </w:tcPr>
          <w:p>
            <w:pPr>
              <w:spacing w:after="20"/>
            </w:pPr>
            <w:r>
              <w:rPr>
                <w:sz w:val="16"/>
              </w:rPr>
              <w:t>Free users can see incoming likes, match and message; paid status does not buy a verification badge or suppress another user's access.</w:t>
            </w:r>
          </w:p>
        </w:tc>
      </w:tr>
      <w:tr>
        <w:tc>
          <w:tcPr>
            <w:tcW w:type="dxa" w:w="3312"/>
          </w:tcPr>
          <w:p>
            <w:pPr>
              <w:spacing w:after="20"/>
            </w:pPr>
            <w:r>
              <w:rPr>
                <w:sz w:val="16"/>
              </w:rPr>
              <w:t>PR-021</w:t>
            </w:r>
          </w:p>
        </w:tc>
        <w:tc>
          <w:tcPr>
            <w:tcW w:type="dxa" w:w="3312"/>
          </w:tcPr>
          <w:p>
            <w:pPr>
              <w:spacing w:after="20"/>
            </w:pPr>
            <w:r>
              <w:rPr>
                <w:sz w:val="16"/>
              </w:rPr>
              <w:t>Local density readiness</w:t>
            </w:r>
          </w:p>
        </w:tc>
        <w:tc>
          <w:tcPr>
            <w:tcW w:type="dxa" w:w="3312"/>
          </w:tcPr>
          <w:p>
            <w:pPr>
              <w:spacing w:after="20"/>
            </w:pPr>
            <w:r>
              <w:rPr>
                <w:sz w:val="16"/>
              </w:rPr>
              <w:t>Launch checklist measures active eligible users by region and preference constraints; the app communicates small pools honestly.</w:t>
            </w:r>
          </w:p>
        </w:tc>
      </w:tr>
      <w:tr>
        <w:tc>
          <w:tcPr>
            <w:tcW w:type="dxa" w:w="3312"/>
          </w:tcPr>
          <w:p>
            <w:pPr>
              <w:spacing w:after="20"/>
            </w:pPr>
            <w:r>
              <w:rPr>
                <w:sz w:val="16"/>
              </w:rPr>
              <w:t>PR-022</w:t>
            </w:r>
          </w:p>
        </w:tc>
        <w:tc>
          <w:tcPr>
            <w:tcW w:type="dxa" w:w="3312"/>
          </w:tcPr>
          <w:p>
            <w:pPr>
              <w:spacing w:after="20"/>
            </w:pPr>
            <w:r>
              <w:rPr>
                <w:sz w:val="16"/>
              </w:rPr>
              <w:t>Outcome-based experimentation</w:t>
            </w:r>
          </w:p>
        </w:tc>
        <w:tc>
          <w:tcPr>
            <w:tcW w:type="dxa" w:w="3312"/>
          </w:tcPr>
          <w:p>
            <w:pPr>
              <w:spacing w:after="20"/>
            </w:pPr>
            <w:r>
              <w:rPr>
                <w:sz w:val="16"/>
              </w:rPr>
              <w:t>Ranker experiments use mutual connection metrics and safety/fairness guardrails, not raw engagement alone.</w:t>
            </w:r>
          </w:p>
        </w:tc>
      </w:tr>
    </w:tbl>
    <w:p/>
    <w:p>
      <w:pPr>
        <w:pStyle w:val="Heading2"/>
      </w:pPr>
      <w:r>
        <w:t>8. Research sources</w:t>
      </w:r>
    </w:p>
    <w:p>
      <w:pPr>
        <w:spacing w:after="60"/>
      </w:pPr>
      <w:r>
        <w:rPr>
          <w:b/>
        </w:rPr>
        <w:t xml:space="preserve">Ofcom — Dating and social discovery guidance, 18 May 2026. </w:t>
      </w:r>
      <w:r>
        <w:t xml:space="preserve">Official UK regulator guidance on online-safety scope and risks. </w:t>
      </w:r>
      <w:r>
        <w:rPr>
          <w:color w:val="176B68"/>
          <w:sz w:val="17"/>
        </w:rPr>
        <w:t>https://www.ofcom.org.uk/online-safety/illegal-and-harmful-content/dating-and-social-discovery-know-the-online-safety-risks-rules-and-how-to-comply</w:t>
      </w:r>
    </w:p>
    <w:p>
      <w:pPr>
        <w:spacing w:after="60"/>
      </w:pPr>
      <w:r>
        <w:rPr>
          <w:b/>
        </w:rPr>
        <w:t xml:space="preserve">Tinder — Photo Check data and privacy information, updated 5 October 2026. </w:t>
      </w:r>
      <w:r>
        <w:t xml:space="preserve">Official description of liveness checks, photo comparison and reuse prevention. </w:t>
      </w:r>
      <w:r>
        <w:rPr>
          <w:color w:val="176B68"/>
          <w:sz w:val="17"/>
        </w:rPr>
        <w:t>https://www.help.tinder.com/hc/en-us/articles/26147205007885-Photo-Check-data-and-privacy-information</w:t>
      </w:r>
    </w:p>
    <w:p>
      <w:pPr>
        <w:spacing w:after="60"/>
      </w:pPr>
      <w:r>
        <w:rPr>
          <w:b/>
        </w:rPr>
        <w:t xml:space="preserve">Tinder — ID + Photo Verification, 23 April 2026. </w:t>
      </w:r>
      <w:r>
        <w:t xml:space="preserve">Official description of profile badge, ID/photo checks and limitations. </w:t>
      </w:r>
      <w:r>
        <w:rPr>
          <w:color w:val="176B68"/>
          <w:sz w:val="17"/>
        </w:rPr>
        <w:t>https://www.help.tinder.com/hc/en-gb/articles/19868368795917-ID-Photo-Verification</w:t>
      </w:r>
    </w:p>
    <w:p>
      <w:pPr>
        <w:spacing w:after="60"/>
      </w:pPr>
      <w:r>
        <w:rPr>
          <w:b/>
        </w:rPr>
        <w:t xml:space="preserve">ICO — Biometric recognition. </w:t>
      </w:r>
      <w:r>
        <w:t xml:space="preserve">UK guidance on when biometric recognition processes special-category biometric data. </w:t>
      </w:r>
      <w:r>
        <w:rPr>
          <w:color w:val="176B68"/>
          <w:sz w:val="17"/>
        </w:rPr>
        <w:t>https://ico.org.uk/for-organisations/uk-gdpr-guidance-and-resources/lawful-basis/biometric-data-guidance-biometric-recognition/biometric-recognition/</w:t>
      </w:r>
    </w:p>
    <w:p>
      <w:pPr>
        <w:spacing w:after="60"/>
      </w:pPr>
      <w:r>
        <w:rPr>
          <w:b/>
        </w:rPr>
        <w:t xml:space="preserve">ICO — How do we process biometric data lawfully?. </w:t>
      </w:r>
      <w:r>
        <w:t xml:space="preserve">UK guidance on lawful basis, special-category conditions and necessity. </w:t>
      </w:r>
      <w:r>
        <w:rPr>
          <w:color w:val="176B68"/>
          <w:sz w:val="17"/>
        </w:rPr>
        <w:t>https://ico.org.uk/for-organisations/uk-gdpr-guidance-and-resources/lawful-basis/biometric-data-guidance-biometric-recognition/how-do-we-process-biometric-data-lawfully/</w:t>
      </w:r>
    </w:p>
    <w:p>
      <w:pPr>
        <w:spacing w:after="60"/>
      </w:pPr>
      <w:r>
        <w:rPr>
          <w:b/>
        </w:rPr>
        <w:t xml:space="preserve">Pew Research Center — The experiences of U.S. online daters, 2 February 2023. </w:t>
      </w:r>
      <w:r>
        <w:t xml:space="preserve">Survey of 6,034 US adults; unwanted behaviours, safety and harassment experiences. </w:t>
      </w:r>
      <w:r>
        <w:rPr>
          <w:color w:val="176B68"/>
          <w:sz w:val="17"/>
        </w:rPr>
        <w:t>https://www.pewresearch.org/internet/2023/02/02/the-experiences-of-u-s-online-daters/</w:t>
      </w:r>
    </w:p>
    <w:p>
      <w:pPr>
        <w:spacing w:after="60"/>
      </w:pPr>
      <w:r>
        <w:rPr>
          <w:b/>
        </w:rPr>
        <w:t xml:space="preserve">Tomita &amp; Yokoyama — Fair Reciprocal Recommendation in Matching Markets, RecSys 2024. </w:t>
      </w:r>
      <w:r>
        <w:t xml:space="preserve">Academic work on mutual interest and fairness of recommendation opportunity. </w:t>
      </w:r>
      <w:r>
        <w:rPr>
          <w:color w:val="176B68"/>
          <w:sz w:val="17"/>
        </w:rPr>
        <w:t>https://arxiv.org/abs/2409.00720</w:t>
      </w:r>
    </w:p>
    <w:p>
      <w:pPr>
        <w:spacing w:after="60"/>
      </w:pPr>
      <w:r>
        <w:rPr>
          <w:b/>
        </w:rPr>
        <w:t xml:space="preserve">Reddit — Hinge paywall and free-tier discussions, 2026. </w:t>
      </w:r>
      <w:r>
        <w:t xml:space="preserve">Anecdotal qualitative evidence for pain-point discovery, not representative market estimates. </w:t>
      </w:r>
      <w:r>
        <w:rPr>
          <w:color w:val="176B68"/>
          <w:sz w:val="17"/>
        </w:rPr>
        <w:t>https://www.reddit.com/r/hingeapp/comments/1wmmy94/is_everything_locked_behind_paywalls/</w:t>
      </w:r>
    </w:p>
    <w:p>
      <w:pPr>
        <w:spacing w:after="60"/>
      </w:pPr>
      <w:r>
        <w:rPr>
          <w:b/>
        </w:rPr>
        <w:t xml:space="preserve">Reddit — Dating app pricing discussion, March 2026. </w:t>
      </w:r>
      <w:r>
        <w:t xml:space="preserve">Anecdotal user complaints about subscription and boost prices. </w:t>
      </w:r>
      <w:r>
        <w:rPr>
          <w:color w:val="176B68"/>
          <w:sz w:val="17"/>
        </w:rPr>
        <w:t>https://www.reddit.com/r/DatingApps/comments/1s2jsts/the_pricing_for_dating_apps_is_absolutely/</w:t>
      </w:r>
    </w:p>
    <w:p>
      <w:pPr>
        <w:pStyle w:val="Heading2"/>
      </w:pPr>
      <w:r>
        <w:t>9. Next research priorities</w:t>
      </w:r>
    </w:p>
    <w:p>
      <w:pPr>
        <w:pStyle w:val="ListBullet"/>
        <w:spacing w:after="40"/>
      </w:pPr>
      <w:r>
        <w:t>Run structured interviews with users across gender, orientation, age and relationship goals; validate pain points without assuming one group represents all users.</w:t>
      </w:r>
    </w:p>
    <w:p>
      <w:pPr>
        <w:pStyle w:val="ListBullet"/>
        <w:spacing w:after="40"/>
      </w:pPr>
      <w:r>
        <w:t>Conduct a competitor teardown of onboarding, verification, discovery, incoming likes, block/report flows, subscriptions and cancellation.</w:t>
      </w:r>
    </w:p>
    <w:p>
      <w:pPr>
        <w:pStyle w:val="ListBullet"/>
        <w:spacing w:after="40"/>
      </w:pPr>
      <w:r>
        <w:t>Choose launch geography and estimate local eligible-user density and acquisition costs.</w:t>
      </w:r>
    </w:p>
    <w:p>
      <w:pPr>
        <w:pStyle w:val="ListBullet"/>
        <w:spacing w:after="40"/>
      </w:pPr>
      <w:r>
        <w:t>Request security/privacy documentation and pricing from verification and moderation vendors; compare in-house vs provider options.</w:t>
      </w:r>
    </w:p>
    <w:p>
      <w:pPr>
        <w:pStyle w:val="ListBullet"/>
        <w:spacing w:after="40"/>
      </w:pPr>
      <w:r>
        <w:t>Define the first ranking experiment and pre-register primary metrics, guardrails and rollback criteria.</w:t>
      </w:r>
    </w:p>
    <w:p>
      <w:pPr>
        <w:pStyle w:val="ListBullet"/>
        <w:spacing w:after="40"/>
      </w:pPr>
      <w:r>
        <w:t>Obtain UK legal review of Ofcom scope, UK GDPR/special-category data, biometric verification, subscription terms and app-store policies.</w:t>
      </w:r>
    </w:p>
    <w:p>
      <w:pPr>
        <w:pStyle w:val="Heading1"/>
      </w:pPr>
      <w:r>
        <w:t>10. Research Addendum — Tinder Product Design, Activation and Monetisation</w:t>
      </w:r>
    </w:p>
    <w:p>
      <w:r>
        <w:rPr>
          <w:b/>
        </w:rPr>
        <w:t xml:space="preserve">Research date: </w:t>
      </w:r>
      <w:r>
        <w:t>21 October 2026</w:t>
      </w:r>
    </w:p>
    <w:p>
      <w:r>
        <w:rPr>
          <w:b/>
        </w:rPr>
        <w:t xml:space="preserve">Source: </w:t>
      </w:r>
      <w:r>
        <w:t xml:space="preserve">Felix Lee, “How Tinder designs product (and why),” ADPList Substack, 24 October 2023. </w:t>
      </w:r>
      <w:r>
        <w:t>https://adplist.substack.com/p/how-tinder-designs-product-and-why</w:t>
      </w:r>
    </w:p>
    <w:p>
      <w:r>
        <w:rPr>
          <w:b/>
        </w:rPr>
        <w:t xml:space="preserve">Source limitation: </w:t>
      </w:r>
      <w:r>
        <w:t>The article is marked subscriber-only. This addendum uses the publicly accessible portion only; it does not treat inaccessible sections as reviewed or infer their detailed contents.</w:t>
      </w:r>
    </w:p>
    <w:p>
      <w:pPr>
        <w:pStyle w:val="Heading2"/>
      </w:pPr>
      <w:r>
        <w:t>10.1 Evidence extracted from the accessible article</w:t>
      </w:r>
    </w:p>
    <w:p>
      <w:r>
        <w:t>The article describes Tinder's early UX as prioritising activation before monetisation: users can register, complete onboarding and begin viewing profiles before being asked to pay. Its stated rationale is that premature monetisation can prevent users reaching the product's core value and may increase early churn.</w:t>
      </w:r>
    </w:p>
    <w:p>
      <w:r>
        <w:t>It also describes a monetisation model combining subscriptions and one-off purchases, with multiple subscription tiers intended to serve users with different willingness to pay. The author notes that some tiers were not obvious to him during his early use. This is a case-study observation, not proof that any particular pricing design is optimal for our product.</w:t>
      </w:r>
    </w:p>
    <w:p>
      <w:pPr>
        <w:pStyle w:val="Heading2"/>
      </w:pPr>
      <w:r>
        <w:t>10.2 Product decisions for our app</w:t>
      </w:r>
    </w:p>
    <w:p>
      <w:pPr>
        <w:pStyle w:val="ListBullet"/>
      </w:pPr>
      <w:r>
        <w:rPr>
          <w:b/>
        </w:rPr>
        <w:t xml:space="preserve">PD-024 — Core value before upsell: </w:t>
      </w:r>
      <w:r>
        <w:t>Allow new users to complete onboarding and reach a useful first discovery session before showing a subscription pitch. Do not put essential safety, verification status, mutual messaging or basic compatibility explanations behind a paywall.</w:t>
      </w:r>
    </w:p>
    <w:p>
      <w:pPr>
        <w:pStyle w:val="ListBullet"/>
      </w:pPr>
      <w:r>
        <w:rPr>
          <w:b/>
        </w:rPr>
        <w:t xml:space="preserve">PD-025 — Monetise convenience, not connection: </w:t>
      </w:r>
      <w:r>
        <w:t>Evaluate paid options for convenience and optional personalisation only after core value is demonstrated. Do not sell a user's access to an incoming like, suppress free-user exposure to induce payment, or require payment to message a mutual match.</w:t>
      </w:r>
    </w:p>
    <w:p>
      <w:pPr>
        <w:pStyle w:val="ListBullet"/>
      </w:pPr>
      <w:r>
        <w:rPr>
          <w:b/>
        </w:rPr>
        <w:t xml:space="preserve">PD-026 — Measure activation quality: </w:t>
      </w:r>
      <w:r>
        <w:t>Define activation as a sequence of meaningful milestones: profile reaches minimum quality, preferences are set, the user sees relevant recommendations, and the user can express interest or understand why no suitable candidates are available. Do not use swipe volume or time-in-app as the sole success metric.</w:t>
      </w:r>
    </w:p>
    <w:p>
      <w:pPr>
        <w:pStyle w:val="ListBullet"/>
      </w:pPr>
      <w:r>
        <w:rPr>
          <w:b/>
        </w:rPr>
        <w:t xml:space="preserve">PD-027 — Pricing must be tested against trust and outcomes: </w:t>
      </w:r>
      <w:r>
        <w:t>Treat tiers and one-off purchases as hypotheses, not defaults to copy. Test comprehension, perceived fairness, cancellation friction, free-user outcomes, long-term retention and relationship-quality guardrails alongside revenue.</w:t>
      </w:r>
    </w:p>
    <w:p>
      <w:pPr>
        <w:pStyle w:val="Heading2"/>
      </w:pPr>
      <w:r>
        <w:t>10.3 Experiments to validate these decisions</w:t>
      </w:r>
    </w:p>
    <w:p>
      <w:pPr>
        <w:pStyle w:val="ListBullet"/>
      </w:pPr>
      <w:r>
        <w:rPr>
          <w:b/>
        </w:rPr>
        <w:t xml:space="preserve">EXP-024 — First-session value: </w:t>
      </w:r>
      <w:r>
        <w:t>Compare a helpful, non-blocking premium introduction after the first meaningful discovery session with an earlier introduction. Primary measure: completion of the activation milestones. Guardrails: safety completion, recommendation relevance, early abandonment, and user-reported pressure. Never withhold essential safety features in either variant.</w:t>
      </w:r>
    </w:p>
    <w:p>
      <w:pPr>
        <w:pStyle w:val="ListBullet"/>
      </w:pPr>
      <w:r>
        <w:rPr>
          <w:b/>
        </w:rPr>
        <w:t xml:space="preserve">EXP-025 — Explain premium clearly: </w:t>
      </w:r>
      <w:r>
        <w:t>Test a concise plan comparison against a single recommended plan explanation. Measure comprehension, mistaken expectations, refund/cancellation signals and conversion; do not optimise conversion alone.</w:t>
      </w:r>
    </w:p>
    <w:p>
      <w:pPr>
        <w:pStyle w:val="ListBullet"/>
      </w:pPr>
      <w:r>
        <w:rPr>
          <w:b/>
        </w:rPr>
        <w:t xml:space="preserve">EXP-026 — Fair free-tier outcomes: </w:t>
      </w:r>
      <w:r>
        <w:t>Audit whether free users can create a complete profile, receive recommendations, view incoming interest where product policy permits, match and message. Compare outcomes across user cohorts to detect unequal exposure or a monetisation-induced imbalance.</w:t>
      </w:r>
    </w:p>
    <w:p>
      <w:pPr>
        <w:pStyle w:val="ListBullet"/>
      </w:pPr>
      <w:r>
        <w:rPr>
          <w:b/>
        </w:rPr>
        <w:t xml:space="preserve">EXP-027 — Meaningful activation: </w:t>
      </w:r>
      <w:r>
        <w:t>Test whether profile prompts and compatibility explanations improve the proportion of users who send or receive a thoughtful, profile-specific interaction—not merely the number of swipes.</w:t>
      </w:r>
    </w:p>
    <w:p>
      <w:pPr>
        <w:pStyle w:val="Heading2"/>
      </w:pPr>
      <w:r>
        <w:t>10.4 Competitor teardown matrix — next research pass</w:t>
      </w:r>
    </w:p>
    <w:p>
      <w:r>
        <w:t>Record observed behaviour separately from interpretation. For each competitor and flow, capture: entry point, steps/screens, required vs optional fields, time/friction, free vs paid boundary, accessibility/inclusive options, safety implications, user benefit, evidence/source, our proposed response, and an experiment or interview question.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t>Journey</w:t>
            </w:r>
          </w:p>
        </w:tc>
        <w:tc>
          <w:tcPr>
            <w:tcW w:type="dxa" w:w="2484"/>
            <w:vAlign w:val="center"/>
          </w:tcPr>
          <w:p>
            <w:r>
              <w:t>What to inspect</w:t>
            </w:r>
          </w:p>
        </w:tc>
        <w:tc>
          <w:tcPr>
            <w:tcW w:type="dxa" w:w="2484"/>
            <w:vAlign w:val="center"/>
          </w:tcPr>
          <w:p>
            <w:r>
              <w:t>Questions to answer</w:t>
            </w:r>
          </w:p>
        </w:tc>
        <w:tc>
          <w:tcPr>
            <w:tcW w:type="dxa" w:w="2484"/>
            <w:vAlign w:val="center"/>
          </w:tcPr>
          <w:p>
            <w:r>
              <w:t>Our evaluation lens</w:t>
            </w:r>
          </w:p>
        </w:tc>
      </w:tr>
      <w:tr>
        <w:tc>
          <w:tcPr>
            <w:tcW w:type="dxa" w:w="2484"/>
            <w:vAlign w:val="top"/>
          </w:tcPr>
          <w:p>
            <w:r>
              <w:t>Onboarding</w:t>
            </w:r>
          </w:p>
        </w:tc>
        <w:tc>
          <w:tcPr>
            <w:tcW w:type="dxa" w:w="2484"/>
            <w:vAlign w:val="top"/>
          </w:tcPr>
          <w:p>
            <w:r>
              <w:t>Sign-up, age eligibility, gender/orientation, intentions, preferences, photos, prompts, permissions</w:t>
            </w:r>
          </w:p>
        </w:tc>
        <w:tc>
          <w:tcPr>
            <w:tcW w:type="dxa" w:w="2484"/>
            <w:vAlign w:val="top"/>
          </w:tcPr>
          <w:p>
            <w:r>
              <w:t>What is mandatory? When can users skip and return? When are permissions requested?</w:t>
            </w:r>
          </w:p>
        </w:tc>
        <w:tc>
          <w:tcPr>
            <w:tcW w:type="dxa" w:w="2484"/>
            <w:vAlign w:val="top"/>
          </w:tcPr>
          <w:p>
            <w:r>
              <w:t>Low friction without weakening eligibility, consent or safety.</w:t>
            </w:r>
          </w:p>
        </w:tc>
      </w:tr>
      <w:tr>
        <w:tc>
          <w:tcPr>
            <w:tcW w:type="dxa" w:w="2484"/>
            <w:vAlign w:val="top"/>
          </w:tcPr>
          <w:p>
            <w:r>
              <w:t>Discovery</w:t>
            </w:r>
          </w:p>
        </w:tc>
        <w:tc>
          <w:tcPr>
            <w:tcW w:type="dxa" w:w="2484"/>
            <w:vAlign w:val="top"/>
          </w:tcPr>
          <w:p>
            <w:r>
              <w:t>Candidate cards, profile details, likes/dislikes, ranking explanations, empty states, daily limits</w:t>
            </w:r>
          </w:p>
        </w:tc>
        <w:tc>
          <w:tcPr>
            <w:tcW w:type="dxa" w:w="2484"/>
            <w:vAlign w:val="top"/>
          </w:tcPr>
          <w:p>
            <w:r>
              <w:t>Can users understand relevance? What happens when few compatible people are available?</w:t>
            </w:r>
          </w:p>
        </w:tc>
        <w:tc>
          <w:tcPr>
            <w:tcW w:type="dxa" w:w="2484"/>
            <w:vAlign w:val="top"/>
          </w:tcPr>
          <w:p>
            <w:r>
              <w:t>Reciprocal compatibility, fair exposure, honest empty states; avoid compulsive engagement loops.</w:t>
            </w:r>
          </w:p>
        </w:tc>
      </w:tr>
      <w:tr>
        <w:tc>
          <w:tcPr>
            <w:tcW w:type="dxa" w:w="2484"/>
            <w:vAlign w:val="top"/>
          </w:tcPr>
          <w:p>
            <w:r>
              <w:t>Incoming likes</w:t>
            </w:r>
          </w:p>
        </w:tc>
        <w:tc>
          <w:tcPr>
            <w:tcW w:type="dxa" w:w="2484"/>
            <w:vAlign w:val="top"/>
          </w:tcPr>
          <w:p>
            <w:r>
              <w:t>Visibility of likes, blurred/locked states, subscription prompts, free limits</w:t>
            </w:r>
          </w:p>
        </w:tc>
        <w:tc>
          <w:tcPr>
            <w:tcW w:type="dxa" w:w="2484"/>
            <w:vAlign w:val="top"/>
          </w:tcPr>
          <w:p>
            <w:r>
              <w:t>What information is withheld? Does payment unlock a connection or only convenience?</w:t>
            </w:r>
          </w:p>
        </w:tc>
        <w:tc>
          <w:tcPr>
            <w:tcW w:type="dxa" w:w="2484"/>
            <w:vAlign w:val="top"/>
          </w:tcPr>
          <w:p>
            <w:r>
              <w:t>No paywall on essential mutual connection; transparent free-tier value.</w:t>
            </w:r>
          </w:p>
        </w:tc>
      </w:tr>
      <w:tr>
        <w:tc>
          <w:tcPr>
            <w:tcW w:type="dxa" w:w="2484"/>
            <w:vAlign w:val="top"/>
          </w:tcPr>
          <w:p>
            <w:r>
              <w:t>Matching and messaging</w:t>
            </w:r>
          </w:p>
        </w:tc>
        <w:tc>
          <w:tcPr>
            <w:tcW w:type="dxa" w:w="2484"/>
            <w:vAlign w:val="top"/>
          </w:tcPr>
          <w:p>
            <w:r>
              <w:t>Match creation, prompts, opening moves, voice, inactivity, unmatch and notifications</w:t>
            </w:r>
          </w:p>
        </w:tc>
        <w:tc>
          <w:tcPr>
            <w:tcW w:type="dxa" w:w="2484"/>
            <w:vAlign w:val="top"/>
          </w:tcPr>
          <w:p>
            <w:r>
              <w:t>Does the flow help start a respectful conversation? Can users control notifications and boundaries?</w:t>
            </w:r>
          </w:p>
        </w:tc>
        <w:tc>
          <w:tcPr>
            <w:tcW w:type="dxa" w:w="2484"/>
            <w:vAlign w:val="top"/>
          </w:tcPr>
          <w:p>
            <w:r>
              <w:t>Meaningful interaction, consent, user control and low-pressure conversation.</w:t>
            </w:r>
          </w:p>
        </w:tc>
      </w:tr>
      <w:tr>
        <w:tc>
          <w:tcPr>
            <w:tcW w:type="dxa" w:w="2484"/>
            <w:vAlign w:val="top"/>
          </w:tcPr>
          <w:p>
            <w:r>
              <w:t>Verification and safety</w:t>
            </w:r>
          </w:p>
        </w:tc>
        <w:tc>
          <w:tcPr>
            <w:tcW w:type="dxa" w:w="2484"/>
            <w:vAlign w:val="top"/>
          </w:tcPr>
          <w:p>
            <w:r>
              <w:t>Selfie/ID checks, badge wording, report reasons, block behaviour, review/appeals</w:t>
            </w:r>
          </w:p>
        </w:tc>
        <w:tc>
          <w:tcPr>
            <w:tcW w:type="dxa" w:w="2484"/>
            <w:vAlign w:val="top"/>
          </w:tcPr>
          <w:p>
            <w:r>
              <w:t>What exactly does a badge prove? What happens immediately after block/report? How are errors corrected?</w:t>
            </w:r>
          </w:p>
        </w:tc>
        <w:tc>
          <w:tcPr>
            <w:tcW w:type="dxa" w:w="2484"/>
            <w:vAlign w:val="top"/>
          </w:tcPr>
          <w:p>
            <w:r>
              <w:t>Clear claims, privacy by design, proportionate risk response and accessible appeals.</w:t>
            </w:r>
          </w:p>
        </w:tc>
      </w:tr>
      <w:tr>
        <w:tc>
          <w:tcPr>
            <w:tcW w:type="dxa" w:w="2484"/>
            <w:vAlign w:val="top"/>
          </w:tcPr>
          <w:p>
            <w:r>
              <w:t>Monetisation and cancellation</w:t>
            </w:r>
          </w:p>
        </w:tc>
        <w:tc>
          <w:tcPr>
            <w:tcW w:type="dxa" w:w="2484"/>
            <w:vAlign w:val="top"/>
          </w:tcPr>
          <w:p>
            <w:r>
              <w:t>Plan discovery, paywall timing, tiers, one-off purchases, trial terms, renewal/cancel</w:t>
            </w:r>
          </w:p>
        </w:tc>
        <w:tc>
          <w:tcPr>
            <w:tcW w:type="dxa" w:w="2484"/>
            <w:vAlign w:val="top"/>
          </w:tcPr>
          <w:p>
            <w:r>
              <w:t>Can users compare options and cancel easily? Are prices and renewal terms clear?</w:t>
            </w:r>
          </w:p>
        </w:tc>
        <w:tc>
          <w:tcPr>
            <w:tcW w:type="dxa" w:w="2484"/>
            <w:vAlign w:val="top"/>
          </w:tcPr>
          <w:p>
            <w:r>
              <w:t>Revenue compatible with trust, informed choice and healthy long-term outcomes.</w:t>
            </w:r>
          </w:p>
        </w:tc>
      </w:tr>
    </w:tbl>
    <w:p>
      <w:pPr>
        <w:pStyle w:val="Heading2"/>
      </w:pPr>
      <w:r>
        <w:t>10.5 Research caveats and open questions</w:t>
      </w:r>
    </w:p>
    <w:p>
      <w:pPr>
        <w:pStyle w:val="ListBullet"/>
      </w:pPr>
      <w:r>
        <w:t>The article was published in 2023 and includes historical figures from 2021. Those numbers are not current market estimates and are not used for forecasting.</w:t>
      </w:r>
    </w:p>
    <w:p>
      <w:pPr>
        <w:pStyle w:val="ListBullet"/>
      </w:pPr>
      <w:r>
        <w:t>The author's observations are useful for generating hypotheses but are not controlled experiments or representative user research.</w:t>
      </w:r>
    </w:p>
    <w:p>
      <w:pPr>
        <w:pStyle w:val="ListBullet"/>
      </w:pPr>
      <w:r>
        <w:t>Do not copy Tinder's demographic assumptions about which users are the 'hard' or 'soft' side of a marketplace. Measure supply, demand, exposure and outcomes across our actual launch cohorts without ranking people by protected or sensitive traits.</w:t>
      </w:r>
    </w:p>
    <w:p>
      <w:pPr>
        <w:pStyle w:val="ListBullet"/>
      </w:pPr>
      <w:r>
        <w:t>The paid-only remainder of the article has not been treated as evidence. If the user supplies accessible excerpts, incorporate them with clear attribution.</w:t>
      </w:r>
    </w:p>
    <w:p>
      <w:pPr>
        <w:pStyle w:val="ListBullet"/>
      </w:pPr>
      <w:r>
        <w:t>Next research tasks: complete the competitor journey matrix using current official help pages and hands-on screenshots where available; interview users about first-session value, incoming-like paywalls, verification friction and willingness to pay; then document observed evidence separately from hypotheses.</w:t>
      </w:r>
    </w:p>
    <w:p>
      <w:pPr>
        <w:pStyle w:val="Heading2"/>
      </w:pPr>
      <w:r>
        <w:t>10.6 Source</w:t>
      </w:r>
    </w:p>
    <w:p>
      <w:r>
        <w:t>Lee, Felix. “How Tinder designs product (and why).” ADPList Substack, 24 October 2023. https://adplist.substack.com/p/how-tinder-designs-product-and-why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working document  •  Version 1.0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RELATIONSHIP-FIRST DATING PLATFORM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B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B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