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6D28964" wp14:textId="77777777">
      <w:pPr>
        <w:spacing w:before="0" w:after="80"/>
      </w:pPr>
      <w:r>
        <w:rPr>
          <w:rFonts w:ascii="Georgia" w:hAnsi="Georgia" w:eastAsia="Georgia" w:cs="Georgia"/>
          <w:b/>
          <w:bCs/>
          <w:caps/>
          <w:color w:val="1B4332"/>
          <w:sz w:val="42"/>
          <w:szCs w:val="42"/>
        </w:rPr>
        <w:t xml:space="preserve">PADDOCK PLANNING PRINCIPLES</w:t>
      </w:r>
    </w:p>
    <w:p xmlns:wp14="http://schemas.microsoft.com/office/word/2010/wordml" w14:paraId="39FF6F13" wp14:textId="77777777">
      <w:pPr>
        <w:spacing w:before="0" w:after="80"/>
      </w:pPr>
      <w:r>
        <w:rPr>
          <w:rFonts w:ascii="Georgia" w:hAnsi="Georgia" w:eastAsia="Georgia" w:cs="Georgia"/>
          <w:i/>
          <w:iCs/>
          <w:color w:val="4A4A4A"/>
          <w:sz w:val="23"/>
          <w:szCs w:val="23"/>
        </w:rPr>
        <w:t xml:space="preserve">Subdivision sequencing and rest scheduling for carbon and productivity</w:t>
      </w:r>
    </w:p>
    <w:p xmlns:wp14="http://schemas.microsoft.com/office/word/2010/wordml" w14:paraId="05C1C9DE" wp14:textId="77777777">
      <w:pPr>
        <w:spacing w:before="0" w:after="300"/>
      </w:pPr>
      <w:r w:rsidRPr="6E4947DE" w:rsidR="6E4947DE">
        <w:rPr>
          <w:rFonts w:ascii="Calibri" w:hAnsi="Calibri" w:eastAsia="Calibri" w:cs="Calibri"/>
          <w:b w:val="1"/>
          <w:bCs w:val="1"/>
          <w:color w:val="C49A00"/>
          <w:sz w:val="19"/>
          <w:szCs w:val="19"/>
          <w:lang w:val="en-US"/>
        </w:rPr>
        <w:t>Horizon — Management Science Layer  ·  AgriProve Pty Ltd</w:t>
      </w:r>
    </w:p>
    <w:p xmlns:wp14="http://schemas.microsoft.com/office/word/2010/wordml" w14:paraId="672A6659" wp14:textId="77777777">
      <w:pPr>
        <w:pBdr>
          <w:bottom w:val="single" w:color="1B4332" w:sz="6" w:space="6"/>
        </w:pBdr>
        <w:spacing w:before="0" w:after="0"/>
      </w:pPr>
    </w:p>
    <w:p xmlns:wp14="http://schemas.microsoft.com/office/word/2010/wordml" w14:paraId="0A37501D" wp14:textId="77777777">
      <w:pPr>
        <w:spacing w:before="0" w:after="200"/>
      </w:pPr>
    </w:p>
    <w:p xmlns:wp14="http://schemas.microsoft.com/office/word/2010/wordml" w14:paraId="48C6F6A3" wp14:textId="77777777">
      <w:pPr>
        <w:spacing w:before="0" w:after="160"/>
        <w:jc w:val="both"/>
      </w:pPr>
      <w:r w:rsidRPr="6E4947DE" w:rsidR="6E4947DE">
        <w:rPr>
          <w:rFonts w:ascii="Calibri" w:hAnsi="Calibri" w:eastAsia="Calibri" w:cs="Calibri"/>
          <w:color w:val="1A1A1A"/>
          <w:sz w:val="22"/>
          <w:szCs w:val="22"/>
          <w:lang w:val="en-US"/>
        </w:rPr>
        <w:t>These are not instructions. They are the underlying principles that determine the order in which paddocks should be subdivided and rested. Every property is different. The grazier applies these principles to their own country, their own stock numbers, and their own capital position. The principles are transferable. The implementation is theirs.</w:t>
      </w:r>
    </w:p>
    <w:p xmlns:wp14="http://schemas.microsoft.com/office/word/2010/wordml" w14:paraId="5DAB6C7B" wp14:textId="77777777">
      <w:pPr>
        <w:spacing w:before="0" w:after="2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44A530F" wp14:textId="77777777">
        <w:tc>
          <w:tcPr>
            <w:tcW w:w="9360" w:type="dxa"/>
            <w:tcBorders>
              <w:top w:val="none"/>
              <w:left w:val="none"/>
              <w:bottom w:val="none"/>
              <w:right w:val="none"/>
            </w:tcBorders>
            <w:shd w:val="clear" w:fill="1B4332"/>
            <w:tcMar>
              <w:top w:w="260" w:type="dxa"/>
              <w:left w:w="300" w:type="dxa"/>
              <w:bottom w:w="240" w:type="dxa"/>
              <w:right w:w="300" w:type="dxa"/>
            </w:tcMar>
          </w:tcPr>
          <w:p w14:paraId="7B566455" wp14:textId="77777777">
            <w:pPr>
              <w:spacing w:after="60"/>
            </w:pPr>
            <w:r>
              <w:rPr>
                <w:rFonts w:ascii="Calibri" w:hAnsi="Calibri" w:eastAsia="Calibri" w:cs="Calibri"/>
                <w:b/>
                <w:bCs/>
                <w:caps/>
                <w:color w:val="FFFFFF"/>
                <w:sz w:val="18"/>
                <w:szCs w:val="18"/>
              </w:rPr>
              <w:t xml:space="preserve">MODULE 1</w:t>
            </w:r>
          </w:p>
          <w:p w14:paraId="4EAD7F8C" wp14:textId="77777777">
            <w:pPr>
              <w:spacing w:after="60"/>
            </w:pPr>
            <w:r>
              <w:rPr>
                <w:rFonts w:ascii="Georgia" w:hAnsi="Georgia" w:eastAsia="Georgia" w:cs="Georgia"/>
                <w:b/>
                <w:bCs/>
                <w:color w:val="FFFFFF"/>
                <w:sz w:val="36"/>
                <w:szCs w:val="36"/>
              </w:rPr>
              <w:t xml:space="preserve">Subdivision Order</w:t>
            </w:r>
          </w:p>
          <w:p w14:paraId="337F5FBA" wp14:textId="77777777">
            <w:pPr>
              <w:spacing w:after="0"/>
            </w:pPr>
            <w:r>
              <w:rPr>
                <w:rFonts w:ascii="Calibri" w:hAnsi="Calibri" w:eastAsia="Calibri" w:cs="Calibri"/>
                <w:i/>
                <w:iCs/>
                <w:color w:val="DDDDDD"/>
                <w:sz w:val="21"/>
                <w:szCs w:val="21"/>
              </w:rPr>
              <w:t xml:space="preserve">Which paddocks to subdivide first, and why</w:t>
            </w:r>
          </w:p>
        </w:tc>
      </w:tr>
    </w:tbl>
    <w:p xmlns:wp14="http://schemas.microsoft.com/office/word/2010/wordml" w14:paraId="02EB378F" wp14:textId="77777777">
      <w:pPr>
        <w:spacing w:before="0" w:after="200"/>
      </w:pPr>
    </w:p>
    <w:p xmlns:wp14="http://schemas.microsoft.com/office/word/2010/wordml" w14:paraId="1473EF15" wp14:textId="77777777">
      <w:pPr>
        <w:spacing w:before="0" w:after="160"/>
        <w:jc w:val="both"/>
      </w:pPr>
      <w:r w:rsidRPr="6E4947DE" w:rsidR="6E4947DE">
        <w:rPr>
          <w:rFonts w:ascii="Calibri" w:hAnsi="Calibri" w:eastAsia="Calibri" w:cs="Calibri"/>
          <w:color w:val="1A1A1A"/>
          <w:sz w:val="22"/>
          <w:szCs w:val="22"/>
          <w:lang w:val="en-US"/>
        </w:rPr>
        <w:t>Subdivision is not primarily a fencing decision. It is a rotation architecture decision — the number of paddocks determines the minimum achievable rest period at a given stocking rate. More cells mean longer rest per cell at the same stocking rate. The sequencing of which paddocks get cells first determines where the productivity gain lands earliest, and who carries the grazing load while lower-performing country recovers.</w:t>
      </w:r>
    </w:p>
    <w:p xmlns:wp14="http://schemas.microsoft.com/office/word/2010/wordml" w14:paraId="6A05A809"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482F653F" wp14:textId="77777777">
        <w:tc>
          <w:tcPr>
            <w:tcW w:w="9360" w:type="dxa"/>
            <w:tcBorders>
              <w:top w:val="none"/>
              <w:left w:val="thick" w:color="1B4332" w:sz="48"/>
              <w:bottom w:val="none"/>
              <w:right w:val="none"/>
            </w:tcBorders>
            <w:shd w:val="clear" w:color="auto" w:fill="EAF5EE"/>
            <w:tcMar>
              <w:top w:w="160" w:type="dxa"/>
              <w:left w:w="260" w:type="dxa"/>
              <w:bottom w:w="160" w:type="dxa"/>
              <w:right w:w="260" w:type="dxa"/>
            </w:tcMar>
          </w:tcPr>
          <w:p w14:paraId="4A36905E" wp14:textId="77777777">
            <w:pPr>
              <w:spacing w:after="140"/>
            </w:pPr>
            <w:r w:rsidRPr="6E4947DE" w:rsidR="6E4947DE">
              <w:rPr>
                <w:rFonts w:ascii="Calibri" w:hAnsi="Calibri" w:eastAsia="Calibri" w:cs="Calibri"/>
                <w:b w:val="1"/>
                <w:bCs w:val="1"/>
                <w:caps w:val="1"/>
                <w:color w:val="1B4332"/>
                <w:sz w:val="17"/>
                <w:szCs w:val="17"/>
                <w:lang w:val="en-US"/>
              </w:rPr>
              <w:t xml:space="preserve">Principle 1  </w:t>
            </w:r>
            <w:r w:rsidRPr="6E4947DE" w:rsidR="6E4947DE">
              <w:rPr>
                <w:rFonts w:ascii="Georgia" w:hAnsi="Georgia" w:eastAsia="Georgia" w:cs="Georgia"/>
                <w:b w:val="1"/>
                <w:bCs w:val="1"/>
                <w:color w:val="1B4332"/>
                <w:sz w:val="26"/>
                <w:szCs w:val="26"/>
                <w:lang w:val="en-US"/>
              </w:rPr>
              <w:t>Highest-SOC paddocks first</w:t>
            </w:r>
          </w:p>
          <w:p w14:paraId="6F717D39" wp14:textId="77777777">
            <w:pPr>
              <w:spacing w:before="0" w:after="120"/>
              <w:jc w:val="both"/>
            </w:pPr>
            <w:r>
              <w:rPr>
                <w:rFonts w:ascii="Calibri" w:hAnsi="Calibri" w:eastAsia="Calibri" w:cs="Calibri"/>
                <w:color w:val="1A1A1A"/>
                <w:sz w:val="21"/>
                <w:szCs w:val="21"/>
              </w:rPr>
              <w:t xml:space="preserve">Subdivide the highest-producing paddocks first. Infrastructure investment — fencing, water, laneways — follows the SOC gradient from highest to lowest. This is counterintuitive: the instinct is to fix problem paddocks first. The correct sequence is the reverse.</w:t>
            </w:r>
          </w:p>
          <w:p w14:paraId="54C21DEE" wp14:textId="77777777">
            <w:pPr>
              <w:spacing w:before="0" w:after="120"/>
              <w:jc w:val="both"/>
            </w:pPr>
            <w:r w:rsidRPr="6E4947DE" w:rsidR="6E4947DE">
              <w:rPr>
                <w:rFonts w:ascii="Calibri" w:hAnsi="Calibri" w:eastAsia="Calibri" w:cs="Calibri"/>
                <w:color w:val="1A1A1A"/>
                <w:sz w:val="21"/>
                <w:szCs w:val="21"/>
                <w:lang w:val="en-US"/>
              </w:rPr>
              <w:t xml:space="preserve">The logic: subdividing high-SOC paddocks immediately increases the number of rotation cells across the property. More cells means longer rest per cell at the same stocking rate — and longer rest means more forage produced per hectare. That increase in farm-wide carrying capacity is what funds the next stage of subdivision, </w:t>
            </w:r>
            <w:r w:rsidRPr="6E4947DE" w:rsidR="6E4947DE">
              <w:rPr>
                <w:rFonts w:ascii="Calibri" w:hAnsi="Calibri" w:eastAsia="Calibri" w:cs="Calibri"/>
                <w:b w:val="1"/>
                <w:bCs w:val="1"/>
                <w:color w:val="1A1A1A"/>
                <w:sz w:val="21"/>
                <w:szCs w:val="21"/>
                <w:lang w:val="en-US"/>
              </w:rPr>
              <w:t>before a dollar of capital reaches the low-SOC paddocks.</w:t>
            </w:r>
          </w:p>
          <w:p w14:paraId="6372988E"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Higher cell count on productive country → longer rest intervals → increased carrying capacity → capital available for next subdivision stage.</w:t>
            </w:r>
          </w:p>
        </w:tc>
      </w:tr>
    </w:tbl>
    <w:p xmlns:wp14="http://schemas.microsoft.com/office/word/2010/wordml" w14:paraId="5A39BBE3" wp14:textId="77777777">
      <w:pP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53F61C5B" wp14:textId="77777777">
        <w:tc>
          <w:tcPr>
            <w:tcW w:w="9360" w:type="dxa"/>
            <w:tcBorders>
              <w:top w:val="none"/>
              <w:left w:val="thick" w:color="1B4332" w:sz="48"/>
              <w:bottom w:val="none"/>
              <w:right w:val="none"/>
            </w:tcBorders>
            <w:shd w:val="clear" w:color="auto" w:fill="EAF5EE"/>
            <w:tcMar>
              <w:top w:w="160" w:type="dxa"/>
              <w:left w:w="260" w:type="dxa"/>
              <w:bottom w:w="160" w:type="dxa"/>
              <w:right w:w="260" w:type="dxa"/>
            </w:tcMar>
          </w:tcPr>
          <w:p w14:paraId="3546A889" wp14:textId="77777777">
            <w:pPr>
              <w:spacing w:after="140"/>
            </w:pPr>
            <w:r w:rsidRPr="6E4947DE" w:rsidR="6E4947DE">
              <w:rPr>
                <w:rFonts w:ascii="Calibri" w:hAnsi="Calibri" w:eastAsia="Calibri" w:cs="Calibri"/>
                <w:b w:val="1"/>
                <w:bCs w:val="1"/>
                <w:caps w:val="1"/>
                <w:color w:val="1B4332"/>
                <w:sz w:val="17"/>
                <w:szCs w:val="17"/>
                <w:lang w:val="en-US"/>
              </w:rPr>
              <w:t xml:space="preserve">Principle 2  </w:t>
            </w:r>
            <w:r w:rsidRPr="6E4947DE" w:rsidR="6E4947DE">
              <w:rPr>
                <w:rFonts w:ascii="Georgia" w:hAnsi="Georgia" w:eastAsia="Georgia" w:cs="Georgia"/>
                <w:b w:val="1"/>
                <w:bCs w:val="1"/>
                <w:color w:val="1B4332"/>
                <w:sz w:val="26"/>
                <w:szCs w:val="26"/>
                <w:lang w:val="en-US"/>
              </w:rPr>
              <w:t>Increased density on good country does the work on bad country</w:t>
            </w:r>
          </w:p>
          <w:p w14:paraId="3118599E" wp14:textId="77777777">
            <w:pPr>
              <w:spacing w:before="0" w:after="120"/>
              <w:jc w:val="both"/>
            </w:pPr>
            <w:r>
              <w:rPr>
                <w:rFonts w:ascii="Calibri" w:hAnsi="Calibri" w:eastAsia="Calibri" w:cs="Calibri"/>
                <w:color w:val="1A1A1A"/>
                <w:sz w:val="21"/>
                <w:szCs w:val="21"/>
              </w:rPr>
              <w:t xml:space="preserve">When high-SOC paddocks are subdivided and stocking density per cell increases, the whole-property rotation intensifies. Low-SOC paddocks receive more hoof impact, urine, and dung deposition per rotation pass than they did under the larger paddock configuration.</w:t>
            </w:r>
          </w:p>
          <w:p w14:paraId="41C0925A" wp14:textId="77777777">
            <w:pPr>
              <w:spacing w:before="0" w:after="120"/>
              <w:jc w:val="both"/>
            </w:pPr>
            <w:r w:rsidRPr="6E4947DE" w:rsidR="6E4947DE">
              <w:rPr>
                <w:rFonts w:ascii="Calibri" w:hAnsi="Calibri" w:eastAsia="Calibri" w:cs="Calibri"/>
                <w:color w:val="1A1A1A"/>
                <w:sz w:val="21"/>
                <w:szCs w:val="21"/>
                <w:lang w:val="en-US"/>
              </w:rPr>
              <w:t>This elevated biological input — occurring before any fence is built on the low-SOC paddock — primes the soil biology in those paddocks. The subdivision of the high-SOC country is doing preparatory work on the low-SOC country at no additional cost.</w:t>
            </w:r>
          </w:p>
          <w:p w14:paraId="0AE6271F"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Increased rotation intensity on the whole property → elevated organic matter deposition on low-SOC paddocks during each rotation pass → soil biology primed ahead of subdivision capital.</w:t>
            </w:r>
          </w:p>
        </w:tc>
      </w:tr>
    </w:tbl>
    <w:p xmlns:wp14="http://schemas.microsoft.com/office/word/2010/wordml" w14:paraId="41C8F396" wp14:textId="77777777">
      <w:pP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5D374A30" wp14:textId="77777777">
        <w:tc>
          <w:tcPr>
            <w:tcW w:w="9360" w:type="dxa"/>
            <w:tcBorders>
              <w:top w:val="none"/>
              <w:left w:val="thick" w:color="1B4332" w:sz="48"/>
              <w:bottom w:val="none"/>
              <w:right w:val="none"/>
            </w:tcBorders>
            <w:shd w:val="clear" w:color="auto" w:fill="EAF5EE"/>
            <w:tcMar>
              <w:top w:w="160" w:type="dxa"/>
              <w:left w:w="260" w:type="dxa"/>
              <w:bottom w:w="160" w:type="dxa"/>
              <w:right w:w="260" w:type="dxa"/>
            </w:tcMar>
          </w:tcPr>
          <w:p w14:paraId="7A338509" wp14:textId="77777777">
            <w:pPr>
              <w:spacing w:after="140"/>
            </w:pPr>
            <w:r w:rsidRPr="6E4947DE" w:rsidR="6E4947DE">
              <w:rPr>
                <w:rFonts w:ascii="Calibri" w:hAnsi="Calibri" w:eastAsia="Calibri" w:cs="Calibri"/>
                <w:b w:val="1"/>
                <w:bCs w:val="1"/>
                <w:caps w:val="1"/>
                <w:color w:val="1B4332"/>
                <w:sz w:val="17"/>
                <w:szCs w:val="17"/>
                <w:lang w:val="en-US"/>
              </w:rPr>
              <w:t xml:space="preserve">Principle 3  </w:t>
            </w:r>
            <w:r w:rsidRPr="6E4947DE" w:rsidR="6E4947DE">
              <w:rPr>
                <w:rFonts w:ascii="Georgia" w:hAnsi="Georgia" w:eastAsia="Georgia" w:cs="Georgia"/>
                <w:b w:val="1"/>
                <w:bCs w:val="1"/>
                <w:color w:val="1B4332"/>
                <w:sz w:val="26"/>
                <w:szCs w:val="26"/>
                <w:lang w:val="en-US"/>
              </w:rPr>
              <w:t>Subdivide to maximum viable cells before moving on</w:t>
            </w:r>
          </w:p>
          <w:p w14:paraId="7AD79293" wp14:textId="77777777">
            <w:pPr>
              <w:spacing w:before="0" w:after="120"/>
              <w:jc w:val="both"/>
            </w:pPr>
            <w:r w:rsidRPr="6E4947DE" w:rsidR="6E4947DE">
              <w:rPr>
                <w:rFonts w:ascii="Calibri" w:hAnsi="Calibri" w:eastAsia="Calibri" w:cs="Calibri"/>
                <w:color w:val="1A1A1A"/>
                <w:sz w:val="21"/>
                <w:szCs w:val="21"/>
                <w:lang w:val="en-US"/>
              </w:rPr>
              <w:t>Each paddock should be taken to its maximum practical cell count before capital moves to the next paddock. A paddock subdivided to two cells delivers half the rotation benefit of the same paddock subdivided to four. Partial subdivision is better than nothing — but the compounding benefit of rest intervals builds much faster at higher cell density.</w:t>
            </w:r>
          </w:p>
          <w:p w14:paraId="6B8AC73F" wp14:textId="77777777">
            <w:pPr>
              <w:spacing w:before="0" w:after="120"/>
              <w:jc w:val="both"/>
            </w:pPr>
            <w:r>
              <w:rPr>
                <w:rFonts w:ascii="Calibri" w:hAnsi="Calibri" w:eastAsia="Calibri" w:cs="Calibri"/>
                <w:color w:val="1A1A1A"/>
                <w:sz w:val="21"/>
                <w:szCs w:val="21"/>
              </w:rPr>
              <w:t xml:space="preserve">The target cell density is sufficient that the natural rotation delivers </w:t>
            </w:r>
            <w:r>
              <w:rPr>
                <w:rFonts w:ascii="Calibri" w:hAnsi="Calibri" w:eastAsia="Calibri" w:cs="Calibri"/>
                <w:b/>
                <w:bCs/>
                <w:color w:val="1A1A1A"/>
                <w:sz w:val="21"/>
                <w:szCs w:val="21"/>
              </w:rPr>
              <w:t xml:space="preserve">60–120+ day minimum rest periods</w:t>
            </w:r>
            <w:r>
              <w:rPr>
                <w:rFonts w:ascii="Calibri" w:hAnsi="Calibri" w:eastAsia="Calibri" w:cs="Calibri"/>
                <w:color w:val="1A1A1A"/>
                <w:sz w:val="21"/>
                <w:szCs w:val="21"/>
              </w:rPr>
              <w:t xml:space="preserve"> without active management intervention. At that density, rest becomes the structural default — encoded in the rotation architecture rather than imposed by management discipline.</w:t>
            </w:r>
          </w:p>
          <w:p w14:paraId="42085216"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Rest period length is a function of cell count. Maximum cell density on each paddock before moving to the next accelerates the rest interval benefit on a per-paddock basis.</w:t>
            </w:r>
          </w:p>
        </w:tc>
      </w:tr>
    </w:tbl>
    <w:p xmlns:wp14="http://schemas.microsoft.com/office/word/2010/wordml" w14:paraId="72A3D3EC" wp14:textId="77777777">
      <w:pP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1BD1E944" wp14:textId="77777777">
        <w:tc>
          <w:tcPr>
            <w:tcW w:w="9360" w:type="dxa"/>
            <w:tcBorders>
              <w:top w:val="none"/>
              <w:left w:val="thick" w:color="1B4332" w:sz="48"/>
              <w:bottom w:val="none"/>
              <w:right w:val="none"/>
            </w:tcBorders>
            <w:shd w:val="clear" w:color="auto" w:fill="EAF5EE"/>
            <w:tcMar>
              <w:top w:w="160" w:type="dxa"/>
              <w:left w:w="260" w:type="dxa"/>
              <w:bottom w:w="160" w:type="dxa"/>
              <w:right w:w="260" w:type="dxa"/>
            </w:tcMar>
          </w:tcPr>
          <w:p w14:paraId="0D1164B5" wp14:textId="77777777">
            <w:pPr>
              <w:spacing w:after="140"/>
            </w:pPr>
            <w:r w:rsidRPr="6E4947DE" w:rsidR="6E4947DE">
              <w:rPr>
                <w:rFonts w:ascii="Calibri" w:hAnsi="Calibri" w:eastAsia="Calibri" w:cs="Calibri"/>
                <w:b w:val="1"/>
                <w:bCs w:val="1"/>
                <w:caps w:val="1"/>
                <w:color w:val="1B4332"/>
                <w:sz w:val="17"/>
                <w:szCs w:val="17"/>
                <w:lang w:val="en-US"/>
              </w:rPr>
              <w:t xml:space="preserve">Principle 4  </w:t>
            </w:r>
            <w:r w:rsidRPr="6E4947DE" w:rsidR="6E4947DE">
              <w:rPr>
                <w:rFonts w:ascii="Georgia" w:hAnsi="Georgia" w:eastAsia="Georgia" w:cs="Georgia"/>
                <w:b w:val="1"/>
                <w:bCs w:val="1"/>
                <w:color w:val="1B4332"/>
                <w:sz w:val="26"/>
                <w:szCs w:val="26"/>
                <w:lang w:val="en-US"/>
              </w:rPr>
              <w:t>The sequence is counterintuitive — hold the line</w:t>
            </w:r>
          </w:p>
          <w:p w14:paraId="121EB9B9" wp14:textId="77777777">
            <w:pPr>
              <w:spacing w:before="0" w:after="120"/>
              <w:jc w:val="both"/>
            </w:pPr>
            <w:r w:rsidRPr="6E4947DE" w:rsidR="6E4947DE">
              <w:rPr>
                <w:rFonts w:ascii="Calibri" w:hAnsi="Calibri" w:eastAsia="Calibri" w:cs="Calibri"/>
                <w:color w:val="1A1A1A"/>
                <w:sz w:val="21"/>
                <w:szCs w:val="21"/>
                <w:lang w:val="en-US"/>
              </w:rPr>
              <w:t>The grazier's natural instinct — and often the instinct of advisors — is to address the worst country first. The red paddocks on the SOC map feel like the urgent problem. They are not the first investment priority.</w:t>
            </w:r>
          </w:p>
          <w:p w14:paraId="4B392CA9" wp14:textId="77777777">
            <w:pPr>
              <w:spacing w:before="0" w:after="120"/>
              <w:jc w:val="both"/>
            </w:pPr>
            <w:r>
              <w:rPr>
                <w:rFonts w:ascii="Calibri" w:hAnsi="Calibri" w:eastAsia="Calibri" w:cs="Calibri"/>
                <w:color w:val="1A1A1A"/>
                <w:sz w:val="21"/>
                <w:szCs w:val="21"/>
              </w:rPr>
              <w:t xml:space="preserve">Low-SOC paddocks subdivided before the high-SOC paddocks are carrying a rotation load they cannot sustain at high density. The forage base is insufficient. The system becomes unbalanced. The correct approach is patience: build the rotation architecture on the strong country first, let that architecture do preparatory work on the weak country, then subdivide the weak country into a rotation that is already functioning.</w:t>
            </w:r>
          </w:p>
          <w:p w14:paraId="77E7FCA6"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Subdividing low-SOC paddocks first loads them with grazing pressure before the forage base or soil biology can support it. High-SOC paddocks subdivided first create the conditions — carrying capacity, soil biology priming — that make low-SOC subdivision productive rather than extractive.</w:t>
            </w:r>
          </w:p>
        </w:tc>
      </w:tr>
    </w:tbl>
    <w:p xmlns:wp14="http://schemas.microsoft.com/office/word/2010/wordml" w14:paraId="0D0B940D" wp14:textId="77777777">
      <w:pPr>
        <w:spacing w:before="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131AC439" wp14:textId="77777777">
        <w:tc>
          <w:tcPr>
            <w:tcW w:w="9360" w:type="dxa"/>
            <w:tcBorders>
              <w:top w:val="single" w:color="1B4332" w:sz="8"/>
              <w:left w:val="thick" w:color="1B4332" w:sz="24"/>
              <w:bottom w:val="none"/>
              <w:right w:val="none"/>
            </w:tcBorders>
            <w:shd w:val="clear" w:color="auto" w:fill="EAF5EE"/>
            <w:tcMar>
              <w:top w:w="120" w:type="dxa"/>
              <w:left w:w="220" w:type="dxa"/>
              <w:bottom w:w="120" w:type="dxa"/>
              <w:right w:w="220" w:type="dxa"/>
            </w:tcMar>
          </w:tcPr>
          <w:p w14:paraId="484CD991" wp14:textId="77777777">
            <w:pPr>
              <w:spacing w:after="70"/>
            </w:pPr>
            <w:r>
              <w:rPr>
                <w:rFonts w:ascii="Calibri" w:hAnsi="Calibri" w:eastAsia="Calibri" w:cs="Calibri"/>
                <w:b/>
                <w:bCs/>
                <w:caps/>
                <w:color w:val="1B4332"/>
                <w:sz w:val="17"/>
                <w:szCs w:val="17"/>
              </w:rPr>
              <w:t xml:space="preserve">The subdivision sequence in plain terms</w:t>
            </w:r>
          </w:p>
          <w:p w14:paraId="06EF8A57" wp14:textId="77777777">
            <w:pPr>
              <w:spacing w:before="0" w:after="120"/>
              <w:jc w:val="both"/>
            </w:pPr>
            <w:r w:rsidRPr="6E4947DE" w:rsidR="6E4947DE">
              <w:rPr>
                <w:rFonts w:ascii="Calibri" w:hAnsi="Calibri" w:eastAsia="Calibri" w:cs="Calibri"/>
                <w:b w:val="1"/>
                <w:bCs w:val="1"/>
                <w:color w:val="1A1A1A"/>
                <w:sz w:val="21"/>
                <w:szCs w:val="21"/>
                <w:lang w:val="en-US"/>
              </w:rPr>
              <w:t>Start:</w:t>
            </w:r>
            <w:r w:rsidRPr="6E4947DE" w:rsidR="6E4947DE">
              <w:rPr>
                <w:rFonts w:ascii="Calibri" w:hAnsi="Calibri" w:eastAsia="Calibri" w:cs="Calibri"/>
                <w:color w:val="1A1A1A"/>
                <w:sz w:val="21"/>
                <w:szCs w:val="21"/>
                <w:lang w:val="en-US"/>
              </w:rPr>
              <w:t xml:space="preserve"> Identify the highest-SOC paddocks on the property map. Subdivide these first, to maximum practical cell count.</w:t>
            </w:r>
          </w:p>
          <w:p w14:paraId="21DCDA14" wp14:textId="77777777">
            <w:pPr>
              <w:spacing w:before="0" w:after="120"/>
              <w:jc w:val="both"/>
            </w:pPr>
            <w:r>
              <w:rPr>
                <w:rFonts w:ascii="Calibri" w:hAnsi="Calibri" w:eastAsia="Calibri" w:cs="Calibri"/>
                <w:b/>
                <w:bCs/>
                <w:color w:val="1A1A1A"/>
                <w:sz w:val="21"/>
                <w:szCs w:val="21"/>
              </w:rPr>
              <w:t xml:space="preserve">Then:</w:t>
            </w:r>
            <w:r>
              <w:rPr>
                <w:rFonts w:ascii="Calibri" w:hAnsi="Calibri" w:eastAsia="Calibri" w:cs="Calibri"/>
                <w:color w:val="1A1A1A"/>
                <w:sz w:val="21"/>
                <w:szCs w:val="21"/>
              </w:rPr>
              <w:t xml:space="preserve"> Move to mid-SOC paddocks. The increased rotation intensity from Stage 1 has already been working on these paddocks.</w:t>
            </w:r>
          </w:p>
          <w:p w14:paraId="792357A5" wp14:textId="77777777">
            <w:pPr>
              <w:spacing w:before="0" w:after="120"/>
              <w:jc w:val="both"/>
            </w:pPr>
            <w:r>
              <w:rPr>
                <w:rFonts w:ascii="Calibri" w:hAnsi="Calibri" w:eastAsia="Calibri" w:cs="Calibri"/>
                <w:b/>
                <w:bCs/>
                <w:color w:val="1A1A1A"/>
                <w:sz w:val="21"/>
                <w:szCs w:val="21"/>
              </w:rPr>
              <w:t xml:space="preserve">Finally:</w:t>
            </w:r>
            <w:r>
              <w:rPr>
                <w:rFonts w:ascii="Calibri" w:hAnsi="Calibri" w:eastAsia="Calibri" w:cs="Calibri"/>
                <w:color w:val="1A1A1A"/>
                <w:sz w:val="21"/>
                <w:szCs w:val="21"/>
              </w:rPr>
              <w:t xml:space="preserve"> Subdivide the low-SOC paddocks last — into a rotation architecture that is already functioning, and onto soils that have already received preparatory biological input. Fence lines in low-SOC paddocks should follow internal SOC gradient boundaries where possible, isolating the weakest cores into dedicated recovery cells.</w:t>
            </w:r>
          </w:p>
          <w:p w14:paraId="75411BB0" wp14:textId="77777777">
            <w:pPr>
              <w:spacing w:before="0" w:after="120"/>
              <w:jc w:val="both"/>
            </w:pPr>
            <w:r w:rsidRPr="6E4947DE" w:rsidR="6E4947DE">
              <w:rPr>
                <w:rFonts w:ascii="Calibri" w:hAnsi="Calibri" w:eastAsia="Calibri" w:cs="Calibri"/>
                <w:i w:val="1"/>
                <w:iCs w:val="1"/>
                <w:color w:val="1A1A1A"/>
                <w:sz w:val="21"/>
                <w:szCs w:val="21"/>
                <w:lang w:val="en-US"/>
              </w:rPr>
              <w:t>The sequence is not fixed in time. It is fixed in order. How fast it moves depends on capital, labour, and the forage base. The order does not change.</w:t>
            </w:r>
          </w:p>
        </w:tc>
      </w:tr>
    </w:tbl>
    <w:p xmlns:wp14="http://schemas.microsoft.com/office/word/2010/wordml" w14:paraId="0E27B00A" wp14:textId="77777777">
      <w:pPr>
        <w:spacing w:before="0" w:after="3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EEF5D23" wp14:textId="77777777">
        <w:tc>
          <w:tcPr>
            <w:tcW w:w="9360" w:type="dxa"/>
            <w:tcBorders>
              <w:top w:val="none"/>
              <w:left w:val="none"/>
              <w:bottom w:val="none"/>
              <w:right w:val="none"/>
            </w:tcBorders>
            <w:shd w:val="clear" w:fill="8B3A0F"/>
            <w:tcMar>
              <w:top w:w="260" w:type="dxa"/>
              <w:left w:w="300" w:type="dxa"/>
              <w:bottom w:w="240" w:type="dxa"/>
              <w:right w:w="300" w:type="dxa"/>
            </w:tcMar>
          </w:tcPr>
          <w:p w14:paraId="4BD4B460" wp14:textId="77777777">
            <w:pPr>
              <w:spacing w:after="60"/>
            </w:pPr>
            <w:r>
              <w:rPr>
                <w:rFonts w:ascii="Calibri" w:hAnsi="Calibri" w:eastAsia="Calibri" w:cs="Calibri"/>
                <w:b/>
                <w:bCs/>
                <w:caps/>
                <w:color w:val="FFFFFF"/>
                <w:sz w:val="18"/>
                <w:szCs w:val="18"/>
              </w:rPr>
              <w:t xml:space="preserve">MODULE 2</w:t>
            </w:r>
          </w:p>
          <w:p w14:paraId="25D0F230" wp14:textId="77777777">
            <w:pPr>
              <w:spacing w:after="60"/>
            </w:pPr>
            <w:r>
              <w:rPr>
                <w:rFonts w:ascii="Georgia" w:hAnsi="Georgia" w:eastAsia="Georgia" w:cs="Georgia"/>
                <w:b/>
                <w:bCs/>
                <w:color w:val="FFFFFF"/>
                <w:sz w:val="36"/>
                <w:szCs w:val="36"/>
              </w:rPr>
              <w:t xml:space="preserve">Rest Order</w:t>
            </w:r>
          </w:p>
          <w:p w14:paraId="0BCC16CB" wp14:textId="77777777">
            <w:pPr>
              <w:spacing w:after="0"/>
            </w:pPr>
            <w:r>
              <w:rPr>
                <w:rFonts w:ascii="Calibri" w:hAnsi="Calibri" w:eastAsia="Calibri" w:cs="Calibri"/>
                <w:i/>
                <w:iCs/>
                <w:color w:val="DDDDDD"/>
                <w:sz w:val="21"/>
                <w:szCs w:val="21"/>
              </w:rPr>
              <w:t xml:space="preserve">Which paddocks to rest first, for how long, and why the rule is absolute</w:t>
            </w:r>
          </w:p>
        </w:tc>
      </w:tr>
    </w:tbl>
    <w:p xmlns:wp14="http://schemas.microsoft.com/office/word/2010/wordml" w14:paraId="60061E4C" wp14:textId="77777777">
      <w:pPr>
        <w:spacing w:before="0" w:after="200"/>
      </w:pPr>
    </w:p>
    <w:p xmlns:wp14="http://schemas.microsoft.com/office/word/2010/wordml" w14:paraId="68BC1CBE" wp14:textId="77777777">
      <w:pPr>
        <w:spacing w:before="0" w:after="160"/>
        <w:jc w:val="both"/>
      </w:pPr>
      <w:r w:rsidRPr="6E4947DE" w:rsidR="6E4947DE">
        <w:rPr>
          <w:rFonts w:ascii="Calibri" w:hAnsi="Calibri" w:eastAsia="Calibri" w:cs="Calibri"/>
          <w:color w:val="1A1A1A"/>
          <w:sz w:val="22"/>
          <w:szCs w:val="22"/>
          <w:lang w:val="en-US"/>
        </w:rPr>
        <w:t>Rest scheduling is where the carbon opportunity lives. Subdivision creates the rotation architecture that makes rest possible. Rest is the mechanism that actually builds long-lasting soil carbon — Mineral Associated Organic Carbon (MAOC) — the kind that survives droughts and does not reverse when conditions change.</w:t>
      </w:r>
    </w:p>
    <w:p xmlns:wp14="http://schemas.microsoft.com/office/word/2010/wordml" w14:paraId="6F6897C6" wp14:textId="77777777">
      <w:pPr>
        <w:spacing w:before="0" w:after="160"/>
        <w:jc w:val="both"/>
      </w:pPr>
      <w:r>
        <w:rPr>
          <w:rFonts w:ascii="Calibri" w:hAnsi="Calibri" w:eastAsia="Calibri" w:cs="Calibri"/>
          <w:color w:val="1A1A1A"/>
          <w:sz w:val="22"/>
          <w:szCs w:val="22"/>
        </w:rPr>
        <w:t xml:space="preserve">Understanding why rest works at the biological level is what makes the scheduling decisions obvious rather than arbitrary.</w:t>
      </w:r>
    </w:p>
    <w:p xmlns:wp14="http://schemas.microsoft.com/office/word/2010/wordml" w14:paraId="44EAFD9C"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5F2EC675" wp14:textId="77777777">
        <w:tc>
          <w:tcPr>
            <w:tcW w:w="9360" w:type="dxa"/>
            <w:tcBorders>
              <w:top w:val="single" w:color="8B3A0F" w:sz="8"/>
              <w:left w:val="thick" w:color="8B3A0F" w:sz="24"/>
              <w:bottom w:val="none"/>
              <w:right w:val="none"/>
            </w:tcBorders>
            <w:shd w:val="clear" w:color="auto" w:fill="FDE8DC"/>
            <w:tcMar>
              <w:top w:w="120" w:type="dxa"/>
              <w:left w:w="220" w:type="dxa"/>
              <w:bottom w:w="120" w:type="dxa"/>
              <w:right w:w="220" w:type="dxa"/>
            </w:tcMar>
          </w:tcPr>
          <w:p w14:paraId="54F126CD" wp14:textId="77777777">
            <w:pPr>
              <w:spacing w:after="70"/>
            </w:pPr>
            <w:r>
              <w:rPr>
                <w:rFonts w:ascii="Calibri" w:hAnsi="Calibri" w:eastAsia="Calibri" w:cs="Calibri"/>
                <w:b/>
                <w:bCs/>
                <w:caps/>
                <w:color w:val="8B3A0F"/>
                <w:sz w:val="17"/>
                <w:szCs w:val="17"/>
              </w:rPr>
              <w:t xml:space="preserve">The two kinds of soil carbon</w:t>
            </w:r>
          </w:p>
          <w:p w14:paraId="53C5AA32" wp14:textId="77777777">
            <w:pPr>
              <w:spacing w:before="0" w:after="120"/>
              <w:jc w:val="both"/>
            </w:pPr>
            <w:r w:rsidRPr="6E4947DE" w:rsidR="6E4947DE">
              <w:rPr>
                <w:rFonts w:ascii="Calibri" w:hAnsi="Calibri" w:eastAsia="Calibri" w:cs="Calibri"/>
                <w:b w:val="1"/>
                <w:bCs w:val="1"/>
                <w:color w:val="1A1A1A"/>
                <w:sz w:val="21"/>
                <w:szCs w:val="21"/>
                <w:lang w:val="en-US"/>
              </w:rPr>
              <w:t>Fast-cycling carbon</w:t>
            </w:r>
            <w:r w:rsidRPr="6E4947DE" w:rsidR="6E4947DE">
              <w:rPr>
                <w:rFonts w:ascii="Calibri" w:hAnsi="Calibri" w:eastAsia="Calibri" w:cs="Calibri"/>
                <w:color w:val="1A1A1A"/>
                <w:sz w:val="21"/>
                <w:szCs w:val="21"/>
                <w:lang w:val="en-US"/>
              </w:rPr>
              <w:t xml:space="preserve"> is the checking account. It comes in when conditions are favourable and goes out when they are not. Transitioning from set stocking to rotational grazing typically produces a rapid increase in this pool — an encouraging early signal. But fast-cycling carbon pulses. It does not accumulate year on year through droughts.</w:t>
            </w:r>
          </w:p>
          <w:p w14:paraId="0535B25B" wp14:textId="77777777">
            <w:pPr>
              <w:spacing w:before="0" w:after="120"/>
              <w:jc w:val="both"/>
            </w:pPr>
            <w:r w:rsidRPr="6E4947DE" w:rsidR="6E4947DE">
              <w:rPr>
                <w:rFonts w:ascii="Calibri" w:hAnsi="Calibri" w:eastAsia="Calibri" w:cs="Calibri"/>
                <w:b w:val="1"/>
                <w:bCs w:val="1"/>
                <w:color w:val="1A1A1A"/>
                <w:sz w:val="21"/>
                <w:szCs w:val="21"/>
                <w:lang w:val="en-US"/>
              </w:rPr>
              <w:t>Long-lasting carbon (MAOC)</w:t>
            </w:r>
            <w:r w:rsidRPr="6E4947DE" w:rsidR="6E4947DE">
              <w:rPr>
                <w:rFonts w:ascii="Calibri" w:hAnsi="Calibri" w:eastAsia="Calibri" w:cs="Calibri"/>
                <w:color w:val="1A1A1A"/>
                <w:sz w:val="21"/>
                <w:szCs w:val="21"/>
                <w:lang w:val="en-US"/>
              </w:rPr>
              <w:t xml:space="preserve"> is the savings account. It is chemically bonded to mineral particles, highly resistant to oxidation, and far less vulnerable to reversal. This is the carbon that drives long-term SOC trajectory, survives drought years, and represents a genuine and durable increase in the productive capacity of the soil. Building long-lasting carbon is the objective. Everything else is a proxy.</w:t>
            </w:r>
          </w:p>
          <w:p w14:paraId="292D43A1" wp14:textId="77777777">
            <w:pPr>
              <w:spacing w:before="0" w:after="120"/>
              <w:jc w:val="both"/>
            </w:pPr>
            <w:r w:rsidRPr="6E4947DE" w:rsidR="6E4947DE">
              <w:rPr>
                <w:rFonts w:ascii="Calibri" w:hAnsi="Calibri" w:eastAsia="Calibri" w:cs="Calibri"/>
                <w:color w:val="1A1A1A"/>
                <w:sz w:val="21"/>
                <w:szCs w:val="21"/>
                <w:lang w:val="en-US"/>
              </w:rPr>
              <w:t>The fast-cycling response appears in the first 1–3 years and is encouraging but insufficient. The long-lasting carbon response builds beneath it and becomes the dominant signal at the 5–10 year mark. The rest schedule is designed to produce the second signal, not just the first.</w:t>
            </w:r>
          </w:p>
        </w:tc>
      </w:tr>
    </w:tbl>
    <w:p xmlns:wp14="http://schemas.microsoft.com/office/word/2010/wordml" w14:paraId="4B94D5A5" wp14:textId="77777777">
      <w:pPr>
        <w:spacing w:before="0" w:after="200"/>
      </w:pPr>
    </w:p>
    <w:p xmlns:wp14="http://schemas.microsoft.com/office/word/2010/wordml" w14:paraId="37B57CF3" wp14:textId="77777777">
      <w:pPr>
        <w:spacing w:before="0" w:after="160"/>
        <w:jc w:val="both"/>
      </w:pPr>
      <w:r>
        <w:rPr>
          <w:rFonts w:ascii="Calibri" w:hAnsi="Calibri" w:eastAsia="Calibri" w:cs="Calibri"/>
          <w:color w:val="1A1A1A"/>
          <w:sz w:val="22"/>
          <w:szCs w:val="22"/>
        </w:rPr>
        <w:t xml:space="preserve">Long-lasting carbon is produced through one primary mechanism: root exudates distributed via mycorrhizal fungal networks into the surrounding soil, where they feed microbial communities whose turnover products bond to mineral particles. This pathway only activates when the plant is in genuine energy surplus — when it has fully recharged its root and crown energy reserves and has photosynthetic output beyond its own maintenance needs.</w:t>
      </w:r>
    </w:p>
    <w:p xmlns:wp14="http://schemas.microsoft.com/office/word/2010/wordml" w14:paraId="29F415AC" wp14:textId="77777777">
      <w:pPr>
        <w:spacing w:before="0" w:after="160"/>
        <w:jc w:val="both"/>
      </w:pPr>
      <w:r w:rsidRPr="6E4947DE" w:rsidR="6E4947DE">
        <w:rPr>
          <w:rFonts w:ascii="Calibri" w:hAnsi="Calibri" w:eastAsia="Calibri" w:cs="Calibri"/>
          <w:color w:val="1A1A1A"/>
          <w:sz w:val="22"/>
          <w:szCs w:val="22"/>
          <w:lang w:val="en-US"/>
        </w:rPr>
        <w:t>Think of it like a solar panel: a panel just covering the household load has no surplus to export to the grid. A panel generating well above its load is pushing energy into the grid continuously. A plant that has been grazed before recovery is the first state. A plant allowed to grow unmolested through a full season is the second. The management decision determines which state dominates — and which state dominates determines which carbon pool gets filled.</w:t>
      </w:r>
    </w:p>
    <w:p xmlns:wp14="http://schemas.microsoft.com/office/word/2010/wordml" w14:paraId="3DEEC669"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4D81C678" wp14:textId="77777777">
        <w:tc>
          <w:tcPr>
            <w:tcW w:w="9360" w:type="dxa"/>
            <w:tcBorders>
              <w:top w:val="none"/>
              <w:left w:val="thick" w:color="8B3A0F" w:sz="48"/>
              <w:bottom w:val="none"/>
              <w:right w:val="none"/>
            </w:tcBorders>
            <w:shd w:val="clear" w:color="auto" w:fill="FDE8DC"/>
            <w:tcMar>
              <w:top w:w="160" w:type="dxa"/>
              <w:left w:w="260" w:type="dxa"/>
              <w:bottom w:w="160" w:type="dxa"/>
              <w:right w:w="260" w:type="dxa"/>
            </w:tcMar>
          </w:tcPr>
          <w:p w14:paraId="77E57F2D" wp14:textId="77777777">
            <w:pPr>
              <w:spacing w:after="140"/>
            </w:pPr>
            <w:r w:rsidRPr="6E4947DE" w:rsidR="6E4947DE">
              <w:rPr>
                <w:rFonts w:ascii="Calibri" w:hAnsi="Calibri" w:eastAsia="Calibri" w:cs="Calibri"/>
                <w:b w:val="1"/>
                <w:bCs w:val="1"/>
                <w:caps w:val="1"/>
                <w:color w:val="8B3A0F"/>
                <w:sz w:val="17"/>
                <w:szCs w:val="17"/>
                <w:lang w:val="en-US"/>
              </w:rPr>
              <w:t xml:space="preserve">Principle 1  </w:t>
            </w:r>
            <w:r w:rsidRPr="6E4947DE" w:rsidR="6E4947DE">
              <w:rPr>
                <w:rFonts w:ascii="Georgia" w:hAnsi="Georgia" w:eastAsia="Georgia" w:cs="Georgia"/>
                <w:b w:val="1"/>
                <w:bCs w:val="1"/>
                <w:color w:val="1B4332"/>
                <w:sz w:val="26"/>
                <w:szCs w:val="26"/>
                <w:lang w:val="en-US"/>
              </w:rPr>
              <w:t>Low-SOC paddocks rest first and longest</w:t>
            </w:r>
          </w:p>
          <w:p w14:paraId="72E5508A" wp14:textId="77777777">
            <w:pPr>
              <w:spacing w:before="0" w:after="120"/>
              <w:jc w:val="both"/>
            </w:pPr>
            <w:r w:rsidRPr="6E4947DE" w:rsidR="6E4947DE">
              <w:rPr>
                <w:rFonts w:ascii="Calibri" w:hAnsi="Calibri" w:eastAsia="Calibri" w:cs="Calibri"/>
                <w:color w:val="1A1A1A"/>
                <w:sz w:val="21"/>
                <w:szCs w:val="21"/>
                <w:lang w:val="en-US"/>
              </w:rPr>
              <w:t>In the establishment phase, designate the lowest-SOC paddocks as the rest block. These are the paddocks that look the worst. Resting them first is counterintuitive and strongly resisted. The logic is precise: degraded soils have the highest marginal return on rest because their plant energy states are most depleted and their mycorrhizal networks most contracted.</w:t>
            </w:r>
          </w:p>
          <w:p w14:paraId="2B697CB0" wp14:textId="77777777">
            <w:pPr>
              <w:spacing w:before="0" w:after="120"/>
              <w:jc w:val="both"/>
            </w:pPr>
            <w:r w:rsidRPr="6E4947DE" w:rsidR="6E4947DE">
              <w:rPr>
                <w:rFonts w:ascii="Calibri" w:hAnsi="Calibri" w:eastAsia="Calibri" w:cs="Calibri"/>
                <w:color w:val="1A1A1A"/>
                <w:sz w:val="21"/>
                <w:szCs w:val="21"/>
                <w:lang w:val="en-US"/>
              </w:rPr>
              <w:t>A historically overgrazed paddock — where plants have rarely been allowed above maintenance energy levels — tends to produce a notable biological response when first given a full-season rest. Plants reach genuine surplus for the first time in years. The mycorrhizal network begins expanding from a near-zero baseline. The same rest applied to already-productive country produces a smaller increment from a higher starting point.</w:t>
            </w:r>
          </w:p>
          <w:p w14:paraId="368B2B03" wp14:textId="77777777">
            <w:pPr>
              <w:spacing w:before="0" w:after="120"/>
              <w:jc w:val="both"/>
            </w:pPr>
            <w:r>
              <w:rPr>
                <w:rFonts w:ascii="Calibri" w:hAnsi="Calibri" w:eastAsia="Calibri" w:cs="Calibri"/>
                <w:color w:val="1A1A1A"/>
                <w:sz w:val="21"/>
                <w:szCs w:val="21"/>
              </w:rPr>
              <w:t xml:space="preserve">The high-SOC paddocks carry the full stocking load during this period. They can sustain it. The low-SOC paddocks cannot — which is exactly why they are resting, not grazing.</w:t>
            </w:r>
          </w:p>
          <w:p w14:paraId="113B2005"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Degraded soils have the highest marginal return on rest. First full-season rest on historically depleted country activates the surplus-driven exudate pathway from a near-zero baseline — the biological response is disproportionate to the rest applied to already-productive country.</w:t>
            </w:r>
          </w:p>
        </w:tc>
      </w:tr>
    </w:tbl>
    <w:p xmlns:wp14="http://schemas.microsoft.com/office/word/2010/wordml" w14:paraId="3656B9AB" wp14:textId="77777777">
      <w:pP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001F228C" wp14:textId="77777777">
        <w:tc>
          <w:tcPr>
            <w:tcW w:w="9360" w:type="dxa"/>
            <w:tcBorders>
              <w:top w:val="none"/>
              <w:left w:val="thick" w:color="8B3A0F" w:sz="48"/>
              <w:bottom w:val="none"/>
              <w:right w:val="none"/>
            </w:tcBorders>
            <w:shd w:val="clear" w:color="auto" w:fill="FDE8DC"/>
            <w:tcMar>
              <w:top w:w="160" w:type="dxa"/>
              <w:left w:w="260" w:type="dxa"/>
              <w:bottom w:w="160" w:type="dxa"/>
              <w:right w:w="260" w:type="dxa"/>
            </w:tcMar>
          </w:tcPr>
          <w:p w14:paraId="434CCEA8" wp14:textId="77777777">
            <w:pPr>
              <w:spacing w:after="140"/>
            </w:pPr>
            <w:r w:rsidRPr="6E4947DE" w:rsidR="6E4947DE">
              <w:rPr>
                <w:rFonts w:ascii="Calibri" w:hAnsi="Calibri" w:eastAsia="Calibri" w:cs="Calibri"/>
                <w:b w:val="1"/>
                <w:bCs w:val="1"/>
                <w:caps w:val="1"/>
                <w:color w:val="8B3A0F"/>
                <w:sz w:val="17"/>
                <w:szCs w:val="17"/>
                <w:lang w:val="en-US"/>
              </w:rPr>
              <w:t xml:space="preserve">Principle 2  </w:t>
            </w:r>
            <w:r w:rsidRPr="6E4947DE" w:rsidR="6E4947DE">
              <w:rPr>
                <w:rFonts w:ascii="Georgia" w:hAnsi="Georgia" w:eastAsia="Georgia" w:cs="Georgia"/>
                <w:b w:val="1"/>
                <w:bCs w:val="1"/>
                <w:color w:val="1B4332"/>
                <w:sz w:val="26"/>
                <w:szCs w:val="26"/>
                <w:lang w:val="en-US"/>
              </w:rPr>
              <w:t>Full-season rest only — no partial grazing of the rest block</w:t>
            </w:r>
          </w:p>
          <w:p w14:paraId="4978EAE1" wp14:textId="77777777">
            <w:pPr>
              <w:spacing w:before="0" w:after="120"/>
              <w:jc w:val="both"/>
            </w:pPr>
            <w:r w:rsidRPr="6E4947DE" w:rsidR="6E4947DE">
              <w:rPr>
                <w:rFonts w:ascii="Calibri" w:hAnsi="Calibri" w:eastAsia="Calibri" w:cs="Calibri"/>
                <w:color w:val="1A1A1A"/>
                <w:sz w:val="21"/>
                <w:szCs w:val="21"/>
                <w:lang w:val="en-US"/>
              </w:rPr>
              <w:t>The rest block must not be grazed at all during the growing season. Not once. Not lightly. This is the most common implementation error and the one with the most severe consequence.</w:t>
            </w:r>
          </w:p>
          <w:p w14:paraId="245497CB" wp14:textId="77777777">
            <w:pPr>
              <w:spacing w:before="0" w:after="120"/>
              <w:jc w:val="both"/>
            </w:pPr>
            <w:r w:rsidRPr="6E4947DE" w:rsidR="6E4947DE">
              <w:rPr>
                <w:rFonts w:ascii="Calibri" w:hAnsi="Calibri" w:eastAsia="Calibri" w:cs="Calibri"/>
                <w:color w:val="1A1A1A"/>
                <w:sz w:val="21"/>
                <w:szCs w:val="21"/>
                <w:lang w:val="en-US"/>
              </w:rPr>
              <w:t xml:space="preserve">A single grazing event during the growing season draws down the plant's root and crown energy reserves. The plant must redirect its photosynthetic effort toward recovery rather than surplus production. Think of a household running a large appliance mid-afternoon: the solar panels that were exporting to the grid are now consumed servicing the internal load. </w:t>
            </w:r>
            <w:r w:rsidRPr="6E4947DE" w:rsidR="6E4947DE">
              <w:rPr>
                <w:rFonts w:ascii="Calibri" w:hAnsi="Calibri" w:eastAsia="Calibri" w:cs="Calibri"/>
                <w:b w:val="1"/>
                <w:bCs w:val="1"/>
                <w:color w:val="1A1A1A"/>
                <w:sz w:val="21"/>
                <w:szCs w:val="21"/>
                <w:lang w:val="en-US"/>
              </w:rPr>
              <w:t>The plant is no longer operating above maintenance — it is catching up to it.</w:t>
            </w:r>
            <w:r w:rsidRPr="6E4947DE" w:rsidR="6E4947DE">
              <w:rPr>
                <w:rFonts w:ascii="Calibri" w:hAnsi="Calibri" w:eastAsia="Calibri" w:cs="Calibri"/>
                <w:color w:val="1A1A1A"/>
                <w:sz w:val="21"/>
                <w:szCs w:val="21"/>
                <w:lang w:val="en-US"/>
              </w:rPr>
              <w:t xml:space="preserve"> The complex, surplus-driven exudate chemistry associated with long-lasting carbon formation gives way to the simpler outputs of a plant in energy deficit.</w:t>
            </w:r>
          </w:p>
          <w:p w14:paraId="35786151" wp14:textId="77777777">
            <w:pPr>
              <w:spacing w:before="0" w:after="120"/>
              <w:jc w:val="both"/>
            </w:pPr>
            <w:r w:rsidRPr="6E4947DE" w:rsidR="6E4947DE">
              <w:rPr>
                <w:rFonts w:ascii="Calibri" w:hAnsi="Calibri" w:eastAsia="Calibri" w:cs="Calibri"/>
                <w:color w:val="1A1A1A"/>
                <w:sz w:val="21"/>
                <w:szCs w:val="21"/>
                <w:lang w:val="en-US"/>
              </w:rPr>
              <w:t>The temptation is strong. The rest block looks like wasted feed during the growing season. One pass feels harmless. It is not — it resets the energy state for that season and the long-lasting carbon accumulation associated with that growing season is largely lost.</w:t>
            </w:r>
          </w:p>
          <w:p w14:paraId="4E4B854A"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Uninterrupted growing season → plants reach and sustain energy surplus → complex exudate chemistry → long-lasting carbon accumulation. Any significant grazing interruption pulls the plant into energy deficit, redirecting photosynthetic output toward recovery rather than soil biology.</w:t>
            </w:r>
          </w:p>
        </w:tc>
      </w:tr>
    </w:tbl>
    <w:p xmlns:wp14="http://schemas.microsoft.com/office/word/2010/wordml" w14:paraId="45FB0818" wp14:textId="77777777">
      <w:pP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5E48F488" wp14:textId="77777777">
        <w:tc>
          <w:tcPr>
            <w:tcW w:w="9360" w:type="dxa"/>
            <w:tcBorders>
              <w:top w:val="none"/>
              <w:left w:val="thick" w:color="8B3A0F" w:sz="48"/>
              <w:bottom w:val="none"/>
              <w:right w:val="none"/>
            </w:tcBorders>
            <w:shd w:val="clear" w:color="auto" w:fill="FDE8DC"/>
            <w:tcMar>
              <w:top w:w="160" w:type="dxa"/>
              <w:left w:w="260" w:type="dxa"/>
              <w:bottom w:w="160" w:type="dxa"/>
              <w:right w:w="260" w:type="dxa"/>
            </w:tcMar>
          </w:tcPr>
          <w:p w14:paraId="21553C0F" wp14:textId="77777777">
            <w:pPr>
              <w:spacing w:after="140"/>
            </w:pPr>
            <w:r w:rsidRPr="6E4947DE" w:rsidR="6E4947DE">
              <w:rPr>
                <w:rFonts w:ascii="Calibri" w:hAnsi="Calibri" w:eastAsia="Calibri" w:cs="Calibri"/>
                <w:b w:val="1"/>
                <w:bCs w:val="1"/>
                <w:caps w:val="1"/>
                <w:color w:val="8B3A0F"/>
                <w:sz w:val="17"/>
                <w:szCs w:val="17"/>
                <w:lang w:val="en-US"/>
              </w:rPr>
              <w:t xml:space="preserve">Principle 3  </w:t>
            </w:r>
            <w:r w:rsidRPr="6E4947DE" w:rsidR="6E4947DE">
              <w:rPr>
                <w:rFonts w:ascii="Georgia" w:hAnsi="Georgia" w:eastAsia="Georgia" w:cs="Georgia"/>
                <w:b w:val="1"/>
                <w:bCs w:val="1"/>
                <w:color w:val="1B4332"/>
                <w:sz w:val="26"/>
                <w:szCs w:val="26"/>
                <w:lang w:val="en-US"/>
              </w:rPr>
              <w:t>Full life cycle — let it go to seed</w:t>
            </w:r>
          </w:p>
          <w:p w14:paraId="06150BA2" wp14:textId="77777777">
            <w:pPr>
              <w:spacing w:before="0" w:after="120"/>
              <w:jc w:val="both"/>
            </w:pPr>
            <w:r w:rsidRPr="6E4947DE" w:rsidR="6E4947DE">
              <w:rPr>
                <w:rFonts w:ascii="Calibri" w:hAnsi="Calibri" w:eastAsia="Calibri" w:cs="Calibri"/>
                <w:color w:val="1A1A1A"/>
                <w:sz w:val="21"/>
                <w:szCs w:val="21"/>
                <w:lang w:val="en-US"/>
              </w:rPr>
              <w:t>A paddock on full-season rest should run its complete plant life cycle without intervention: germination, vegetative growth, flowering, seed set, senescence. This is what 'rank' means, and rank is not a problem — it is the objective.</w:t>
            </w:r>
          </w:p>
          <w:p w14:paraId="1740F0F4" wp14:textId="77777777">
            <w:pPr>
              <w:spacing w:before="0" w:after="120"/>
              <w:jc w:val="both"/>
            </w:pPr>
            <w:r w:rsidRPr="6E4947DE" w:rsidR="6E4947DE">
              <w:rPr>
                <w:rFonts w:ascii="Calibri" w:hAnsi="Calibri" w:eastAsia="Calibri" w:cs="Calibri"/>
                <w:color w:val="1A1A1A"/>
                <w:sz w:val="21"/>
                <w:szCs w:val="21"/>
                <w:lang w:val="en-US"/>
              </w:rPr>
              <w:t>Full life-cycle seed set does three things simultaneously. It replenishes the seed bank with locally produced seed — seed from plants that completed their full cycle under the specific conditions of that paddock. It selects, across generations, for the plants most fit for that exact soil type, rainfall pattern, and grazing history. And it contributes to the maximum energy state in the root system, which maximises the exudate chemistry that builds long-lasting carbon.</w:t>
            </w:r>
          </w:p>
          <w:p w14:paraId="4253C5E8" wp14:textId="77777777">
            <w:pPr>
              <w:spacing w:before="0" w:after="120"/>
              <w:jc w:val="both"/>
            </w:pPr>
            <w:r w:rsidRPr="6E4947DE" w:rsidR="6E4947DE">
              <w:rPr>
                <w:rFonts w:ascii="Calibri" w:hAnsi="Calibri" w:eastAsia="Calibri" w:cs="Calibri"/>
                <w:color w:val="1A1A1A"/>
                <w:sz w:val="21"/>
                <w:szCs w:val="21"/>
                <w:lang w:val="en-US"/>
              </w:rPr>
              <w:t xml:space="preserve">Over enough generations — and the timeline is measured in decades, not years — this process produces a plant community more adapted to that country than anything available from commercial seed. </w:t>
            </w:r>
            <w:r w:rsidRPr="6E4947DE" w:rsidR="6E4947DE">
              <w:rPr>
                <w:rFonts w:ascii="Calibri" w:hAnsi="Calibri" w:eastAsia="Calibri" w:cs="Calibri"/>
                <w:b w:val="1"/>
                <w:bCs w:val="1"/>
                <w:color w:val="1A1A1A"/>
                <w:sz w:val="21"/>
                <w:szCs w:val="21"/>
                <w:lang w:val="en-US"/>
              </w:rPr>
              <w:t>The landscape conducts its own plant breeding programme, at no cost.</w:t>
            </w:r>
            <w:r w:rsidRPr="6E4947DE" w:rsidR="6E4947DE">
              <w:rPr>
                <w:rFonts w:ascii="Calibri" w:hAnsi="Calibri" w:eastAsia="Calibri" w:cs="Calibri"/>
                <w:color w:val="1A1A1A"/>
                <w:sz w:val="21"/>
                <w:szCs w:val="21"/>
                <w:lang w:val="en-US"/>
              </w:rPr>
              <w:t xml:space="preserve"> The only input required is the discipline not to graze.</w:t>
            </w:r>
          </w:p>
          <w:p w14:paraId="71E0578A"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Full life-cycle completion → maximum root energy state → peak exudate chemistry → long-lasting carbon accumulation; seed set → local seed bank replenishment; generational selection → locally adapted plant community with deeper root systems and greater drought resilience.</w:t>
            </w:r>
          </w:p>
        </w:tc>
      </w:tr>
    </w:tbl>
    <w:p xmlns:wp14="http://schemas.microsoft.com/office/word/2010/wordml" w14:paraId="049F31CB" wp14:textId="77777777">
      <w:pP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586E6854" wp14:textId="77777777">
        <w:tc>
          <w:tcPr>
            <w:tcW w:w="9360" w:type="dxa"/>
            <w:tcBorders>
              <w:top w:val="none"/>
              <w:left w:val="thick" w:color="8B3A0F" w:sz="48"/>
              <w:bottom w:val="none"/>
              <w:right w:val="none"/>
            </w:tcBorders>
            <w:shd w:val="clear" w:color="auto" w:fill="FDE8DC"/>
            <w:tcMar>
              <w:top w:w="160" w:type="dxa"/>
              <w:left w:w="260" w:type="dxa"/>
              <w:bottom w:w="160" w:type="dxa"/>
              <w:right w:w="260" w:type="dxa"/>
            </w:tcMar>
          </w:tcPr>
          <w:p w14:paraId="0B2AE91F" wp14:textId="77777777">
            <w:pPr>
              <w:spacing w:after="140"/>
            </w:pPr>
            <w:r w:rsidRPr="6E4947DE" w:rsidR="6E4947DE">
              <w:rPr>
                <w:rFonts w:ascii="Calibri" w:hAnsi="Calibri" w:eastAsia="Calibri" w:cs="Calibri"/>
                <w:b w:val="1"/>
                <w:bCs w:val="1"/>
                <w:caps w:val="1"/>
                <w:color w:val="8B3A0F"/>
                <w:sz w:val="17"/>
                <w:szCs w:val="17"/>
                <w:lang w:val="en-US"/>
              </w:rPr>
              <w:t xml:space="preserve">Principle 4  </w:t>
            </w:r>
            <w:r w:rsidRPr="6E4947DE" w:rsidR="6E4947DE">
              <w:rPr>
                <w:rFonts w:ascii="Georgia" w:hAnsi="Georgia" w:eastAsia="Georgia" w:cs="Georgia"/>
                <w:b w:val="1"/>
                <w:bCs w:val="1"/>
                <w:color w:val="1B4332"/>
                <w:sz w:val="26"/>
                <w:szCs w:val="26"/>
                <w:lang w:val="en-US"/>
              </w:rPr>
              <w:t>Clear the rest block in the non-growing season only</w:t>
            </w:r>
          </w:p>
          <w:p w14:paraId="467A6A2A" wp14:textId="77777777">
            <w:pPr>
              <w:spacing w:before="0" w:after="120"/>
              <w:jc w:val="both"/>
            </w:pPr>
            <w:r w:rsidRPr="6E4947DE" w:rsidR="6E4947DE">
              <w:rPr>
                <w:rFonts w:ascii="Calibri" w:hAnsi="Calibri" w:eastAsia="Calibri" w:cs="Calibri"/>
                <w:color w:val="1A1A1A"/>
                <w:sz w:val="21"/>
                <w:szCs w:val="21"/>
                <w:lang w:val="en-US"/>
              </w:rPr>
              <w:t>Once the growing season ends and plants have completed their full cycle — once the forage has browned off and gone into its non-growing state — animals can enter the rest block and utilise the accumulated forage.</w:t>
            </w:r>
          </w:p>
          <w:p w14:paraId="15A2006E" wp14:textId="77777777">
            <w:pPr>
              <w:spacing w:before="0" w:after="120"/>
              <w:jc w:val="both"/>
            </w:pPr>
            <w:r w:rsidRPr="6E4947DE" w:rsidR="6E4947DE">
              <w:rPr>
                <w:rFonts w:ascii="Calibri" w:hAnsi="Calibri" w:eastAsia="Calibri" w:cs="Calibri"/>
                <w:color w:val="1A1A1A"/>
                <w:sz w:val="21"/>
                <w:szCs w:val="21"/>
                <w:lang w:val="en-US"/>
              </w:rPr>
              <w:t>Rank, mature forage is low in protein relative to its energy content. A protein supplement fed to animals grazing rank forage allows them to process it efficiently and clear the block effectively. This is not a workaround — it is the correct tool for the job. The supplement makes the rank forage usable, which makes the whole rest system commercially viable. Without it, animals may selectively graze and leave the lowest-quality material standing, which reduces the effectiveness of the clearing pass.</w:t>
            </w:r>
          </w:p>
          <w:p w14:paraId="4946C3B3" wp14:textId="77777777">
            <w:pPr>
              <w:spacing w:before="0" w:after="120"/>
              <w:jc w:val="both"/>
            </w:pPr>
            <w:r w:rsidRPr="6E4947DE" w:rsidR="6E4947DE">
              <w:rPr>
                <w:rFonts w:ascii="Calibri" w:hAnsi="Calibri" w:eastAsia="Calibri" w:cs="Calibri"/>
                <w:color w:val="1A1A1A"/>
                <w:sz w:val="21"/>
                <w:szCs w:val="21"/>
                <w:lang w:val="en-US"/>
              </w:rPr>
              <w:t>The cleared block then enters the following growing season with a clean slate — fresh growth from the seed bank replenished by the preceding rest — and the next rain event on that area produces a notably vigorous response.</w:t>
            </w:r>
          </w:p>
          <w:p w14:paraId="792A0CAD"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Non-growing season clearing → removes rank material without disrupting the growing-season energy cycle; protein supplement → efficient processing of mature forage; clean slate → strong germination response to next growing season rain.</w:t>
            </w:r>
          </w:p>
        </w:tc>
      </w:tr>
    </w:tbl>
    <w:p xmlns:wp14="http://schemas.microsoft.com/office/word/2010/wordml" w14:paraId="53128261" wp14:textId="77777777">
      <w:pP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47990314" wp14:textId="77777777">
        <w:tc>
          <w:tcPr>
            <w:tcW w:w="9360" w:type="dxa"/>
            <w:tcBorders>
              <w:top w:val="none"/>
              <w:left w:val="thick" w:color="8B3A0F" w:sz="48"/>
              <w:bottom w:val="none"/>
              <w:right w:val="none"/>
            </w:tcBorders>
            <w:shd w:val="clear" w:color="auto" w:fill="FDE8DC"/>
            <w:tcMar>
              <w:top w:w="160" w:type="dxa"/>
              <w:left w:w="260" w:type="dxa"/>
              <w:bottom w:w="160" w:type="dxa"/>
              <w:right w:w="260" w:type="dxa"/>
            </w:tcMar>
          </w:tcPr>
          <w:p w14:paraId="726C2B75" wp14:textId="77777777">
            <w:pPr>
              <w:spacing w:after="140"/>
            </w:pPr>
            <w:r w:rsidRPr="6E4947DE" w:rsidR="6E4947DE">
              <w:rPr>
                <w:rFonts w:ascii="Calibri" w:hAnsi="Calibri" w:eastAsia="Calibri" w:cs="Calibri"/>
                <w:b w:val="1"/>
                <w:bCs w:val="1"/>
                <w:caps w:val="1"/>
                <w:color w:val="8B3A0F"/>
                <w:sz w:val="17"/>
                <w:szCs w:val="17"/>
                <w:lang w:val="en-US"/>
              </w:rPr>
              <w:t xml:space="preserve">Principle 5  </w:t>
            </w:r>
            <w:r w:rsidRPr="6E4947DE" w:rsidR="6E4947DE">
              <w:rPr>
                <w:rFonts w:ascii="Georgia" w:hAnsi="Georgia" w:eastAsia="Georgia" w:cs="Georgia"/>
                <w:b w:val="1"/>
                <w:bCs w:val="1"/>
                <w:color w:val="1B4332"/>
                <w:sz w:val="26"/>
                <w:szCs w:val="26"/>
                <w:lang w:val="en-US"/>
              </w:rPr>
              <w:t>Rotate the rest block — 20–30% of the property per year</w:t>
            </w:r>
          </w:p>
          <w:p w14:paraId="1E2BBAE0" wp14:textId="77777777">
            <w:pPr>
              <w:spacing w:before="0" w:after="120"/>
              <w:jc w:val="both"/>
            </w:pPr>
            <w:r>
              <w:rPr>
                <w:rFonts w:ascii="Calibri" w:hAnsi="Calibri" w:eastAsia="Calibri" w:cs="Calibri"/>
                <w:color w:val="1A1A1A"/>
                <w:sz w:val="21"/>
                <w:szCs w:val="21"/>
              </w:rPr>
              <w:t xml:space="preserve">Once the rotation has enough cells to carry the stocking load while a meaningful area rests, the rest block becomes a rolling structural feature: approximately 20–30% of total property area resting at any given time, rotating so that every paddock passes through at least one full-season rest every 3–4 years.</w:t>
            </w:r>
          </w:p>
          <w:p w14:paraId="12BBA171" wp14:textId="77777777">
            <w:pPr>
              <w:spacing w:before="0" w:after="120"/>
              <w:jc w:val="both"/>
            </w:pPr>
            <w:r w:rsidRPr="6E4947DE" w:rsidR="6E4947DE">
              <w:rPr>
                <w:rFonts w:ascii="Calibri" w:hAnsi="Calibri" w:eastAsia="Calibri" w:cs="Calibri"/>
                <w:b w:val="1"/>
                <w:bCs w:val="1"/>
                <w:color w:val="1A1A1A"/>
                <w:sz w:val="21"/>
                <w:szCs w:val="21"/>
                <w:lang w:val="en-US"/>
              </w:rPr>
              <w:t>20% is a floor, not a ceiling.</w:t>
            </w:r>
            <w:r w:rsidRPr="6E4947DE" w:rsidR="6E4947DE">
              <w:rPr>
                <w:rFonts w:ascii="Calibri" w:hAnsi="Calibri" w:eastAsia="Calibri" w:cs="Calibri"/>
                <w:color w:val="1A1A1A"/>
                <w:sz w:val="21"/>
                <w:szCs w:val="21"/>
                <w:lang w:val="en-US"/>
              </w:rPr>
              <w:t xml:space="preserve"> There is no downside to resting more than 20–30% as long as the entire property is defoliated at least once annually — or every two years in extremely arid environments. The key constraint is that no paddock goes so long without grazing that the standing rank material becomes unmanageable or that weed species establish without competition.</w:t>
            </w:r>
          </w:p>
          <w:p w14:paraId="010C650F" wp14:textId="77777777">
            <w:pPr>
              <w:spacing w:before="0" w:after="120"/>
              <w:jc w:val="both"/>
            </w:pPr>
            <w:r w:rsidRPr="6E4947DE" w:rsidR="6E4947DE">
              <w:rPr>
                <w:rFonts w:ascii="Calibri" w:hAnsi="Calibri" w:eastAsia="Calibri" w:cs="Calibri"/>
                <w:color w:val="1A1A1A"/>
                <w:sz w:val="21"/>
                <w:szCs w:val="21"/>
                <w:lang w:val="en-US"/>
              </w:rPr>
              <w:t xml:space="preserve">Keeping forage fresh is necessary to maintain stock in good body condition and to meet day-to-day management goals. This tension is real and should not be dismissed. The resolution is the rolling rest block: </w:t>
            </w:r>
            <w:r w:rsidRPr="6E4947DE" w:rsidR="6E4947DE">
              <w:rPr>
                <w:rFonts w:ascii="Calibri" w:hAnsi="Calibri" w:eastAsia="Calibri" w:cs="Calibri"/>
                <w:b w:val="1"/>
                <w:bCs w:val="1"/>
                <w:color w:val="1A1A1A"/>
                <w:sz w:val="21"/>
                <w:szCs w:val="21"/>
                <w:lang w:val="en-US"/>
              </w:rPr>
              <w:t>70–80% of the property is managed for palatability and production; 20–30% is managed for biological capital.</w:t>
            </w:r>
            <w:r w:rsidRPr="6E4947DE" w:rsidR="6E4947DE">
              <w:rPr>
                <w:rFonts w:ascii="Calibri" w:hAnsi="Calibri" w:eastAsia="Calibri" w:cs="Calibri"/>
                <w:color w:val="1A1A1A"/>
                <w:sz w:val="21"/>
                <w:szCs w:val="21"/>
                <w:lang w:val="en-US"/>
              </w:rPr>
              <w:t xml:space="preserve"> The two functions coexist in the same system, rotating so that every part of the property performs both roles on a regular cycle.</w:t>
            </w:r>
          </w:p>
          <w:p w14:paraId="4B2C4C56" wp14:textId="77777777">
            <w:pPr>
              <w:spacing w:before="0" w:after="120"/>
              <w:jc w:val="both"/>
            </w:pPr>
            <w:r w:rsidRPr="6E4947DE" w:rsidR="6E4947DE">
              <w:rPr>
                <w:rFonts w:ascii="Calibri" w:hAnsi="Calibri" w:eastAsia="Calibri" w:cs="Calibri"/>
                <w:color w:val="1A1A1A"/>
                <w:sz w:val="21"/>
                <w:szCs w:val="21"/>
                <w:lang w:val="en-US"/>
              </w:rPr>
              <w:t>The whole-property SOC trajectory becomes self-reinforcing once this rotation is established. Each paddock's full-season rest event expands the mycorrhizal network, advances plant community adaptation, liberates locked minerals through organic acid exudates, and contributes to long-lasting carbon accumulation. Neighbours will begin attributing the productivity difference to rainfall.</w:t>
            </w:r>
          </w:p>
          <w:p w14:paraId="614EE3F9" wp14:textId="77777777">
            <w:pPr>
              <w:spacing w:before="80" w:after="0"/>
            </w:pPr>
            <w:r w:rsidRPr="6E4947DE" w:rsidR="6E4947DE">
              <w:rPr>
                <w:rFonts w:ascii="Calibri" w:hAnsi="Calibri" w:eastAsia="Calibri" w:cs="Calibri"/>
                <w:b w:val="1"/>
                <w:bCs w:val="1"/>
                <w:color w:val="4A4A4A"/>
                <w:sz w:val="19"/>
                <w:szCs w:val="19"/>
                <w:lang w:val="en-US"/>
              </w:rPr>
              <w:t xml:space="preserve">Why it works:  </w:t>
            </w:r>
            <w:r w:rsidRPr="6E4947DE" w:rsidR="6E4947DE">
              <w:rPr>
                <w:rFonts w:ascii="Calibri" w:hAnsi="Calibri" w:eastAsia="Calibri" w:cs="Calibri"/>
                <w:i w:val="1"/>
                <w:iCs w:val="1"/>
                <w:color w:val="4A4A4A"/>
                <w:sz w:val="19"/>
                <w:szCs w:val="19"/>
                <w:lang w:val="en-US"/>
              </w:rPr>
              <w:t>Individual paddock rest events compound into whole-property SOC trajectory; 20–30% rest area balances biological capital investment against production requirements; rotation ensures every paddock cycles through surplus energy state on a 3–4 year minimum.</w:t>
            </w:r>
          </w:p>
        </w:tc>
      </w:tr>
    </w:tbl>
    <w:p xmlns:wp14="http://schemas.microsoft.com/office/word/2010/wordml" w14:paraId="62486C05" wp14:textId="77777777">
      <w:pPr>
        <w:spacing w:before="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E4947DE" w14:paraId="746D5B47" wp14:textId="77777777">
        <w:tc>
          <w:tcPr>
            <w:tcW w:w="9360" w:type="dxa"/>
            <w:tcBorders>
              <w:top w:val="single" w:color="8B3A0F" w:sz="8"/>
              <w:left w:val="thick" w:color="8B3A0F" w:sz="24"/>
              <w:bottom w:val="none"/>
              <w:right w:val="none"/>
            </w:tcBorders>
            <w:shd w:val="clear" w:color="auto" w:fill="FDE8DC"/>
            <w:tcMar>
              <w:top w:w="120" w:type="dxa"/>
              <w:left w:w="220" w:type="dxa"/>
              <w:bottom w:w="120" w:type="dxa"/>
              <w:right w:w="220" w:type="dxa"/>
            </w:tcMar>
          </w:tcPr>
          <w:p w14:paraId="6091D4D1" wp14:textId="77777777">
            <w:pPr>
              <w:spacing w:after="70"/>
            </w:pPr>
            <w:r>
              <w:rPr>
                <w:rFonts w:ascii="Calibri" w:hAnsi="Calibri" w:eastAsia="Calibri" w:cs="Calibri"/>
                <w:b/>
                <w:bCs/>
                <w:caps/>
                <w:color w:val="8B3A0F"/>
                <w:sz w:val="17"/>
                <w:szCs w:val="17"/>
              </w:rPr>
              <w:t xml:space="preserve">The rest schedule in plain terms</w:t>
            </w:r>
          </w:p>
          <w:p w14:paraId="05979B2F" wp14:textId="77777777">
            <w:pPr>
              <w:spacing w:before="0" w:after="120"/>
              <w:jc w:val="both"/>
            </w:pPr>
            <w:r w:rsidRPr="6E4947DE" w:rsidR="6E4947DE">
              <w:rPr>
                <w:rFonts w:ascii="Calibri" w:hAnsi="Calibri" w:eastAsia="Calibri" w:cs="Calibri"/>
                <w:b w:val="1"/>
                <w:bCs w:val="1"/>
                <w:color w:val="1A1A1A"/>
                <w:sz w:val="21"/>
                <w:szCs w:val="21"/>
                <w:lang w:val="en-US"/>
              </w:rPr>
              <w:t>Establishment (Yrs 1–3):</w:t>
            </w:r>
            <w:r w:rsidRPr="6E4947DE" w:rsidR="6E4947DE">
              <w:rPr>
                <w:rFonts w:ascii="Calibri" w:hAnsi="Calibri" w:eastAsia="Calibri" w:cs="Calibri"/>
                <w:color w:val="1A1A1A"/>
                <w:sz w:val="21"/>
                <w:szCs w:val="21"/>
                <w:lang w:val="en-US"/>
              </w:rPr>
              <w:t xml:space="preserve"> Designate 30–50% of the lowest-SOC area as the rest block. No grazing during the growing season. Clear in the non-growing season with protein supplement. High-SOC paddocks carry the full stocking load.</w:t>
            </w:r>
          </w:p>
          <w:p w14:paraId="195BB997" wp14:textId="77777777">
            <w:pPr>
              <w:spacing w:before="0" w:after="120"/>
              <w:jc w:val="both"/>
            </w:pPr>
            <w:r w:rsidRPr="6E4947DE" w:rsidR="6E4947DE">
              <w:rPr>
                <w:rFonts w:ascii="Calibri" w:hAnsi="Calibri" w:eastAsia="Calibri" w:cs="Calibri"/>
                <w:b w:val="1"/>
                <w:bCs w:val="1"/>
                <w:color w:val="1A1A1A"/>
                <w:sz w:val="21"/>
                <w:szCs w:val="21"/>
                <w:lang w:val="en-US"/>
              </w:rPr>
              <w:t>Expansion (Yrs 4–6):</w:t>
            </w:r>
            <w:r w:rsidRPr="6E4947DE" w:rsidR="6E4947DE">
              <w:rPr>
                <w:rFonts w:ascii="Calibri" w:hAnsi="Calibri" w:eastAsia="Calibri" w:cs="Calibri"/>
                <w:color w:val="1A1A1A"/>
                <w:sz w:val="21"/>
                <w:szCs w:val="21"/>
                <w:lang w:val="en-US"/>
              </w:rPr>
              <w:t xml:space="preserve"> As mid-SOC paddocks are subdivided and enter the rotation, the rest block transitions to a rolling 20–30% of the whole property. Every paddock is now on a rotation toward its first full-season rest.</w:t>
            </w:r>
          </w:p>
          <w:p w14:paraId="42554BCF" wp14:textId="77777777">
            <w:pPr>
              <w:spacing w:before="0" w:after="120"/>
              <w:jc w:val="both"/>
            </w:pPr>
            <w:r>
              <w:rPr>
                <w:rFonts w:ascii="Calibri" w:hAnsi="Calibri" w:eastAsia="Calibri" w:cs="Calibri"/>
                <w:b/>
                <w:bCs/>
                <w:color w:val="1A1A1A"/>
                <w:sz w:val="21"/>
                <w:szCs w:val="21"/>
              </w:rPr>
              <w:t xml:space="preserve">Maturity (Yrs 7–10):</w:t>
            </w:r>
            <w:r>
              <w:rPr>
                <w:rFonts w:ascii="Calibri" w:hAnsi="Calibri" w:eastAsia="Calibri" w:cs="Calibri"/>
                <w:color w:val="1A1A1A"/>
                <w:sz w:val="21"/>
                <w:szCs w:val="21"/>
              </w:rPr>
              <w:t xml:space="preserve"> Rest is structural — encoded in the rotation design, not imposed by management discipline. Low-SOC paddock cores may receive targeted double-rest periods to accelerate recovery. Carrying capacity is measurably higher than Year 1.</w:t>
            </w:r>
          </w:p>
          <w:p w14:paraId="19355A35" wp14:textId="77777777">
            <w:pPr>
              <w:spacing w:before="0" w:after="120"/>
              <w:jc w:val="both"/>
            </w:pPr>
            <w:r w:rsidRPr="6E4947DE" w:rsidR="6E4947DE">
              <w:rPr>
                <w:rFonts w:ascii="Calibri" w:hAnsi="Calibri" w:eastAsia="Calibri" w:cs="Calibri"/>
                <w:i w:val="1"/>
                <w:iCs w:val="1"/>
                <w:color w:val="1A1A1A"/>
                <w:sz w:val="21"/>
                <w:szCs w:val="21"/>
                <w:lang w:val="en-US"/>
              </w:rPr>
              <w:t>The rest schedule is a consequence of the subdivision architecture. More cells means the rest block can be maintained without reducing the stocking rate. The two modules work together: Module 1 creates the conditions that make Module 2 possible at commercial stocking rates.</w:t>
            </w:r>
          </w:p>
        </w:tc>
      </w:tr>
    </w:tbl>
    <w:p xmlns:wp14="http://schemas.microsoft.com/office/word/2010/wordml" w14:paraId="4101652C" wp14:textId="77777777">
      <w:pPr>
        <w:spacing w:before="0" w:after="320"/>
      </w:pPr>
    </w:p>
    <w:p xmlns:wp14="http://schemas.microsoft.com/office/word/2010/wordml" w14:paraId="4B99056E" wp14:textId="77777777">
      <w:pPr>
        <w:pBdr>
          <w:bottom w:val="single" w:color="CCCCCC" w:sz="4" w:space="6"/>
        </w:pBdr>
        <w:spacing w:before="0" w:after="0"/>
      </w:pPr>
    </w:p>
    <w:p xmlns:wp14="http://schemas.microsoft.com/office/word/2010/wordml" w14:paraId="1299C43A" wp14:textId="77777777">
      <w:pPr>
        <w:spacing w:before="0" w:after="100"/>
      </w:pPr>
    </w:p>
    <w:p xmlns:wp14="http://schemas.microsoft.com/office/word/2010/wordml" w14:paraId="61BEDB74" wp14:textId="77777777">
      <w:pPr>
        <w:spacing w:before="0" w:after="0"/>
        <w:jc w:val="center"/>
      </w:pPr>
      <w:r w:rsidRPr="6E4947DE" w:rsidR="6E4947DE">
        <w:rPr>
          <w:rFonts w:ascii="Calibri" w:hAnsi="Calibri" w:eastAsia="Calibri" w:cs="Calibri"/>
          <w:i w:val="1"/>
          <w:iCs w:val="1"/>
          <w:color w:val="4A4A4A"/>
          <w:sz w:val="17"/>
          <w:szCs w:val="17"/>
          <w:lang w:val="en-US"/>
        </w:rPr>
        <w:t>Horizon — Management Science Layer  ·  AgriProve Pty Ltd  ·  Confidential</w:t>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9d211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5D5CBA2"/>
  <w15:docId w15:val="{6D8DA6C9-0833-45FC-AFC7-23EAB495B934}"/>
  <w:rsids>
    <w:rsidRoot w:val="6E4947DE"/>
    <w:rsid w:val="6E4947D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Dylan Cronje</lastModifiedBy>
  <revision>2</revision>
  <dcterms:created xsi:type="dcterms:W3CDTF">2026-07-07T05:13:04.8660000Z</dcterms:created>
  <dcterms:modified xsi:type="dcterms:W3CDTF">2026-07-08T04:14:02.3279294Z</dcterms:modified>
</coreProperties>
</file>

<file path=docProps/custom.xml><?xml version="1.0" encoding="utf-8"?>
<Properties xmlns="http://schemas.openxmlformats.org/officeDocument/2006/custom-properties" xmlns:vt="http://schemas.openxmlformats.org/officeDocument/2006/docPropsVTypes"/>
</file>