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INFRASTRUCTURE PLANNING PRINCIPLES</w:t>
      </w:r>
    </w:p>
    <w:p>
      <w:pPr>
        <w:spacing w:after="60"/>
      </w:pPr>
      <w:r>
        <w:rPr>
          <w:i/>
          <w:iCs/>
          <w:color w:val="5A5A5A"/>
          <w:sz w:val="22"/>
          <w:szCs w:val="22"/>
        </w:rPr>
        <w:t xml:space="preserve">Sequencing capital along the productivity gradient — a logic guide for tool design</w:t>
      </w:r>
    </w:p>
    <w:p>
      <w:pPr>
        <w:pBdr>
          <w:bottom w:val="single" w:color="2E5E3A" w:sz="6"/>
        </w:pBdr>
        <w:spacing w:after="160" w:before="80"/>
      </w:pPr>
    </w:p>
    <w:p>
      <w:pPr>
        <w:spacing w:after="160" w:line="276"/>
      </w:pPr>
      <w:r>
        <w:rPr>
          <w:b/>
          <w:bCs/>
          <w:color w:val="1A1A1A"/>
          <w:sz w:val="21"/>
          <w:szCs w:val="21"/>
        </w:rPr>
        <w:t xml:space="preserve">Purpose of this document.  </w:t>
      </w:r>
      <w:r>
        <w:rPr>
          <w:color w:val="1A1A1A"/>
          <w:sz w:val="21"/>
          <w:szCs w:val="21"/>
        </w:rPr>
        <w:t xml:space="preserve">This is not field guidance and it is not a product specification. It is a foundational logic guide — the reasoning a subdivision-and-rest planning tool must encode — written to feed the design of a prototype in Claude Design. It restates the grazing-science principles behind infrastructure sequencing in a form legible to whoever builds the interface: what the tool takes in, what rules it applies, what it puts out, and what it must not overreach on.</w:t>
      </w:r>
    </w:p>
    <w:p>
      <w:pPr>
        <w:spacing w:after="140" w:line="276"/>
      </w:pPr>
      <w:r>
        <w:rPr>
          <w:color w:val="5A5A5A"/>
          <w:sz w:val="21"/>
          <w:szCs w:val="21"/>
        </w:rPr>
        <w:t xml:space="preserve">Every property is different. The grazier applies these principles to their own country, their own stock numbers, and their own capital position. The principles are transferable; the implementation is theirs. A tool built on this logic surfaces the sequence — it does not remove the grazier's judgement from it. That distinction is a design constraint, not a caveat, and it is named explicitly at the end.</w:t>
      </w:r>
    </w:p>
    <w:p>
      <w:pPr>
        <w:pStyle w:val="Heading2"/>
        <w:spacing w:after="120" w:before="260"/>
      </w:pPr>
      <w:r>
        <w:rPr>
          <w:b/>
          <w:bCs/>
          <w:color w:val="2E5E3A"/>
          <w:sz w:val="26"/>
          <w:szCs w:val="26"/>
        </w:rPr>
        <w:t xml:space="preserve">The heat map is the input surface</w:t>
      </w:r>
    </w:p>
    <w:p>
      <w:pPr>
        <w:spacing w:after="140" w:line="276"/>
      </w:pPr>
      <w:r>
        <w:rPr>
          <w:color w:val="1A1A1A"/>
          <w:sz w:val="21"/>
          <w:szCs w:val="21"/>
        </w:rPr>
        <w:t xml:space="preserve">The productivity heat map is the single most important object in this system. It renders the property as a productivity gradient — the hottest, highest-producing country at one end, the coldest, most degraded country at the other. In the source principles it is a reference the grazier reads. In a tool, it becomes the primary data the system operates on: every sequencing decision below is a function of where a paddock sits on that gradient.</w:t>
      </w:r>
    </w:p>
    <w:p>
      <w:pPr>
        <w:spacing w:after="140" w:line="276"/>
      </w:pPr>
      <w:r>
        <w:rPr>
          <w:b/>
          <w:bCs/>
          <w:color w:val="1A1A1A"/>
          <w:sz w:val="21"/>
          <w:szCs w:val="21"/>
        </w:rPr>
        <w:t xml:space="preserve">The core reframe: </w:t>
      </w:r>
      <w:r>
        <w:rPr>
          <w:color w:val="1A1A1A"/>
          <w:sz w:val="21"/>
          <w:szCs w:val="21"/>
        </w:rPr>
        <w:t xml:space="preserve">infrastructure is not a fencing decision, it is a rotation-architecture decision. The number of cells determines the minimum achievable rest period at a given stocking rate — more cells mean longer rest per cell without dropping the stocking rate. Where capital lands first therefore determines where the productivity gain appears earliest, and which country carries the grazing load while weaker country recovers. The heat map is what makes that ordering visible.</w:t>
      </w:r>
    </w:p>
    <w:p>
      <w:pPr>
        <w:spacing w:after="80"/>
      </w:pPr>
      <w:r>
        <w:rPr>
          <w:b/>
          <w:bCs/>
          <w:caps/>
          <w:color w:val="2E5E3A"/>
          <w:sz w:val="17"/>
          <w:szCs w:val="17"/>
        </w:rPr>
        <w:t xml:space="preserve">What the tool works with</w:t>
      </w:r>
    </w:p>
    <w:p>
      <w:pPr>
        <w:spacing w:after="60" w:line="252"/>
        <w:ind w:left="215"/>
      </w:pPr>
      <w:r>
        <w:rPr>
          <w:b/>
          <w:bCs/>
          <w:color w:val="1A1A1A"/>
          <w:sz w:val="18"/>
          <w:szCs w:val="18"/>
        </w:rPr>
        <w:t xml:space="preserve">Input:  </w:t>
      </w:r>
      <w:r>
        <w:rPr>
          <w:color w:val="1A1A1A"/>
          <w:sz w:val="18"/>
          <w:szCs w:val="18"/>
        </w:rPr>
        <w:t xml:space="preserve">a per-paddock productivity gradient (the heat map), stocking rate, and available capital/labour.</w:t>
      </w:r>
    </w:p>
    <w:p>
      <w:pPr>
        <w:spacing w:after="60" w:line="252"/>
        <w:ind w:left="215"/>
      </w:pPr>
      <w:r>
        <w:rPr>
          <w:b/>
          <w:bCs/>
          <w:color w:val="1A1A1A"/>
          <w:sz w:val="18"/>
          <w:szCs w:val="18"/>
        </w:rPr>
        <w:t xml:space="preserve">Core rule:  </w:t>
      </w:r>
      <w:r>
        <w:rPr>
          <w:color w:val="1A1A1A"/>
          <w:sz w:val="18"/>
          <w:szCs w:val="18"/>
        </w:rPr>
        <w:t xml:space="preserve">cell count is the lever; rest-period length is the output of cell count at a fixed stocking rate.</w:t>
      </w:r>
    </w:p>
    <w:p>
      <w:pPr>
        <w:spacing w:after="60" w:line="252"/>
        <w:ind w:left="215"/>
      </w:pPr>
      <w:r>
        <w:rPr>
          <w:b/>
          <w:bCs/>
          <w:color w:val="1A1A1A"/>
          <w:sz w:val="18"/>
          <w:szCs w:val="18"/>
        </w:rPr>
        <w:t xml:space="preserve">Output:  </w:t>
      </w:r>
      <w:r>
        <w:rPr>
          <w:color w:val="1A1A1A"/>
          <w:sz w:val="18"/>
          <w:szCs w:val="18"/>
        </w:rPr>
        <w:t xml:space="preserve">an ordered sequence of where infrastructure capital lands — not a fixed timeline.</w:t>
      </w:r>
    </w:p>
    <w:p>
      <w:r>
        <w:br w:type="page"/>
      </w:r>
    </w:p>
    <w:p>
      <w:pPr>
        <w:pStyle w:val="Heading2"/>
        <w:spacing w:after="120" w:before="260"/>
      </w:pPr>
      <w:r>
        <w:rPr>
          <w:b/>
          <w:bCs/>
          <w:color w:val="2E5E3A"/>
          <w:sz w:val="26"/>
          <w:szCs w:val="26"/>
        </w:rPr>
        <w:t xml:space="preserve">Part 1 — Infrastructure sequencing (subdivision order)</w:t>
      </w:r>
    </w:p>
    <w:p>
      <w:pPr>
        <w:spacing w:after="140" w:line="276"/>
      </w:pPr>
      <w:r>
        <w:rPr>
          <w:color w:val="1A1A1A"/>
          <w:sz w:val="21"/>
          <w:szCs w:val="21"/>
        </w:rPr>
        <w:t xml:space="preserve">Which paddocks receive fencing, water, and laneways first, and why the order runs against instinct. This is the infrastructure spine of the system: the sequence in which capital is deployed across the property, read directly off the heat map.</w:t>
      </w:r>
    </w:p>
    <w:p>
      <w:pPr>
        <w:pStyle w:val="Heading3"/>
        <w:spacing w:after="80" w:before="220"/>
      </w:pPr>
      <w:r>
        <w:rPr>
          <w:b/>
          <w:bCs/>
          <w:color w:val="5A5A5A"/>
          <w:sz w:val="22"/>
          <w:szCs w:val="22"/>
        </w:rPr>
        <w:t xml:space="preserve">Principle 1   </w:t>
      </w:r>
      <w:r>
        <w:rPr>
          <w:b/>
          <w:bCs/>
          <w:color w:val="1A1A1A"/>
          <w:sz w:val="22"/>
          <w:szCs w:val="22"/>
        </w:rPr>
        <w:t xml:space="preserve">Follow the productivity gradient — hottest country first</w:t>
      </w:r>
    </w:p>
    <w:p>
      <w:pPr>
        <w:spacing w:after="140" w:line="276"/>
      </w:pPr>
      <w:r>
        <w:rPr>
          <w:color w:val="1A1A1A"/>
          <w:sz w:val="21"/>
          <w:szCs w:val="21"/>
        </w:rPr>
        <w:t xml:space="preserve">Infrastructure investment — fencing, water, laneways — follows the productivity gradient from hottest to coldest. Subdivide the highest-producing paddocks first. This is counterintuitive: the instinct is to fix the problem paddocks first. The correct sequence is the reverse.</w:t>
      </w:r>
    </w:p>
    <w:p>
      <w:pPr>
        <w:spacing w:after="140" w:line="276"/>
      </w:pPr>
      <w:r>
        <w:rPr>
          <w:color w:val="1A1A1A"/>
          <w:sz w:val="21"/>
          <w:szCs w:val="21"/>
        </w:rPr>
        <w:t xml:space="preserve">Subdividing the hottest paddocks immediately raises the number of rotation cells across the whole property. More cells means longer rest per cell at the same stocking rate — and longer rest means more forage produced per hectare. That lift in farm-wide carrying capacity is what funds the next stage of subdivision, before a dollar of capital reaches the coldest paddocks. The infrastructure pays for its own next increment.</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Higher cell count on productive country → longer rest intervals → increased carrying capacity → capital available for the next subdivision stage.</w:t>
      </w:r>
    </w:p>
    <w:p>
      <w:pPr>
        <w:pStyle w:val="Heading3"/>
        <w:spacing w:after="80" w:before="220"/>
      </w:pPr>
      <w:r>
        <w:rPr>
          <w:b/>
          <w:bCs/>
          <w:color w:val="5A5A5A"/>
          <w:sz w:val="22"/>
          <w:szCs w:val="22"/>
        </w:rPr>
        <w:t xml:space="preserve">Principle 2   </w:t>
      </w:r>
      <w:r>
        <w:rPr>
          <w:b/>
          <w:bCs/>
          <w:color w:val="1A1A1A"/>
          <w:sz w:val="22"/>
          <w:szCs w:val="22"/>
        </w:rPr>
        <w:t xml:space="preserve">Capital on good country does preparatory work on bad country</w:t>
      </w:r>
    </w:p>
    <w:p>
      <w:pPr>
        <w:spacing w:after="140" w:line="276"/>
      </w:pPr>
      <w:r>
        <w:rPr>
          <w:color w:val="1A1A1A"/>
          <w:sz w:val="21"/>
          <w:szCs w:val="21"/>
        </w:rPr>
        <w:t xml:space="preserve">When the hottest paddocks are subdivided and stocking density per cell rises, the whole-property rotation intensifies. The coldest paddocks then receive more hoof impact and more even manure distribution per rotation pass than they did under the larger configuration — before any fence is built on them. The subdivision of the strong country is already improving the coldest country's ground condition at no additional cost.</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Increased rotation intensity property-wide → more even impact and nutrient distribution on the coldest paddocks each pass → ground condition improving ahead of subdivision capital.</w:t>
      </w:r>
    </w:p>
    <w:p>
      <w:pPr>
        <w:pStyle w:val="Heading3"/>
        <w:spacing w:after="80" w:before="220"/>
      </w:pPr>
      <w:r>
        <w:rPr>
          <w:b/>
          <w:bCs/>
          <w:color w:val="5A5A5A"/>
          <w:sz w:val="22"/>
          <w:szCs w:val="22"/>
        </w:rPr>
        <w:t xml:space="preserve">Principle 3   </w:t>
      </w:r>
      <w:r>
        <w:rPr>
          <w:b/>
          <w:bCs/>
          <w:color w:val="1A1A1A"/>
          <w:sz w:val="22"/>
          <w:szCs w:val="22"/>
        </w:rPr>
        <w:t xml:space="preserve">Take each paddock to maximum viable cell count before moving on</w:t>
      </w:r>
    </w:p>
    <w:p>
      <w:pPr>
        <w:spacing w:after="140" w:line="276"/>
      </w:pPr>
      <w:r>
        <w:rPr>
          <w:color w:val="1A1A1A"/>
          <w:sz w:val="21"/>
          <w:szCs w:val="21"/>
        </w:rPr>
        <w:t xml:space="preserve">Each paddock should be taken to its maximum practical cell count before capital moves to the next. A paddock subdivided into two cells delivers roughly half the rotation benefit of the same paddock at four. Partial subdivision beats nothing — but the compounding benefit of rest intervals builds far faster at higher cell density.</w:t>
      </w:r>
    </w:p>
    <w:p>
      <w:pPr>
        <w:spacing w:after="140" w:line="276"/>
      </w:pPr>
      <w:r>
        <w:rPr>
          <w:color w:val="1A1A1A"/>
          <w:sz w:val="21"/>
          <w:szCs w:val="21"/>
        </w:rPr>
        <w:t xml:space="preserve">The target density is enough that the natural rotation delivers 60–120+ day minimum rest periods without active intervention. At that point rest becomes the structural default — encoded in the rotation architecture rather than imposed by day-to-day discipline. This is the design target the tool should be steering toward.</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Rest-period length is a function of cell count. Maximum density per paddock before moving on accelerates the rest-interval benefit on a per-paddock basis.</w:t>
      </w:r>
    </w:p>
    <w:p>
      <w:pPr>
        <w:pStyle w:val="Heading3"/>
        <w:spacing w:after="80" w:before="220"/>
      </w:pPr>
      <w:r>
        <w:rPr>
          <w:b/>
          <w:bCs/>
          <w:color w:val="5A5A5A"/>
          <w:sz w:val="22"/>
          <w:szCs w:val="22"/>
        </w:rPr>
        <w:t xml:space="preserve">Principle 4   </w:t>
      </w:r>
      <w:r>
        <w:rPr>
          <w:b/>
          <w:bCs/>
          <w:color w:val="1A1A1A"/>
          <w:sz w:val="22"/>
          <w:szCs w:val="22"/>
        </w:rPr>
        <w:t xml:space="preserve">The sequence is counterintuitive — hold the line</w:t>
      </w:r>
    </w:p>
    <w:p>
      <w:pPr>
        <w:spacing w:after="140" w:line="276"/>
      </w:pPr>
      <w:r>
        <w:rPr>
          <w:color w:val="1A1A1A"/>
          <w:sz w:val="21"/>
          <w:szCs w:val="21"/>
        </w:rPr>
        <w:t xml:space="preserve">The grazier's instinct, and often the advisor's, is to address the worst country first. The cold, red paddocks on the heat map feel like the urgent problem. They are not the first investment priority. The coldest paddocks subdivided ahead of the hottest country carry a rotation load they cannot sustain at high density — the forage base is insufficient and the system unbalances.</w:t>
      </w:r>
    </w:p>
    <w:p>
      <w:pPr>
        <w:spacing w:after="140" w:line="276"/>
      </w:pPr>
      <w:r>
        <w:rPr>
          <w:color w:val="1A1A1A"/>
          <w:sz w:val="21"/>
          <w:szCs w:val="21"/>
        </w:rPr>
        <w:t xml:space="preserve">The correct approach is patience: build the rotation architecture on the strong country first, let that architecture do preparatory work on the weak country, then subdivide the weak country into a rotation that is already functioning. Fence lines in the coldest paddocks should follow internal gradient boundaries on the heat map where possible, isolating the weakest cores into dedicated recovery cells.</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Subdividing the coldest country first loads it with grazing pressure before the forage base can support it. Hottest-first builds the carrying capacity and improved ground condition that make cold-country subdivision productive rather than extractive.</w:t>
      </w:r>
    </w:p>
    <w:p>
      <w:pPr>
        <w:spacing w:after="100" w:before="200"/>
      </w:pPr>
      <w:r>
        <w:rPr>
          <w:b/>
          <w:bCs/>
          <w:color w:val="2E5E3A"/>
          <w:sz w:val="19"/>
          <w:szCs w:val="19"/>
        </w:rPr>
        <w:t xml:space="preserve">THE SEQUENCE, IN ORDER</w:t>
      </w:r>
    </w:p>
    <w:p>
      <w:pPr>
        <w:pStyle w:val="ListParagraph"/>
        <w:numPr>
          <w:ilvl w:val="0"/>
          <w:numId w:val="2"/>
        </w:numPr>
        <w:spacing w:after="90" w:line="264"/>
      </w:pPr>
      <w:r>
        <w:rPr>
          <w:b/>
          <w:bCs/>
          <w:sz w:val="20"/>
          <w:szCs w:val="20"/>
        </w:rPr>
        <w:t xml:space="preserve">Start. </w:t>
      </w:r>
      <w:r>
        <w:rPr>
          <w:sz w:val="20"/>
          <w:szCs w:val="20"/>
        </w:rPr>
        <w:t xml:space="preserve">Identify the hottest paddocks on the heat map. Subdivide these first, to maximum practical cell count.</w:t>
      </w:r>
    </w:p>
    <w:p>
      <w:pPr>
        <w:pStyle w:val="ListParagraph"/>
        <w:numPr>
          <w:ilvl w:val="0"/>
          <w:numId w:val="2"/>
        </w:numPr>
        <w:spacing w:after="90" w:line="264"/>
      </w:pPr>
      <w:r>
        <w:rPr>
          <w:b/>
          <w:bCs/>
          <w:sz w:val="20"/>
          <w:szCs w:val="20"/>
        </w:rPr>
        <w:t xml:space="preserve">Then. </w:t>
      </w:r>
      <w:r>
        <w:rPr>
          <w:sz w:val="20"/>
          <w:szCs w:val="20"/>
        </w:rPr>
        <w:t xml:space="preserve">Move to the mid-range paddocks. The increased rotation intensity from Stage 1 has already been working on them.</w:t>
      </w:r>
    </w:p>
    <w:p>
      <w:pPr>
        <w:pStyle w:val="ListParagraph"/>
        <w:numPr>
          <w:ilvl w:val="0"/>
          <w:numId w:val="2"/>
        </w:numPr>
        <w:spacing w:after="140" w:line="264"/>
      </w:pPr>
      <w:r>
        <w:rPr>
          <w:b/>
          <w:bCs/>
          <w:sz w:val="20"/>
          <w:szCs w:val="20"/>
        </w:rPr>
        <w:t xml:space="preserve">Finally. </w:t>
      </w:r>
      <w:r>
        <w:rPr>
          <w:sz w:val="20"/>
          <w:szCs w:val="20"/>
        </w:rPr>
        <w:t xml:space="preserve">Subdivide the coldest paddocks last — into a rotation that is already functioning, onto country whose ground condition has already started to lift.</w:t>
      </w:r>
    </w:p>
    <w:p>
      <w:pPr>
        <w:spacing w:after="140" w:line="276"/>
      </w:pPr>
      <w:r>
        <w:rPr>
          <w:b/>
          <w:bCs/>
          <w:color w:val="1A1A1A"/>
          <w:sz w:val="21"/>
          <w:szCs w:val="21"/>
        </w:rPr>
        <w:t xml:space="preserve">The sequence is fixed in order, not in time. </w:t>
      </w:r>
      <w:r>
        <w:rPr>
          <w:color w:val="1A1A1A"/>
          <w:sz w:val="21"/>
          <w:szCs w:val="21"/>
        </w:rPr>
        <w:t xml:space="preserve">How fast it moves depends on capital, labour, and the forage base. The order does not change. A tool should treat order as the invariant and let the user vary the pace.</w:t>
      </w:r>
    </w:p>
    <w:p>
      <w:r>
        <w:br w:type="page"/>
      </w:r>
    </w:p>
    <w:p>
      <w:pPr>
        <w:pStyle w:val="Heading2"/>
        <w:spacing w:after="120" w:before="260"/>
      </w:pPr>
      <w:r>
        <w:rPr>
          <w:b/>
          <w:bCs/>
          <w:color w:val="2E5E3A"/>
          <w:sz w:val="26"/>
          <w:szCs w:val="26"/>
        </w:rPr>
        <w:t xml:space="preserve">Part 2 — The return that justifies the spend (rest scheduling)</w:t>
      </w:r>
    </w:p>
    <w:p>
      <w:pPr>
        <w:spacing w:after="140" w:line="276"/>
      </w:pPr>
      <w:r>
        <w:rPr>
          <w:color w:val="5A5A5A"/>
          <w:sz w:val="21"/>
          <w:szCs w:val="21"/>
        </w:rPr>
        <w:t xml:space="preserve">Rest scheduling is not co-equal infrastructure — it is the return the infrastructure exists to unlock, and therefore the reason the sequencing in Part 1 is worth the capital. Subdivision creates the rotation architecture that makes rest possible; rest is the mechanism that actually rebuilds the forage base and lifts long-term carrying capacity. A planning tool needs this logic to justify its own recommendations back to the user: this is why the fence goes here, in this order.</w:t>
      </w:r>
    </w:p>
    <w:p>
      <w:pPr>
        <w:spacing w:after="140" w:line="276"/>
      </w:pPr>
      <w:r>
        <w:rPr>
          <w:b/>
          <w:bCs/>
          <w:color w:val="1A1A1A"/>
          <w:sz w:val="21"/>
          <w:szCs w:val="21"/>
        </w:rPr>
        <w:t xml:space="preserve">Why rest is the point. </w:t>
      </w:r>
      <w:r>
        <w:rPr>
          <w:color w:val="1A1A1A"/>
          <w:sz w:val="21"/>
          <w:szCs w:val="21"/>
        </w:rPr>
        <w:t xml:space="preserve">Moving from set stocking to rotation produces a quick early lift in feed — encouraging, but it comes and goes with the season. The durable gain is slower: country that is rested through a full growing season, repeatedly, over years, carries progressively more stock and holds up better through dry years. The quick response appears in years 1–3; the durable one builds beneath it and becomes the dominant signal at the 5–10 year mark. The rest schedule is designed to produce the second, not just the first.</w:t>
      </w:r>
    </w:p>
    <w:p>
      <w:pPr>
        <w:spacing w:after="140" w:line="276"/>
      </w:pPr>
      <w:r>
        <w:rPr>
          <w:color w:val="1A1A1A"/>
          <w:sz w:val="21"/>
          <w:szCs w:val="21"/>
        </w:rPr>
        <w:t xml:space="preserve">The reason is simple at the plant level. A pasture plant grazed before it has fully recovered spends its growth catching up to itself. A plant left to grow through a full season gets well ahead — deeper roots, more reserves, more seed. Country made up of plants that repeatedly reach that state grows more feed, for longer, and recovers faster after rain. The management decision — graze early, or let it recover — determines which of those two states dominates the paddock.</w:t>
      </w:r>
    </w:p>
    <w:p>
      <w:pPr>
        <w:pStyle w:val="Heading3"/>
        <w:spacing w:after="80" w:before="220"/>
      </w:pPr>
      <w:r>
        <w:rPr>
          <w:b/>
          <w:bCs/>
          <w:color w:val="5A5A5A"/>
          <w:sz w:val="22"/>
          <w:szCs w:val="22"/>
        </w:rPr>
        <w:t xml:space="preserve">Principle 1   </w:t>
      </w:r>
      <w:r>
        <w:rPr>
          <w:b/>
          <w:bCs/>
          <w:color w:val="1A1A1A"/>
          <w:sz w:val="22"/>
          <w:szCs w:val="22"/>
        </w:rPr>
        <w:t xml:space="preserve">The coldest paddocks rest first and longest</w:t>
      </w:r>
    </w:p>
    <w:p>
      <w:pPr>
        <w:spacing w:after="140" w:line="276"/>
      </w:pPr>
      <w:r>
        <w:rPr>
          <w:color w:val="1A1A1A"/>
          <w:sz w:val="21"/>
          <w:szCs w:val="21"/>
        </w:rPr>
        <w:t xml:space="preserve">In the establishment phase, designate the coldest paddocks as the rest block. These look the worst, and resting them first is strongly resisted — but the most run-down country has the most to gain from rest, because it is furthest from its potential and its plants have rarely been allowed to fully recover. A first full-season rest on historically overgrazed country produces a disproportionate response off a very low base. The same rest on already-good country produces a smaller gain off a higher one. The hottest paddocks carry the full stocking load through this period; they can sustain it, which is precisely why the weak country is resting and the strong country is not.</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Run-down country has the highest marginal return on rest. A first full-season rest on the most depleted paddocks produces a response out of proportion to the same rest on already-productive country.</w:t>
      </w:r>
    </w:p>
    <w:p>
      <w:pPr>
        <w:pStyle w:val="Heading3"/>
        <w:spacing w:after="80" w:before="220"/>
      </w:pPr>
      <w:r>
        <w:rPr>
          <w:b/>
          <w:bCs/>
          <w:color w:val="5A5A5A"/>
          <w:sz w:val="22"/>
          <w:szCs w:val="22"/>
        </w:rPr>
        <w:t xml:space="preserve">Principle 2   </w:t>
      </w:r>
      <w:r>
        <w:rPr>
          <w:b/>
          <w:bCs/>
          <w:color w:val="1A1A1A"/>
          <w:sz w:val="22"/>
          <w:szCs w:val="22"/>
        </w:rPr>
        <w:t xml:space="preserve">Full-season rest only — no partial grazing of the rest block</w:t>
      </w:r>
    </w:p>
    <w:p>
      <w:pPr>
        <w:spacing w:after="140" w:line="276"/>
      </w:pPr>
      <w:r>
        <w:rPr>
          <w:color w:val="1A1A1A"/>
          <w:sz w:val="21"/>
          <w:szCs w:val="21"/>
        </w:rPr>
        <w:t xml:space="preserve">The rest block must not be grazed at all during the growing season. Not once, not lightly. This is the most common implementation error and the one with the most severe consequence. A single growing-season graze sets the plant back — it stops getting ahead and goes back to catching up, and the season's growth is spent on recovery rather than building reserves and root depth. The rest block looks like wasted feed and one pass feels harmless — it is not; it resets the paddock for that whole season.</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Uninterrupted growing season → plants get well ahead and build reserves, roots, and seed → durable gain in carrying capacity. Any significant graze pulls the plant back into catch-up, and that season's durable gain is largely lost.</w:t>
      </w:r>
    </w:p>
    <w:p>
      <w:pPr>
        <w:pStyle w:val="Heading3"/>
        <w:spacing w:after="80" w:before="220"/>
      </w:pPr>
      <w:r>
        <w:rPr>
          <w:b/>
          <w:bCs/>
          <w:color w:val="5A5A5A"/>
          <w:sz w:val="22"/>
          <w:szCs w:val="22"/>
        </w:rPr>
        <w:t xml:space="preserve">Principle 3   </w:t>
      </w:r>
      <w:r>
        <w:rPr>
          <w:b/>
          <w:bCs/>
          <w:color w:val="1A1A1A"/>
          <w:sz w:val="22"/>
          <w:szCs w:val="22"/>
        </w:rPr>
        <w:t xml:space="preserve">Full life cycle — let it go to seed</w:t>
      </w:r>
    </w:p>
    <w:p>
      <w:pPr>
        <w:spacing w:after="140" w:line="276"/>
      </w:pPr>
      <w:r>
        <w:rPr>
          <w:color w:val="1A1A1A"/>
          <w:sz w:val="21"/>
          <w:szCs w:val="21"/>
        </w:rPr>
        <w:t xml:space="preserve">A paddock on full-season rest should run its complete cycle without intervention: grow up, flower, set seed, and hay off. This is what 'rank' means, and rank is the objective, not a problem. Letting it seed does two things: it drops locally produced seed back onto the paddock, and over many seasons it selects for the plants best suited to that exact soil and rainfall. It also lets the plants reach their fullest size and deepest root before any stock graze them. Over decades the paddock effectively reseeds and improves itself at no cost; the only input required is the discipline not to graze.</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Full-cycle completion → biggest plants and deepest roots that season → stronger, more resilient pasture; seed set → local reseeding; selection over generations → a pasture better matched to that country than anything bought in.</w:t>
      </w:r>
    </w:p>
    <w:p>
      <w:pPr>
        <w:pStyle w:val="Heading3"/>
        <w:spacing w:after="80" w:before="220"/>
      </w:pPr>
      <w:r>
        <w:rPr>
          <w:b/>
          <w:bCs/>
          <w:color w:val="5A5A5A"/>
          <w:sz w:val="22"/>
          <w:szCs w:val="22"/>
        </w:rPr>
        <w:t xml:space="preserve">Principle 4   </w:t>
      </w:r>
      <w:r>
        <w:rPr>
          <w:b/>
          <w:bCs/>
          <w:color w:val="1A1A1A"/>
          <w:sz w:val="22"/>
          <w:szCs w:val="22"/>
        </w:rPr>
        <w:t xml:space="preserve">Clear the rest block in the non-growing season only</w:t>
      </w:r>
    </w:p>
    <w:p>
      <w:pPr>
        <w:spacing w:after="140" w:line="276"/>
      </w:pPr>
      <w:r>
        <w:rPr>
          <w:color w:val="1A1A1A"/>
          <w:sz w:val="21"/>
          <w:szCs w:val="21"/>
        </w:rPr>
        <w:t xml:space="preserve">Once the growing season ends and the forage has browned off, animals can enter the rest block and use the accumulated feed. Rank forage is low in protein relative to its energy; a protein supplement lets stock process it efficiently and clear the block effectively. This is the correct tool for the job, not a workaround — it makes the rank forage usable, which makes the whole rest system commercially viable. The cleared block then enters the next growing season with a clean slate and responds vigorously to the first rain.</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Non-growing-season clearing removes rank material without disrupting the growing-season recovery; protein supplement enables efficient processing; clean slate drives strong fresh growth off the next rain.</w:t>
      </w:r>
    </w:p>
    <w:p>
      <w:pPr>
        <w:pStyle w:val="Heading3"/>
        <w:spacing w:after="80" w:before="220"/>
      </w:pPr>
      <w:r>
        <w:rPr>
          <w:b/>
          <w:bCs/>
          <w:color w:val="5A5A5A"/>
          <w:sz w:val="22"/>
          <w:szCs w:val="22"/>
        </w:rPr>
        <w:t xml:space="preserve">Principle 5   </w:t>
      </w:r>
      <w:r>
        <w:rPr>
          <w:b/>
          <w:bCs/>
          <w:color w:val="1A1A1A"/>
          <w:sz w:val="22"/>
          <w:szCs w:val="22"/>
        </w:rPr>
        <w:t xml:space="preserve">Rotate the rest block — 20–30% of the property per year</w:t>
      </w:r>
    </w:p>
    <w:p>
      <w:pPr>
        <w:spacing w:after="140" w:line="276"/>
      </w:pPr>
      <w:r>
        <w:rPr>
          <w:color w:val="1A1A1A"/>
          <w:sz w:val="21"/>
          <w:szCs w:val="21"/>
        </w:rPr>
        <w:t xml:space="preserve">Once the rotation has enough cells to carry the load while a meaningful area rests, the rest block becomes a rolling structural feature: roughly 20–30% of the property resting at any time, rotating so every paddock passes through at least one full-season rest every 3–4 years. 20% is a floor, not a ceiling — there is no downside to resting more, provided the whole property is defoliated at least annually (or every two years in extremely arid country) so rank material stays manageable and weeds do not establish uncontested.</w:t>
      </w:r>
    </w:p>
    <w:p>
      <w:pPr>
        <w:spacing w:after="140" w:line="276"/>
      </w:pPr>
      <w:r>
        <w:rPr>
          <w:color w:val="1A1A1A"/>
          <w:sz w:val="21"/>
          <w:szCs w:val="21"/>
        </w:rPr>
        <w:t xml:space="preserve">This resolves a real tension: 70–80% of the property is managed for palatability and production, 20–30% for long-term recovery, and the two coexist in one system because they rotate. Once established, the whole-property carrying capacity climbs year on year — each full-season rest leaves that paddock stronger, better reseeded, and more resilient than before, and the effect compounds across the property. Neighbours will attribute the productivity difference to rainfall.</w:t>
      </w:r>
    </w:p>
    <w:p>
      <w:pPr>
        <w:pBdr>
          <w:left w:val="single" w:color="2E5E3A" w:sz="18" w:space="12"/>
        </w:pBdr>
        <w:spacing w:after="200" w:line="264"/>
        <w:ind w:left="431"/>
      </w:pPr>
      <w:r>
        <w:rPr>
          <w:b/>
          <w:bCs/>
          <w:caps/>
          <w:color w:val="2E5E3A"/>
          <w:sz w:val="18"/>
          <w:szCs w:val="18"/>
        </w:rPr>
        <w:t xml:space="preserve">Mechanism  </w:t>
      </w:r>
      <w:r>
        <w:rPr>
          <w:i/>
          <w:iCs/>
          <w:color w:val="5A5A5A"/>
          <w:sz w:val="19"/>
          <w:szCs w:val="19"/>
        </w:rPr>
        <w:t xml:space="preserve">Individual rest events compound into a rising whole-property carrying capacity; 20–30% balances long-term recovery against current production; rotation gives every paddock a full-season rest on a 3–4 year minimum.</w:t>
      </w:r>
    </w:p>
    <w:p>
      <w:pPr>
        <w:spacing w:after="140" w:line="276"/>
      </w:pPr>
      <w:r>
        <w:rPr>
          <w:b/>
          <w:bCs/>
          <w:color w:val="1A1A1A"/>
          <w:sz w:val="21"/>
          <w:szCs w:val="21"/>
        </w:rPr>
        <w:t xml:space="preserve">Why this is Part 2, not a second Part 1. </w:t>
      </w:r>
      <w:r>
        <w:rPr>
          <w:color w:val="1A1A1A"/>
          <w:sz w:val="21"/>
          <w:szCs w:val="21"/>
        </w:rPr>
        <w:t xml:space="preserve">Rest is a consequence of the subdivision architecture: more cells means the rest block can be held without cutting the stocking rate. Part 1 creates the conditions that make Part 2 possible at commercial stocking rates. For a tool, this is the justification layer — the answer to 'why should I spend on this fence, in this order.'</w:t>
      </w:r>
    </w:p>
    <w:p>
      <w:r>
        <w:br w:type="page"/>
      </w:r>
    </w:p>
    <w:p>
      <w:pPr>
        <w:pStyle w:val="Heading2"/>
        <w:spacing w:after="120" w:before="260"/>
      </w:pPr>
      <w:r>
        <w:rPr>
          <w:b/>
          <w:bCs/>
          <w:color w:val="2E5E3A"/>
          <w:sz w:val="26"/>
          <w:szCs w:val="26"/>
        </w:rPr>
        <w:t xml:space="preserve">Design constraints for the prototype</w:t>
      </w:r>
    </w:p>
    <w:p>
      <w:pPr>
        <w:spacing w:after="140" w:line="276"/>
      </w:pPr>
      <w:r>
        <w:rPr>
          <w:color w:val="1A1A1A"/>
          <w:sz w:val="21"/>
          <w:szCs w:val="21"/>
        </w:rPr>
        <w:t xml:space="preserve">These translate the guide into boundaries for whoever builds the tool in Claude Design. They are not features — they are the lines the tool must not cross, and the ambiguities it must resolve consciously rather than by accident.</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Surface, don't prescribe  </w:t>
      </w:r>
      <w:r>
        <w:rPr>
          <w:color w:val="1A1A1A"/>
          <w:sz w:val="19"/>
          <w:szCs w:val="19"/>
        </w:rPr>
        <w:t xml:space="preserve">The source is explicit: these are principles, not instructions, and the implementation belongs to the grazier. A tool that ingests a heat map and emits a fixed subdivision-and-rest plan quietly crosses that line. The prototype should make the productivity gradient and the sequencing logic visible and let the grazier order their own country against it — the design decision is how much the tool recommends versus how much it reveals. Decide this deliberately; do not let it drift.</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Order is the invariant, pace is the variable  </w:t>
      </w:r>
      <w:r>
        <w:rPr>
          <w:color w:val="1A1A1A"/>
          <w:sz w:val="19"/>
          <w:szCs w:val="19"/>
        </w:rPr>
        <w:t xml:space="preserve">The sequence (hottest → mid-range → coldest) does not change; the speed does, driven by capital, labour, and forage base. The tool should hard-code the order and expose pace as a user-controlled input, not the other way round.</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The heat map is the input, not decoration  </w:t>
      </w:r>
      <w:r>
        <w:rPr>
          <w:color w:val="1A1A1A"/>
          <w:sz w:val="19"/>
          <w:szCs w:val="19"/>
        </w:rPr>
        <w:t xml:space="preserve">Every recommendation is a function of where a paddock sits on the productivity gradient. If the tool cannot ingest or approximate that gradient, it has no basis for sequencing. The heat map is the primary data object, not a background image.</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Cell count is the lever the user actually pulls  </w:t>
      </w:r>
      <w:r>
        <w:rPr>
          <w:color w:val="1A1A1A"/>
          <w:sz w:val="19"/>
          <w:szCs w:val="19"/>
        </w:rPr>
        <w:t xml:space="preserve">Rest-period length, carrying capacity, and long-term productivity gain are all downstream of cell count at a fixed stocking rate. Model cell count as the central manipulable variable and show the 60–120+ day rest target as the thing it is steering toward.</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Show the return, or the spend looks arbitrary  </w:t>
      </w:r>
      <w:r>
        <w:rPr>
          <w:color w:val="1A1A1A"/>
          <w:sz w:val="19"/>
          <w:szCs w:val="19"/>
        </w:rPr>
        <w:t xml:space="preserve">The rest logic (Part 2) is the justification for the infrastructure sequence (Part 1). A tool that shows only where fences go, without why, gives the user no reason to accept the counterintuitive order. Pair every sequencing recommendation with the return it unlocks.</w:t>
      </w:r>
    </w:p>
    <w:p>
      <w:pPr>
        <w:pBdr>
          <w:top w:val="single" w:color="8A5A00" w:sz="4" w:space="8"/>
          <w:bottom w:val="single" w:color="8A5A00" w:sz="4" w:space="8"/>
          <w:left w:val="single" w:color="8A5A00" w:sz="18" w:space="12"/>
          <w:right w:val="single" w:color="8A5A00" w:sz="4" w:space="8"/>
        </w:pBdr>
        <w:spacing w:after="160" w:before="120" w:line="264"/>
        <w:ind w:left="360" w:right="215"/>
      </w:pPr>
      <w:r>
        <w:rPr>
          <w:b/>
          <w:bCs/>
          <w:caps/>
          <w:color w:val="8A5A00"/>
          <w:sz w:val="18"/>
          <w:szCs w:val="18"/>
        </w:rPr>
        <w:t xml:space="preserve">Confidence and country vary  </w:t>
      </w:r>
      <w:r>
        <w:rPr>
          <w:color w:val="1A1A1A"/>
          <w:sz w:val="19"/>
          <w:szCs w:val="19"/>
        </w:rPr>
        <w:t xml:space="preserve">Timelines here are indicative (fast signal 1–3 yrs, durable signal 5–10 yrs; rest every 3–4 yrs; 20–30% rolling block). Arid country shifts these materially. The tool should treat these as parameters keyed to environment, not fixed constants, and should be honest about where the underlying evidence is strong versus contextual.</w:t>
      </w:r>
    </w:p>
    <w:p>
      <w:pPr>
        <w:pBdr>
          <w:bottom w:val="single" w:color="2E5E3A" w:sz="6"/>
        </w:pBdr>
        <w:spacing w:after="160" w:before="80"/>
      </w:pPr>
    </w:p>
    <w:p>
      <w:pPr>
        <w:spacing w:before="120"/>
      </w:pPr>
      <w:r>
        <w:rPr>
          <w:i/>
          <w:iCs/>
          <w:color w:val="5A5A5A"/>
          <w:sz w:val="16"/>
          <w:szCs w:val="16"/>
        </w:rPr>
        <w:t xml:space="preserve">Source: paddock_planning_principles.docx (Horizon — Management Science Layer). This guide re-sequences that material as design input and deliberately abstracts out the underlying soil-carbon and biological detail, expressing the rules in productivity and forage terms. It introduces no new agronomic claims; refer to the source for the full scientific rationale.</w:t>
      </w:r>
    </w:p>
    <w:sectPr>
      <w:headerReference w:type="default" r:id="rId7"/>
      <w:footerReference w:type="default" r:id="rId8"/>
      <w:pgSz w:w="11906" w:h="16838" w:orient="portrait"/>
      <w:pgMar w:top="144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AgriProve Pty Ltd · Confidential · Foundational guide — input to prototype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aps/>
        <w:color w:val="5A5A5A"/>
        <w:sz w:val="15"/>
        <w:szCs w:val="15"/>
      </w:rPr>
      <w:t xml:space="preserve">Horizon · Management Science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2E5E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Planning Principles</dc:title>
  <dc:creator>AgriProve — Horizon Management Science Layer</dc:creator>
  <cp:lastModifiedBy>Un-named</cp:lastModifiedBy>
  <cp:revision>1</cp:revision>
  <dcterms:created xsi:type="dcterms:W3CDTF">2026-07-08T07:17:15.202Z</dcterms:created>
  <dcterms:modified xsi:type="dcterms:W3CDTF">2026-07-08T07:17:15.203Z</dcterms:modified>
</cp:coreProperties>
</file>

<file path=docProps/custom.xml><?xml version="1.0" encoding="utf-8"?>
<Properties xmlns="http://schemas.openxmlformats.org/officeDocument/2006/custom-properties" xmlns:vt="http://schemas.openxmlformats.org/officeDocument/2006/docPropsVTypes"/>
</file>