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D952" w14:textId="339B80AC" w:rsidR="00F43DCA" w:rsidRPr="00F43DCA" w:rsidRDefault="00F43DCA" w:rsidP="00F43DCA">
      <w:pPr>
        <w:jc w:val="center"/>
        <w:rPr>
          <w:rFonts w:ascii="Calibri" w:eastAsia="Calibri" w:hAnsi="Calibri" w:cs="Calibri"/>
          <w:kern w:val="0"/>
          <w:sz w:val="42"/>
          <w:szCs w:val="42"/>
          <w:lang w:val="en-US" w:eastAsia="ja-JP"/>
          <w14:ligatures w14:val="none"/>
        </w:rPr>
      </w:pPr>
      <w:r w:rsidRPr="00F43DCA">
        <w:rPr>
          <w:rFonts w:ascii="Aptos" w:eastAsia="Times New Roman" w:hAnsi="Aptos" w:cs="Arial"/>
          <w:noProof/>
          <w:kern w:val="0"/>
          <w:lang w:val="en-US" w:eastAsia="ja-JP"/>
          <w14:ligatures w14:val="none"/>
        </w:rPr>
        <w:drawing>
          <wp:inline distT="0" distB="0" distL="0" distR="0" wp14:anchorId="2599618A" wp14:editId="083FACA0">
            <wp:extent cx="3154680" cy="1996440"/>
            <wp:effectExtent l="0" t="0" r="7620" b="3810"/>
            <wp:docPr id="5"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8556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4680" cy="1996440"/>
                    </a:xfrm>
                    <a:prstGeom prst="rect">
                      <a:avLst/>
                    </a:prstGeom>
                    <a:noFill/>
                    <a:ln>
                      <a:noFill/>
                    </a:ln>
                  </pic:spPr>
                </pic:pic>
              </a:graphicData>
            </a:graphic>
          </wp:inline>
        </w:drawing>
      </w:r>
      <w:r w:rsidRPr="00F43DCA">
        <w:rPr>
          <w:rFonts w:ascii="Aptos" w:eastAsia="Times New Roman" w:hAnsi="Aptos" w:cs="Arial"/>
          <w:kern w:val="0"/>
          <w:lang w:val="en-US" w:eastAsia="ja-JP"/>
          <w14:ligatures w14:val="none"/>
        </w:rPr>
        <w:br/>
      </w:r>
      <w:r w:rsidRPr="00F43DCA">
        <w:rPr>
          <w:rFonts w:ascii="Calibri" w:eastAsia="Calibri" w:hAnsi="Calibri" w:cs="Calibri"/>
          <w:kern w:val="0"/>
          <w:sz w:val="42"/>
          <w:szCs w:val="42"/>
          <w:lang w:val="en-US" w:eastAsia="ja-JP"/>
          <w14:ligatures w14:val="none"/>
        </w:rPr>
        <w:t>UNIVERSITY OF HERTFORDSHIRE</w:t>
      </w:r>
      <w:r w:rsidRPr="00F43DCA">
        <w:rPr>
          <w:rFonts w:ascii="Aptos" w:eastAsia="Times New Roman" w:hAnsi="Aptos" w:cs="Arial"/>
          <w:kern w:val="0"/>
          <w:lang w:val="en-US" w:eastAsia="ja-JP"/>
          <w14:ligatures w14:val="none"/>
        </w:rPr>
        <w:br/>
      </w:r>
      <w:r w:rsidRPr="00F43DCA">
        <w:rPr>
          <w:rFonts w:ascii="Calibri" w:eastAsia="Calibri" w:hAnsi="Calibri" w:cs="Calibri"/>
          <w:kern w:val="0"/>
          <w:sz w:val="42"/>
          <w:szCs w:val="42"/>
          <w:lang w:val="en-US" w:eastAsia="ja-JP"/>
          <w14:ligatures w14:val="none"/>
        </w:rPr>
        <w:t>School of Physics, Engineering and Computer Science</w:t>
      </w:r>
    </w:p>
    <w:p w14:paraId="49AFC24E" w14:textId="3709C577" w:rsidR="00F43DCA" w:rsidRPr="00F43DCA" w:rsidRDefault="00F43DCA" w:rsidP="00F43DCA">
      <w:pPr>
        <w:spacing w:after="160"/>
        <w:jc w:val="center"/>
        <w:rPr>
          <w:rFonts w:ascii="Calibri" w:eastAsia="Calibri" w:hAnsi="Calibri" w:cs="Calibri"/>
          <w:kern w:val="0"/>
          <w:sz w:val="31"/>
          <w:szCs w:val="31"/>
          <w:lang w:val="en-US" w:eastAsia="ja-JP"/>
          <w14:ligatures w14:val="none"/>
        </w:rPr>
      </w:pPr>
      <w:r w:rsidRPr="00F43DCA">
        <w:rPr>
          <w:rFonts w:ascii="Aptos" w:eastAsia="Times New Roman" w:hAnsi="Aptos" w:cs="Arial"/>
          <w:kern w:val="0"/>
          <w:lang w:val="en-US" w:eastAsia="ja-JP"/>
          <w14:ligatures w14:val="none"/>
        </w:rPr>
        <w:br/>
      </w:r>
      <w:r w:rsidRPr="00F43DCA">
        <w:rPr>
          <w:rFonts w:ascii="Calibri" w:eastAsia="Calibri" w:hAnsi="Calibri" w:cs="Calibri"/>
          <w:kern w:val="0"/>
          <w:sz w:val="32"/>
          <w:szCs w:val="32"/>
          <w:lang w:val="en-US" w:eastAsia="ja-JP"/>
          <w14:ligatures w14:val="none"/>
        </w:rPr>
        <w:t>MSc Computer Science with Cyber Security (Online)</w:t>
      </w:r>
      <w:r w:rsidRPr="00F43DCA">
        <w:rPr>
          <w:rFonts w:ascii="Aptos" w:eastAsia="Times New Roman" w:hAnsi="Aptos" w:cs="Arial"/>
          <w:kern w:val="0"/>
          <w:sz w:val="20"/>
          <w:szCs w:val="20"/>
          <w:lang w:val="en-US" w:eastAsia="ja-JP"/>
          <w14:ligatures w14:val="none"/>
        </w:rPr>
        <w:br/>
      </w:r>
      <w:r w:rsidRPr="00F43DCA">
        <w:rPr>
          <w:rFonts w:ascii="Calibri" w:eastAsia="Calibri" w:hAnsi="Calibri" w:cs="Calibri"/>
          <w:kern w:val="0"/>
          <w:sz w:val="28"/>
          <w:szCs w:val="28"/>
          <w:lang w:val="en-US" w:eastAsia="ja-JP"/>
          <w14:ligatures w14:val="none"/>
        </w:rPr>
        <w:t>7WCM2038-0501-2025</w:t>
      </w:r>
      <w:r w:rsidRPr="00F43DCA">
        <w:rPr>
          <w:rFonts w:ascii="Calibri" w:eastAsia="Calibri" w:hAnsi="Calibri" w:cs="Calibri"/>
          <w:kern w:val="0"/>
          <w:sz w:val="28"/>
          <w:szCs w:val="28"/>
          <w:lang w:val="en-US" w:eastAsia="ja-JP"/>
          <w14:ligatures w14:val="none"/>
        </w:rPr>
        <w:t xml:space="preserve"> - </w:t>
      </w:r>
      <w:r w:rsidRPr="00F43DCA">
        <w:rPr>
          <w:rFonts w:ascii="Calibri" w:eastAsia="Calibri" w:hAnsi="Calibri" w:cs="Calibri"/>
          <w:kern w:val="0"/>
          <w:sz w:val="28"/>
          <w:szCs w:val="28"/>
          <w:lang w:val="en-US" w:eastAsia="ja-JP"/>
          <w14:ligatures w14:val="none"/>
        </w:rPr>
        <w:t>APPLIED RESEARCH PROJECT (COMPUTER SCIENCE)</w:t>
      </w:r>
      <w:r w:rsidRPr="00F43DCA">
        <w:rPr>
          <w:rFonts w:ascii="Aptos" w:eastAsia="Times New Roman" w:hAnsi="Aptos" w:cs="Arial"/>
          <w:kern w:val="0"/>
          <w:sz w:val="20"/>
          <w:szCs w:val="20"/>
          <w:lang w:val="en-US" w:eastAsia="ja-JP"/>
          <w14:ligatures w14:val="none"/>
        </w:rPr>
        <w:br/>
      </w:r>
      <w:r w:rsidRPr="00F43DCA">
        <w:rPr>
          <w:rFonts w:ascii="Calibri" w:eastAsia="Calibri" w:hAnsi="Calibri" w:cs="Calibri"/>
          <w:kern w:val="0"/>
          <w:lang w:val="en-US" w:eastAsia="ja-JP"/>
          <w14:ligatures w14:val="none"/>
        </w:rPr>
        <w:t>January 2027</w:t>
      </w:r>
    </w:p>
    <w:p w14:paraId="354AAA6A" w14:textId="77777777" w:rsidR="00F43DCA" w:rsidRPr="00F43DCA" w:rsidRDefault="00F43DCA" w:rsidP="00F43DCA">
      <w:pPr>
        <w:spacing w:after="160"/>
        <w:jc w:val="center"/>
        <w:rPr>
          <w:rFonts w:ascii="Calibri" w:eastAsia="Calibri" w:hAnsi="Calibri" w:cs="Calibri"/>
          <w:kern w:val="0"/>
          <w:sz w:val="44"/>
          <w:szCs w:val="44"/>
          <w:lang w:val="en-US" w:eastAsia="ja-JP"/>
          <w14:ligatures w14:val="none"/>
        </w:rPr>
      </w:pPr>
      <w:r w:rsidRPr="00F43DCA">
        <w:rPr>
          <w:rFonts w:ascii="Aptos" w:eastAsia="Times New Roman" w:hAnsi="Aptos" w:cs="Arial"/>
          <w:kern w:val="0"/>
          <w:lang w:val="en-US" w:eastAsia="ja-JP"/>
          <w14:ligatures w14:val="none"/>
        </w:rPr>
        <w:br/>
      </w:r>
      <w:r w:rsidRPr="00F43DCA">
        <w:rPr>
          <w:rFonts w:ascii="Calibri" w:eastAsia="Calibri" w:hAnsi="Calibri" w:cs="Calibri"/>
          <w:kern w:val="0"/>
          <w:sz w:val="44"/>
          <w:szCs w:val="44"/>
          <w:lang w:val="en-US" w:eastAsia="ja-JP"/>
          <w14:ligatures w14:val="none"/>
        </w:rPr>
        <w:t>Assessing the Feasibility of</w:t>
      </w:r>
    </w:p>
    <w:p w14:paraId="0C787B6E" w14:textId="77777777" w:rsidR="00F43DCA" w:rsidRPr="00F43DCA" w:rsidRDefault="00F43DCA" w:rsidP="00F43DCA">
      <w:pPr>
        <w:spacing w:after="160"/>
        <w:jc w:val="center"/>
        <w:rPr>
          <w:rFonts w:ascii="Calibri" w:eastAsia="Calibri" w:hAnsi="Calibri" w:cs="Calibri"/>
          <w:kern w:val="0"/>
          <w:sz w:val="44"/>
          <w:szCs w:val="44"/>
          <w:lang w:val="en-US" w:eastAsia="ja-JP"/>
          <w14:ligatures w14:val="none"/>
        </w:rPr>
      </w:pPr>
      <w:r w:rsidRPr="00F43DCA">
        <w:rPr>
          <w:rFonts w:ascii="Calibri" w:eastAsia="Calibri" w:hAnsi="Calibri" w:cs="Calibri"/>
          <w:kern w:val="0"/>
          <w:sz w:val="44"/>
          <w:szCs w:val="44"/>
          <w:lang w:val="en-US" w:eastAsia="ja-JP"/>
          <w14:ligatures w14:val="none"/>
        </w:rPr>
        <w:t>Autonomous Large Language</w:t>
      </w:r>
    </w:p>
    <w:p w14:paraId="0523D30D" w14:textId="77777777" w:rsidR="00F43DCA" w:rsidRPr="00F43DCA" w:rsidRDefault="00F43DCA" w:rsidP="00F43DCA">
      <w:pPr>
        <w:spacing w:after="160"/>
        <w:jc w:val="center"/>
        <w:rPr>
          <w:rFonts w:ascii="Calibri" w:eastAsia="Calibri" w:hAnsi="Calibri" w:cs="Calibri"/>
          <w:kern w:val="0"/>
          <w:sz w:val="44"/>
          <w:szCs w:val="44"/>
          <w:lang w:val="en-US" w:eastAsia="ja-JP"/>
          <w14:ligatures w14:val="none"/>
        </w:rPr>
      </w:pPr>
      <w:r w:rsidRPr="00F43DCA">
        <w:rPr>
          <w:rFonts w:ascii="Calibri" w:eastAsia="Calibri" w:hAnsi="Calibri" w:cs="Calibri"/>
          <w:kern w:val="0"/>
          <w:sz w:val="44"/>
          <w:szCs w:val="44"/>
          <w:lang w:val="en-US" w:eastAsia="ja-JP"/>
          <w14:ligatures w14:val="none"/>
        </w:rPr>
        <w:t>Models for Security Incident</w:t>
      </w:r>
    </w:p>
    <w:p w14:paraId="4A645404" w14:textId="77777777" w:rsidR="00F43DCA" w:rsidRPr="00F43DCA" w:rsidRDefault="00F43DCA" w:rsidP="00F43DCA">
      <w:pPr>
        <w:spacing w:after="160"/>
        <w:jc w:val="center"/>
        <w:rPr>
          <w:rFonts w:ascii="Calibri" w:eastAsia="Calibri" w:hAnsi="Calibri" w:cs="Calibri"/>
          <w:kern w:val="0"/>
          <w:sz w:val="44"/>
          <w:szCs w:val="44"/>
          <w:lang w:val="en-US" w:eastAsia="ja-JP"/>
          <w14:ligatures w14:val="none"/>
        </w:rPr>
      </w:pPr>
      <w:r w:rsidRPr="00F43DCA">
        <w:rPr>
          <w:rFonts w:ascii="Calibri" w:eastAsia="Calibri" w:hAnsi="Calibri" w:cs="Calibri"/>
          <w:kern w:val="0"/>
          <w:sz w:val="44"/>
          <w:szCs w:val="44"/>
          <w:lang w:val="en-US" w:eastAsia="ja-JP"/>
          <w14:ligatures w14:val="none"/>
        </w:rPr>
        <w:t>Investigation Using Wazuh and</w:t>
      </w:r>
    </w:p>
    <w:p w14:paraId="76BE07EB" w14:textId="05F8036F" w:rsidR="00F43DCA" w:rsidRPr="00F43DCA" w:rsidRDefault="00F43DCA" w:rsidP="00F43DCA">
      <w:pPr>
        <w:spacing w:after="160"/>
        <w:jc w:val="center"/>
        <w:rPr>
          <w:rFonts w:ascii="Calibri" w:eastAsia="Calibri" w:hAnsi="Calibri" w:cs="Calibri"/>
          <w:kern w:val="0"/>
          <w:sz w:val="44"/>
          <w:szCs w:val="44"/>
          <w:lang w:val="en-US" w:eastAsia="ja-JP"/>
          <w14:ligatures w14:val="none"/>
        </w:rPr>
      </w:pPr>
      <w:r w:rsidRPr="00F43DCA">
        <w:rPr>
          <w:rFonts w:ascii="Calibri" w:eastAsia="Calibri" w:hAnsi="Calibri" w:cs="Calibri"/>
          <w:kern w:val="0"/>
          <w:sz w:val="44"/>
          <w:szCs w:val="44"/>
          <w:lang w:val="en-US" w:eastAsia="ja-JP"/>
          <w14:ligatures w14:val="none"/>
        </w:rPr>
        <w:t>Sysmon Evidence</w:t>
      </w:r>
    </w:p>
    <w:p w14:paraId="6083DDB6" w14:textId="77777777" w:rsidR="00F43DCA" w:rsidRDefault="00F43DCA" w:rsidP="00F43DCA">
      <w:pPr>
        <w:spacing w:after="160"/>
        <w:rPr>
          <w:rFonts w:ascii="Aptos" w:eastAsia="Times New Roman" w:hAnsi="Aptos" w:cs="Arial"/>
          <w:kern w:val="0"/>
          <w:lang w:val="en-US" w:eastAsia="ja-JP"/>
          <w14:ligatures w14:val="none"/>
        </w:rPr>
      </w:pPr>
    </w:p>
    <w:p w14:paraId="0CECA9B6" w14:textId="7A4B738D" w:rsidR="00F43DCA" w:rsidRPr="00F43DCA" w:rsidRDefault="00F43DCA" w:rsidP="00F43DCA">
      <w:pPr>
        <w:spacing w:after="160"/>
        <w:rPr>
          <w:rFonts w:ascii="Calibri" w:eastAsia="Calibri" w:hAnsi="Calibri" w:cs="Calibri"/>
          <w:kern w:val="0"/>
          <w:sz w:val="36"/>
          <w:szCs w:val="36"/>
          <w:lang w:val="en-US" w:eastAsia="ja-JP"/>
          <w14:ligatures w14:val="none"/>
        </w:rPr>
      </w:pPr>
      <w:r w:rsidRPr="00F43DCA">
        <w:rPr>
          <w:rFonts w:ascii="Aptos" w:eastAsia="Times New Roman" w:hAnsi="Aptos" w:cs="Arial"/>
          <w:kern w:val="0"/>
          <w:lang w:val="en-US" w:eastAsia="ja-JP"/>
          <w14:ligatures w14:val="none"/>
        </w:rPr>
        <w:br/>
      </w:r>
      <w:r w:rsidRPr="00F43DCA">
        <w:rPr>
          <w:rFonts w:ascii="Calibri" w:eastAsia="Calibri" w:hAnsi="Calibri" w:cs="Calibri"/>
          <w:kern w:val="0"/>
          <w:sz w:val="36"/>
          <w:szCs w:val="36"/>
          <w:lang w:val="en-US" w:eastAsia="ja-JP"/>
          <w14:ligatures w14:val="none"/>
        </w:rPr>
        <w:t>Name:</w:t>
      </w:r>
      <w:r>
        <w:rPr>
          <w:rFonts w:ascii="Calibri" w:eastAsia="Calibri" w:hAnsi="Calibri" w:cs="Calibri"/>
          <w:kern w:val="0"/>
          <w:sz w:val="36"/>
          <w:szCs w:val="36"/>
          <w:lang w:val="en-US" w:eastAsia="ja-JP"/>
          <w14:ligatures w14:val="none"/>
        </w:rPr>
        <w:t xml:space="preserve"> Mr. Darragh Casey</w:t>
      </w:r>
      <w:r w:rsidRPr="00F43DCA">
        <w:rPr>
          <w:rFonts w:ascii="Aptos" w:eastAsia="Times New Roman" w:hAnsi="Aptos" w:cs="Arial"/>
          <w:kern w:val="0"/>
          <w:lang w:val="en-US" w:eastAsia="ja-JP"/>
          <w14:ligatures w14:val="none"/>
        </w:rPr>
        <w:br/>
      </w:r>
      <w:r w:rsidRPr="00F43DCA">
        <w:rPr>
          <w:rFonts w:ascii="Calibri" w:eastAsia="Calibri" w:hAnsi="Calibri" w:cs="Calibri"/>
          <w:kern w:val="0"/>
          <w:sz w:val="36"/>
          <w:szCs w:val="36"/>
          <w:lang w:val="en-US" w:eastAsia="ja-JP"/>
          <w14:ligatures w14:val="none"/>
        </w:rPr>
        <w:t>Student ID:</w:t>
      </w:r>
      <w:r>
        <w:rPr>
          <w:rFonts w:ascii="Calibri" w:eastAsia="Calibri" w:hAnsi="Calibri" w:cs="Calibri"/>
          <w:kern w:val="0"/>
          <w:sz w:val="36"/>
          <w:szCs w:val="36"/>
          <w:lang w:val="en-US" w:eastAsia="ja-JP"/>
          <w14:ligatures w14:val="none"/>
        </w:rPr>
        <w:t xml:space="preserve"> </w:t>
      </w:r>
      <w:r w:rsidRPr="00F43DCA">
        <w:rPr>
          <w:rFonts w:ascii="Calibri" w:eastAsia="Calibri" w:hAnsi="Calibri" w:cs="Calibri"/>
          <w:kern w:val="0"/>
          <w:sz w:val="36"/>
          <w:szCs w:val="36"/>
          <w:lang w:val="en-US" w:eastAsia="ja-JP"/>
          <w14:ligatures w14:val="none"/>
        </w:rPr>
        <w:t>24095170</w:t>
      </w:r>
      <w:r w:rsidRPr="00F43DCA">
        <w:rPr>
          <w:rFonts w:ascii="Aptos" w:eastAsia="Times New Roman" w:hAnsi="Aptos" w:cs="Arial"/>
          <w:kern w:val="0"/>
          <w:lang w:val="en-US" w:eastAsia="ja-JP"/>
          <w14:ligatures w14:val="none"/>
        </w:rPr>
        <w:br/>
      </w:r>
      <w:r w:rsidRPr="00F43DCA">
        <w:rPr>
          <w:rFonts w:ascii="Calibri" w:eastAsia="Calibri" w:hAnsi="Calibri" w:cs="Calibri"/>
          <w:kern w:val="0"/>
          <w:sz w:val="36"/>
          <w:szCs w:val="36"/>
          <w:lang w:val="en-US" w:eastAsia="ja-JP"/>
          <w14:ligatures w14:val="none"/>
        </w:rPr>
        <w:t xml:space="preserve">Supervisor: </w:t>
      </w:r>
      <w:r>
        <w:rPr>
          <w:rFonts w:ascii="Calibri" w:eastAsia="Calibri" w:hAnsi="Calibri" w:cs="Calibri"/>
          <w:kern w:val="0"/>
          <w:sz w:val="36"/>
          <w:szCs w:val="36"/>
          <w:lang w:val="en-US" w:eastAsia="ja-JP"/>
          <w14:ligatures w14:val="none"/>
        </w:rPr>
        <w:t>Mrs. Maryjane Betrand</w:t>
      </w:r>
    </w:p>
    <w:tbl>
      <w:tblPr>
        <w:tblW w:w="9178" w:type="dxa"/>
        <w:tblInd w:w="568" w:type="dxa"/>
        <w:tblLayout w:type="fixed"/>
        <w:tblLook w:val="04A0" w:firstRow="1" w:lastRow="0" w:firstColumn="1" w:lastColumn="0" w:noHBand="0" w:noVBand="1"/>
      </w:tblPr>
      <w:tblGrid>
        <w:gridCol w:w="8109"/>
        <w:gridCol w:w="1069"/>
      </w:tblGrid>
      <w:tr w:rsidR="00A95F28" w:rsidRPr="00543574" w14:paraId="247BBFA2" w14:textId="77777777" w:rsidTr="00AE75EA">
        <w:trPr>
          <w:trHeight w:val="397"/>
        </w:trPr>
        <w:tc>
          <w:tcPr>
            <w:tcW w:w="8109" w:type="dxa"/>
            <w:tcBorders>
              <w:bottom w:val="single" w:sz="8" w:space="0" w:color="0A2B5E"/>
            </w:tcBorders>
            <w:tcMar>
              <w:top w:w="0" w:type="dxa"/>
              <w:left w:w="0" w:type="dxa"/>
              <w:bottom w:w="0" w:type="dxa"/>
              <w:right w:w="0" w:type="dxa"/>
            </w:tcMar>
            <w:vAlign w:val="center"/>
          </w:tcPr>
          <w:p w14:paraId="3D232338" w14:textId="70600D02" w:rsidR="00A95F28" w:rsidRPr="00543574" w:rsidRDefault="00A95F28" w:rsidP="00AE75EA">
            <w:pPr>
              <w:spacing w:after="0"/>
              <w:jc w:val="center"/>
              <w:rPr>
                <w:rFonts w:ascii="Calibri" w:hAnsi="Calibri" w:cs="Calibri"/>
              </w:rPr>
            </w:pPr>
            <w:r w:rsidRPr="00543574">
              <w:rPr>
                <w:rFonts w:ascii="Calibri" w:eastAsia="Georgia" w:hAnsi="Calibri" w:cs="Calibri"/>
                <w:b/>
                <w:color w:val="0A2B5E"/>
                <w:sz w:val="48"/>
              </w:rPr>
              <w:lastRenderedPageBreak/>
              <w:t>Contents</w:t>
            </w:r>
          </w:p>
        </w:tc>
        <w:tc>
          <w:tcPr>
            <w:tcW w:w="1069" w:type="dxa"/>
            <w:tcMar>
              <w:top w:w="0" w:type="dxa"/>
              <w:left w:w="0" w:type="dxa"/>
              <w:bottom w:w="0" w:type="dxa"/>
              <w:right w:w="0" w:type="dxa"/>
            </w:tcMar>
            <w:vAlign w:val="center"/>
          </w:tcPr>
          <w:p w14:paraId="080AE18E" w14:textId="77777777" w:rsidR="00A95F28" w:rsidRPr="00543574" w:rsidRDefault="00A95F28" w:rsidP="00AE75EA">
            <w:pPr>
              <w:spacing w:after="0"/>
              <w:rPr>
                <w:rFonts w:ascii="Calibri" w:hAnsi="Calibri" w:cs="Calibri"/>
              </w:rPr>
            </w:pPr>
          </w:p>
        </w:tc>
      </w:tr>
    </w:tbl>
    <w:p w14:paraId="11C355E6" w14:textId="77777777" w:rsidR="00A95F28" w:rsidRPr="00543574" w:rsidRDefault="00A95F28" w:rsidP="00A95F28">
      <w:pPr>
        <w:spacing w:after="80" w:line="240" w:lineRule="auto"/>
        <w:rPr>
          <w:rFonts w:ascii="Calibri" w:hAnsi="Calibri" w:cs="Calibri"/>
        </w:rPr>
      </w:pPr>
    </w:p>
    <w:p w14:paraId="0DC30D15" w14:textId="77777777" w:rsidR="00A95F28" w:rsidRPr="00543574" w:rsidRDefault="00A95F28" w:rsidP="00A95F28">
      <w:pPr>
        <w:spacing w:before="40" w:after="100" w:line="252" w:lineRule="auto"/>
        <w:ind w:left="144"/>
        <w:rPr>
          <w:rFonts w:ascii="Calibri" w:hAnsi="Calibri" w:cs="Calibri"/>
        </w:rPr>
      </w:pPr>
      <w:r w:rsidRPr="00543574">
        <w:rPr>
          <w:rFonts w:ascii="Calibri" w:eastAsia="Georgia" w:hAnsi="Calibri" w:cs="Calibri"/>
          <w:b/>
          <w:color w:val="0A2B5E"/>
          <w:sz w:val="23"/>
        </w:rPr>
        <w:t>Abstract</w:t>
      </w:r>
    </w:p>
    <w:p w14:paraId="0ED99EC5"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1. Introduction</w:t>
      </w:r>
    </w:p>
    <w:p w14:paraId="4DACB1A0"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1.1 Background</w:t>
      </w:r>
    </w:p>
    <w:p w14:paraId="75271A98"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1.2 Problem Statement</w:t>
      </w:r>
    </w:p>
    <w:p w14:paraId="78342064"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1.3 Project Aim</w:t>
      </w:r>
    </w:p>
    <w:p w14:paraId="02CBA12E"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1.4 Objectives</w:t>
      </w:r>
    </w:p>
    <w:p w14:paraId="58F31722"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1.5 Research Questions</w:t>
      </w:r>
    </w:p>
    <w:p w14:paraId="00CB60C1"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1.6 Project Scope</w:t>
      </w:r>
    </w:p>
    <w:p w14:paraId="154B77B9"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2. Literature Review</w:t>
      </w:r>
    </w:p>
    <w:p w14:paraId="0B3CC31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2.1 Artificial Intelligence and LLMs in SOCs</w:t>
      </w:r>
    </w:p>
    <w:p w14:paraId="3515D26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2.2 Human-Assisted and Autonomous LLM Investigation</w:t>
      </w:r>
    </w:p>
    <w:p w14:paraId="2136086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2.3 LLM Limitations in Security Investigation</w:t>
      </w:r>
    </w:p>
    <w:p w14:paraId="30ED627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2.4 Wazuh and Sysmon as Security Evidence Sources</w:t>
      </w:r>
    </w:p>
    <w:p w14:paraId="1DE69DC0"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2.5 Ground Truth and Evaluation of LLM Performance</w:t>
      </w:r>
    </w:p>
    <w:p w14:paraId="333E80E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2.6 Research Gap</w:t>
      </w:r>
    </w:p>
    <w:p w14:paraId="7FE46F00"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3. Methodology and Project Design</w:t>
      </w:r>
    </w:p>
    <w:p w14:paraId="7983615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3.1 Research Approach</w:t>
      </w:r>
    </w:p>
    <w:p w14:paraId="40399B3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3.2 Experimental Design</w:t>
      </w:r>
    </w:p>
    <w:p w14:paraId="7D04AD1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3.3 Security Lab Architecture</w:t>
      </w:r>
    </w:p>
    <w:p w14:paraId="37719EA7"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3.4 Attack Scenario Selection</w:t>
      </w:r>
    </w:p>
    <w:p w14:paraId="1CE04F3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3.5 Evidence Collection</w:t>
      </w:r>
    </w:p>
    <w:p w14:paraId="644B2BE5"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3.6 Ground Truth Creation</w:t>
      </w:r>
    </w:p>
    <w:p w14:paraId="32DFDE4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3.7 LLM Investigation Process</w:t>
      </w:r>
    </w:p>
    <w:p w14:paraId="515E83A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3.8 Controlled Variables</w:t>
      </w:r>
    </w:p>
    <w:p w14:paraId="31EDC3A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3.9 Evaluation Framework</w:t>
      </w:r>
    </w:p>
    <w:p w14:paraId="09770482"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3.10 Ethical Considerations</w:t>
      </w:r>
    </w:p>
    <w:p w14:paraId="35F49CDC"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4. Implementation</w:t>
      </w:r>
    </w:p>
    <w:p w14:paraId="04326F27"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4.1 Virtual Environment Setup</w:t>
      </w:r>
    </w:p>
    <w:p w14:paraId="1DDEECB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4.2 Wazuh Configuration</w:t>
      </w:r>
    </w:p>
    <w:p w14:paraId="0C2C994E"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4.3 Sysmon Configuration</w:t>
      </w:r>
    </w:p>
    <w:p w14:paraId="2601F0DF"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4.4 Atomic Red Team Scenarios</w:t>
      </w:r>
    </w:p>
    <w:p w14:paraId="338262F2"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4.5 Windows APT Dataset</w:t>
      </w:r>
    </w:p>
    <w:p w14:paraId="2C1A9FC7"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4.6 Evidence Preparation</w:t>
      </w:r>
    </w:p>
    <w:p w14:paraId="1470622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4.7 LLM Investigation Setup</w:t>
      </w:r>
    </w:p>
    <w:p w14:paraId="3672F366" w14:textId="77777777" w:rsidR="00A95F28" w:rsidRPr="00543574" w:rsidRDefault="00A95F28" w:rsidP="00A95F28">
      <w:pPr>
        <w:rPr>
          <w:rFonts w:ascii="Calibri" w:hAnsi="Calibri" w:cs="Calibri"/>
        </w:rPr>
      </w:pPr>
      <w:r w:rsidRPr="00543574">
        <w:rPr>
          <w:rFonts w:ascii="Calibri" w:hAnsi="Calibri" w:cs="Calibri"/>
        </w:rPr>
        <w:br w:type="page"/>
      </w:r>
    </w:p>
    <w:tbl>
      <w:tblPr>
        <w:tblW w:w="9178" w:type="dxa"/>
        <w:tblInd w:w="568" w:type="dxa"/>
        <w:tblLayout w:type="fixed"/>
        <w:tblLook w:val="04A0" w:firstRow="1" w:lastRow="0" w:firstColumn="1" w:lastColumn="0" w:noHBand="0" w:noVBand="1"/>
      </w:tblPr>
      <w:tblGrid>
        <w:gridCol w:w="8109"/>
        <w:gridCol w:w="1069"/>
      </w:tblGrid>
      <w:tr w:rsidR="00A95F28" w:rsidRPr="00543574" w14:paraId="6D3F7AC7" w14:textId="77777777" w:rsidTr="00AE75EA">
        <w:trPr>
          <w:trHeight w:val="397"/>
        </w:trPr>
        <w:tc>
          <w:tcPr>
            <w:tcW w:w="8109" w:type="dxa"/>
            <w:tcBorders>
              <w:bottom w:val="single" w:sz="8" w:space="0" w:color="0A2B5E"/>
            </w:tcBorders>
            <w:tcMar>
              <w:top w:w="0" w:type="dxa"/>
              <w:left w:w="0" w:type="dxa"/>
              <w:bottom w:w="0" w:type="dxa"/>
              <w:right w:w="0" w:type="dxa"/>
            </w:tcMar>
            <w:vAlign w:val="center"/>
          </w:tcPr>
          <w:p w14:paraId="2CA52A0C" w14:textId="2FDFE70F" w:rsidR="00A95F28" w:rsidRPr="00543574" w:rsidRDefault="00A95F28" w:rsidP="00AE75EA">
            <w:pPr>
              <w:spacing w:after="0"/>
              <w:jc w:val="center"/>
              <w:rPr>
                <w:rFonts w:ascii="Calibri" w:hAnsi="Calibri" w:cs="Calibri"/>
              </w:rPr>
            </w:pPr>
            <w:r w:rsidRPr="00543574">
              <w:rPr>
                <w:rFonts w:ascii="Calibri" w:eastAsia="Georgia" w:hAnsi="Calibri" w:cs="Calibri"/>
                <w:b/>
                <w:color w:val="0A2B5E"/>
                <w:sz w:val="48"/>
                <w:szCs w:val="32"/>
              </w:rPr>
              <w:lastRenderedPageBreak/>
              <w:t>Contents</w:t>
            </w:r>
          </w:p>
        </w:tc>
        <w:tc>
          <w:tcPr>
            <w:tcW w:w="1069" w:type="dxa"/>
            <w:tcMar>
              <w:top w:w="0" w:type="dxa"/>
              <w:left w:w="0" w:type="dxa"/>
              <w:bottom w:w="0" w:type="dxa"/>
              <w:right w:w="0" w:type="dxa"/>
            </w:tcMar>
            <w:vAlign w:val="center"/>
          </w:tcPr>
          <w:p w14:paraId="574AD7A3" w14:textId="77777777" w:rsidR="00A95F28" w:rsidRPr="00543574" w:rsidRDefault="00A95F28" w:rsidP="00AE75EA">
            <w:pPr>
              <w:spacing w:after="0"/>
              <w:rPr>
                <w:rFonts w:ascii="Calibri" w:hAnsi="Calibri" w:cs="Calibri"/>
              </w:rPr>
            </w:pPr>
          </w:p>
        </w:tc>
      </w:tr>
    </w:tbl>
    <w:p w14:paraId="06293DB4" w14:textId="77777777" w:rsidR="00A95F28" w:rsidRPr="00543574" w:rsidRDefault="00A95F28" w:rsidP="00A95F28">
      <w:pPr>
        <w:spacing w:after="80" w:line="240" w:lineRule="auto"/>
        <w:rPr>
          <w:rFonts w:ascii="Calibri" w:hAnsi="Calibri" w:cs="Calibri"/>
        </w:rPr>
      </w:pPr>
    </w:p>
    <w:p w14:paraId="7730E526" w14:textId="77777777" w:rsidR="00A95F28" w:rsidRPr="00543574" w:rsidRDefault="00A95F28" w:rsidP="00A95F28">
      <w:pPr>
        <w:spacing w:before="40" w:after="40" w:line="252" w:lineRule="auto"/>
        <w:ind w:left="144"/>
        <w:rPr>
          <w:rFonts w:ascii="Calibri" w:hAnsi="Calibri" w:cs="Calibri"/>
        </w:rPr>
      </w:pPr>
      <w:r w:rsidRPr="00543574">
        <w:rPr>
          <w:rFonts w:ascii="Calibri" w:eastAsia="Georgia" w:hAnsi="Calibri" w:cs="Calibri"/>
          <w:b/>
          <w:color w:val="0A2B5E"/>
          <w:sz w:val="23"/>
        </w:rPr>
        <w:t>5. Evaluation and Results</w:t>
      </w:r>
    </w:p>
    <w:p w14:paraId="29D3DCF1"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5.1 Evaluation Criteria</w:t>
      </w:r>
    </w:p>
    <w:p w14:paraId="3FCFC006"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5.2 Accuracy</w:t>
      </w:r>
    </w:p>
    <w:p w14:paraId="2006820B"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5.3 Completeness</w:t>
      </w:r>
    </w:p>
    <w:p w14:paraId="34B7ADFF"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5.4 Evidence Support</w:t>
      </w:r>
    </w:p>
    <w:p w14:paraId="059AECD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5.5 Attack Scenario Results</w:t>
      </w:r>
    </w:p>
    <w:p w14:paraId="237D192D"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5.6 Comparison Between LLMs</w:t>
      </w:r>
    </w:p>
    <w:p w14:paraId="113B8CBF"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5.7 Overall Results</w:t>
      </w:r>
    </w:p>
    <w:p w14:paraId="3493341C"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6. Discussion</w:t>
      </w:r>
    </w:p>
    <w:p w14:paraId="0E42DCE8"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6.1 Interpretation of Results</w:t>
      </w:r>
    </w:p>
    <w:p w14:paraId="362175BE"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6.2 Autonomous LLM Performance</w:t>
      </w:r>
    </w:p>
    <w:p w14:paraId="3CAEBC1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6.3 Strengths and Weaknesses Identified</w:t>
      </w:r>
    </w:p>
    <w:p w14:paraId="16735FF5"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6.4 Comparison With Previous Literature</w:t>
      </w:r>
    </w:p>
    <w:p w14:paraId="6334EF0D"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6.5 Limitations</w:t>
      </w:r>
    </w:p>
    <w:p w14:paraId="00C3B6A5"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7. Conclusion and Future Work</w:t>
      </w:r>
    </w:p>
    <w:p w14:paraId="6F428126"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7.1 Conclusion</w:t>
      </w:r>
    </w:p>
    <w:p w14:paraId="65618B4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7.2 Achievement of Aim and Objectives</w:t>
      </w:r>
    </w:p>
    <w:p w14:paraId="6A28637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7.3 Future Work</w:t>
      </w:r>
    </w:p>
    <w:p w14:paraId="2A7D2CDE"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References</w:t>
      </w:r>
    </w:p>
    <w:p w14:paraId="1F2F098E" w14:textId="77777777" w:rsidR="00A95F28" w:rsidRPr="00543574" w:rsidRDefault="00A95F28" w:rsidP="00A95F28">
      <w:pPr>
        <w:spacing w:before="140" w:after="40" w:line="252" w:lineRule="auto"/>
        <w:ind w:left="144"/>
        <w:rPr>
          <w:rFonts w:ascii="Calibri" w:hAnsi="Calibri" w:cs="Calibri"/>
        </w:rPr>
      </w:pPr>
      <w:r w:rsidRPr="00543574">
        <w:rPr>
          <w:rFonts w:ascii="Calibri" w:eastAsia="Georgia" w:hAnsi="Calibri" w:cs="Calibri"/>
          <w:b/>
          <w:color w:val="0A2B5E"/>
          <w:sz w:val="23"/>
        </w:rPr>
        <w:t>Appendices</w:t>
      </w:r>
    </w:p>
    <w:p w14:paraId="78316B4D" w14:textId="2FED758A" w:rsidR="00A95F28" w:rsidRDefault="00A95F28" w:rsidP="00BC718C">
      <w:pPr>
        <w:spacing w:after="30" w:line="247" w:lineRule="auto"/>
        <w:ind w:left="547"/>
        <w:rPr>
          <w:rFonts w:ascii="Calibri" w:eastAsia="Georgia" w:hAnsi="Calibri" w:cs="Calibri"/>
          <w:color w:val="333333"/>
          <w:sz w:val="20"/>
        </w:rPr>
      </w:pPr>
    </w:p>
    <w:p w14:paraId="282B8FF3" w14:textId="77777777" w:rsidR="00BC718C" w:rsidRDefault="00BC718C" w:rsidP="00BC718C">
      <w:pPr>
        <w:spacing w:after="30" w:line="247" w:lineRule="auto"/>
        <w:ind w:left="547"/>
        <w:rPr>
          <w:rFonts w:ascii="Calibri" w:eastAsia="Georgia" w:hAnsi="Calibri" w:cs="Calibri"/>
          <w:color w:val="333333"/>
          <w:sz w:val="20"/>
        </w:rPr>
      </w:pPr>
    </w:p>
    <w:p w14:paraId="2DC1837F" w14:textId="77777777" w:rsidR="00BC718C" w:rsidRDefault="00BC718C" w:rsidP="00BC718C">
      <w:pPr>
        <w:spacing w:after="30" w:line="247" w:lineRule="auto"/>
        <w:ind w:left="547"/>
        <w:rPr>
          <w:rFonts w:ascii="Calibri" w:eastAsia="Georgia" w:hAnsi="Calibri" w:cs="Calibri"/>
          <w:color w:val="333333"/>
          <w:sz w:val="20"/>
        </w:rPr>
      </w:pPr>
    </w:p>
    <w:p w14:paraId="3807C9AD" w14:textId="77777777" w:rsidR="00BC718C" w:rsidRDefault="00BC718C" w:rsidP="00BC718C">
      <w:pPr>
        <w:spacing w:after="30" w:line="247" w:lineRule="auto"/>
        <w:ind w:left="547"/>
        <w:rPr>
          <w:rFonts w:ascii="Calibri" w:eastAsia="Georgia" w:hAnsi="Calibri" w:cs="Calibri"/>
          <w:color w:val="333333"/>
          <w:sz w:val="20"/>
        </w:rPr>
      </w:pPr>
    </w:p>
    <w:p w14:paraId="6BEF89F4" w14:textId="77777777" w:rsidR="00BC718C" w:rsidRDefault="00BC718C" w:rsidP="00BC718C">
      <w:pPr>
        <w:spacing w:after="30" w:line="247" w:lineRule="auto"/>
        <w:ind w:left="547"/>
        <w:rPr>
          <w:rFonts w:ascii="Calibri" w:eastAsia="Georgia" w:hAnsi="Calibri" w:cs="Calibri"/>
          <w:color w:val="333333"/>
          <w:sz w:val="20"/>
        </w:rPr>
      </w:pPr>
    </w:p>
    <w:p w14:paraId="26054E5F" w14:textId="77777777" w:rsidR="00BC718C" w:rsidRDefault="00BC718C" w:rsidP="00BC718C">
      <w:pPr>
        <w:spacing w:after="30" w:line="247" w:lineRule="auto"/>
        <w:ind w:left="547"/>
        <w:rPr>
          <w:rFonts w:ascii="Calibri" w:eastAsia="Georgia" w:hAnsi="Calibri" w:cs="Calibri"/>
          <w:color w:val="333333"/>
          <w:sz w:val="20"/>
        </w:rPr>
      </w:pPr>
    </w:p>
    <w:p w14:paraId="6ED8F72B" w14:textId="77777777" w:rsidR="00BC718C" w:rsidRDefault="00BC718C" w:rsidP="00BC718C">
      <w:pPr>
        <w:spacing w:after="30" w:line="247" w:lineRule="auto"/>
        <w:ind w:left="547"/>
        <w:rPr>
          <w:rFonts w:ascii="Calibri" w:eastAsia="Georgia" w:hAnsi="Calibri" w:cs="Calibri"/>
          <w:color w:val="333333"/>
          <w:sz w:val="20"/>
        </w:rPr>
      </w:pPr>
    </w:p>
    <w:p w14:paraId="518CA56F" w14:textId="77777777" w:rsidR="00BC718C" w:rsidRDefault="00BC718C" w:rsidP="00BC718C">
      <w:pPr>
        <w:spacing w:after="30" w:line="247" w:lineRule="auto"/>
        <w:ind w:left="547"/>
        <w:rPr>
          <w:rFonts w:ascii="Calibri" w:eastAsia="Georgia" w:hAnsi="Calibri" w:cs="Calibri"/>
          <w:color w:val="333333"/>
          <w:sz w:val="20"/>
        </w:rPr>
      </w:pPr>
    </w:p>
    <w:p w14:paraId="4DEB505E" w14:textId="77777777" w:rsidR="00BC718C" w:rsidRPr="00BC718C" w:rsidRDefault="00BC718C" w:rsidP="00BC718C">
      <w:pPr>
        <w:spacing w:after="30" w:line="247" w:lineRule="auto"/>
        <w:ind w:left="547"/>
        <w:rPr>
          <w:rFonts w:ascii="Calibri" w:hAnsi="Calibri" w:cs="Calibri"/>
        </w:rPr>
      </w:pPr>
    </w:p>
    <w:p w14:paraId="46CCFA87" w14:textId="77777777" w:rsidR="00A95F28" w:rsidRDefault="00A95F28" w:rsidP="00A95F28">
      <w:pPr>
        <w:spacing w:after="30" w:line="247" w:lineRule="auto"/>
        <w:ind w:left="547"/>
        <w:rPr>
          <w:rFonts w:ascii="Georgia" w:eastAsia="Georgia" w:hAnsi="Georgia"/>
          <w:color w:val="333333"/>
          <w:sz w:val="20"/>
        </w:rPr>
      </w:pPr>
    </w:p>
    <w:p w14:paraId="4ED8B2DA" w14:textId="77777777" w:rsidR="00A95F28" w:rsidRDefault="00A95F28" w:rsidP="00A95F28">
      <w:pPr>
        <w:spacing w:after="30" w:line="247" w:lineRule="auto"/>
        <w:ind w:left="547"/>
        <w:rPr>
          <w:rFonts w:ascii="Georgia" w:eastAsia="Georgia" w:hAnsi="Georgia"/>
          <w:color w:val="333333"/>
          <w:sz w:val="20"/>
        </w:rPr>
      </w:pPr>
    </w:p>
    <w:p w14:paraId="70C03CF6" w14:textId="77777777" w:rsidR="00A95F28" w:rsidRDefault="00A95F28" w:rsidP="00A95F28">
      <w:pPr>
        <w:spacing w:after="30" w:line="247" w:lineRule="auto"/>
        <w:ind w:left="547"/>
        <w:rPr>
          <w:rFonts w:ascii="Georgia" w:eastAsia="Georgia" w:hAnsi="Georgia"/>
          <w:color w:val="333333"/>
          <w:sz w:val="20"/>
        </w:rPr>
      </w:pPr>
    </w:p>
    <w:p w14:paraId="17F6127C" w14:textId="77777777" w:rsidR="00A95F28" w:rsidRDefault="00A95F28" w:rsidP="00A95F28">
      <w:pPr>
        <w:spacing w:after="30" w:line="247" w:lineRule="auto"/>
        <w:ind w:left="547"/>
        <w:rPr>
          <w:rFonts w:ascii="Georgia" w:eastAsia="Georgia" w:hAnsi="Georgia"/>
          <w:color w:val="333333"/>
          <w:sz w:val="20"/>
        </w:rPr>
      </w:pPr>
    </w:p>
    <w:p w14:paraId="04F6C17C" w14:textId="77777777" w:rsidR="00A95F28" w:rsidRDefault="00A95F28" w:rsidP="00A95F28">
      <w:pPr>
        <w:spacing w:after="30" w:line="247" w:lineRule="auto"/>
        <w:ind w:left="547"/>
        <w:rPr>
          <w:rFonts w:ascii="Georgia" w:eastAsia="Georgia" w:hAnsi="Georgia"/>
          <w:color w:val="333333"/>
          <w:sz w:val="20"/>
        </w:rPr>
      </w:pPr>
    </w:p>
    <w:p w14:paraId="294F0F8A" w14:textId="77777777" w:rsidR="00A95F28" w:rsidRDefault="00A95F28" w:rsidP="00A95F28">
      <w:pPr>
        <w:spacing w:after="30" w:line="247" w:lineRule="auto"/>
        <w:ind w:left="547"/>
        <w:rPr>
          <w:rFonts w:ascii="Georgia" w:eastAsia="Georgia" w:hAnsi="Georgia"/>
          <w:color w:val="333333"/>
          <w:sz w:val="20"/>
        </w:rPr>
      </w:pPr>
    </w:p>
    <w:p w14:paraId="6940514C" w14:textId="77777777" w:rsidR="00A95F28" w:rsidRDefault="00A95F28" w:rsidP="00A95F28">
      <w:pPr>
        <w:spacing w:after="30" w:line="247" w:lineRule="auto"/>
        <w:ind w:left="547"/>
        <w:rPr>
          <w:rFonts w:ascii="Georgia" w:eastAsia="Georgia" w:hAnsi="Georgia"/>
          <w:color w:val="333333"/>
          <w:sz w:val="20"/>
        </w:rPr>
      </w:pPr>
    </w:p>
    <w:p w14:paraId="1EDE7A8F" w14:textId="77777777" w:rsidR="00A95F28" w:rsidRDefault="00A95F28" w:rsidP="00A95F28">
      <w:pPr>
        <w:spacing w:after="30" w:line="247" w:lineRule="auto"/>
        <w:ind w:left="547"/>
        <w:rPr>
          <w:rFonts w:ascii="Georgia" w:eastAsia="Georgia" w:hAnsi="Georgia"/>
          <w:color w:val="333333"/>
          <w:sz w:val="20"/>
        </w:rPr>
      </w:pPr>
    </w:p>
    <w:p w14:paraId="0A768AC8" w14:textId="77777777" w:rsidR="00A95F28" w:rsidRDefault="00A95F28" w:rsidP="00A95F28">
      <w:pPr>
        <w:spacing w:after="30" w:line="247" w:lineRule="auto"/>
        <w:ind w:left="547"/>
        <w:rPr>
          <w:rFonts w:ascii="Georgia" w:eastAsia="Georgia" w:hAnsi="Georgia"/>
          <w:color w:val="333333"/>
          <w:sz w:val="20"/>
        </w:rPr>
      </w:pPr>
    </w:p>
    <w:p w14:paraId="00901A35" w14:textId="77777777" w:rsidR="00A95F28" w:rsidRDefault="00A95F28" w:rsidP="00A95F28">
      <w:pPr>
        <w:spacing w:after="30" w:line="247" w:lineRule="auto"/>
        <w:ind w:left="547"/>
        <w:rPr>
          <w:rFonts w:ascii="Georgia" w:eastAsia="Georgia" w:hAnsi="Georgia"/>
          <w:color w:val="333333"/>
          <w:sz w:val="20"/>
        </w:rPr>
      </w:pPr>
    </w:p>
    <w:p w14:paraId="3D39F6E3" w14:textId="77777777" w:rsidR="00A95F28" w:rsidRDefault="00A95F28" w:rsidP="00A95F28">
      <w:pPr>
        <w:spacing w:after="30" w:line="247" w:lineRule="auto"/>
        <w:ind w:left="547"/>
        <w:rPr>
          <w:rFonts w:ascii="Georgia" w:eastAsia="Georgia" w:hAnsi="Georgia"/>
          <w:color w:val="333333"/>
          <w:sz w:val="20"/>
        </w:rPr>
      </w:pPr>
    </w:p>
    <w:p w14:paraId="58D58B3A" w14:textId="77777777" w:rsidR="00A95F28" w:rsidRDefault="00A95F28" w:rsidP="00A95F28">
      <w:pPr>
        <w:spacing w:after="30" w:line="247" w:lineRule="auto"/>
        <w:ind w:left="547"/>
        <w:rPr>
          <w:rFonts w:ascii="Georgia" w:eastAsia="Georgia" w:hAnsi="Georgia"/>
          <w:color w:val="333333"/>
          <w:sz w:val="20"/>
        </w:rPr>
      </w:pPr>
    </w:p>
    <w:p w14:paraId="62DB9AAD" w14:textId="77777777" w:rsidR="00A95F28" w:rsidRDefault="00A95F28" w:rsidP="00A95F28">
      <w:pPr>
        <w:spacing w:after="30" w:line="247" w:lineRule="auto"/>
        <w:ind w:left="547"/>
      </w:pPr>
    </w:p>
    <w:p w14:paraId="5D0CD7E4" w14:textId="77777777" w:rsidR="00BF4A20" w:rsidRDefault="00BF4A20" w:rsidP="00BF4A20">
      <w:pPr>
        <w:rPr>
          <w:rFonts w:ascii="Calibri" w:hAnsi="Calibri" w:cs="Calibri"/>
        </w:rPr>
      </w:pPr>
    </w:p>
    <w:p w14:paraId="6C8DE7A8" w14:textId="564AD491" w:rsidR="00BF4A20" w:rsidRPr="00BF4A20" w:rsidRDefault="00BF4A20" w:rsidP="00BF4A20">
      <w:pPr>
        <w:rPr>
          <w:rFonts w:ascii="Calibri" w:hAnsi="Calibri" w:cs="Calibri"/>
          <w:b/>
          <w:bCs/>
          <w:sz w:val="28"/>
          <w:szCs w:val="28"/>
          <w:u w:val="single"/>
        </w:rPr>
      </w:pPr>
      <w:r w:rsidRPr="00543574">
        <w:rPr>
          <w:rFonts w:ascii="Calibri" w:hAnsi="Calibri" w:cs="Calibri"/>
          <w:b/>
          <w:bCs/>
          <w:sz w:val="28"/>
          <w:szCs w:val="28"/>
          <w:u w:val="single"/>
        </w:rPr>
        <w:lastRenderedPageBreak/>
        <w:t>2.</w:t>
      </w:r>
      <w:r>
        <w:rPr>
          <w:rFonts w:ascii="Calibri" w:hAnsi="Calibri" w:cs="Calibri"/>
          <w:b/>
          <w:bCs/>
          <w:sz w:val="28"/>
          <w:szCs w:val="28"/>
          <w:u w:val="single"/>
        </w:rPr>
        <w:t>1</w:t>
      </w:r>
      <w:r w:rsidRPr="00543574">
        <w:rPr>
          <w:rFonts w:ascii="Calibri" w:hAnsi="Calibri" w:cs="Calibri"/>
          <w:b/>
          <w:bCs/>
          <w:sz w:val="28"/>
          <w:szCs w:val="28"/>
          <w:u w:val="single"/>
        </w:rPr>
        <w:t xml:space="preserve"> </w:t>
      </w:r>
      <w:r w:rsidRPr="00BF4A20">
        <w:rPr>
          <w:rFonts w:ascii="Calibri" w:hAnsi="Calibri" w:cs="Calibri"/>
          <w:b/>
          <w:bCs/>
          <w:sz w:val="28"/>
          <w:szCs w:val="28"/>
          <w:u w:val="single"/>
        </w:rPr>
        <w:t>Artificial Intelligence and LLMs in SOCs</w:t>
      </w:r>
    </w:p>
    <w:p w14:paraId="5F69A461" w14:textId="77777777" w:rsidR="00B24D16" w:rsidRPr="00B24D16" w:rsidRDefault="00B24D16" w:rsidP="00B24D16">
      <w:pPr>
        <w:rPr>
          <w:rFonts w:ascii="Calibri" w:hAnsi="Calibri" w:cs="Calibri"/>
        </w:rPr>
      </w:pPr>
      <w:r w:rsidRPr="00B24D16">
        <w:rPr>
          <w:rFonts w:ascii="Calibri" w:hAnsi="Calibri" w:cs="Calibri"/>
        </w:rPr>
        <w:t>The growing use of Large Language Models within Security Operations Centres reflects a wider shift towards using Artificial Intelligence to support security monitoring and investigation tasks. This is particularly relevant within SOC environments, where analysts are required to process large volumes of alerts, logs and other forms of security evidence before deciding which activity requires further investigation, contributing to the issue of alert fatigue. Wu et al. (2026) highlight this problem, reporting that a typical campus network can generate more than 1,000 alerts each day, with the majority classified as low or medium risk. Although their Alert2Vec approach is based on machine learning rather than an LLM, the study still demonstrates the wider challenge created by the volume of security information that analysts are expected to review. Tariq et al. (2025) supports this concern, identifying the increasing volume of alerts and high occurrence of false positives as major contributors to analyst workload and alert fatigue.</w:t>
      </w:r>
    </w:p>
    <w:p w14:paraId="72D3F43A" w14:textId="58D977BA" w:rsidR="00B24D16" w:rsidRPr="00B24D16" w:rsidRDefault="00B24D16" w:rsidP="00B24D16">
      <w:pPr>
        <w:rPr>
          <w:rFonts w:ascii="Calibri" w:hAnsi="Calibri" w:cs="Calibri"/>
        </w:rPr>
      </w:pPr>
      <w:r w:rsidRPr="00B24D16">
        <w:rPr>
          <w:rFonts w:ascii="Calibri" w:hAnsi="Calibri" w:cs="Calibri"/>
        </w:rPr>
        <w:t xml:space="preserve">Recent studies suggest that LLMs can </w:t>
      </w:r>
      <w:r>
        <w:rPr>
          <w:rFonts w:ascii="Calibri" w:hAnsi="Calibri" w:cs="Calibri"/>
        </w:rPr>
        <w:t>help alleviate</w:t>
      </w:r>
      <w:r w:rsidRPr="00B24D16">
        <w:rPr>
          <w:rFonts w:ascii="Calibri" w:hAnsi="Calibri" w:cs="Calibri"/>
        </w:rPr>
        <w:t xml:space="preserve"> this process by interpreting alerts, summarising incidents, analysing log data and </w:t>
      </w:r>
      <w:r>
        <w:rPr>
          <w:rFonts w:ascii="Calibri" w:hAnsi="Calibri" w:cs="Calibri"/>
        </w:rPr>
        <w:t>connecting</w:t>
      </w:r>
      <w:r w:rsidRPr="00B24D16">
        <w:rPr>
          <w:rFonts w:ascii="Calibri" w:hAnsi="Calibri" w:cs="Calibri"/>
        </w:rPr>
        <w:t xml:space="preserve"> events that may otherwise need to be reviewed manually. In my view, this is one of the main reasons LLMs are becoming increasingly relevant within SOCs, as their value is not limited to producing summaries but also includes helping to organise and interpret complex security information. Cadet et al. (2026) demonstrates how LLM-based approaches can support the reconstruction of incidents using evidence from multiple log sources. Security incidents are rarely represented by a </w:t>
      </w:r>
      <w:r>
        <w:rPr>
          <w:rFonts w:ascii="Calibri" w:hAnsi="Calibri" w:cs="Calibri"/>
        </w:rPr>
        <w:t xml:space="preserve">alert </w:t>
      </w:r>
      <w:r w:rsidRPr="00B24D16">
        <w:rPr>
          <w:rFonts w:ascii="Calibri" w:hAnsi="Calibri" w:cs="Calibri"/>
        </w:rPr>
        <w:t xml:space="preserve">and investigators often need to connect activity across different </w:t>
      </w:r>
      <w:r w:rsidR="005A53AD">
        <w:rPr>
          <w:rFonts w:ascii="Calibri" w:hAnsi="Calibri" w:cs="Calibri"/>
        </w:rPr>
        <w:t>monitoring systems and platforms</w:t>
      </w:r>
      <w:r w:rsidRPr="00B24D16">
        <w:rPr>
          <w:rFonts w:ascii="Calibri" w:hAnsi="Calibri" w:cs="Calibri"/>
        </w:rPr>
        <w:t xml:space="preserve"> before establishing what occurred, highlighting the relevance of this approach. The ability of an LLM to interpret this information may therefore provide greater investigative value than analysing individual alerts. Eilertsen et al. (2026) develops this idea further by exploring more agentic workflows in which LLMs take a more active role across different stages of the investigation process. In my view, this represents an important development because it suggests that LLMs are beginning to move beyo</w:t>
      </w:r>
      <w:r w:rsidR="005A53AD">
        <w:rPr>
          <w:rFonts w:ascii="Calibri" w:hAnsi="Calibri" w:cs="Calibri"/>
        </w:rPr>
        <w:t xml:space="preserve">nd created basic summaries </w:t>
      </w:r>
      <w:r w:rsidRPr="00B24D16">
        <w:rPr>
          <w:rFonts w:ascii="Calibri" w:hAnsi="Calibri" w:cs="Calibri"/>
        </w:rPr>
        <w:t>and towards tasks involving interpretation, correlation and investigative reasoning.</w:t>
      </w:r>
    </w:p>
    <w:p w14:paraId="484D50DA" w14:textId="3B81E0D6" w:rsidR="00B24D16" w:rsidRPr="00B24D16" w:rsidRDefault="00B24D16" w:rsidP="00B24D16">
      <w:pPr>
        <w:rPr>
          <w:rFonts w:ascii="Calibri" w:hAnsi="Calibri" w:cs="Calibri"/>
        </w:rPr>
      </w:pPr>
      <w:r w:rsidRPr="00B24D16">
        <w:rPr>
          <w:rFonts w:ascii="Calibri" w:hAnsi="Calibri" w:cs="Calibri"/>
        </w:rPr>
        <w:t xml:space="preserve">Kramer et al. (2025) provides further practical evidence of this growing role, as LLMs were used across 50 real-world security incidents to support analysts during investigation tasks. This provides evidence that the potential value of LLMs extends beyond experimental settings and into real-world security investigations. However, the studies by Cadet et al. (2026), Eilertsen et al. (2026) and Kramer et al. (2025) show that the role given to the LLM can vary considerably between studies. Cadet et al. focuses more on the interpretation and reconstruction of security evidence, while Eilertsen et al. considers more advanced agentic workflows and Kramer et al. examines the use of LLMs alongside security analysts. These differences make direct comparison difficult, but collectively they show that LLM use within </w:t>
      </w:r>
      <w:r w:rsidRPr="00B24D16">
        <w:rPr>
          <w:rFonts w:ascii="Calibri" w:hAnsi="Calibri" w:cs="Calibri"/>
        </w:rPr>
        <w:lastRenderedPageBreak/>
        <w:t xml:space="preserve">SOCs is expanding from relatively narrow support tasks towards more complex stages of incident investigation. Overall, I believe the literature shows that the role of LLMs within security investigations is still developing. They have clear potential to reduce the amount of manual interpretation required from analysts and support more structured analysis of security evidence, although the </w:t>
      </w:r>
      <w:r>
        <w:rPr>
          <w:rFonts w:ascii="Calibri" w:hAnsi="Calibri" w:cs="Calibri"/>
        </w:rPr>
        <w:t>influence</w:t>
      </w:r>
      <w:r w:rsidRPr="00B24D16">
        <w:rPr>
          <w:rFonts w:ascii="Calibri" w:hAnsi="Calibri" w:cs="Calibri"/>
        </w:rPr>
        <w:t xml:space="preserve"> of their role continues to vary depending on the level of human involvement.</w:t>
      </w:r>
    </w:p>
    <w:p w14:paraId="7BCE07DF" w14:textId="6DD16AAD" w:rsidR="00543574" w:rsidRPr="00543574" w:rsidRDefault="00543574" w:rsidP="00666B07">
      <w:pPr>
        <w:rPr>
          <w:rFonts w:ascii="Calibri" w:hAnsi="Calibri" w:cs="Calibri"/>
          <w:b/>
          <w:bCs/>
          <w:sz w:val="28"/>
          <w:szCs w:val="28"/>
          <w:u w:val="single"/>
        </w:rPr>
      </w:pPr>
      <w:r w:rsidRPr="00543574">
        <w:rPr>
          <w:rFonts w:ascii="Calibri" w:hAnsi="Calibri" w:cs="Calibri"/>
          <w:b/>
          <w:bCs/>
          <w:sz w:val="28"/>
          <w:szCs w:val="28"/>
          <w:u w:val="single"/>
        </w:rPr>
        <w:t>2.2 Human-Assisted and Autonomous LLM Investigation</w:t>
      </w:r>
    </w:p>
    <w:p w14:paraId="3145E421" w14:textId="56B70484" w:rsidR="00871AAF" w:rsidRPr="00543574" w:rsidRDefault="00871AAF" w:rsidP="00871AAF">
      <w:pPr>
        <w:rPr>
          <w:rFonts w:ascii="Calibri" w:hAnsi="Calibri" w:cs="Calibri"/>
          <w:b/>
          <w:bCs/>
          <w:sz w:val="28"/>
          <w:szCs w:val="28"/>
          <w:u w:val="single"/>
        </w:rPr>
      </w:pPr>
      <w:r w:rsidRPr="00543574">
        <w:rPr>
          <w:rFonts w:ascii="Calibri" w:hAnsi="Calibri" w:cs="Calibri"/>
          <w:b/>
          <w:bCs/>
          <w:sz w:val="28"/>
          <w:szCs w:val="28"/>
          <w:u w:val="single"/>
        </w:rPr>
        <w:t>2.</w:t>
      </w:r>
      <w:r w:rsidR="00F560D2">
        <w:rPr>
          <w:rFonts w:ascii="Calibri" w:hAnsi="Calibri" w:cs="Calibri"/>
          <w:b/>
          <w:bCs/>
          <w:sz w:val="28"/>
          <w:szCs w:val="28"/>
          <w:u w:val="single"/>
        </w:rPr>
        <w:t>3</w:t>
      </w:r>
      <w:r w:rsidRPr="00543574">
        <w:rPr>
          <w:rFonts w:ascii="Calibri" w:hAnsi="Calibri" w:cs="Calibri"/>
          <w:b/>
          <w:bCs/>
          <w:sz w:val="28"/>
          <w:szCs w:val="28"/>
          <w:u w:val="single"/>
        </w:rPr>
        <w:t xml:space="preserve"> </w:t>
      </w:r>
      <w:r w:rsidRPr="00871AAF">
        <w:rPr>
          <w:rFonts w:ascii="Calibri" w:hAnsi="Calibri" w:cs="Calibri"/>
          <w:b/>
          <w:bCs/>
          <w:sz w:val="28"/>
          <w:szCs w:val="28"/>
          <w:u w:val="single"/>
        </w:rPr>
        <w:t>LLM Limitations in Security Investigation</w:t>
      </w:r>
    </w:p>
    <w:p w14:paraId="031AAC05" w14:textId="1A4FB9AD" w:rsidR="00871AAF" w:rsidRPr="00074C50" w:rsidRDefault="00871AAF" w:rsidP="00074C50">
      <w:pPr>
        <w:rPr>
          <w:rFonts w:ascii="Calibri" w:hAnsi="Calibri" w:cs="Calibri"/>
          <w:b/>
          <w:bCs/>
          <w:sz w:val="28"/>
          <w:szCs w:val="28"/>
          <w:u w:val="single"/>
        </w:rPr>
      </w:pPr>
      <w:r w:rsidRPr="00543574">
        <w:rPr>
          <w:rFonts w:ascii="Calibri" w:hAnsi="Calibri" w:cs="Calibri"/>
          <w:b/>
          <w:bCs/>
          <w:sz w:val="28"/>
          <w:szCs w:val="28"/>
          <w:u w:val="single"/>
        </w:rPr>
        <w:t xml:space="preserve">2.2 </w:t>
      </w:r>
      <w:r w:rsidRPr="00871AAF">
        <w:rPr>
          <w:rFonts w:ascii="Calibri" w:hAnsi="Calibri" w:cs="Calibri"/>
          <w:b/>
          <w:bCs/>
          <w:sz w:val="28"/>
          <w:szCs w:val="28"/>
          <w:u w:val="single"/>
        </w:rPr>
        <w:t>Wazuh and Sysmon as Security Evidence Sources</w:t>
      </w:r>
    </w:p>
    <w:p w14:paraId="68BE846B" w14:textId="415225D5" w:rsidR="00543574" w:rsidRPr="00543574" w:rsidRDefault="00543574" w:rsidP="00543574">
      <w:pPr>
        <w:rPr>
          <w:rFonts w:ascii="Calibri" w:hAnsi="Calibri" w:cs="Calibri"/>
          <w:b/>
          <w:bCs/>
          <w:sz w:val="28"/>
          <w:szCs w:val="28"/>
          <w:u w:val="single"/>
        </w:rPr>
      </w:pPr>
      <w:r w:rsidRPr="00543574">
        <w:rPr>
          <w:rFonts w:ascii="Calibri" w:hAnsi="Calibri" w:cs="Calibri"/>
          <w:b/>
          <w:bCs/>
          <w:sz w:val="28"/>
          <w:szCs w:val="28"/>
          <w:u w:val="single"/>
        </w:rPr>
        <w:t>2.5 Ground Truth and Evaluation of LLM Performance</w:t>
      </w:r>
    </w:p>
    <w:p w14:paraId="1DF1B39C" w14:textId="7E22119E" w:rsidR="00AB56BA" w:rsidRDefault="00666B07" w:rsidP="00A05D0B">
      <w:pPr>
        <w:rPr>
          <w:rFonts w:ascii="Calibri" w:hAnsi="Calibri" w:cs="Calibri"/>
        </w:rPr>
      </w:pPr>
      <w:r>
        <w:rPr>
          <w:rFonts w:ascii="Calibri" w:hAnsi="Calibri" w:cs="Calibri"/>
        </w:rPr>
        <w:t>The level of experience and expertise of the human analyst involved in studies carried out</w:t>
      </w:r>
      <w:r w:rsidR="00AB56BA" w:rsidRPr="00543574">
        <w:rPr>
          <w:rFonts w:ascii="Calibri" w:hAnsi="Calibri" w:cs="Calibri"/>
        </w:rPr>
        <w:t xml:space="preserve"> influenced the design of this project. An earlier approach considered comparing LLM investigations directly against human investigations, but this was removed because analyst experience would introduce an additional variable that would be difficult to control </w:t>
      </w:r>
      <w:r w:rsidR="00A05D0B" w:rsidRPr="00543574">
        <w:rPr>
          <w:rFonts w:ascii="Calibri" w:hAnsi="Calibri" w:cs="Calibri"/>
        </w:rPr>
        <w:t>reasonably</w:t>
      </w:r>
      <w:r w:rsidR="00AB56BA" w:rsidRPr="00543574">
        <w:rPr>
          <w:rFonts w:ascii="Calibri" w:hAnsi="Calibri" w:cs="Calibri"/>
        </w:rPr>
        <w:t xml:space="preserve">. </w:t>
      </w:r>
      <w:r w:rsidR="00A05D0B" w:rsidRPr="00543574">
        <w:rPr>
          <w:rFonts w:ascii="Calibri" w:hAnsi="Calibri" w:cs="Calibri"/>
        </w:rPr>
        <w:t xml:space="preserve">Balogh et al. (2024) identified analyst expertise as an important consideration when comparing LLM performance with human analysts, suggesting that differences in technical experience could influence the results. Schaermer (2026) similarly criticises a previous human-versus-LLM study because it did not report the qualifications of the SOC analysts, such as their years of experience or certifications. In my view, this makes it difficult to determine whether differences in performance are attributable to the capability of the LLM or to the experience of the analyst used for comparison. </w:t>
      </w:r>
      <w:r w:rsidR="00AB56BA" w:rsidRPr="00543574">
        <w:rPr>
          <w:rFonts w:ascii="Calibri" w:hAnsi="Calibri" w:cs="Calibri"/>
        </w:rPr>
        <w:t xml:space="preserve">Rather than attempting to standardise a variable that can </w:t>
      </w:r>
      <w:r w:rsidR="00A05D0B" w:rsidRPr="00543574">
        <w:rPr>
          <w:rFonts w:ascii="Calibri" w:hAnsi="Calibri" w:cs="Calibri"/>
        </w:rPr>
        <w:t>alter</w:t>
      </w:r>
      <w:r w:rsidR="00AB56BA" w:rsidRPr="00543574">
        <w:rPr>
          <w:rFonts w:ascii="Calibri" w:hAnsi="Calibri" w:cs="Calibri"/>
        </w:rPr>
        <w:t xml:space="preserve"> considerably between individuals, this project evaluates each LLM against independently created ground truth. Schaermer (2026, p. 24)</w:t>
      </w:r>
      <w:r>
        <w:rPr>
          <w:rFonts w:ascii="Calibri" w:hAnsi="Calibri" w:cs="Calibri"/>
        </w:rPr>
        <w:t xml:space="preserve"> also</w:t>
      </w:r>
      <w:r w:rsidR="00AB56BA" w:rsidRPr="00543574">
        <w:rPr>
          <w:rFonts w:ascii="Calibri" w:hAnsi="Calibri" w:cs="Calibri"/>
        </w:rPr>
        <w:t xml:space="preserve"> supports this approach, stating that “such detailed ground truth allows us to directly compare the LLM-based interpretation of alerts with the actual events that occurred in the system.” Each model will receive the same attack scenario, identical evidence, the same investigation instructions and the same required report structure. No human guidance or correction will be provided once the investigation begins. I consider this to be a more objective option of assessing LLM capability because it reduces the influence of analyst experience and allows differences between the models to be evaluated against the same known version of the incident.</w:t>
      </w:r>
      <w:r w:rsidR="00871AAF" w:rsidRPr="00871AAF">
        <w:rPr>
          <w:rFonts w:ascii="Calibri" w:hAnsi="Calibri" w:cs="Calibri"/>
          <w:highlight w:val="yellow"/>
        </w:rPr>
        <w:t xml:space="preserve"> TBC</w:t>
      </w:r>
    </w:p>
    <w:p w14:paraId="65FDFA53" w14:textId="3E72FB93" w:rsidR="00871AAF" w:rsidRPr="00543574" w:rsidRDefault="00871AAF" w:rsidP="00871AAF">
      <w:pPr>
        <w:rPr>
          <w:rFonts w:ascii="Calibri" w:hAnsi="Calibri" w:cs="Calibri"/>
          <w:b/>
          <w:bCs/>
          <w:sz w:val="28"/>
          <w:szCs w:val="28"/>
          <w:u w:val="single"/>
        </w:rPr>
      </w:pPr>
      <w:r w:rsidRPr="00543574">
        <w:rPr>
          <w:rFonts w:ascii="Calibri" w:hAnsi="Calibri" w:cs="Calibri"/>
          <w:b/>
          <w:bCs/>
          <w:sz w:val="28"/>
          <w:szCs w:val="28"/>
          <w:u w:val="single"/>
        </w:rPr>
        <w:t>2.</w:t>
      </w:r>
      <w:r>
        <w:rPr>
          <w:rFonts w:ascii="Calibri" w:hAnsi="Calibri" w:cs="Calibri"/>
          <w:b/>
          <w:bCs/>
          <w:sz w:val="28"/>
          <w:szCs w:val="28"/>
          <w:u w:val="single"/>
        </w:rPr>
        <w:t>6 Research Gap</w:t>
      </w:r>
    </w:p>
    <w:p w14:paraId="457E529A" w14:textId="77777777" w:rsidR="00871AAF" w:rsidRPr="00543574" w:rsidRDefault="00871AAF" w:rsidP="00A05D0B">
      <w:pPr>
        <w:rPr>
          <w:rFonts w:ascii="Calibri" w:hAnsi="Calibri" w:cs="Calibri"/>
        </w:rPr>
      </w:pPr>
    </w:p>
    <w:p w14:paraId="010EBD6F" w14:textId="6B922173" w:rsidR="00155573" w:rsidRDefault="00155573"/>
    <w:sectPr w:rsidR="00155573" w:rsidSect="004B7E3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D159" w14:textId="77777777" w:rsidR="007E6BD9" w:rsidRDefault="007E6BD9" w:rsidP="00F20073">
      <w:pPr>
        <w:spacing w:after="0" w:line="240" w:lineRule="auto"/>
      </w:pPr>
      <w:r>
        <w:separator/>
      </w:r>
    </w:p>
  </w:endnote>
  <w:endnote w:type="continuationSeparator" w:id="0">
    <w:p w14:paraId="0C136AE6" w14:textId="77777777" w:rsidR="007E6BD9" w:rsidRDefault="007E6BD9" w:rsidP="00F20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09E20" w14:textId="77777777" w:rsidR="007E6BD9" w:rsidRDefault="007E6BD9" w:rsidP="00F20073">
      <w:pPr>
        <w:spacing w:after="0" w:line="240" w:lineRule="auto"/>
      </w:pPr>
      <w:r>
        <w:separator/>
      </w:r>
    </w:p>
  </w:footnote>
  <w:footnote w:type="continuationSeparator" w:id="0">
    <w:p w14:paraId="5A80B77D" w14:textId="77777777" w:rsidR="007E6BD9" w:rsidRDefault="007E6BD9" w:rsidP="00F200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E32"/>
    <w:rsid w:val="00074C50"/>
    <w:rsid w:val="000B6C4C"/>
    <w:rsid w:val="000E7A97"/>
    <w:rsid w:val="00155573"/>
    <w:rsid w:val="001E7C93"/>
    <w:rsid w:val="002F2FBB"/>
    <w:rsid w:val="003331A3"/>
    <w:rsid w:val="003550F3"/>
    <w:rsid w:val="0042681C"/>
    <w:rsid w:val="004B7E32"/>
    <w:rsid w:val="004C483B"/>
    <w:rsid w:val="00512C18"/>
    <w:rsid w:val="00543574"/>
    <w:rsid w:val="005A53AD"/>
    <w:rsid w:val="006111E3"/>
    <w:rsid w:val="00666B07"/>
    <w:rsid w:val="00743A84"/>
    <w:rsid w:val="007E6BD9"/>
    <w:rsid w:val="00871AAF"/>
    <w:rsid w:val="00A05D0B"/>
    <w:rsid w:val="00A94A5A"/>
    <w:rsid w:val="00A95F28"/>
    <w:rsid w:val="00AB56BA"/>
    <w:rsid w:val="00B1608D"/>
    <w:rsid w:val="00B24D16"/>
    <w:rsid w:val="00BC718C"/>
    <w:rsid w:val="00BF4A20"/>
    <w:rsid w:val="00CE182D"/>
    <w:rsid w:val="00F20073"/>
    <w:rsid w:val="00F43DCA"/>
    <w:rsid w:val="00F560D2"/>
    <w:rsid w:val="00F87F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73DE"/>
  <w15:chartTrackingRefBased/>
  <w15:docId w15:val="{2E127A91-E020-487A-AA8C-34C319752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24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AAF"/>
  </w:style>
  <w:style w:type="paragraph" w:styleId="Heading1">
    <w:name w:val="heading 1"/>
    <w:basedOn w:val="Normal"/>
    <w:next w:val="Normal"/>
    <w:link w:val="Heading1Char"/>
    <w:uiPriority w:val="9"/>
    <w:qFormat/>
    <w:rsid w:val="004B7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E32"/>
    <w:rPr>
      <w:rFonts w:eastAsiaTheme="majorEastAsia" w:cstheme="majorBidi"/>
      <w:color w:val="272727" w:themeColor="text1" w:themeTint="D8"/>
    </w:rPr>
  </w:style>
  <w:style w:type="paragraph" w:styleId="Title">
    <w:name w:val="Title"/>
    <w:basedOn w:val="Normal"/>
    <w:next w:val="Normal"/>
    <w:link w:val="TitleChar"/>
    <w:uiPriority w:val="10"/>
    <w:qFormat/>
    <w:rsid w:val="004B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E32"/>
    <w:pPr>
      <w:spacing w:before="160"/>
      <w:jc w:val="center"/>
    </w:pPr>
    <w:rPr>
      <w:i/>
      <w:iCs/>
      <w:color w:val="404040" w:themeColor="text1" w:themeTint="BF"/>
    </w:rPr>
  </w:style>
  <w:style w:type="character" w:customStyle="1" w:styleId="QuoteChar">
    <w:name w:val="Quote Char"/>
    <w:basedOn w:val="DefaultParagraphFont"/>
    <w:link w:val="Quote"/>
    <w:uiPriority w:val="29"/>
    <w:rsid w:val="004B7E32"/>
    <w:rPr>
      <w:i/>
      <w:iCs/>
      <w:color w:val="404040" w:themeColor="text1" w:themeTint="BF"/>
    </w:rPr>
  </w:style>
  <w:style w:type="paragraph" w:styleId="ListParagraph">
    <w:name w:val="List Paragraph"/>
    <w:basedOn w:val="Normal"/>
    <w:uiPriority w:val="34"/>
    <w:qFormat/>
    <w:rsid w:val="004B7E32"/>
    <w:pPr>
      <w:ind w:left="720"/>
      <w:contextualSpacing/>
    </w:pPr>
  </w:style>
  <w:style w:type="character" w:styleId="IntenseEmphasis">
    <w:name w:val="Intense Emphasis"/>
    <w:basedOn w:val="DefaultParagraphFont"/>
    <w:uiPriority w:val="21"/>
    <w:qFormat/>
    <w:rsid w:val="004B7E32"/>
    <w:rPr>
      <w:i/>
      <w:iCs/>
      <w:color w:val="0F4761" w:themeColor="accent1" w:themeShade="BF"/>
    </w:rPr>
  </w:style>
  <w:style w:type="paragraph" w:styleId="IntenseQuote">
    <w:name w:val="Intense Quote"/>
    <w:basedOn w:val="Normal"/>
    <w:next w:val="Normal"/>
    <w:link w:val="IntenseQuoteChar"/>
    <w:uiPriority w:val="30"/>
    <w:qFormat/>
    <w:rsid w:val="004B7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E32"/>
    <w:rPr>
      <w:i/>
      <w:iCs/>
      <w:color w:val="0F4761" w:themeColor="accent1" w:themeShade="BF"/>
    </w:rPr>
  </w:style>
  <w:style w:type="character" w:styleId="IntenseReference">
    <w:name w:val="Intense Reference"/>
    <w:basedOn w:val="DefaultParagraphFont"/>
    <w:uiPriority w:val="32"/>
    <w:qFormat/>
    <w:rsid w:val="004B7E32"/>
    <w:rPr>
      <w:b/>
      <w:bCs/>
      <w:smallCaps/>
      <w:color w:val="0F4761" w:themeColor="accent1" w:themeShade="BF"/>
      <w:spacing w:val="5"/>
    </w:rPr>
  </w:style>
  <w:style w:type="paragraph" w:styleId="NoSpacing">
    <w:name w:val="No Spacing"/>
    <w:link w:val="NoSpacingChar"/>
    <w:uiPriority w:val="1"/>
    <w:qFormat/>
    <w:rsid w:val="004B7E32"/>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4B7E32"/>
    <w:rPr>
      <w:rFonts w:eastAsiaTheme="minorEastAsia"/>
      <w:kern w:val="0"/>
      <w:sz w:val="22"/>
      <w:szCs w:val="22"/>
      <w:lang w:eastAsia="en-GB"/>
      <w14:ligatures w14:val="none"/>
    </w:rPr>
  </w:style>
  <w:style w:type="paragraph" w:styleId="Header">
    <w:name w:val="header"/>
    <w:basedOn w:val="Normal"/>
    <w:link w:val="HeaderChar"/>
    <w:uiPriority w:val="99"/>
    <w:unhideWhenUsed/>
    <w:rsid w:val="00F200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0073"/>
  </w:style>
  <w:style w:type="paragraph" w:styleId="Footer">
    <w:name w:val="footer"/>
    <w:basedOn w:val="Normal"/>
    <w:link w:val="FooterChar"/>
    <w:uiPriority w:val="99"/>
    <w:unhideWhenUsed/>
    <w:rsid w:val="00F200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0073"/>
  </w:style>
  <w:style w:type="paragraph" w:styleId="NormalWeb">
    <w:name w:val="Normal (Web)"/>
    <w:basedOn w:val="Normal"/>
    <w:uiPriority w:val="99"/>
    <w:semiHidden/>
    <w:unhideWhenUsed/>
    <w:rsid w:val="00A05D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Name: Darragh Casey
Student Number: 24095170
Course Title: MSc Computer Science with Cyber Security (Online)
University of Hertfordshire
Supervisor: Mrs. Maryjane Betrand
Submission 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4930</TotalTime>
  <Pages>5</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Applied Research Project (Computer Science)</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Research Project (Computer Science)</dc:title>
  <dc:subject/>
  <dc:creator>darragh casey</dc:creator>
  <cp:keywords/>
  <dc:description/>
  <cp:lastModifiedBy>darragh casey</cp:lastModifiedBy>
  <cp:revision>10</cp:revision>
  <dcterms:created xsi:type="dcterms:W3CDTF">2026-09-11T11:35:00Z</dcterms:created>
  <dcterms:modified xsi:type="dcterms:W3CDTF">2026-09-18T14:39:00Z</dcterms:modified>
</cp:coreProperties>
</file>