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Brainstorm how to make MPPT more interesting; integrate with resistor box?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 to wiki: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https://wiki.cites.illinois.edu/wiki/pages/viewpage.action?pageId=434962519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Real-time I-V sweeps are possible, but noisy; not really presentable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Quite certain “aardvark64” is not used, but I don’t know enough about QT to say for other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 not to touch halogen bulbs with bare hands as oil degrades lifetime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Recreate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folder on the desktop. Create a subfolder (named “bin” by convention) within that folder. Put “Makefile”, “kill.sh”, “mppt.py”, “pilawa_instruments.py”, and “pilawa_package” here.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requisite files (“EOH.pro”, “main.cpp”, “mainwindow.cpp”, “mainwindow.h”, “mainwindow.ui”) in “../src” relative to “Makefile”.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“EOH”.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iki.cites.illinois.edu/wiki/pages/viewpage.action?pageId=434962519" TargetMode="External"/></Relationships>
</file>