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软雅黑" w:hAnsi="微软雅黑" w:eastAsia="微软雅黑"/>
          <w:b/>
          <w:color w:val="1F4E78"/>
          <w:sz w:val="42"/>
        </w:rPr>
        <w:t>临安旅游集散中心数字化平台</w:t>
      </w:r>
    </w:p>
    <w:p>
      <w:pPr>
        <w:spacing w:after="280"/>
        <w:jc w:val="center"/>
      </w:pPr>
      <w:r>
        <w:rPr>
          <w:rFonts w:ascii="微软雅黑" w:hAnsi="微软雅黑" w:eastAsia="微软雅黑"/>
          <w:b/>
          <w:color w:val="2F75B5"/>
          <w:sz w:val="32"/>
        </w:rPr>
        <w:t>节前项目进度与后续时间节点说明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202124"/>
          <w:sz w:val="21"/>
        </w:rPr>
        <w:t>汇报日期：</w:t>
      </w:r>
      <w:r>
        <w:rPr>
          <w:rFonts w:ascii="微软雅黑" w:hAnsi="微软雅黑" w:eastAsia="微软雅黑"/>
          <w:b w:val="0"/>
          <w:color w:val="202124"/>
          <w:sz w:val="21"/>
        </w:rPr>
        <w:t xml:space="preserve"> 2026年9月23日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202124"/>
          <w:sz w:val="21"/>
        </w:rPr>
        <w:t>汇报对象：</w:t>
      </w:r>
      <w:r>
        <w:rPr>
          <w:rFonts w:ascii="微软雅黑" w:hAnsi="微软雅黑" w:eastAsia="微软雅黑"/>
          <w:b w:val="0"/>
          <w:color w:val="202124"/>
          <w:sz w:val="21"/>
        </w:rPr>
        <w:t xml:space="preserve"> 杭州临安旅游集散中心有限公司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202124"/>
          <w:sz w:val="21"/>
        </w:rPr>
        <w:t>项目阶段：</w:t>
      </w:r>
      <w:r>
        <w:rPr>
          <w:rFonts w:ascii="微软雅黑" w:hAnsi="微软雅黑" w:eastAsia="微软雅黑"/>
          <w:b w:val="0"/>
          <w:color w:val="202124"/>
          <w:sz w:val="21"/>
        </w:rPr>
        <w:t xml:space="preserve"> 云端可演示开发版、节前集中反馈阶段</w:t>
      </w:r>
    </w:p>
    <w:p>
      <w:pPr>
        <w:spacing w:before="80" w:after="200"/>
        <w:ind w:left="198" w:right="198"/>
        <w:shd w:fill="EAF2F8"/>
      </w:pPr>
      <w:r>
        <w:rPr>
          <w:rFonts w:ascii="微软雅黑" w:hAnsi="微软雅黑" w:eastAsia="微软雅黑"/>
          <w:b w:val="0"/>
          <w:color w:val="1F4E78"/>
          <w:sz w:val="20"/>
        </w:rPr>
        <w:t>本说明按截至2026年9月23日的实际进展整理。当前目标是节前完成开发版演示、记录具体差异并确定节后优先级；正式生产上线仍需完成微信平台授权、业务口径确认、公安联网备案及第三方服务接入。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一、总体进度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项目已经从本地原型进入云端可演示阶段。工作人员管理后台已通过 HTTPS 域名开放受保护的测试入口，小程序主要页面已在微信开发者工具中完成真实页面验收，测试数据库、文件存储和服务器部署链路已经打通。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目前已经可以围绕一条完整演示链路开展需求方点选：活动及团期配置 → 家庭多人报名 → 订单金额核对 → 模拟支付 → 工作人员名单查询与导出 → 按取消人数申请退款 → 车辆与行前安排 → 导游执行、保险、评价及通知记录。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退款暂按已确认口径处理：</w:t>
      </w:r>
      <w:r>
        <w:rPr>
          <w:rFonts w:ascii="微软雅黑" w:hAnsi="微软雅黑" w:eastAsia="微软雅黑"/>
          <w:b/>
          <w:color w:val="202124"/>
          <w:sz w:val="21"/>
        </w:rPr>
        <w:t>按取消人数计算，不按提前天数扣费</w:t>
      </w:r>
      <w:r>
        <w:rPr>
          <w:rFonts w:ascii="微软雅黑" w:hAnsi="微软雅黑" w:eastAsia="微软雅黑"/>
          <w:b w:val="0"/>
          <w:color w:val="202124"/>
          <w:sz w:val="21"/>
        </w:rPr>
        <w:t>。示例价格为128元/人，两人合计256元；取消一人时模拟退款128元。演示环境不发生真实收款或真实退款。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二、已经完成并可演示的内容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当前成果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演示状态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云端测试环境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腾讯云服务器、测试数据库、COS、域名、HTTPS、API、后台和开机自启已打通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已上线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账号与权限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主管理员创建子账号、设置角色、勾选权限和数据范围，支持禁用、重置和首次改密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活动与团期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活动、课程、学校价格、团期和报名窗口的基础配置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家庭与订单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家庭成员、多人报名、订单明细、人员金额、支付状态和订单查询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支付与退款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模拟支付；按取消人数退款预览、家长退款申请、工作人员审核与模拟执行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可演示，真实通道未启用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统一出行名单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已付款人员与导入人员统一查询，按团期、学校、年级、班级筛选并导出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名单导入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教师等非订单人员导入、重复识别、逐行错误提示和导入记录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可演示，正式模板待确认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车辆与行前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逐人车辆安排、容量校验、学校签认、集合地点、带队人员及行前信息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导游与安全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导游手机工作台、逐人点名、执行记录、事件记录和健康信息授权查看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评价与反馈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学生评价、评价标准、家长/学校服务反馈及后台汇总基础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可演示，正式报告模板待确认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保险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保险名单、投保状态、保单信息和变更交接基础流程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可演示，正式交接规则待确认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影像与相册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团相册、上传记录和查看入口的系统基础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可演示，图片直播服务商未接入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客户与商旅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客户标签、跟进记录，以及旅游、疗休养、民宿产品与咨询记录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通知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通知内容版本、接收人授权、任务及发送记录；预留企业微信、公众号和客服入口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可演示，主动发送通道未启用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b w:val="0"/>
          <w:color w:val="202124"/>
          <w:sz w:val="21"/>
        </w:rPr>
        <w:t>管理后台测试入口：</w:t>
      </w:r>
      <w:r>
        <w:rPr>
          <w:rFonts w:ascii="等线" w:hAnsi="等线" w:eastAsia="等线"/>
          <w:b w:val="0"/>
          <w:color w:val="1F4E78"/>
          <w:sz w:val="21"/>
        </w:rPr>
        <w:t>https://admin.linantravel.cn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API健康检查：</w:t>
      </w:r>
      <w:r>
        <w:rPr>
          <w:rFonts w:ascii="等线" w:hAnsi="等线" w:eastAsia="等线"/>
          <w:b w:val="0"/>
          <w:color w:val="1F4E78"/>
          <w:sz w:val="21"/>
        </w:rPr>
        <w:t>https://api.linantravel.cn/health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访问账号和密码单独交接，不写入本说明。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三、当前尚未闭环的事项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下一步责任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公安联网备案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ICP备案完成，网站已开放，公安联网备案正在办理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需求方完成实名提交；开发方提供域名、IP和技术信息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网站备案号展示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需要完整ICP备案号；公安审核通过后还需公安备案号和图标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需求方提供准确编号，开发方补入页面底部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微信真实登录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已有程序接口和开发期模拟，尚未使用正式微信身份联调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小程序管理员完成开发/上传权限和正式授权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微信支付与退款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订单、支付、退款、回调和对账结构已具备，真实交易保持关闭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商户管理员确认商户模式、JSAPI权限、AppID关联及证书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主动通知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已有授权、内容、接收人和任务记录，真实发送通道未启用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确认订阅消息模板或企业微信方案并授权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图片直播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已有相册和存储基础，尚未选定生产服务商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需求方确认采购方案，开发方接入接口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正式业务模板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教师名单、保险名单、导游执行表、评价报告等仍需按现行材料定稿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需求方提供现用原件或脱敏样例，双方演示时核对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最终验收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当前为开发版演示和差异收集阶段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需求方集中反馈，开发方修正后安排正式验收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四、节前及假期时间节点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2026年中秋节假期为9月25日至27日，国庆节假期为10月1日至7日。以下节点按“先完成可演示版本，再集中收口”的原则安排。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开发方工作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需求方配合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9月23日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完成云端开发版部署、HTTPS和公网验收；提交本进度说明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启动公安联网备案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云端演示入口可用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9月24日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核对演示账号、准备完整演示链路和问题记录表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安排一次60—90分钟演示；指定一名业务反馈负责人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形成第一轮差异清单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9月25—27日（中秋假期）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保持测试环境稳定，汇总已收到的问题；原则上不做数据库结构和大范围界面调整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内部转发体验，按页面集中记录问题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收集反馈，不频繁改版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9月28日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将反馈分为“节前必须修正、节后优化、待业务确认”三类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确认优先级，补充关键业务模板和规则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双方确认节前修正范围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9月29日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修正阻断演示的问题、明显字段错误及已明确的流程差异，并完成回归检查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对修正项当天核对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形成节前候选版本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9月30日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完成节前版本冻结、备份和演示检查；更新交付说明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确认假期演示联系人及问题反馈方式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节前开发版定版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10月1—7日（国庆假期）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保持受保护测试入口可用；原则上冻结普通需求变更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可继续内部体验；无法登录或关键页面打不开时单独反馈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稳定展示和问题收集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10月8—10日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汇总假期反馈，确定节后迭代和外部接口接入顺序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统一确认反馈结论和正式授权进度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202124"/>
                <w:sz w:val="18"/>
              </w:rPr>
              <w:t>形成节后开发与验收计划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五、建议需求方节前补充的资料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为避免重复整理，不需要重新撰写需求书。已有文件请直接提供现行原件、脱敏样例、截图或简短录屏；没有模板的注明“暂无”，由开发方先拟一版核对。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8"/>
          <w:sz w:val="24"/>
        </w:rPr>
        <w:t>9月24日前优先确认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202124"/>
          <w:sz w:val="21"/>
        </w:rPr>
        <w:t>网站完整ICP备案号，以及公安联网备案提交后的受理截图或状态。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202124"/>
          <w:sz w:val="21"/>
        </w:rPr>
        <w:t>一名业务反馈负责人和一名财务确认人，统一汇总内部意见。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202124"/>
          <w:sz w:val="21"/>
        </w:rPr>
        <w:t>第一轮演示时间，以及参与核对的业务、财务、带队或学校联系人。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202124"/>
          <w:sz w:val="21"/>
        </w:rPr>
        <w:t>发现问题时提供“页面名称、操作步骤、当前结果、希望结果”和截图，避免只写“功能不对”。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8"/>
          <w:sz w:val="24"/>
        </w:rPr>
        <w:t>9月28日前尽量提供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202124"/>
          <w:sz w:val="21"/>
        </w:rPr>
        <w:t>现用教师名单Excel、学校最终名单或班主任核对表。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202124"/>
          <w:sz w:val="21"/>
        </w:rPr>
        <w:t>财务收款/退款登记表，以及退款申请、审核、执行、名单移除和名额释放的岗位分工。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202124"/>
          <w:sz w:val="21"/>
        </w:rPr>
        <w:t>分车名单或分车规则、导游点名和执行记录表。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202124"/>
          <w:sz w:val="21"/>
        </w:rPr>
        <w:t>保险投保Excel、保单状态及人员变更交接方式。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202124"/>
          <w:sz w:val="21"/>
        </w:rPr>
        <w:t>学生评价维度、A/B判定、学校报告和家长反馈样例。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202124"/>
          <w:sz w:val="21"/>
        </w:rPr>
        <w:t>企业微信、公众号、短信或其他现用通知模板。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8"/>
          <w:sz w:val="24"/>
        </w:rPr>
        <w:t>外部平台具备条件后提供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202124"/>
          <w:sz w:val="21"/>
        </w:rPr>
        <w:t>微信小程序开发、上传和版本管理权限。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202124"/>
          <w:sz w:val="21"/>
        </w:rPr>
        <w:t>微信支付商户模式、商户号、JSAPI权限、新AppID关联及证书配置状态。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202124"/>
          <w:sz w:val="21"/>
        </w:rPr>
        <w:t>订阅消息或企业微信模板授权。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202124"/>
          <w:sz w:val="21"/>
        </w:rPr>
        <w:t>图片直播服务商选型和已购套餐接口资料。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密码、密钥、证书和个人敏感信息不通过普通聊天或本说明传递，继续使用受保护的本地配置或平台授权方式交接。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六、建议演示流程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建议本轮需求方演示控制在60—90分钟，并按同一条业务链路核对：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202124"/>
          <w:sz w:val="21"/>
        </w:rPr>
        <w:t>主管理员登录，创建一个子账号并勾选权限。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202124"/>
          <w:sz w:val="21"/>
        </w:rPr>
        <w:t>查看活动、课程、学校价格和团期。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202124"/>
          <w:sz w:val="21"/>
        </w:rPr>
        <w:t>演示一个家庭两人报名：128元/人，合计256元。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202124"/>
          <w:sz w:val="21"/>
        </w:rPr>
        <w:t>完成提交核对和模拟支付，在后台查看订单与已付款人员。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202124"/>
          <w:sz w:val="21"/>
        </w:rPr>
        <w:t>按团期、学校、年级和班级查询名单并导出Excel。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6. </w:t>
      </w:r>
      <w:r>
        <w:rPr>
          <w:rFonts w:ascii="微软雅黑" w:hAnsi="微软雅黑" w:eastAsia="微软雅黑"/>
          <w:b w:val="0"/>
          <w:color w:val="202124"/>
          <w:sz w:val="21"/>
        </w:rPr>
        <w:t>由家长提交取消一人的退款申请，后台核对模拟退款128元。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7. </w:t>
      </w:r>
      <w:r>
        <w:rPr>
          <w:rFonts w:ascii="微软雅黑" w:hAnsi="微软雅黑" w:eastAsia="微软雅黑"/>
          <w:b w:val="0"/>
          <w:color w:val="202124"/>
          <w:sz w:val="21"/>
        </w:rPr>
        <w:t>查看统一出行名单、逐人车辆安排和行前配置。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8. </w:t>
      </w:r>
      <w:r>
        <w:rPr>
          <w:rFonts w:ascii="微软雅黑" w:hAnsi="微软雅黑" w:eastAsia="微软雅黑"/>
          <w:b w:val="0"/>
          <w:color w:val="202124"/>
          <w:sz w:val="21"/>
        </w:rPr>
        <w:t>查看导游执行、健康授权、保险、评价、反馈、影像和通知页面。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9. </w:t>
      </w:r>
      <w:r>
        <w:rPr>
          <w:rFonts w:ascii="微软雅黑" w:hAnsi="微软雅黑" w:eastAsia="微软雅黑"/>
          <w:b w:val="0"/>
          <w:color w:val="202124"/>
          <w:sz w:val="21"/>
        </w:rPr>
        <w:t>当场记录字段、流程、权限和报表差异，不在演示过程中临时扩展未讨论的新业务范围。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管理后台可直接通过公网受保护入口演示。小程序当前建议通过微信开发者工具或开发预览演示；在管理员完成上传权限和版本管理授权后，再上传体验版供需求方手机点选。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8"/>
          <w:sz w:val="30"/>
        </w:rPr>
        <w:t>七、本阶段确认口径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02124"/>
          <w:sz w:val="21"/>
        </w:rPr>
        <w:t>节前目标是交付一版可点选、可反馈、可持续修改的开发版，并形成明确差异清单。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02124"/>
          <w:sz w:val="21"/>
        </w:rPr>
        <w:t>当前演示数据为测试数据，支付与退款为模拟流程，不发生真实资金结算。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02124"/>
          <w:sz w:val="21"/>
        </w:rPr>
        <w:t>已确认的核心业务框架已经进入系统；需求方现行表格、报告格式和岗位操作细节将在演示反馈后继续校准。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202124"/>
          <w:sz w:val="21"/>
        </w:rPr>
        <w:t>正式上线和最终验收应在微信真实授权、支付回调、业务模板、公安联网备案及第三方服务接入完成后进行。</w:t>
      </w:r>
    </w:p>
    <w:p>
      <w:pPr>
        <w:pStyle w:val="Heading1"/>
        <w:pageBreakBefore/>
      </w:pPr>
      <w:r>
        <w:rPr>
          <w:rFonts w:ascii="微软雅黑" w:hAnsi="微软雅黑" w:eastAsia="微软雅黑"/>
          <w:b/>
          <w:color w:val="1F4E78"/>
          <w:sz w:val="30"/>
        </w:rPr>
        <w:t>八、节前需要共同确认的结果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202124"/>
          <w:sz w:val="21"/>
        </w:rPr>
        <w:t>需求方能够正常进入管理后台，并完成一轮核心流程点选。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202124"/>
          <w:sz w:val="21"/>
        </w:rPr>
        <w:t>双方形成一份按优先级排序的差异清单。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202124"/>
          <w:sz w:val="21"/>
        </w:rPr>
        <w:t>需求方明确哪些问题必须在9月30日前修正，哪些安排节后迭代。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202124"/>
          <w:sz w:val="21"/>
        </w:rPr>
        <w:t>公安联网备案已提交或明确缺失资料。</w:t>
      </w:r>
    </w:p>
    <w:p>
      <w:pPr>
        <w:spacing w:after="60"/>
        <w:ind w:left="369" w:hanging="369"/>
      </w:pPr>
      <w:r>
        <w:rPr>
          <w:rFonts w:ascii="微软雅黑" w:hAnsi="微软雅黑" w:eastAsia="微软雅黑"/>
          <w:b/>
          <w:color w:val="1F4E78"/>
          <w:sz w:val="21"/>
        </w:rPr>
        <w:t xml:space="preserve">5. </w:t>
      </w:r>
      <w:r>
        <w:rPr>
          <w:rFonts w:ascii="微软雅黑" w:hAnsi="微软雅黑" w:eastAsia="微软雅黑"/>
          <w:b w:val="0"/>
          <w:color w:val="202124"/>
          <w:sz w:val="21"/>
        </w:rPr>
        <w:t>微信支付、通知和图片直播分别明确平台负责人、当前状态和下一步时间。</w:t>
      </w:r>
    </w:p>
    <w:p>
      <w:r>
        <w:rPr>
          <w:rFonts w:ascii="微软雅黑" w:hAnsi="微软雅黑" w:eastAsia="微软雅黑"/>
          <w:b w:val="0"/>
          <w:color w:val="202124"/>
          <w:sz w:val="21"/>
        </w:rPr>
        <w:t>假期安排依据：</w:t>
      </w:r>
      <w:hyperlink r:id="rId11">
        <w:r>
          <w:rPr>
            <w:color w:val="0563C1"/>
            <w:u w:val="single"/>
            <w:rFonts w:eastAsia="微软雅黑"/>
          </w:rPr>
          <w:t>国务院办公厅关于2026年部分节假日安排的通知</w:t>
        </w:r>
      </w:hyperlink>
      <w:r>
        <w:rPr>
          <w:rFonts w:ascii="微软雅黑" w:hAnsi="微软雅黑" w:eastAsia="微软雅黑"/>
          <w:b w:val="0"/>
          <w:color w:val="202124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7"/>
      </w:rPr>
      <w:t xml:space="preserve">第 </w:t>
    </w:r>
    <w:fldSimple w:instr="PAGE"/>
    <w:r>
      <w:rPr>
        <w:rFonts w:ascii="微软雅黑" w:hAnsi="微软雅黑" w:eastAsia="微软雅黑"/>
        <w:b w:val="0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B7280"/>
        <w:sz w:val="17"/>
      </w:rPr>
      <w:t>临安旅游集散中心数字化平台｜节前项目进度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cn/gongbao/2025/issue_12406/202511/content_704892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临安旅游集散中心数字化平台节前项目进度与后续时间节点说明</dc:title>
  <dc:subject>需求方节前进度汇报</dc:subject>
  <dc:creator>临安旅游集散中心数字化平台项目组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