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251B9B" w:rsidRDefault="00251B9B" w:rsidP="00251B9B">
      <w:r>
        <w:t>Dear Sir/Madam,</w:t>
      </w:r>
    </w:p>
    <w:p w:rsidR="00251B9B" w:rsidRDefault="00251B9B" w:rsidP="00251B9B"/>
    <w:p w:rsidR="00251B9B" w:rsidRDefault="00251B9B" w:rsidP="00251B9B">
      <w:r>
        <w:t>Over the past several months, we have been engaged in discussions surrounding workforce expansion, institutional capacity development, and long-horizon workforce infrastructure systems.</w:t>
      </w:r>
    </w:p>
    <w:p w:rsidR="00251B9B" w:rsidRDefault="00251B9B" w:rsidP="00251B9B"/>
    <w:p w:rsidR="00251B9B" w:rsidRDefault="00251B9B" w:rsidP="00251B9B">
      <w:r>
        <w:t>Following further strategic structuring of the WDDAM and SWD-INV architecture, BTH Education Group is now formalizing a new institutional participation position within the Workforce Infrastructure Program:</w:t>
      </w:r>
    </w:p>
    <w:p w:rsidR="00251B9B" w:rsidRDefault="00251B9B" w:rsidP="00251B9B"/>
    <w:p w:rsidR="00251B9B" w:rsidRDefault="00251B9B" w:rsidP="00251B9B">
      <w:r>
        <w:t>Strategic Workforce Infrastructure Partner (SWI Partner)</w:t>
      </w:r>
    </w:p>
    <w:p w:rsidR="00251B9B" w:rsidRDefault="00251B9B" w:rsidP="00251B9B"/>
    <w:p w:rsidR="00251B9B" w:rsidRDefault="00251B9B" w:rsidP="00251B9B">
      <w:r>
        <w:t>This invitation is being extended selectively to executives and institutional actors whose positions, strategic relationships, stewardship responsibilities, and ecosystem influence place them in a unique position to participate in the expansion of workforce infrastructure systems at regional, national, and institutional scale.</w:t>
      </w:r>
    </w:p>
    <w:p w:rsidR="00251B9B" w:rsidRDefault="00251B9B" w:rsidP="00251B9B"/>
    <w:p w:rsidR="00251B9B" w:rsidRDefault="00251B9B" w:rsidP="00251B9B">
      <w:r>
        <w:t>You are therefore being invited to explore participation within the WDDAM / SWD-INV expansion architecture as a:</w:t>
      </w:r>
    </w:p>
    <w:p w:rsidR="00251B9B" w:rsidRDefault="00251B9B" w:rsidP="00251B9B"/>
    <w:p w:rsidR="00251B9B" w:rsidRDefault="00251B9B" w:rsidP="00251B9B">
      <w:r>
        <w:t>Strategic Workforce Infrastructure (SWI) Partner.</w:t>
      </w:r>
    </w:p>
    <w:p w:rsidR="00251B9B" w:rsidRDefault="00251B9B" w:rsidP="00251B9B"/>
    <w:p w:rsidR="00251B9B" w:rsidRDefault="00251B9B" w:rsidP="00251B9B">
      <w:r>
        <w:t>This is not a conventional collaboration arrangement.</w:t>
      </w:r>
    </w:p>
    <w:p w:rsidR="00251B9B" w:rsidRDefault="00251B9B" w:rsidP="00251B9B"/>
    <w:p w:rsidR="00251B9B" w:rsidRDefault="00251B9B" w:rsidP="00251B9B">
      <w:r>
        <w:t>It is a governed workforce infrastructure participation role positioned within a large-scale workforce expansion architecture organized around:</w:t>
      </w:r>
    </w:p>
    <w:p w:rsidR="00251B9B" w:rsidRDefault="00251B9B" w:rsidP="00251B9B">
      <w:r>
        <w:t>- workforce production,</w:t>
      </w:r>
    </w:p>
    <w:p w:rsidR="00251B9B" w:rsidRDefault="00251B9B" w:rsidP="00251B9B">
      <w:r>
        <w:t>- deployment continuity,</w:t>
      </w:r>
    </w:p>
    <w:p w:rsidR="00251B9B" w:rsidRDefault="00251B9B" w:rsidP="00251B9B">
      <w:r>
        <w:t>- acquisition systems,</w:t>
      </w:r>
    </w:p>
    <w:p w:rsidR="00251B9B" w:rsidRDefault="00251B9B" w:rsidP="00251B9B">
      <w:r>
        <w:t>- and long-horizon workforce governance.</w:t>
      </w:r>
    </w:p>
    <w:p w:rsidR="00251B9B" w:rsidRDefault="00251B9B" w:rsidP="00251B9B"/>
    <w:p w:rsidR="00251B9B" w:rsidRDefault="00251B9B" w:rsidP="00251B9B">
      <w:r>
        <w:t>The current operational architecture includes:</w:t>
      </w:r>
    </w:p>
    <w:p w:rsidR="00251B9B" w:rsidRDefault="00251B9B" w:rsidP="00251B9B">
      <w:r>
        <w:t>- 5 governed workforce divisions,</w:t>
      </w:r>
    </w:p>
    <w:p w:rsidR="00251B9B" w:rsidRDefault="00251B9B" w:rsidP="00251B9B">
      <w:r>
        <w:t>- 5,000 workforce capacity structures,</w:t>
      </w:r>
    </w:p>
    <w:p w:rsidR="00251B9B" w:rsidRDefault="00251B9B" w:rsidP="00251B9B">
      <w:r>
        <w:t>- institutional deployment systems,</w:t>
      </w:r>
    </w:p>
    <w:p w:rsidR="00251B9B" w:rsidRDefault="00251B9B" w:rsidP="00251B9B">
      <w:r>
        <w:t>- certification-aligned workforce pipelines,</w:t>
      </w:r>
    </w:p>
    <w:p w:rsidR="00251B9B" w:rsidRDefault="00251B9B" w:rsidP="00251B9B">
      <w:r>
        <w:t>- and recurring workforce infrastructure economics across four operational engines.</w:t>
      </w:r>
    </w:p>
    <w:p w:rsidR="00251B9B" w:rsidRDefault="00251B9B" w:rsidP="00251B9B"/>
    <w:p w:rsidR="00251B9B" w:rsidRDefault="00251B9B" w:rsidP="00251B9B">
      <w:r>
        <w:t>Each division currently represents a modeled workforce infrastructure value architecture of approximately:</w:t>
      </w:r>
    </w:p>
    <w:p w:rsidR="00251B9B" w:rsidRDefault="00251B9B" w:rsidP="00251B9B"/>
    <w:p w:rsidR="00251B9B" w:rsidRDefault="00251B9B" w:rsidP="00251B9B">
      <w:r>
        <w:t>8,760,000,000 FCFA</w:t>
      </w:r>
    </w:p>
    <w:p w:rsidR="00251B9B" w:rsidRDefault="00251B9B" w:rsidP="00251B9B"/>
    <w:p w:rsidR="00251B9B" w:rsidRDefault="00251B9B" w:rsidP="00251B9B">
      <w:r>
        <w:t>within the Development Engine alone.</w:t>
      </w:r>
    </w:p>
    <w:p w:rsidR="00251B9B" w:rsidRDefault="00251B9B" w:rsidP="00251B9B"/>
    <w:p w:rsidR="00251B9B" w:rsidRDefault="00251B9B" w:rsidP="00251B9B">
      <w:r>
        <w:t>The strategic significance of this architecture does not reside merely in workforce development itself, but in the long-horizon operational economics generated through:</w:t>
      </w:r>
    </w:p>
    <w:p w:rsidR="00251B9B" w:rsidRDefault="00251B9B" w:rsidP="00251B9B">
      <w:r>
        <w:t>- deployment continuity,</w:t>
      </w:r>
    </w:p>
    <w:p w:rsidR="00251B9B" w:rsidRDefault="00251B9B" w:rsidP="00251B9B">
      <w:r>
        <w:t>- workforce acquisition systems,</w:t>
      </w:r>
    </w:p>
    <w:p w:rsidR="00251B9B" w:rsidRDefault="00251B9B" w:rsidP="00251B9B">
      <w:r>
        <w:t>- governance structures,</w:t>
      </w:r>
    </w:p>
    <w:p w:rsidR="00251B9B" w:rsidRDefault="00251B9B" w:rsidP="00251B9B">
      <w:r>
        <w:t>- and recurring workforce infrastructure participation.</w:t>
      </w:r>
    </w:p>
    <w:p w:rsidR="00251B9B" w:rsidRDefault="00251B9B" w:rsidP="00251B9B"/>
    <w:p w:rsidR="00251B9B" w:rsidRDefault="00251B9B" w:rsidP="00251B9B">
      <w:r>
        <w:t>The Strategic Workforce Infrastructure Partner position has therefore been established for senior institutional actors capable of contributing:</w:t>
      </w:r>
    </w:p>
    <w:p w:rsidR="00251B9B" w:rsidRDefault="00251B9B" w:rsidP="00251B9B">
      <w:r>
        <w:t>- strategic ecosystem leverage,</w:t>
      </w:r>
    </w:p>
    <w:p w:rsidR="00251B9B" w:rsidRDefault="00251B9B" w:rsidP="00251B9B">
      <w:r>
        <w:t>- institutional relationship infrastructure,</w:t>
      </w:r>
    </w:p>
    <w:p w:rsidR="00251B9B" w:rsidRDefault="00251B9B" w:rsidP="00251B9B">
      <w:r>
        <w:t>- executive coordination capacity,</w:t>
      </w:r>
    </w:p>
    <w:p w:rsidR="00251B9B" w:rsidRDefault="00251B9B" w:rsidP="00251B9B">
      <w:r>
        <w:t>- and workforce expansion stewardship.</w:t>
      </w:r>
    </w:p>
    <w:p w:rsidR="00251B9B" w:rsidRDefault="00251B9B" w:rsidP="00251B9B"/>
    <w:p w:rsidR="00251B9B" w:rsidRDefault="00251B9B" w:rsidP="00251B9B">
      <w:r>
        <w:t>Following recent governance normalization, certain executive and managerial participants may initially enter through a Strategic Executive Participation Tier, enabling institutional participation pathways to begin through strategic ecosystem contribution in addition to conventional fiscal participation structures.</w:t>
      </w:r>
    </w:p>
    <w:p w:rsidR="00251B9B" w:rsidRDefault="00251B9B" w:rsidP="00251B9B"/>
    <w:p w:rsidR="00251B9B" w:rsidRDefault="00251B9B" w:rsidP="00251B9B">
      <w:r>
        <w:t>This creates a rare institutional positioning opportunity for executives capable of understanding:</w:t>
      </w:r>
    </w:p>
    <w:p w:rsidR="00251B9B" w:rsidRDefault="00251B9B" w:rsidP="00251B9B">
      <w:r>
        <w:t>- workforce economics,</w:t>
      </w:r>
    </w:p>
    <w:p w:rsidR="00251B9B" w:rsidRDefault="00251B9B" w:rsidP="00251B9B">
      <w:r>
        <w:t>- deployment infrastructure,</w:t>
      </w:r>
    </w:p>
    <w:p w:rsidR="00251B9B" w:rsidRDefault="00251B9B" w:rsidP="00251B9B">
      <w:r>
        <w:t>- institutional scaling,</w:t>
      </w:r>
    </w:p>
    <w:p w:rsidR="00251B9B" w:rsidRDefault="00251B9B" w:rsidP="00251B9B">
      <w:r>
        <w:t>- and long-horizon economic continuity.</w:t>
      </w:r>
    </w:p>
    <w:p w:rsidR="00251B9B" w:rsidRDefault="00251B9B" w:rsidP="00251B9B"/>
    <w:p w:rsidR="00251B9B" w:rsidRDefault="00251B9B" w:rsidP="00251B9B">
      <w:r>
        <w:t>The attached Executive Invitation Note provides a high-level overview of:</w:t>
      </w:r>
    </w:p>
    <w:p w:rsidR="00251B9B" w:rsidRDefault="00251B9B" w:rsidP="00251B9B">
      <w:r>
        <w:t>- the workforce infrastructure thesis,</w:t>
      </w:r>
    </w:p>
    <w:p w:rsidR="00251B9B" w:rsidRDefault="00251B9B" w:rsidP="00251B9B">
      <w:r>
        <w:t>- WDDAM architecture,</w:t>
      </w:r>
    </w:p>
    <w:p w:rsidR="00251B9B" w:rsidRDefault="00251B9B" w:rsidP="00251B9B">
      <w:r>
        <w:t>- SWD-INV economics,</w:t>
      </w:r>
    </w:p>
    <w:p w:rsidR="00251B9B" w:rsidRDefault="00251B9B" w:rsidP="00251B9B">
      <w:r>
        <w:t>- and the Strategic Workforce Infrastructure Partner framework.</w:t>
      </w:r>
    </w:p>
    <w:p w:rsidR="00251B9B" w:rsidRDefault="00251B9B" w:rsidP="00251B9B"/>
    <w:p w:rsidR="00251B9B" w:rsidRDefault="00251B9B" w:rsidP="00251B9B">
      <w:r>
        <w:t>We believe the timing of this architecture is strategically significant.</w:t>
      </w:r>
    </w:p>
    <w:p w:rsidR="00251B9B" w:rsidRDefault="00251B9B" w:rsidP="00251B9B"/>
    <w:p w:rsidR="00251B9B" w:rsidRDefault="00251B9B" w:rsidP="00251B9B">
      <w:r>
        <w:t>The next major economic expansion layer will not be built merely around isolated digital platforms or fragmented capital structures, but around governed workforce capacity systems capable of supporting industries, institutions, governments, and deployment-intensive economies.</w:t>
      </w:r>
    </w:p>
    <w:p w:rsidR="00251B9B" w:rsidRDefault="00251B9B" w:rsidP="00251B9B"/>
    <w:p w:rsidR="00251B9B" w:rsidRDefault="00251B9B" w:rsidP="00251B9B">
      <w:r>
        <w:t>We would therefore welcome the opportunity to schedule a confidential executive briefing session regarding:</w:t>
      </w:r>
    </w:p>
    <w:p w:rsidR="00251B9B" w:rsidRDefault="00251B9B" w:rsidP="00251B9B">
      <w:r>
        <w:t>- Strategic Workforce Infrastructure participation,</w:t>
      </w:r>
    </w:p>
    <w:p w:rsidR="00251B9B" w:rsidRDefault="00251B9B" w:rsidP="00251B9B">
      <w:r>
        <w:t>- divisional portfolio structures,</w:t>
      </w:r>
    </w:p>
    <w:p w:rsidR="00251B9B" w:rsidRDefault="00251B9B" w:rsidP="00251B9B">
      <w:r>
        <w:t>- workforce infrastructure economics,</w:t>
      </w:r>
    </w:p>
    <w:p w:rsidR="00251B9B" w:rsidRDefault="00251B9B" w:rsidP="00251B9B">
      <w:r>
        <w:lastRenderedPageBreak/>
        <w:t>- and institutional governance pathways.</w:t>
      </w:r>
    </w:p>
    <w:p w:rsidR="00251B9B" w:rsidRDefault="00251B9B" w:rsidP="00251B9B"/>
    <w:p w:rsidR="00251B9B" w:rsidRDefault="00251B9B" w:rsidP="00251B9B">
      <w:r>
        <w:t>Please review the attached document carefully.</w:t>
      </w:r>
    </w:p>
    <w:p w:rsidR="00251B9B" w:rsidRDefault="00251B9B" w:rsidP="00251B9B"/>
    <w:p w:rsidR="00251B9B" w:rsidRDefault="00251B9B" w:rsidP="00251B9B">
      <w:r>
        <w:t>We would appreciate the opportunity to continue discussions at the executive level.</w:t>
      </w:r>
    </w:p>
    <w:p w:rsidR="00251B9B" w:rsidRDefault="00251B9B" w:rsidP="00251B9B"/>
    <w:p w:rsidR="00251B9B" w:rsidRDefault="00251B9B" w:rsidP="00251B9B">
      <w:r>
        <w:t>Sincerely,</w:t>
      </w:r>
    </w:p>
    <w:p w:rsidR="00251B9B" w:rsidRDefault="00251B9B" w:rsidP="00251B9B"/>
    <w:p w:rsidR="00251B9B" w:rsidRDefault="00251B9B" w:rsidP="00251B9B">
      <w:r>
        <w:t xml:space="preserve">BTH Education Group  </w:t>
      </w:r>
    </w:p>
    <w:p w:rsidR="00251B9B" w:rsidRDefault="00251B9B" w:rsidP="00251B9B">
      <w:r>
        <w:t xml:space="preserve">OEDP Work Network  </w:t>
      </w:r>
    </w:p>
    <w:p w:rsidR="00251B9B" w:rsidRDefault="00251B9B" w:rsidP="00251B9B">
      <w:r>
        <w:t>Workforce Infrastructure Division</w:t>
      </w:r>
    </w:p>
    <w:p w:rsidR="00251B9B" w:rsidRDefault="00251B9B" w:rsidP="00251B9B"/>
    <w:p w:rsidR="00251B9B" w:rsidRDefault="00251B9B" w:rsidP="00251B9B">
      <w:r>
        <w:t xml:space="preserve">workforce@btheducationgroup.org  </w:t>
      </w:r>
    </w:p>
    <w:p w:rsidR="00251B9B" w:rsidRDefault="00251B9B" w:rsidP="00251B9B">
      <w:r>
        <w:t>info@btheducationgroup.org</w:t>
      </w:r>
    </w:p>
    <w:p w:rsidR="00251B9B" w:rsidRDefault="00251B9B" w:rsidP="00251B9B"/>
    <w:p w:rsidR="00251B9B" w:rsidRDefault="00251B9B" w:rsidP="00251B9B">
      <w:r>
        <w:t>https://www.btheducationgroup.org/workforce-infrastructure</w:t>
      </w:r>
    </w:p>
    <w:p w:rsidR="00251B9B" w:rsidRDefault="00251B9B" w:rsidP="00251B9B"/>
    <w:p w:rsidR="00251B9B" w:rsidRDefault="00251B9B" w:rsidP="00251B9B">
      <w:r>
        <w:t xml:space="preserve">TEL: +237 680 28 99 56  </w:t>
      </w:r>
    </w:p>
    <w:p w:rsidR="00251B9B" w:rsidRDefault="00251B9B" w:rsidP="00251B9B">
      <w:r>
        <w:t>TEL: +237 223 36 21 20</w:t>
      </w:r>
    </w:p>
    <w:sectPr w:rsidR="00251B9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9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1B9B"/>
    <w:rsid w:val="00251B9B"/>
    <w:rsid w:val="00860933"/>
  </w:rsids>
  <m:mathPr>
    <m:mathFont m:val="Cambria Math"/>
    <m:brkBin m:val="before"/>
    <m:brkBinSub m:val="--"/>
    <m:smallFrac m:val="0"/>
    <m:dispDef/>
    <m:lMargin m:val="0"/>
    <m:rMargin m:val="0"/>
    <m:defJc m:val="centerGroup"/>
    <m:wrapIndent m:val="1440"/>
    <m:intLim m:val="subSup"/>
    <m:naryLim m:val="undOvr"/>
  </m:mathPr>
  <w:themeFontLang w:val="en-CM"/>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A19CAF58-825E-0D40-9755-466184043F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CM"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613</Words>
  <Characters>3495</Characters>
  <Application>Microsoft Office Word</Application>
  <DocSecurity>0</DocSecurity>
  <Lines>29</Lines>
  <Paragraphs>8</Paragraphs>
  <ScaleCrop>false</ScaleCrop>
  <Company/>
  <LinksUpToDate>false</LinksUpToDate>
  <CharactersWithSpaces>4100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Dr.Coach Achu Gustave</dc:creator>
  <cp:keywords/>
  <dc:description/>
  <cp:lastModifiedBy>Dr.Coach Achu Gustave</cp:lastModifiedBy>
  <cp:revision>1</cp:revision>
  <dcterms:created xsi:type="dcterms:W3CDTF">2026-05-26T10:59:00Z</dcterms:created>
  <dcterms:modified xsi:type="dcterms:W3CDTF">2026-05-26T11:00:00Z</dcterms:modified>
</cp:coreProperties>
</file>