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365D"/>
          <w:sz w:val="36"/>
        </w:rPr>
        <w:t>Exploratory Data Analysis &amp; Machine Learning on Unstructured</w:t>
        <w:br/>
        <w:t>Productivity, Task-Management, and Psychological Stress Text</w:t>
      </w:r>
    </w:p>
    <w:p>
      <w:pPr>
        <w:spacing w:after="240"/>
      </w:pPr>
      <w:r>
        <w:rPr>
          <w:rFonts w:ascii="Arial" w:hAnsi="Arial"/>
          <w:b/>
          <w:color w:val="319795"/>
          <w:sz w:val="24"/>
        </w:rPr>
        <w:t>Master Technical Reference, Feature Dictionary &amp; Viva Voce Defense Guide</w:t>
      </w:r>
    </w:p>
    <w:tbl>
      <w:tblPr>
        <w:tblW w:type="auto" w:w="0"/>
        <w:jc w:val="center"/>
        <w:tblLook w:firstColumn="1" w:firstRow="1" w:lastColumn="0" w:lastRow="0" w:noHBand="0" w:noVBand="1" w:val="04A0"/>
      </w:tblPr>
      <w:tblGrid>
        <w:gridCol w:w="4896"/>
        <w:gridCol w:w="4896"/>
      </w:tblGrid>
      <w:tr>
        <w:tc>
          <w:tcPr>
            <w:tcW w:type="dxa" w:w="4896"/>
            <w:shd w:fill="F7FAFC"/>
            <w:tcMar>
              <w:top w:w="60" w:type="dxa"/>
              <w:bottom w:w="60" w:type="dxa"/>
              <w:left w:w="100" w:type="dxa"/>
              <w:right w:w="100" w:type="dxa"/>
            </w:tcMar>
          </w:tcPr>
          <w:p>
            <w:pPr>
              <w:spacing w:after="40"/>
            </w:pPr>
            <w:r>
              <w:rPr>
                <w:rFonts w:ascii="Arial" w:hAnsi="Arial"/>
                <w:b/>
                <w:color w:val="1A365D"/>
                <w:sz w:val="18"/>
              </w:rPr>
              <w:t>Faculty Guide:</w:t>
            </w:r>
            <w:r>
              <w:rPr>
                <w:rFonts w:ascii="Arial" w:hAnsi="Arial"/>
                <w:color w:val="2D3748"/>
                <w:sz w:val="18"/>
              </w:rPr>
              <w:t xml:space="preserve"> Mrs. Nalini N</w:t>
            </w:r>
          </w:p>
        </w:tc>
        <w:tc>
          <w:tcPr>
            <w:tcW w:type="dxa" w:w="4896"/>
            <w:shd w:fill="F7FAFC"/>
            <w:tcMar>
              <w:top w:w="60" w:type="dxa"/>
              <w:bottom w:w="60" w:type="dxa"/>
              <w:left w:w="100" w:type="dxa"/>
              <w:right w:w="100" w:type="dxa"/>
            </w:tcMar>
          </w:tcPr>
          <w:p>
            <w:pPr>
              <w:spacing w:after="40"/>
            </w:pPr>
            <w:r>
              <w:rPr>
                <w:rFonts w:ascii="Arial" w:hAnsi="Arial"/>
                <w:b/>
                <w:color w:val="1A365D"/>
                <w:sz w:val="18"/>
              </w:rPr>
              <w:t>Course / Domain:</w:t>
            </w:r>
            <w:r>
              <w:rPr>
                <w:rFonts w:ascii="Arial" w:hAnsi="Arial"/>
                <w:color w:val="2D3748"/>
                <w:sz w:val="18"/>
              </w:rPr>
              <w:t xml:space="preserve"> EDA, Natural Language Processing &amp; Machine Learning</w:t>
            </w:r>
          </w:p>
        </w:tc>
      </w:tr>
      <w:tr>
        <w:tc>
          <w:tcPr>
            <w:tcW w:type="dxa" w:w="4896"/>
            <w:shd w:fill="F7FAFC"/>
            <w:tcMar>
              <w:top w:w="60" w:type="dxa"/>
              <w:bottom w:w="60" w:type="dxa"/>
              <w:left w:w="100" w:type="dxa"/>
              <w:right w:w="100" w:type="dxa"/>
            </w:tcMar>
          </w:tcPr>
          <w:p>
            <w:pPr>
              <w:spacing w:after="40"/>
            </w:pPr>
            <w:r>
              <w:rPr>
                <w:rFonts w:ascii="Arial" w:hAnsi="Arial"/>
                <w:b/>
                <w:color w:val="1A365D"/>
                <w:sz w:val="18"/>
              </w:rPr>
              <w:t>Contributors:</w:t>
            </w:r>
            <w:r>
              <w:rPr>
                <w:rFonts w:ascii="Arial" w:hAnsi="Arial"/>
                <w:color w:val="2D3748"/>
                <w:sz w:val="18"/>
              </w:rPr>
              <w:t xml:space="preserve"> Sharvaree Harkare (25BDS0217)</w:t>
              <w:br/>
              <w:t xml:space="preserve"> Disha Chandra Mani (25BDS0172)</w:t>
            </w:r>
          </w:p>
        </w:tc>
        <w:tc>
          <w:tcPr>
            <w:tcW w:type="dxa" w:w="4896"/>
            <w:shd w:fill="F7FAFC"/>
            <w:tcMar>
              <w:top w:w="60" w:type="dxa"/>
              <w:bottom w:w="60" w:type="dxa"/>
              <w:left w:w="100" w:type="dxa"/>
              <w:right w:w="100" w:type="dxa"/>
            </w:tcMar>
          </w:tcPr>
          <w:p>
            <w:pPr>
              <w:spacing w:after="40"/>
            </w:pPr>
            <w:r>
              <w:rPr>
                <w:rFonts w:ascii="Arial" w:hAnsi="Arial"/>
                <w:b/>
                <w:color w:val="1A365D"/>
                <w:sz w:val="18"/>
              </w:rPr>
              <w:t>Project Coverage:</w:t>
            </w:r>
            <w:r>
              <w:rPr>
                <w:rFonts w:ascii="Arial" w:hAnsi="Arial"/>
                <w:color w:val="2D3748"/>
                <w:sz w:val="18"/>
              </w:rPr>
              <w:t xml:space="preserve"> Preprocessing, Visual EDA, Mann-Whitney U Testing, LDA Topic Modeling, Supervised ML (LogReg, SVC, RF)</w:t>
            </w:r>
          </w:p>
        </w:tc>
      </w:tr>
    </w:tbl>
    <w:p>
      <w:pPr>
        <w:spacing w:after="160"/>
      </w:pPr>
    </w:p>
    <w:p>
      <w:pPr>
        <w:pStyle w:val="Heading1"/>
      </w:pPr>
      <w:r>
        <w:rPr>
          <w:rFonts w:ascii="Arial" w:hAnsi="Arial"/>
          <w:color w:val="1A365D"/>
          <w:sz w:val="28"/>
        </w:rPr>
        <w:t>1. Executive Overview &amp; Research Framework</w:t>
      </w:r>
    </w:p>
    <w:p>
      <w:pPr>
        <w:spacing w:after="160" w:line="276" w:lineRule="auto"/>
      </w:pPr>
      <w:r>
        <w:t>This project investigates the psycholinguistic manifestations of academic procrastination, executive dysfunction, and acute psychological stress in unstructured online communication. Grounded in our 15 literature review papers, procrastination is recognized not merely as a flaw in time management, but fundamentally as an emotional regulation failure under acute evaluation pressure (Pychyl &amp; Sirois, 2016; Paper #3, Paper #8). When students or knowledge workers face impending deadlines, cognitive overload triggers measurable linguistic shifts: temporal distortion (excessive past rumination and future dread), egocentric narrowing (spikes in first-person singular 'I'-talk), elevated cognitive discrepancy ('should', 'could', 'would'), and verbal agitation.</w:t>
      </w:r>
    </w:p>
    <w:p>
      <w:pPr>
        <w:spacing w:after="200" w:line="276" w:lineRule="auto"/>
      </w:pPr>
      <w:r>
        <w:t>Our study bridges two complementary datasets: (1) The Dreaddit Stress Corpus (3,529 annotated posts across 10 acute distress subreddits), and (2) The Reddit ADHD Community Corpus (4,933 curated submissions capturing real-world task paralysis, attention deficit, and procrastination strategies). This guide documents our complete pipeline from data ingestion, visual EDA, and inferential statistics, to supervised predictive machine learning and out-of-domain inference.</w:t>
      </w:r>
    </w:p>
    <w:p>
      <w:pPr>
        <w:pStyle w:val="Heading1"/>
      </w:pPr>
      <w:r>
        <w:rPr>
          <w:rFonts w:ascii="Arial" w:hAnsi="Arial"/>
          <w:color w:val="1A365D"/>
          <w:sz w:val="28"/>
        </w:rPr>
        <w:t>2. Preprocessing Architecture &amp; Engineering Solutions</w:t>
      </w:r>
    </w:p>
    <w:p>
      <w:pPr>
        <w:pStyle w:val="ListBullet"/>
        <w:spacing w:after="60"/>
      </w:pPr>
      <w:r>
        <w:rPr>
          <w:b/>
          <w:color w:val="2D3748"/>
        </w:rPr>
        <w:t xml:space="preserve">Contraction Expansion vs. Vocabulary Corruption: </w:t>
      </w:r>
      <w:r>
        <w:t>Stripping apostrophes turns 'I'm', 'don't', and 'I've' into 'im', 'dont', and 'ive', which erroneously dominated early top-10 vocabulary rankings. Our 40+ pattern contraction dictionary expands these into grammatical forms, preserving essential negation markers ('not') critical for anxiety and sentiment classification.</w:t>
      </w:r>
    </w:p>
    <w:p>
      <w:pPr>
        <w:pStyle w:val="ListBullet"/>
        <w:spacing w:after="60"/>
      </w:pPr>
      <w:r>
        <w:rPr>
          <w:b/>
          <w:color w:val="2D3748"/>
        </w:rPr>
        <w:t xml:space="preserve">POS-Aware WordNet Lemmatization: </w:t>
      </w:r>
      <w:r>
        <w:t>Standard lemmatizers default all tokens to nouns, failing to reduce action verbs like 'procrastinating' -&gt; 'procrastinate', 'avoiding' -&gt; 'avoid', or 'struggling' -&gt; 'struggle'. By tagging Penn Treebank Part-of-Speech and mapping to WordNet constants (VERB, ADJ, NOUN, ADV), we preserve true morphological root meanings.</w:t>
      </w:r>
    </w:p>
    <w:p>
      <w:pPr>
        <w:pStyle w:val="ListBullet"/>
        <w:spacing w:after="60"/>
      </w:pPr>
      <w:r>
        <w:rPr>
          <w:b/>
          <w:color w:val="2D3748"/>
        </w:rPr>
        <w:t xml:space="preserve">Memory-Safe Streaming Chunk Extraction: </w:t>
      </w:r>
      <w:r>
        <w:t>The raw ADHD folder contained a 1.24 GB uncompressed comment dump that crashed system RAM upon bulk loading. We engineered a streaming iterator (chunksize=10,000) that extracts 4,933 high-engagement, non-null submissions, consuming less than 15 MB of RAM while providing statistical parity for cross-corpus analysis.</w:t>
      </w:r>
    </w:p>
    <w:p>
      <w:pPr>
        <w:pStyle w:val="ListBullet"/>
        <w:spacing w:after="60"/>
      </w:pPr>
      <w:r>
        <w:rPr>
          <w:b/>
          <w:color w:val="2D3748"/>
        </w:rPr>
        <w:t xml:space="preserve">Behavioral Surface Feature Engineering: </w:t>
      </w:r>
      <w:r>
        <w:t>Beyond dictionary frequencies, we engineer structural proxies for vocal intensity and rumination: Type-Token Ratio (lexical diversity), uppercase ratio (shouting/urgency), sentence count, and emotional punctuation (question marks for reassurance-seeking, exclamation marks for panic).</w:t>
      </w:r>
    </w:p>
    <w:p>
      <w:pPr>
        <w:spacing w:after="120"/>
      </w:pPr>
    </w:p>
    <w:p>
      <w:pPr>
        <w:pStyle w:val="Heading1"/>
      </w:pPr>
      <w:r>
        <w:rPr>
          <w:rFonts w:ascii="Arial" w:hAnsi="Arial"/>
          <w:color w:val="1A365D"/>
          <w:sz w:val="28"/>
        </w:rPr>
        <w:t>3. Exhaustive Feature Dictionary &amp; Viva Voce Rationale</w:t>
      </w:r>
    </w:p>
    <w:p>
      <w:pPr>
        <w:spacing w:before="80" w:after="40"/>
      </w:pPr>
      <w:r>
        <w:rPr>
          <w:rFonts w:ascii="Arial" w:hAnsi="Arial"/>
          <w:b/>
          <w:color w:val="2B6CB0"/>
          <w:sz w:val="20"/>
        </w:rPr>
        <w:t xml:space="preserve">• lex_liwc_Tone </w:t>
      </w:r>
      <w:r>
        <w:rPr>
          <w:rFonts w:ascii="Arial" w:hAnsi="Arial"/>
          <w:i/>
          <w:color w:val="718096"/>
          <w:sz w:val="17"/>
        </w:rPr>
        <w:t>[Affect &amp; Emotion (LIWC) | Continuous (0-100)]</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Composite emotional valence score (high = positive tone, low = severe psychological distress).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Extreme collapse in tone confirms that task aversion is rooted in negative emotional states.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Pychyl's emotion regulation theory posits that people avoid tasks to escape the negative emotions (boredom, fear, resentment) associated with them.</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'Tone is our primary macro-indicator of affective valence. In our empirical testing, it showed the largest effect size of any feature (Cohen's d = -1.003, p &lt; 10^-160), proving that stress collapses emotional tone.'</w:t>
            </w:r>
          </w:p>
        </w:tc>
      </w:tr>
    </w:tbl>
    <w:p>
      <w:pPr>
        <w:spacing w:after="40"/>
      </w:pPr>
    </w:p>
    <w:p>
      <w:pPr>
        <w:spacing w:before="80" w:after="40"/>
      </w:pPr>
      <w:r>
        <w:rPr>
          <w:rFonts w:ascii="Arial" w:hAnsi="Arial"/>
          <w:b/>
          <w:color w:val="2B6CB0"/>
          <w:sz w:val="20"/>
        </w:rPr>
        <w:t xml:space="preserve">• lex_liwc_i </w:t>
      </w:r>
      <w:r>
        <w:rPr>
          <w:rFonts w:ascii="Arial" w:hAnsi="Arial"/>
          <w:i/>
          <w:color w:val="718096"/>
          <w:sz w:val="17"/>
        </w:rPr>
        <w:t>[Social &amp; Self-Focus (LIWC) | Continuous (Ratio)]</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First-person singular pronoun frequency ('I', 'me', 'my', 'myself').</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Strongest known linguistic biomarker of depression and acute stress (self-focused attention).</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Under acute task stress, cognitive perspective narrows inward. Stressed procrastinators excessively use 'I' as they feel isolated in their struggle.</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'Pennebaker's psycholinguistic research established that first-person singular pronouns spike during distress due to egocentric cognitive narrowing. Our Mann-Whitney U test confirmed d = +0.832 (large effect, p &lt; 10^-114).'</w:t>
            </w:r>
          </w:p>
        </w:tc>
      </w:tr>
    </w:tbl>
    <w:p>
      <w:pPr>
        <w:spacing w:after="40"/>
      </w:pPr>
    </w:p>
    <w:p>
      <w:pPr>
        <w:spacing w:before="80" w:after="40"/>
      </w:pPr>
      <w:r>
        <w:rPr>
          <w:rFonts w:ascii="Arial" w:hAnsi="Arial"/>
          <w:b/>
          <w:color w:val="2B6CB0"/>
          <w:sz w:val="20"/>
        </w:rPr>
        <w:t xml:space="preserve">• lex_liwc_anx </w:t>
      </w:r>
      <w:r>
        <w:rPr>
          <w:rFonts w:ascii="Arial" w:hAnsi="Arial"/>
          <w:i/>
          <w:color w:val="718096"/>
          <w:sz w:val="17"/>
        </w:rPr>
        <w:t>[Affect &amp; Emotion (LIWC) | Continuous (Ratio)]</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Frequency of anxiety words (e.g., 'worried', 'fear', 'nervous', 'panic', 'dread').</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Directly measures the emotional arousal that triggers fight-or-flight avoidance.</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Evaluation anxiety and fear of failure directly paralyze students from starting major assignments.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'Anxiety words measure deadline panic. We track this to validate Paper #8 from our literature review regarding the dynamic temporal link between anxiety and task postponement (d = +0.562, medium effect).'</w:t>
            </w:r>
          </w:p>
        </w:tc>
      </w:tr>
    </w:tbl>
    <w:p>
      <w:pPr>
        <w:spacing w:after="40"/>
      </w:pPr>
    </w:p>
    <w:p>
      <w:pPr>
        <w:spacing w:before="80" w:after="40"/>
      </w:pPr>
      <w:r>
        <w:rPr>
          <w:rFonts w:ascii="Arial" w:hAnsi="Arial"/>
          <w:b/>
          <w:color w:val="2B6CB0"/>
          <w:sz w:val="20"/>
        </w:rPr>
        <w:t xml:space="preserve">• lex_liwc_discrep </w:t>
      </w:r>
      <w:r>
        <w:rPr>
          <w:rFonts w:ascii="Arial" w:hAnsi="Arial"/>
          <w:i/>
          <w:color w:val="718096"/>
          <w:sz w:val="17"/>
        </w:rPr>
        <w:t>[Cognitive Conflict (LIWC) | Continuous (Ratio)]</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Frequency of discrepancy words (e.g., 'should', 'would', 'could', 'ought', 'hope').</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Directly quantifies the psychological gap between the 'Actual Self' and the 'Ideal/Ought Self'.</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This is the quintessential linguistic marker of procrastination. Phrases like 'I should be studying' or 'I could have finished' signify chronic postponement and shame.</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'Discrepancy words like should and could reflect internal moral conflict and guilt. In procrastination research, high discrep directly correlates with task avoidance and shame.'</w:t>
            </w:r>
          </w:p>
        </w:tc>
      </w:tr>
    </w:tbl>
    <w:p>
      <w:pPr>
        <w:spacing w:after="40"/>
      </w:pPr>
    </w:p>
    <w:p>
      <w:pPr>
        <w:spacing w:before="80" w:after="40"/>
      </w:pPr>
      <w:r>
        <w:rPr>
          <w:rFonts w:ascii="Arial" w:hAnsi="Arial"/>
          <w:b/>
          <w:color w:val="2B6CB0"/>
          <w:sz w:val="20"/>
        </w:rPr>
        <w:t xml:space="preserve">• lex_liwc_focuspast </w:t>
      </w:r>
      <w:r>
        <w:rPr>
          <w:rFonts w:ascii="Arial" w:hAnsi="Arial"/>
          <w:i/>
          <w:color w:val="718096"/>
          <w:sz w:val="17"/>
        </w:rPr>
        <w:t>[Temporal Focus (LIWC) | Continuous (Ratio)]</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Frequency percentage of past-tense verbs (e.g., 'did', 'failed', 'was', 'delayed').</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Reflects backward-looking rumination and guilt over unfulfilled tasks.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Chronic procrastinators spend significant cognitive energy ruminating over past missed deadlines and previous shortcomings.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'We added focuspast to capture depressive rumination. Literature shows stressed individuals dwell significantly more on past failures rather than taking immediate active steps.'</w:t>
            </w:r>
          </w:p>
        </w:tc>
      </w:tr>
    </w:tbl>
    <w:p>
      <w:pPr>
        <w:spacing w:after="40"/>
      </w:pPr>
    </w:p>
    <w:p>
      <w:pPr>
        <w:spacing w:before="80" w:after="40"/>
      </w:pPr>
      <w:r>
        <w:rPr>
          <w:rFonts w:ascii="Arial" w:hAnsi="Arial"/>
          <w:b/>
          <w:color w:val="2B6CB0"/>
          <w:sz w:val="20"/>
        </w:rPr>
        <w:t xml:space="preserve">• lex_liwc_focusfuture </w:t>
      </w:r>
      <w:r>
        <w:rPr>
          <w:rFonts w:ascii="Arial" w:hAnsi="Arial"/>
          <w:i/>
          <w:color w:val="718096"/>
          <w:sz w:val="17"/>
        </w:rPr>
        <w:t>[Temporal Focus (LIWC) | Continuous (Ratio)]</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Frequency percentage of future-tense markers (e.g., 'will', 'going to', 'tomorrow', 'hope').</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Healthy individuals exhibit balanced future focus; stressed individuals show future avoidance or catastrophic anticipation.</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Procrastination is an aversion to future task execution. Tracking future focus reveals whether individuals plan constructively or dread tomorrow.</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'Future orientation is the cornerstone of goal achievement. Depressed and severely stressed individuals exhibit diminished or catastrophized future-tense discourse.'</w:t>
            </w:r>
          </w:p>
        </w:tc>
      </w:tr>
    </w:tbl>
    <w:p>
      <w:pPr>
        <w:spacing w:after="40"/>
      </w:pPr>
    </w:p>
    <w:p>
      <w:pPr>
        <w:spacing w:before="80" w:after="40"/>
      </w:pPr>
      <w:r>
        <w:rPr>
          <w:rFonts w:ascii="Arial" w:hAnsi="Arial"/>
          <w:b/>
          <w:color w:val="2B6CB0"/>
          <w:sz w:val="20"/>
        </w:rPr>
        <w:t xml:space="preserve">• lexical_diversity (TTR) </w:t>
      </w:r>
      <w:r>
        <w:rPr>
          <w:rFonts w:ascii="Arial" w:hAnsi="Arial"/>
          <w:i/>
          <w:color w:val="718096"/>
          <w:sz w:val="17"/>
        </w:rPr>
        <w:t>[Engineered Surface Metrics | Continuous (0-1)]</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Type-Token Ratio = len(unique_lemmas) / len(total_lemmas).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Low TTR indicates repetitive rumination (looping on the same worries); high TTR indicates cognitive flexibility.</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Procrastinators trapped in negative self-talk repeatedly cycle through identical distress words.</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'Type-Token Ratio measures vocabulary repetition versus richness. Repetitive linguistic loops are a recognized sign of depressive rumination and cognitive inflexibility.'</w:t>
            </w:r>
          </w:p>
        </w:tc>
      </w:tr>
    </w:tbl>
    <w:p>
      <w:pPr>
        <w:spacing w:after="40"/>
      </w:pPr>
    </w:p>
    <w:p>
      <w:pPr>
        <w:spacing w:before="80" w:after="40"/>
      </w:pPr>
      <w:r>
        <w:rPr>
          <w:rFonts w:ascii="Arial" w:hAnsi="Arial"/>
          <w:b/>
          <w:color w:val="2B6CB0"/>
          <w:sz w:val="20"/>
        </w:rPr>
        <w:t xml:space="preserve">• question_count </w:t>
      </w:r>
      <w:r>
        <w:rPr>
          <w:rFonts w:ascii="Arial" w:hAnsi="Arial"/>
          <w:i/>
          <w:color w:val="718096"/>
          <w:sz w:val="17"/>
        </w:rPr>
        <w:t>[Engineered Surface Metrics | Integer]</w:t>
        <w:br/>
      </w:r>
    </w:p>
    <w:tbl>
      <w:tblPr>
        <w:tblW w:type="auto" w:w="0"/>
        <w:jc w:val="center"/>
        <w:tblLook w:firstColumn="1" w:firstRow="1" w:lastColumn="0" w:lastRow="0" w:noHBand="0" w:noVBand="1" w:val="04A0"/>
      </w:tblPr>
      <w:tblGrid>
        <w:gridCol w:w="4896"/>
        <w:gridCol w:w="4896"/>
      </w:tblGrid>
      <w:tr>
        <w:tc>
          <w:tcPr>
            <w:tcW w:type="dxa" w:w="2880"/>
            <w:shd w:fill="EDF2F7"/>
            <w:tcMar>
              <w:top w:w="45" w:type="dxa"/>
              <w:bottom w:w="45" w:type="dxa"/>
              <w:left w:w="80" w:type="dxa"/>
              <w:right w:w="80" w:type="dxa"/>
            </w:tcMar>
          </w:tcPr>
          <w:p>
            <w:pPr>
              <w:spacing w:after="0"/>
            </w:pPr>
            <w:r>
              <w:rPr>
                <w:rFonts w:ascii="Arial" w:hAnsi="Arial"/>
                <w:b/>
                <w:color w:val="1A365D"/>
                <w:sz w:val="17"/>
              </w:rPr>
              <w:t>Calculation / Definition</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Total count of question mark glyphs ('?') in raw text.</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Psychological Hypothesis</w:t>
            </w:r>
          </w:p>
        </w:tc>
        <w:tc>
          <w:tcPr>
            <w:tcW w:type="dxa" w:w="6912"/>
            <w:shd w:fill="FFFFFF"/>
            <w:tcMar>
              <w:top w:w="45" w:type="dxa"/>
              <w:bottom w:w="45" w:type="dxa"/>
              <w:left w:w="80" w:type="dxa"/>
              <w:right w:w="80" w:type="dxa"/>
            </w:tcMar>
          </w:tcPr>
          <w:p>
            <w:pPr>
              <w:spacing w:after="0" w:line="264" w:lineRule="auto"/>
            </w:pPr>
            <w:r>
              <w:rPr>
                <w:rFonts w:ascii="Arial" w:hAnsi="Arial"/>
                <w:color w:val="2D3748"/>
                <w:sz w:val="17"/>
              </w:rPr>
              <w:t>Measures epistemic uncertainty, confusion, and seeking external reassurance.</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Relevance to Task &amp; Productivity</w:t>
            </w:r>
          </w:p>
        </w:tc>
        <w:tc>
          <w:tcPr>
            <w:tcW w:type="dxa" w:w="6912"/>
            <w:shd w:fill="F7FAFC"/>
            <w:tcMar>
              <w:top w:w="45" w:type="dxa"/>
              <w:bottom w:w="45" w:type="dxa"/>
              <w:left w:w="80" w:type="dxa"/>
              <w:right w:w="80" w:type="dxa"/>
            </w:tcMar>
          </w:tcPr>
          <w:p>
            <w:pPr>
              <w:spacing w:after="0" w:line="264" w:lineRule="auto"/>
            </w:pPr>
            <w:r>
              <w:rPr>
                <w:rFonts w:ascii="Arial" w:hAnsi="Arial"/>
                <w:color w:val="2D3748"/>
                <w:sz w:val="17"/>
              </w:rPr>
              <w:t>Extremely elevated in ADHD and procrastination forums (2.09 per post vs 0.35 in Dreaddit), as users seek external executive scaffolding.</w:t>
            </w:r>
          </w:p>
        </w:tc>
      </w:tr>
      <w:tr>
        <w:tc>
          <w:tcPr>
            <w:tcW w:type="dxa" w:w="2880"/>
            <w:shd w:fill="EDF2F7"/>
            <w:tcMar>
              <w:top w:w="45" w:type="dxa"/>
              <w:bottom w:w="45" w:type="dxa"/>
              <w:left w:w="80" w:type="dxa"/>
              <w:right w:w="80" w:type="dxa"/>
            </w:tcMar>
          </w:tcPr>
          <w:p>
            <w:pPr>
              <w:spacing w:after="0"/>
            </w:pPr>
            <w:r>
              <w:rPr>
                <w:rFonts w:ascii="Arial" w:hAnsi="Arial"/>
                <w:b/>
                <w:color w:val="1A365D"/>
                <w:sz w:val="17"/>
              </w:rPr>
              <w:t>Viva Voce Defense Soundbite</w:t>
            </w:r>
          </w:p>
        </w:tc>
        <w:tc>
          <w:tcPr>
            <w:tcW w:type="dxa" w:w="6912"/>
            <w:shd w:fill="FFFFFF"/>
            <w:tcMar>
              <w:top w:w="45" w:type="dxa"/>
              <w:bottom w:w="45" w:type="dxa"/>
              <w:left w:w="80" w:type="dxa"/>
              <w:right w:w="80" w:type="dxa"/>
            </w:tcMar>
          </w:tcPr>
          <w:p>
            <w:pPr>
              <w:spacing w:after="0" w:line="264" w:lineRule="auto"/>
            </w:pPr>
            <w:r>
              <w:rPr>
                <w:rFonts w:ascii="Arial" w:hAnsi="Arial"/>
                <w:i/>
                <w:color w:val="319795"/>
                <w:sz w:val="17"/>
              </w:rPr>
              <w:t>'Question count measures epistemic confusion and reassurance-seeking, common behavioral symptoms of executive task paralysis.'</w:t>
            </w:r>
          </w:p>
        </w:tc>
      </w:tr>
    </w:tbl>
    <w:p>
      <w:pPr>
        <w:spacing w:after="40"/>
      </w:pPr>
    </w:p>
    <w:p>
      <w:pPr>
        <w:pStyle w:val="Heading1"/>
      </w:pPr>
      <w:r>
        <w:rPr>
          <w:rFonts w:ascii="Arial" w:hAnsi="Arial"/>
          <w:color w:val="1A365D"/>
          <w:sz w:val="28"/>
        </w:rPr>
        <w:t>4. Visual Exploratory Data Analysis Guide (Figures 1–8)</w:t>
      </w:r>
    </w:p>
    <w:p>
      <w:pPr>
        <w:spacing w:after="120"/>
      </w:pPr>
      <w:r>
        <w:t>Each plot generated in eda_project.ipynb was specifically designed to answer an empirical research question. Below is the exact interpretation guide for Figures 1 through 8:</w:t>
      </w:r>
    </w:p>
    <w:p>
      <w:pPr>
        <w:spacing w:before="100" w:after="40"/>
      </w:pPr>
      <w:r>
        <w:rPr>
          <w:rFonts w:ascii="Arial" w:hAnsi="Arial"/>
          <w:b/>
          <w:color w:val="2B6CB0"/>
          <w:sz w:val="20"/>
        </w:rPr>
        <w:t>• Figure 1: Subreddit Stress Proportion &amp; Class Balance</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Shows overall class balance (52.4% stressed vs 47.6% not-stressed) and horizontal stacked bar charts across subreddits.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Stress prevalence is strongly context-dependent: subreddits like r/ptsd and r/domesticviolence exceed 85% stress, whereas r/assistance is ~32%.</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1 proves that stress is not uniformly distributed across online spaces. It shows that our dataset avoids global class imbalance while capturing sharp domain-specific emotional baselines.'</w:t>
            </w:r>
          </w:p>
        </w:tc>
      </w:tr>
    </w:tbl>
    <w:p>
      <w:pPr>
        <w:spacing w:after="40"/>
      </w:pPr>
    </w:p>
    <w:p>
      <w:pPr>
        <w:spacing w:before="100" w:after="40"/>
      </w:pPr>
      <w:r>
        <w:rPr>
          <w:rFonts w:ascii="Arial" w:hAnsi="Arial"/>
          <w:b/>
          <w:color w:val="2B6CB0"/>
          <w:sz w:val="20"/>
        </w:rPr>
        <w:t>• Figure 2: Text Structural Complexity &amp; Readability</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Multi-panel plot with KDE curves for word count and lexical diversity (TTR), and boxplots for sentence count and Flesch-Kincaid Grade level.</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Stressed posts maintain similar word count distributions (~38 words) but exhibit a slight compression in lexical diversity, indicating verbal looping. Readability medians cluster around grade 5-6, indicating conversational prose.</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2 demonstrates that stress does not simply make texts longer or shorter; rather, it subtly constrains lexical variety (TTR), consistent with cognitive load theory.'</w:t>
            </w:r>
          </w:p>
        </w:tc>
      </w:tr>
    </w:tbl>
    <w:p>
      <w:pPr>
        <w:spacing w:after="40"/>
      </w:pPr>
    </w:p>
    <w:p>
      <w:pPr>
        <w:spacing w:before="100" w:after="40"/>
      </w:pPr>
      <w:r>
        <w:rPr>
          <w:rFonts w:ascii="Arial" w:hAnsi="Arial"/>
          <w:b/>
          <w:color w:val="2B6CB0"/>
          <w:sz w:val="20"/>
        </w:rPr>
        <w:t>• Figure 3: Affective &amp; Emotional Distributions (Tone, Anxiety, Sadness, Anger)</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Multi-panel violin plots illustrating distribution shapes of Tone, Anxiety, Sadness, and Anger across classes.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Tone collapses dramatically in the stressed class (violin bulb near zero). Anxiety and anger exhibit elongated positive tails in stressed posts.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3 highlights the emotional profile of stress: a profound collapse in positive affective tone coupled with significant positive skew in acute anxiety and anger markers.'</w:t>
            </w:r>
          </w:p>
        </w:tc>
      </w:tr>
    </w:tbl>
    <w:p>
      <w:pPr>
        <w:spacing w:after="40"/>
      </w:pPr>
    </w:p>
    <w:p>
      <w:pPr>
        <w:spacing w:before="100" w:after="40"/>
      </w:pPr>
      <w:r>
        <w:rPr>
          <w:rFonts w:ascii="Arial" w:hAnsi="Arial"/>
          <w:b/>
          <w:color w:val="2B6CB0"/>
          <w:sz w:val="20"/>
        </w:rPr>
        <w:t>• Figure 4: The Temporal Focus &amp; Procrastination Hypothesis</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Grouped bar charts comparing past, present, and future focus rates (%) with error bars and mean annotations.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Stressed posts exhibit significantly higher past focus (rumination) and present focus (immediate distress), with reduced or fearful future orientation.</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4 provides empirical validation for our literature review on procrastination. Stressed individuals ruminate significantly more on the past, illustrating the backward-looking guilt of missed deadlines.'</w:t>
            </w:r>
          </w:p>
        </w:tc>
      </w:tr>
    </w:tbl>
    <w:p>
      <w:pPr>
        <w:spacing w:after="40"/>
      </w:pPr>
    </w:p>
    <w:p>
      <w:pPr>
        <w:spacing w:before="100" w:after="40"/>
      </w:pPr>
      <w:r>
        <w:rPr>
          <w:rFonts w:ascii="Arial" w:hAnsi="Arial"/>
          <w:b/>
          <w:color w:val="2B6CB0"/>
          <w:sz w:val="20"/>
        </w:rPr>
        <w:t>• Figure 5: Cognitive Conflict &amp; Self-Referential 'I'-Talk</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Boxplots comparing discrepancy words ('should/would/could'), cognitive processes, and first-person singular pronouns ('I'-talk).</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Mean 'I'-talk surges from 7.3% to 10.8% in stressed text. Discrepancy words show elevated upper quartiles in stressed narratives.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5 proves that acute stress narrows psychological focus inward. First-person pronoun density surges significantly, reflecting egocentric cognitive narrowing during task crisis.'</w:t>
            </w:r>
          </w:p>
        </w:tc>
      </w:tr>
    </w:tbl>
    <w:p>
      <w:pPr>
        <w:spacing w:after="40"/>
      </w:pPr>
    </w:p>
    <w:p>
      <w:pPr>
        <w:spacing w:before="100" w:after="40"/>
      </w:pPr>
      <w:r>
        <w:rPr>
          <w:rFonts w:ascii="Arial" w:hAnsi="Arial"/>
          <w:b/>
          <w:color w:val="2B6CB0"/>
          <w:sz w:val="20"/>
        </w:rPr>
        <w:t>• Figure 6: Correlation Matrix of Psycholinguistic Dimensions</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Annotated 16x16 lower-triangle Pearson correlation heatmap with diverging coolwarm color scale.</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Tone negatively correlates with Stress (-0.42), Anxiety (-0.35), and Anger (-0.31). I-talk positively correlates with stress and anxiety.</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6 reveals the structural correlation fabric: negative affect and egocentric pronouns cluster tightly with the stress label, while lexical diversity remains largely orthogonal.'</w:t>
            </w:r>
          </w:p>
        </w:tc>
      </w:tr>
    </w:tbl>
    <w:p>
      <w:pPr>
        <w:spacing w:after="40"/>
      </w:pPr>
    </w:p>
    <w:p>
      <w:pPr>
        <w:spacing w:before="100" w:after="40"/>
      </w:pPr>
      <w:r>
        <w:rPr>
          <w:rFonts w:ascii="Arial" w:hAnsi="Arial"/>
          <w:b/>
          <w:color w:val="2B6CB0"/>
          <w:sz w:val="20"/>
        </w:rPr>
        <w:t>• Figure 7: Top Distinguishing N-Grams</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Horizontal comparative bar charts showing top bigrams for Stressed vs Non-Stressed posts.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Stressed text is dominated by phrases of subjective helplessness ('feel like', 'panic attack', 'cant deal'). Non-stressed text features constructive descriptions ('year old', 'high school', 'new job').</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7 provides qualitative textual evidence: while non-stressed bigrams describe objective situational contexts, stressed bigrams reflect visceral emotional coping and helplessness.'</w:t>
            </w:r>
          </w:p>
        </w:tc>
      </w:tr>
    </w:tbl>
    <w:p>
      <w:pPr>
        <w:spacing w:after="40"/>
      </w:pPr>
    </w:p>
    <w:p>
      <w:pPr>
        <w:spacing w:before="100" w:after="40"/>
      </w:pPr>
      <w:r>
        <w:rPr>
          <w:rFonts w:ascii="Arial" w:hAnsi="Arial"/>
          <w:b/>
          <w:color w:val="2B6CB0"/>
          <w:sz w:val="20"/>
        </w:rPr>
        <w:t>• Figure 8: Latent Dirichlet Allocation (LDA) Topic Prevalence in ADHD</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Horizontal bar chart showing the prevalence of 5 discovered latent topics across 4,933 ADHD submissions.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Topic 3 ('Task Initiation, Habit Building &amp; Procrastination Coping') accounts for over 20% of discourse, featuring keywords like 'task', 'start', 'clean', 'goal', and 'small'.</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8 ties directly back to our project title on task management. LDA proves that task initiation and procrastination coping form a major independent thematic pillar in attention deficit discourse.'</w:t>
            </w:r>
          </w:p>
        </w:tc>
      </w:tr>
    </w:tbl>
    <w:p>
      <w:pPr>
        <w:spacing w:after="40"/>
      </w:pPr>
    </w:p>
    <w:p>
      <w:pPr>
        <w:pStyle w:val="Heading1"/>
      </w:pPr>
      <w:r>
        <w:rPr>
          <w:rFonts w:ascii="Arial" w:hAnsi="Arial"/>
          <w:color w:val="1A365D"/>
          <w:sz w:val="28"/>
        </w:rPr>
        <w:t>5. Inferential Statistics: Mann-Whitney U &amp; Cohen's d Defense</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A365D"/>
            <w:tcMar>
              <w:top w:w="40" w:type="dxa"/>
              <w:bottom w:w="40" w:type="dxa"/>
              <w:left w:w="50" w:type="dxa"/>
              <w:right w:w="50" w:type="dxa"/>
            </w:tcMar>
          </w:tcPr>
          <w:p>
            <w:pPr>
              <w:spacing w:after="40"/>
            </w:pPr>
            <w:r>
              <w:rPr>
                <w:rFonts w:ascii="Arial" w:hAnsi="Arial"/>
                <w:b/>
                <w:color w:val="FFFFFF"/>
                <w:sz w:val="17"/>
              </w:rPr>
              <w:t>Feature</w:t>
            </w:r>
          </w:p>
        </w:tc>
        <w:tc>
          <w:tcPr>
            <w:tcW w:type="dxa" w:w="1632"/>
            <w:shd w:fill="1A365D"/>
            <w:tcMar>
              <w:top w:w="40" w:type="dxa"/>
              <w:bottom w:w="40" w:type="dxa"/>
              <w:left w:w="50" w:type="dxa"/>
              <w:right w:w="50" w:type="dxa"/>
            </w:tcMar>
          </w:tcPr>
          <w:p>
            <w:pPr>
              <w:spacing w:after="40"/>
            </w:pPr>
            <w:r>
              <w:rPr>
                <w:rFonts w:ascii="Arial" w:hAnsi="Arial"/>
                <w:b/>
                <w:color w:val="FFFFFF"/>
                <w:sz w:val="17"/>
              </w:rPr>
              <w:t>Stressed Mean</w:t>
            </w:r>
          </w:p>
        </w:tc>
        <w:tc>
          <w:tcPr>
            <w:tcW w:type="dxa" w:w="1632"/>
            <w:shd w:fill="1A365D"/>
            <w:tcMar>
              <w:top w:w="40" w:type="dxa"/>
              <w:bottom w:w="40" w:type="dxa"/>
              <w:left w:w="50" w:type="dxa"/>
              <w:right w:w="50" w:type="dxa"/>
            </w:tcMar>
          </w:tcPr>
          <w:p>
            <w:pPr>
              <w:spacing w:after="40"/>
            </w:pPr>
            <w:r>
              <w:rPr>
                <w:rFonts w:ascii="Arial" w:hAnsi="Arial"/>
                <w:b/>
                <w:color w:val="FFFFFF"/>
                <w:sz w:val="17"/>
              </w:rPr>
              <w:t>Non-Stressed Mean</w:t>
            </w:r>
          </w:p>
        </w:tc>
        <w:tc>
          <w:tcPr>
            <w:tcW w:type="dxa" w:w="1632"/>
            <w:shd w:fill="1A365D"/>
            <w:tcMar>
              <w:top w:w="40" w:type="dxa"/>
              <w:bottom w:w="40" w:type="dxa"/>
              <w:left w:w="50" w:type="dxa"/>
              <w:right w:w="50" w:type="dxa"/>
            </w:tcMar>
          </w:tcPr>
          <w:p>
            <w:pPr>
              <w:spacing w:after="40"/>
            </w:pPr>
            <w:r>
              <w:rPr>
                <w:rFonts w:ascii="Arial" w:hAnsi="Arial"/>
                <w:b/>
                <w:color w:val="FFFFFF"/>
                <w:sz w:val="17"/>
              </w:rPr>
              <w:t>p-value</w:t>
            </w:r>
          </w:p>
        </w:tc>
        <w:tc>
          <w:tcPr>
            <w:tcW w:type="dxa" w:w="1632"/>
            <w:shd w:fill="1A365D"/>
            <w:tcMar>
              <w:top w:w="40" w:type="dxa"/>
              <w:bottom w:w="40" w:type="dxa"/>
              <w:left w:w="50" w:type="dxa"/>
              <w:right w:w="50" w:type="dxa"/>
            </w:tcMar>
          </w:tcPr>
          <w:p>
            <w:pPr>
              <w:spacing w:after="40"/>
            </w:pPr>
            <w:r>
              <w:rPr>
                <w:rFonts w:ascii="Arial" w:hAnsi="Arial"/>
                <w:b/>
                <w:color w:val="FFFFFF"/>
                <w:sz w:val="17"/>
              </w:rPr>
              <w:t>Cohen's d</w:t>
            </w:r>
          </w:p>
        </w:tc>
        <w:tc>
          <w:tcPr>
            <w:tcW w:type="dxa" w:w="1632"/>
            <w:shd w:fill="1A365D"/>
            <w:tcMar>
              <w:top w:w="40" w:type="dxa"/>
              <w:bottom w:w="40" w:type="dxa"/>
              <w:left w:w="50" w:type="dxa"/>
              <w:right w:w="50" w:type="dxa"/>
            </w:tcMar>
          </w:tcPr>
          <w:p>
            <w:pPr>
              <w:spacing w:after="40"/>
            </w:pPr>
            <w:r>
              <w:rPr>
                <w:rFonts w:ascii="Arial" w:hAnsi="Arial"/>
                <w:b/>
                <w:color w:val="FFFFFF"/>
                <w:sz w:val="17"/>
              </w:rPr>
              <w:t>Magnitude</w:t>
            </w:r>
          </w:p>
        </w:tc>
      </w:tr>
      <w:tr>
        <w:tc>
          <w:tcPr>
            <w:tcW w:type="dxa" w:w="1632"/>
            <w:shd w:fill="FFFFFF"/>
            <w:tcMar>
              <w:top w:w="40" w:type="dxa"/>
              <w:bottom w:w="40" w:type="dxa"/>
              <w:left w:w="50" w:type="dxa"/>
              <w:right w:w="50" w:type="dxa"/>
            </w:tcMar>
          </w:tcPr>
          <w:p>
            <w:pPr>
              <w:spacing w:after="0"/>
            </w:pPr>
            <w:r>
              <w:rPr>
                <w:rFonts w:ascii="Arial" w:hAnsi="Arial"/>
                <w:color w:val="2D3748"/>
                <w:sz w:val="17"/>
              </w:rPr>
              <w:t>lex_liwc_Tone</w:t>
            </w:r>
          </w:p>
        </w:tc>
        <w:tc>
          <w:tcPr>
            <w:tcW w:type="dxa" w:w="1632"/>
            <w:shd w:fill="FFFFFF"/>
            <w:tcMar>
              <w:top w:w="40" w:type="dxa"/>
              <w:bottom w:w="40" w:type="dxa"/>
              <w:left w:w="50" w:type="dxa"/>
              <w:right w:w="50" w:type="dxa"/>
            </w:tcMar>
          </w:tcPr>
          <w:p>
            <w:pPr>
              <w:spacing w:after="0"/>
            </w:pPr>
            <w:r>
              <w:rPr>
                <w:rFonts w:ascii="Arial" w:hAnsi="Arial"/>
                <w:color w:val="2D3748"/>
                <w:sz w:val="17"/>
              </w:rPr>
              <w:t>18.04</w:t>
            </w:r>
          </w:p>
        </w:tc>
        <w:tc>
          <w:tcPr>
            <w:tcW w:type="dxa" w:w="1632"/>
            <w:shd w:fill="FFFFFF"/>
            <w:tcMar>
              <w:top w:w="40" w:type="dxa"/>
              <w:bottom w:w="40" w:type="dxa"/>
              <w:left w:w="50" w:type="dxa"/>
              <w:right w:w="50" w:type="dxa"/>
            </w:tcMar>
          </w:tcPr>
          <w:p>
            <w:pPr>
              <w:spacing w:after="0"/>
            </w:pPr>
            <w:r>
              <w:rPr>
                <w:rFonts w:ascii="Arial" w:hAnsi="Arial"/>
                <w:color w:val="2D3748"/>
                <w:sz w:val="17"/>
              </w:rPr>
              <w:t>49.50</w:t>
            </w:r>
          </w:p>
        </w:tc>
        <w:tc>
          <w:tcPr>
            <w:tcW w:type="dxa" w:w="1632"/>
            <w:shd w:fill="FFFFFF"/>
            <w:tcMar>
              <w:top w:w="40" w:type="dxa"/>
              <w:bottom w:w="40" w:type="dxa"/>
              <w:left w:w="50" w:type="dxa"/>
              <w:right w:w="50" w:type="dxa"/>
            </w:tcMar>
          </w:tcPr>
          <w:p>
            <w:pPr>
              <w:spacing w:after="0"/>
            </w:pPr>
            <w:r>
              <w:rPr>
                <w:rFonts w:ascii="Arial" w:hAnsi="Arial"/>
                <w:color w:val="2D3748"/>
                <w:sz w:val="17"/>
              </w:rPr>
              <w:t>&lt; 1e-160</w:t>
            </w:r>
          </w:p>
        </w:tc>
        <w:tc>
          <w:tcPr>
            <w:tcW w:type="dxa" w:w="1632"/>
            <w:shd w:fill="FFFFFF"/>
            <w:tcMar>
              <w:top w:w="40" w:type="dxa"/>
              <w:bottom w:w="40" w:type="dxa"/>
              <w:left w:w="50" w:type="dxa"/>
              <w:right w:w="50" w:type="dxa"/>
            </w:tcMar>
          </w:tcPr>
          <w:p>
            <w:pPr>
              <w:spacing w:after="0"/>
            </w:pPr>
            <w:r>
              <w:rPr>
                <w:rFonts w:ascii="Arial" w:hAnsi="Arial"/>
                <w:color w:val="2B6CB0"/>
                <w:sz w:val="17"/>
              </w:rPr>
              <w:t>-1.0031</w:t>
            </w:r>
          </w:p>
        </w:tc>
        <w:tc>
          <w:tcPr>
            <w:tcW w:type="dxa" w:w="1632"/>
            <w:shd w:fill="FFFFFF"/>
            <w:tcMar>
              <w:top w:w="40" w:type="dxa"/>
              <w:bottom w:w="40" w:type="dxa"/>
              <w:left w:w="50" w:type="dxa"/>
              <w:right w:w="50" w:type="dxa"/>
            </w:tcMar>
          </w:tcPr>
          <w:p>
            <w:pPr>
              <w:spacing w:after="0"/>
            </w:pPr>
            <w:r>
              <w:rPr>
                <w:rFonts w:ascii="Arial" w:hAnsi="Arial"/>
                <w:color w:val="2D3748"/>
                <w:sz w:val="17"/>
              </w:rPr>
              <w:t>Large</w:t>
            </w:r>
          </w:p>
        </w:tc>
      </w:tr>
      <w:tr>
        <w:tc>
          <w:tcPr>
            <w:tcW w:type="dxa" w:w="1632"/>
            <w:shd w:fill="F7FAFC"/>
            <w:tcMar>
              <w:top w:w="40" w:type="dxa"/>
              <w:bottom w:w="40" w:type="dxa"/>
              <w:left w:w="50" w:type="dxa"/>
              <w:right w:w="50" w:type="dxa"/>
            </w:tcMar>
          </w:tcPr>
          <w:p>
            <w:pPr>
              <w:spacing w:after="0"/>
            </w:pPr>
            <w:r>
              <w:rPr>
                <w:rFonts w:ascii="Arial" w:hAnsi="Arial"/>
                <w:color w:val="2D3748"/>
                <w:sz w:val="17"/>
              </w:rPr>
              <w:t>lex_liwc_i</w:t>
            </w:r>
          </w:p>
        </w:tc>
        <w:tc>
          <w:tcPr>
            <w:tcW w:type="dxa" w:w="1632"/>
            <w:shd w:fill="F7FAFC"/>
            <w:tcMar>
              <w:top w:w="40" w:type="dxa"/>
              <w:bottom w:w="40" w:type="dxa"/>
              <w:left w:w="50" w:type="dxa"/>
              <w:right w:w="50" w:type="dxa"/>
            </w:tcMar>
          </w:tcPr>
          <w:p>
            <w:pPr>
              <w:spacing w:after="0"/>
            </w:pPr>
            <w:r>
              <w:rPr>
                <w:rFonts w:ascii="Arial" w:hAnsi="Arial"/>
                <w:color w:val="2D3748"/>
                <w:sz w:val="17"/>
              </w:rPr>
              <w:t>10.84</w:t>
            </w:r>
          </w:p>
        </w:tc>
        <w:tc>
          <w:tcPr>
            <w:tcW w:type="dxa" w:w="1632"/>
            <w:shd w:fill="F7FAFC"/>
            <w:tcMar>
              <w:top w:w="40" w:type="dxa"/>
              <w:bottom w:w="40" w:type="dxa"/>
              <w:left w:w="50" w:type="dxa"/>
              <w:right w:w="50" w:type="dxa"/>
            </w:tcMar>
          </w:tcPr>
          <w:p>
            <w:pPr>
              <w:spacing w:after="0"/>
            </w:pPr>
            <w:r>
              <w:rPr>
                <w:rFonts w:ascii="Arial" w:hAnsi="Arial"/>
                <w:color w:val="2D3748"/>
                <w:sz w:val="17"/>
              </w:rPr>
              <w:t>7.31</w:t>
            </w:r>
          </w:p>
        </w:tc>
        <w:tc>
          <w:tcPr>
            <w:tcW w:type="dxa" w:w="1632"/>
            <w:shd w:fill="F7FAFC"/>
            <w:tcMar>
              <w:top w:w="40" w:type="dxa"/>
              <w:bottom w:w="40" w:type="dxa"/>
              <w:left w:w="50" w:type="dxa"/>
              <w:right w:w="50" w:type="dxa"/>
            </w:tcMar>
          </w:tcPr>
          <w:p>
            <w:pPr>
              <w:spacing w:after="0"/>
            </w:pPr>
            <w:r>
              <w:rPr>
                <w:rFonts w:ascii="Arial" w:hAnsi="Arial"/>
                <w:color w:val="2D3748"/>
                <w:sz w:val="17"/>
              </w:rPr>
              <w:t>&lt; 1e-114</w:t>
            </w:r>
          </w:p>
        </w:tc>
        <w:tc>
          <w:tcPr>
            <w:tcW w:type="dxa" w:w="1632"/>
            <w:shd w:fill="F7FAFC"/>
            <w:tcMar>
              <w:top w:w="40" w:type="dxa"/>
              <w:bottom w:w="40" w:type="dxa"/>
              <w:left w:w="50" w:type="dxa"/>
              <w:right w:w="50" w:type="dxa"/>
            </w:tcMar>
          </w:tcPr>
          <w:p>
            <w:pPr>
              <w:spacing w:after="0"/>
            </w:pPr>
            <w:r>
              <w:rPr>
                <w:rFonts w:ascii="Arial" w:hAnsi="Arial"/>
                <w:color w:val="C53030"/>
                <w:sz w:val="17"/>
              </w:rPr>
              <w:t>+0.8316</w:t>
            </w:r>
          </w:p>
        </w:tc>
        <w:tc>
          <w:tcPr>
            <w:tcW w:type="dxa" w:w="1632"/>
            <w:shd w:fill="F7FAFC"/>
            <w:tcMar>
              <w:top w:w="40" w:type="dxa"/>
              <w:bottom w:w="40" w:type="dxa"/>
              <w:left w:w="50" w:type="dxa"/>
              <w:right w:w="50" w:type="dxa"/>
            </w:tcMar>
          </w:tcPr>
          <w:p>
            <w:pPr>
              <w:spacing w:after="0"/>
            </w:pPr>
            <w:r>
              <w:rPr>
                <w:rFonts w:ascii="Arial" w:hAnsi="Arial"/>
                <w:color w:val="2D3748"/>
                <w:sz w:val="17"/>
              </w:rPr>
              <w:t>Large</w:t>
            </w:r>
          </w:p>
        </w:tc>
      </w:tr>
      <w:tr>
        <w:tc>
          <w:tcPr>
            <w:tcW w:type="dxa" w:w="1632"/>
            <w:shd w:fill="FFFFFF"/>
            <w:tcMar>
              <w:top w:w="40" w:type="dxa"/>
              <w:bottom w:w="40" w:type="dxa"/>
              <w:left w:w="50" w:type="dxa"/>
              <w:right w:w="50" w:type="dxa"/>
            </w:tcMar>
          </w:tcPr>
          <w:p>
            <w:pPr>
              <w:spacing w:after="0"/>
            </w:pPr>
            <w:r>
              <w:rPr>
                <w:rFonts w:ascii="Arial" w:hAnsi="Arial"/>
                <w:color w:val="2D3748"/>
                <w:sz w:val="17"/>
              </w:rPr>
              <w:t>sentiment</w:t>
            </w:r>
          </w:p>
        </w:tc>
        <w:tc>
          <w:tcPr>
            <w:tcW w:type="dxa" w:w="1632"/>
            <w:shd w:fill="FFFFFF"/>
            <w:tcMar>
              <w:top w:w="40" w:type="dxa"/>
              <w:bottom w:w="40" w:type="dxa"/>
              <w:left w:w="50" w:type="dxa"/>
              <w:right w:w="50" w:type="dxa"/>
            </w:tcMar>
          </w:tcPr>
          <w:p>
            <w:pPr>
              <w:spacing w:after="0"/>
            </w:pPr>
            <w:r>
              <w:rPr>
                <w:rFonts w:ascii="Arial" w:hAnsi="Arial"/>
                <w:color w:val="2D3748"/>
                <w:sz w:val="17"/>
              </w:rPr>
              <w:t>-0.016</w:t>
            </w:r>
          </w:p>
        </w:tc>
        <w:tc>
          <w:tcPr>
            <w:tcW w:type="dxa" w:w="1632"/>
            <w:shd w:fill="FFFFFF"/>
            <w:tcMar>
              <w:top w:w="40" w:type="dxa"/>
              <w:bottom w:w="40" w:type="dxa"/>
              <w:left w:w="50" w:type="dxa"/>
              <w:right w:w="50" w:type="dxa"/>
            </w:tcMar>
          </w:tcPr>
          <w:p>
            <w:pPr>
              <w:spacing w:after="0"/>
            </w:pPr>
            <w:r>
              <w:rPr>
                <w:rFonts w:ascii="Arial" w:hAnsi="Arial"/>
                <w:color w:val="2D3748"/>
                <w:sz w:val="17"/>
              </w:rPr>
              <w:t>+0.105</w:t>
            </w:r>
          </w:p>
        </w:tc>
        <w:tc>
          <w:tcPr>
            <w:tcW w:type="dxa" w:w="1632"/>
            <w:shd w:fill="FFFFFF"/>
            <w:tcMar>
              <w:top w:w="40" w:type="dxa"/>
              <w:bottom w:w="40" w:type="dxa"/>
              <w:left w:w="50" w:type="dxa"/>
              <w:right w:w="50" w:type="dxa"/>
            </w:tcMar>
          </w:tcPr>
          <w:p>
            <w:pPr>
              <w:spacing w:after="0"/>
            </w:pPr>
            <w:r>
              <w:rPr>
                <w:rFonts w:ascii="Arial" w:hAnsi="Arial"/>
                <w:color w:val="2D3748"/>
                <w:sz w:val="17"/>
              </w:rPr>
              <w:t>&lt; 1e-85</w:t>
            </w:r>
          </w:p>
        </w:tc>
        <w:tc>
          <w:tcPr>
            <w:tcW w:type="dxa" w:w="1632"/>
            <w:shd w:fill="FFFFFF"/>
            <w:tcMar>
              <w:top w:w="40" w:type="dxa"/>
              <w:bottom w:w="40" w:type="dxa"/>
              <w:left w:w="50" w:type="dxa"/>
              <w:right w:w="50" w:type="dxa"/>
            </w:tcMar>
          </w:tcPr>
          <w:p>
            <w:pPr>
              <w:spacing w:after="0"/>
            </w:pPr>
            <w:r>
              <w:rPr>
                <w:rFonts w:ascii="Arial" w:hAnsi="Arial"/>
                <w:color w:val="2B6CB0"/>
                <w:sz w:val="17"/>
              </w:rPr>
              <w:t>-0.6526</w:t>
            </w:r>
          </w:p>
        </w:tc>
        <w:tc>
          <w:tcPr>
            <w:tcW w:type="dxa" w:w="1632"/>
            <w:shd w:fill="FFFFFF"/>
            <w:tcMar>
              <w:top w:w="40" w:type="dxa"/>
              <w:bottom w:w="40" w:type="dxa"/>
              <w:left w:w="50" w:type="dxa"/>
              <w:right w:w="50" w:type="dxa"/>
            </w:tcMar>
          </w:tcPr>
          <w:p>
            <w:pPr>
              <w:spacing w:after="0"/>
            </w:pPr>
            <w:r>
              <w:rPr>
                <w:rFonts w:ascii="Arial" w:hAnsi="Arial"/>
                <w:color w:val="2D3748"/>
                <w:sz w:val="17"/>
              </w:rPr>
              <w:t>Medium</w:t>
            </w:r>
          </w:p>
        </w:tc>
      </w:tr>
      <w:tr>
        <w:tc>
          <w:tcPr>
            <w:tcW w:type="dxa" w:w="1632"/>
            <w:shd w:fill="F7FAFC"/>
            <w:tcMar>
              <w:top w:w="40" w:type="dxa"/>
              <w:bottom w:w="40" w:type="dxa"/>
              <w:left w:w="50" w:type="dxa"/>
              <w:right w:w="50" w:type="dxa"/>
            </w:tcMar>
          </w:tcPr>
          <w:p>
            <w:pPr>
              <w:spacing w:after="0"/>
            </w:pPr>
            <w:r>
              <w:rPr>
                <w:rFonts w:ascii="Arial" w:hAnsi="Arial"/>
                <w:color w:val="2D3748"/>
                <w:sz w:val="17"/>
              </w:rPr>
              <w:t>lex_liwc_anx</w:t>
            </w:r>
          </w:p>
        </w:tc>
        <w:tc>
          <w:tcPr>
            <w:tcW w:type="dxa" w:w="1632"/>
            <w:shd w:fill="F7FAFC"/>
            <w:tcMar>
              <w:top w:w="40" w:type="dxa"/>
              <w:bottom w:w="40" w:type="dxa"/>
              <w:left w:w="50" w:type="dxa"/>
              <w:right w:w="50" w:type="dxa"/>
            </w:tcMar>
          </w:tcPr>
          <w:p>
            <w:pPr>
              <w:spacing w:after="0"/>
            </w:pPr>
            <w:r>
              <w:rPr>
                <w:rFonts w:ascii="Arial" w:hAnsi="Arial"/>
                <w:color w:val="2D3748"/>
                <w:sz w:val="17"/>
              </w:rPr>
              <w:t>1.31%</w:t>
            </w:r>
          </w:p>
        </w:tc>
        <w:tc>
          <w:tcPr>
            <w:tcW w:type="dxa" w:w="1632"/>
            <w:shd w:fill="F7FAFC"/>
            <w:tcMar>
              <w:top w:w="40" w:type="dxa"/>
              <w:bottom w:w="40" w:type="dxa"/>
              <w:left w:w="50" w:type="dxa"/>
              <w:right w:w="50" w:type="dxa"/>
            </w:tcMar>
          </w:tcPr>
          <w:p>
            <w:pPr>
              <w:spacing w:after="0"/>
            </w:pPr>
            <w:r>
              <w:rPr>
                <w:rFonts w:ascii="Arial" w:hAnsi="Arial"/>
                <w:color w:val="2D3748"/>
                <w:sz w:val="17"/>
              </w:rPr>
              <w:t>0.51%</w:t>
            </w:r>
          </w:p>
        </w:tc>
        <w:tc>
          <w:tcPr>
            <w:tcW w:type="dxa" w:w="1632"/>
            <w:shd w:fill="F7FAFC"/>
            <w:tcMar>
              <w:top w:w="40" w:type="dxa"/>
              <w:bottom w:w="40" w:type="dxa"/>
              <w:left w:w="50" w:type="dxa"/>
              <w:right w:w="50" w:type="dxa"/>
            </w:tcMar>
          </w:tcPr>
          <w:p>
            <w:pPr>
              <w:spacing w:after="0"/>
            </w:pPr>
            <w:r>
              <w:rPr>
                <w:rFonts w:ascii="Arial" w:hAnsi="Arial"/>
                <w:color w:val="2D3748"/>
                <w:sz w:val="17"/>
              </w:rPr>
              <w:t>&lt; 1e-72</w:t>
            </w:r>
          </w:p>
        </w:tc>
        <w:tc>
          <w:tcPr>
            <w:tcW w:type="dxa" w:w="1632"/>
            <w:shd w:fill="F7FAFC"/>
            <w:tcMar>
              <w:top w:w="40" w:type="dxa"/>
              <w:bottom w:w="40" w:type="dxa"/>
              <w:left w:w="50" w:type="dxa"/>
              <w:right w:w="50" w:type="dxa"/>
            </w:tcMar>
          </w:tcPr>
          <w:p>
            <w:pPr>
              <w:spacing w:after="0"/>
            </w:pPr>
            <w:r>
              <w:rPr>
                <w:rFonts w:ascii="Arial" w:hAnsi="Arial"/>
                <w:color w:val="C53030"/>
                <w:sz w:val="17"/>
              </w:rPr>
              <w:t>+0.5619</w:t>
            </w:r>
          </w:p>
        </w:tc>
        <w:tc>
          <w:tcPr>
            <w:tcW w:type="dxa" w:w="1632"/>
            <w:shd w:fill="F7FAFC"/>
            <w:tcMar>
              <w:top w:w="40" w:type="dxa"/>
              <w:bottom w:w="40" w:type="dxa"/>
              <w:left w:w="50" w:type="dxa"/>
              <w:right w:w="50" w:type="dxa"/>
            </w:tcMar>
          </w:tcPr>
          <w:p>
            <w:pPr>
              <w:spacing w:after="0"/>
            </w:pPr>
            <w:r>
              <w:rPr>
                <w:rFonts w:ascii="Arial" w:hAnsi="Arial"/>
                <w:color w:val="2D3748"/>
                <w:sz w:val="17"/>
              </w:rPr>
              <w:t>Medium</w:t>
            </w:r>
          </w:p>
        </w:tc>
      </w:tr>
      <w:tr>
        <w:tc>
          <w:tcPr>
            <w:tcW w:type="dxa" w:w="1632"/>
            <w:shd w:fill="FFFFFF"/>
            <w:tcMar>
              <w:top w:w="40" w:type="dxa"/>
              <w:bottom w:w="40" w:type="dxa"/>
              <w:left w:w="50" w:type="dxa"/>
              <w:right w:w="50" w:type="dxa"/>
            </w:tcMar>
          </w:tcPr>
          <w:p>
            <w:pPr>
              <w:spacing w:after="0"/>
            </w:pPr>
            <w:r>
              <w:rPr>
                <w:rFonts w:ascii="Arial" w:hAnsi="Arial"/>
                <w:color w:val="2D3748"/>
                <w:sz w:val="17"/>
              </w:rPr>
              <w:t>lex_liwc_anger</w:t>
            </w:r>
          </w:p>
        </w:tc>
        <w:tc>
          <w:tcPr>
            <w:tcW w:type="dxa" w:w="1632"/>
            <w:shd w:fill="FFFFFF"/>
            <w:tcMar>
              <w:top w:w="40" w:type="dxa"/>
              <w:bottom w:w="40" w:type="dxa"/>
              <w:left w:w="50" w:type="dxa"/>
              <w:right w:w="50" w:type="dxa"/>
            </w:tcMar>
          </w:tcPr>
          <w:p>
            <w:pPr>
              <w:spacing w:after="0"/>
            </w:pPr>
            <w:r>
              <w:rPr>
                <w:rFonts w:ascii="Arial" w:hAnsi="Arial"/>
                <w:color w:val="2D3748"/>
                <w:sz w:val="17"/>
              </w:rPr>
              <w:t>1.22%</w:t>
            </w:r>
          </w:p>
        </w:tc>
        <w:tc>
          <w:tcPr>
            <w:tcW w:type="dxa" w:w="1632"/>
            <w:shd w:fill="FFFFFF"/>
            <w:tcMar>
              <w:top w:w="40" w:type="dxa"/>
              <w:bottom w:w="40" w:type="dxa"/>
              <w:left w:w="50" w:type="dxa"/>
              <w:right w:w="50" w:type="dxa"/>
            </w:tcMar>
          </w:tcPr>
          <w:p>
            <w:pPr>
              <w:spacing w:after="0"/>
            </w:pPr>
            <w:r>
              <w:rPr>
                <w:rFonts w:ascii="Arial" w:hAnsi="Arial"/>
                <w:color w:val="2D3748"/>
                <w:sz w:val="17"/>
              </w:rPr>
              <w:t>0.60%</w:t>
            </w:r>
          </w:p>
        </w:tc>
        <w:tc>
          <w:tcPr>
            <w:tcW w:type="dxa" w:w="1632"/>
            <w:shd w:fill="FFFFFF"/>
            <w:tcMar>
              <w:top w:w="40" w:type="dxa"/>
              <w:bottom w:w="40" w:type="dxa"/>
              <w:left w:w="50" w:type="dxa"/>
              <w:right w:w="50" w:type="dxa"/>
            </w:tcMar>
          </w:tcPr>
          <w:p>
            <w:pPr>
              <w:spacing w:after="0"/>
            </w:pPr>
            <w:r>
              <w:rPr>
                <w:rFonts w:ascii="Arial" w:hAnsi="Arial"/>
                <w:color w:val="2D3748"/>
                <w:sz w:val="17"/>
              </w:rPr>
              <w:t>&lt; 1e-47</w:t>
            </w:r>
          </w:p>
        </w:tc>
        <w:tc>
          <w:tcPr>
            <w:tcW w:type="dxa" w:w="1632"/>
            <w:shd w:fill="FFFFFF"/>
            <w:tcMar>
              <w:top w:w="40" w:type="dxa"/>
              <w:bottom w:w="40" w:type="dxa"/>
              <w:left w:w="50" w:type="dxa"/>
              <w:right w:w="50" w:type="dxa"/>
            </w:tcMar>
          </w:tcPr>
          <w:p>
            <w:pPr>
              <w:spacing w:after="0"/>
            </w:pPr>
            <w:r>
              <w:rPr>
                <w:rFonts w:ascii="Arial" w:hAnsi="Arial"/>
                <w:color w:val="C53030"/>
                <w:sz w:val="17"/>
              </w:rPr>
              <w:t>+0.4446</w:t>
            </w:r>
          </w:p>
        </w:tc>
        <w:tc>
          <w:tcPr>
            <w:tcW w:type="dxa" w:w="1632"/>
            <w:shd w:fill="FFFFFF"/>
            <w:tcMar>
              <w:top w:w="40" w:type="dxa"/>
              <w:bottom w:w="40" w:type="dxa"/>
              <w:left w:w="50" w:type="dxa"/>
              <w:right w:w="50" w:type="dxa"/>
            </w:tcMar>
          </w:tcPr>
          <w:p>
            <w:pPr>
              <w:spacing w:after="0"/>
            </w:pPr>
            <w:r>
              <w:rPr>
                <w:rFonts w:ascii="Arial" w:hAnsi="Arial"/>
                <w:color w:val="2D3748"/>
                <w:sz w:val="17"/>
              </w:rPr>
              <w:t>Small-Med</w:t>
            </w:r>
          </w:p>
        </w:tc>
      </w:tr>
      <w:tr>
        <w:tc>
          <w:tcPr>
            <w:tcW w:type="dxa" w:w="1632"/>
            <w:shd w:fill="F7FAFC"/>
            <w:tcMar>
              <w:top w:w="40" w:type="dxa"/>
              <w:bottom w:w="40" w:type="dxa"/>
              <w:left w:w="50" w:type="dxa"/>
              <w:right w:w="50" w:type="dxa"/>
            </w:tcMar>
          </w:tcPr>
          <w:p>
            <w:pPr>
              <w:spacing w:after="0"/>
            </w:pPr>
            <w:r>
              <w:rPr>
                <w:rFonts w:ascii="Arial" w:hAnsi="Arial"/>
                <w:color w:val="2D3748"/>
                <w:sz w:val="17"/>
              </w:rPr>
              <w:t>lex_liwc_discrep</w:t>
            </w:r>
          </w:p>
        </w:tc>
        <w:tc>
          <w:tcPr>
            <w:tcW w:type="dxa" w:w="1632"/>
            <w:shd w:fill="F7FAFC"/>
            <w:tcMar>
              <w:top w:w="40" w:type="dxa"/>
              <w:bottom w:w="40" w:type="dxa"/>
              <w:left w:w="50" w:type="dxa"/>
              <w:right w:w="50" w:type="dxa"/>
            </w:tcMar>
          </w:tcPr>
          <w:p>
            <w:pPr>
              <w:spacing w:after="0"/>
            </w:pPr>
            <w:r>
              <w:rPr>
                <w:rFonts w:ascii="Arial" w:hAnsi="Arial"/>
                <w:color w:val="2D3748"/>
                <w:sz w:val="17"/>
              </w:rPr>
              <w:t>1.89%</w:t>
            </w:r>
          </w:p>
        </w:tc>
        <w:tc>
          <w:tcPr>
            <w:tcW w:type="dxa" w:w="1632"/>
            <w:shd w:fill="F7FAFC"/>
            <w:tcMar>
              <w:top w:w="40" w:type="dxa"/>
              <w:bottom w:w="40" w:type="dxa"/>
              <w:left w:w="50" w:type="dxa"/>
              <w:right w:w="50" w:type="dxa"/>
            </w:tcMar>
          </w:tcPr>
          <w:p>
            <w:pPr>
              <w:spacing w:after="0"/>
            </w:pPr>
            <w:r>
              <w:rPr>
                <w:rFonts w:ascii="Arial" w:hAnsi="Arial"/>
                <w:color w:val="2D3748"/>
                <w:sz w:val="17"/>
              </w:rPr>
              <w:t>1.42%</w:t>
            </w:r>
          </w:p>
        </w:tc>
        <w:tc>
          <w:tcPr>
            <w:tcW w:type="dxa" w:w="1632"/>
            <w:shd w:fill="F7FAFC"/>
            <w:tcMar>
              <w:top w:w="40" w:type="dxa"/>
              <w:bottom w:w="40" w:type="dxa"/>
              <w:left w:w="50" w:type="dxa"/>
              <w:right w:w="50" w:type="dxa"/>
            </w:tcMar>
          </w:tcPr>
          <w:p>
            <w:pPr>
              <w:spacing w:after="0"/>
            </w:pPr>
            <w:r>
              <w:rPr>
                <w:rFonts w:ascii="Arial" w:hAnsi="Arial"/>
                <w:color w:val="2D3748"/>
                <w:sz w:val="17"/>
              </w:rPr>
              <w:t>&lt; 1e-18</w:t>
            </w:r>
          </w:p>
        </w:tc>
        <w:tc>
          <w:tcPr>
            <w:tcW w:type="dxa" w:w="1632"/>
            <w:shd w:fill="F7FAFC"/>
            <w:tcMar>
              <w:top w:w="40" w:type="dxa"/>
              <w:bottom w:w="40" w:type="dxa"/>
              <w:left w:w="50" w:type="dxa"/>
              <w:right w:w="50" w:type="dxa"/>
            </w:tcMar>
          </w:tcPr>
          <w:p>
            <w:pPr>
              <w:spacing w:after="0"/>
            </w:pPr>
            <w:r>
              <w:rPr>
                <w:rFonts w:ascii="Arial" w:hAnsi="Arial"/>
                <w:color w:val="C53030"/>
                <w:sz w:val="17"/>
              </w:rPr>
              <w:t>+0.2814</w:t>
            </w:r>
          </w:p>
        </w:tc>
        <w:tc>
          <w:tcPr>
            <w:tcW w:type="dxa" w:w="1632"/>
            <w:shd w:fill="F7FAFC"/>
            <w:tcMar>
              <w:top w:w="40" w:type="dxa"/>
              <w:bottom w:w="40" w:type="dxa"/>
              <w:left w:w="50" w:type="dxa"/>
              <w:right w:w="50" w:type="dxa"/>
            </w:tcMar>
          </w:tcPr>
          <w:p>
            <w:pPr>
              <w:spacing w:after="0"/>
            </w:pPr>
            <w:r>
              <w:rPr>
                <w:rFonts w:ascii="Arial" w:hAnsi="Arial"/>
                <w:color w:val="2D3748"/>
                <w:sz w:val="17"/>
              </w:rPr>
              <w:t>Small</w:t>
            </w:r>
          </w:p>
        </w:tc>
      </w:tr>
      <w:tr>
        <w:tc>
          <w:tcPr>
            <w:tcW w:type="dxa" w:w="1632"/>
            <w:shd w:fill="FFFFFF"/>
            <w:tcMar>
              <w:top w:w="40" w:type="dxa"/>
              <w:bottom w:w="40" w:type="dxa"/>
              <w:left w:w="50" w:type="dxa"/>
              <w:right w:w="50" w:type="dxa"/>
            </w:tcMar>
          </w:tcPr>
          <w:p>
            <w:pPr>
              <w:spacing w:after="0"/>
            </w:pPr>
            <w:r>
              <w:rPr>
                <w:rFonts w:ascii="Arial" w:hAnsi="Arial"/>
                <w:color w:val="2D3748"/>
                <w:sz w:val="17"/>
              </w:rPr>
              <w:t>lex_liwc_focuspast</w:t>
            </w:r>
          </w:p>
        </w:tc>
        <w:tc>
          <w:tcPr>
            <w:tcW w:type="dxa" w:w="1632"/>
            <w:shd w:fill="FFFFFF"/>
            <w:tcMar>
              <w:top w:w="40" w:type="dxa"/>
              <w:bottom w:w="40" w:type="dxa"/>
              <w:left w:w="50" w:type="dxa"/>
              <w:right w:w="50" w:type="dxa"/>
            </w:tcMar>
          </w:tcPr>
          <w:p>
            <w:pPr>
              <w:spacing w:after="0"/>
            </w:pPr>
            <w:r>
              <w:rPr>
                <w:rFonts w:ascii="Arial" w:hAnsi="Arial"/>
                <w:color w:val="2D3748"/>
                <w:sz w:val="17"/>
              </w:rPr>
              <w:t>4.82%</w:t>
            </w:r>
          </w:p>
        </w:tc>
        <w:tc>
          <w:tcPr>
            <w:tcW w:type="dxa" w:w="1632"/>
            <w:shd w:fill="FFFFFF"/>
            <w:tcMar>
              <w:top w:w="40" w:type="dxa"/>
              <w:bottom w:w="40" w:type="dxa"/>
              <w:left w:w="50" w:type="dxa"/>
              <w:right w:w="50" w:type="dxa"/>
            </w:tcMar>
          </w:tcPr>
          <w:p>
            <w:pPr>
              <w:spacing w:after="0"/>
            </w:pPr>
            <w:r>
              <w:rPr>
                <w:rFonts w:ascii="Arial" w:hAnsi="Arial"/>
                <w:color w:val="2D3748"/>
                <w:sz w:val="17"/>
              </w:rPr>
              <w:t>4.11%</w:t>
            </w:r>
          </w:p>
        </w:tc>
        <w:tc>
          <w:tcPr>
            <w:tcW w:type="dxa" w:w="1632"/>
            <w:shd w:fill="FFFFFF"/>
            <w:tcMar>
              <w:top w:w="40" w:type="dxa"/>
              <w:bottom w:w="40" w:type="dxa"/>
              <w:left w:w="50" w:type="dxa"/>
              <w:right w:w="50" w:type="dxa"/>
            </w:tcMar>
          </w:tcPr>
          <w:p>
            <w:pPr>
              <w:spacing w:after="0"/>
            </w:pPr>
            <w:r>
              <w:rPr>
                <w:rFonts w:ascii="Arial" w:hAnsi="Arial"/>
                <w:color w:val="2D3748"/>
                <w:sz w:val="17"/>
              </w:rPr>
              <w:t>&lt; 1e-12</w:t>
            </w:r>
          </w:p>
        </w:tc>
        <w:tc>
          <w:tcPr>
            <w:tcW w:type="dxa" w:w="1632"/>
            <w:shd w:fill="FFFFFF"/>
            <w:tcMar>
              <w:top w:w="40" w:type="dxa"/>
              <w:bottom w:w="40" w:type="dxa"/>
              <w:left w:w="50" w:type="dxa"/>
              <w:right w:w="50" w:type="dxa"/>
            </w:tcMar>
          </w:tcPr>
          <w:p>
            <w:pPr>
              <w:spacing w:after="0"/>
            </w:pPr>
            <w:r>
              <w:rPr>
                <w:rFonts w:ascii="Arial" w:hAnsi="Arial"/>
                <w:color w:val="C53030"/>
                <w:sz w:val="17"/>
              </w:rPr>
              <w:t>+0.2205</w:t>
            </w:r>
          </w:p>
        </w:tc>
        <w:tc>
          <w:tcPr>
            <w:tcW w:type="dxa" w:w="1632"/>
            <w:shd w:fill="FFFFFF"/>
            <w:tcMar>
              <w:top w:w="40" w:type="dxa"/>
              <w:bottom w:w="40" w:type="dxa"/>
              <w:left w:w="50" w:type="dxa"/>
              <w:right w:w="50" w:type="dxa"/>
            </w:tcMar>
          </w:tcPr>
          <w:p>
            <w:pPr>
              <w:spacing w:after="0"/>
            </w:pPr>
            <w:r>
              <w:rPr>
                <w:rFonts w:ascii="Arial" w:hAnsi="Arial"/>
                <w:color w:val="2D3748"/>
                <w:sz w:val="17"/>
              </w:rPr>
              <w:t>Small</w:t>
            </w:r>
          </w:p>
        </w:tc>
      </w:tr>
      <w:tr>
        <w:tc>
          <w:tcPr>
            <w:tcW w:type="dxa" w:w="1632"/>
            <w:shd w:fill="F7FAFC"/>
            <w:tcMar>
              <w:top w:w="40" w:type="dxa"/>
              <w:bottom w:w="40" w:type="dxa"/>
              <w:left w:w="50" w:type="dxa"/>
              <w:right w:w="50" w:type="dxa"/>
            </w:tcMar>
          </w:tcPr>
          <w:p>
            <w:pPr>
              <w:spacing w:after="0"/>
            </w:pPr>
            <w:r>
              <w:rPr>
                <w:rFonts w:ascii="Arial" w:hAnsi="Arial"/>
                <w:color w:val="2D3748"/>
                <w:sz w:val="17"/>
              </w:rPr>
              <w:t>lexical_diversity</w:t>
            </w:r>
          </w:p>
        </w:tc>
        <w:tc>
          <w:tcPr>
            <w:tcW w:type="dxa" w:w="1632"/>
            <w:shd w:fill="F7FAFC"/>
            <w:tcMar>
              <w:top w:w="40" w:type="dxa"/>
              <w:bottom w:w="40" w:type="dxa"/>
              <w:left w:w="50" w:type="dxa"/>
              <w:right w:w="50" w:type="dxa"/>
            </w:tcMar>
          </w:tcPr>
          <w:p>
            <w:pPr>
              <w:spacing w:after="0"/>
            </w:pPr>
            <w:r>
              <w:rPr>
                <w:rFonts w:ascii="Arial" w:hAnsi="Arial"/>
                <w:color w:val="2D3748"/>
                <w:sz w:val="17"/>
              </w:rPr>
              <w:t>0.887</w:t>
            </w:r>
          </w:p>
        </w:tc>
        <w:tc>
          <w:tcPr>
            <w:tcW w:type="dxa" w:w="1632"/>
            <w:shd w:fill="F7FAFC"/>
            <w:tcMar>
              <w:top w:w="40" w:type="dxa"/>
              <w:bottom w:w="40" w:type="dxa"/>
              <w:left w:w="50" w:type="dxa"/>
              <w:right w:w="50" w:type="dxa"/>
            </w:tcMar>
          </w:tcPr>
          <w:p>
            <w:pPr>
              <w:spacing w:after="0"/>
            </w:pPr>
            <w:r>
              <w:rPr>
                <w:rFonts w:ascii="Arial" w:hAnsi="Arial"/>
                <w:color w:val="2D3748"/>
                <w:sz w:val="17"/>
              </w:rPr>
              <w:t>0.898</w:t>
            </w:r>
          </w:p>
        </w:tc>
        <w:tc>
          <w:tcPr>
            <w:tcW w:type="dxa" w:w="1632"/>
            <w:shd w:fill="F7FAFC"/>
            <w:tcMar>
              <w:top w:w="40" w:type="dxa"/>
              <w:bottom w:w="40" w:type="dxa"/>
              <w:left w:w="50" w:type="dxa"/>
              <w:right w:w="50" w:type="dxa"/>
            </w:tcMar>
          </w:tcPr>
          <w:p>
            <w:pPr>
              <w:spacing w:after="0"/>
            </w:pPr>
            <w:r>
              <w:rPr>
                <w:rFonts w:ascii="Arial" w:hAnsi="Arial"/>
                <w:color w:val="2D3748"/>
                <w:sz w:val="17"/>
              </w:rPr>
              <w:t>0.0031</w:t>
            </w:r>
          </w:p>
        </w:tc>
        <w:tc>
          <w:tcPr>
            <w:tcW w:type="dxa" w:w="1632"/>
            <w:shd w:fill="F7FAFC"/>
            <w:tcMar>
              <w:top w:w="40" w:type="dxa"/>
              <w:bottom w:w="40" w:type="dxa"/>
              <w:left w:w="50" w:type="dxa"/>
              <w:right w:w="50" w:type="dxa"/>
            </w:tcMar>
          </w:tcPr>
          <w:p>
            <w:pPr>
              <w:spacing w:after="0"/>
            </w:pPr>
            <w:r>
              <w:rPr>
                <w:rFonts w:ascii="Arial" w:hAnsi="Arial"/>
                <w:color w:val="2B6CB0"/>
                <w:sz w:val="17"/>
              </w:rPr>
              <w:t>-0.1142</w:t>
            </w:r>
          </w:p>
        </w:tc>
        <w:tc>
          <w:tcPr>
            <w:tcW w:type="dxa" w:w="1632"/>
            <w:shd w:fill="F7FAFC"/>
            <w:tcMar>
              <w:top w:w="40" w:type="dxa"/>
              <w:bottom w:w="40" w:type="dxa"/>
              <w:left w:w="50" w:type="dxa"/>
              <w:right w:w="50" w:type="dxa"/>
            </w:tcMar>
          </w:tcPr>
          <w:p>
            <w:pPr>
              <w:spacing w:after="0"/>
            </w:pPr>
            <w:r>
              <w:rPr>
                <w:rFonts w:ascii="Arial" w:hAnsi="Arial"/>
                <w:color w:val="2D3748"/>
                <w:sz w:val="17"/>
              </w:rPr>
              <w:t>Small</w:t>
            </w:r>
          </w:p>
        </w:tc>
      </w:tr>
      <w:tr>
        <w:tc>
          <w:tcPr>
            <w:tcW w:type="dxa" w:w="1632"/>
            <w:shd w:fill="FFFFFF"/>
            <w:tcMar>
              <w:top w:w="40" w:type="dxa"/>
              <w:bottom w:w="40" w:type="dxa"/>
              <w:left w:w="50" w:type="dxa"/>
              <w:right w:w="50" w:type="dxa"/>
            </w:tcMar>
          </w:tcPr>
          <w:p>
            <w:pPr>
              <w:spacing w:after="0"/>
            </w:pPr>
            <w:r>
              <w:rPr>
                <w:rFonts w:ascii="Arial" w:hAnsi="Arial"/>
                <w:color w:val="2D3748"/>
                <w:sz w:val="17"/>
              </w:rPr>
              <w:t>syntax_fk_grade</w:t>
            </w:r>
          </w:p>
        </w:tc>
        <w:tc>
          <w:tcPr>
            <w:tcW w:type="dxa" w:w="1632"/>
            <w:shd w:fill="FFFFFF"/>
            <w:tcMar>
              <w:top w:w="40" w:type="dxa"/>
              <w:bottom w:w="40" w:type="dxa"/>
              <w:left w:w="50" w:type="dxa"/>
              <w:right w:w="50" w:type="dxa"/>
            </w:tcMar>
          </w:tcPr>
          <w:p>
            <w:pPr>
              <w:spacing w:after="0"/>
            </w:pPr>
            <w:r>
              <w:rPr>
                <w:rFonts w:ascii="Arial" w:hAnsi="Arial"/>
                <w:color w:val="2D3748"/>
                <w:sz w:val="17"/>
              </w:rPr>
              <w:t>5.82</w:t>
            </w:r>
          </w:p>
        </w:tc>
        <w:tc>
          <w:tcPr>
            <w:tcW w:type="dxa" w:w="1632"/>
            <w:shd w:fill="FFFFFF"/>
            <w:tcMar>
              <w:top w:w="40" w:type="dxa"/>
              <w:bottom w:w="40" w:type="dxa"/>
              <w:left w:w="50" w:type="dxa"/>
              <w:right w:w="50" w:type="dxa"/>
            </w:tcMar>
          </w:tcPr>
          <w:p>
            <w:pPr>
              <w:spacing w:after="0"/>
            </w:pPr>
            <w:r>
              <w:rPr>
                <w:rFonts w:ascii="Arial" w:hAnsi="Arial"/>
                <w:color w:val="2D3748"/>
                <w:sz w:val="17"/>
              </w:rPr>
              <w:t>5.88</w:t>
            </w:r>
          </w:p>
        </w:tc>
        <w:tc>
          <w:tcPr>
            <w:tcW w:type="dxa" w:w="1632"/>
            <w:shd w:fill="FFFFFF"/>
            <w:tcMar>
              <w:top w:w="40" w:type="dxa"/>
              <w:bottom w:w="40" w:type="dxa"/>
              <w:left w:w="50" w:type="dxa"/>
              <w:right w:w="50" w:type="dxa"/>
            </w:tcMar>
          </w:tcPr>
          <w:p>
            <w:pPr>
              <w:spacing w:after="0"/>
            </w:pPr>
            <w:r>
              <w:rPr>
                <w:rFonts w:ascii="Arial" w:hAnsi="Arial"/>
                <w:color w:val="2D3748"/>
                <w:sz w:val="17"/>
              </w:rPr>
              <w:t>0.4120</w:t>
            </w:r>
          </w:p>
        </w:tc>
        <w:tc>
          <w:tcPr>
            <w:tcW w:type="dxa" w:w="1632"/>
            <w:shd w:fill="FFFFFF"/>
            <w:tcMar>
              <w:top w:w="40" w:type="dxa"/>
              <w:bottom w:w="40" w:type="dxa"/>
              <w:left w:w="50" w:type="dxa"/>
              <w:right w:w="50" w:type="dxa"/>
            </w:tcMar>
          </w:tcPr>
          <w:p>
            <w:pPr>
              <w:spacing w:after="0"/>
            </w:pPr>
            <w:r>
              <w:rPr>
                <w:rFonts w:ascii="Arial" w:hAnsi="Arial"/>
                <w:color w:val="2B6CB0"/>
                <w:sz w:val="17"/>
              </w:rPr>
              <w:t>-0.0284</w:t>
            </w:r>
          </w:p>
        </w:tc>
        <w:tc>
          <w:tcPr>
            <w:tcW w:type="dxa" w:w="1632"/>
            <w:shd w:fill="FFFFFF"/>
            <w:tcMar>
              <w:top w:w="40" w:type="dxa"/>
              <w:bottom w:w="40" w:type="dxa"/>
              <w:left w:w="50" w:type="dxa"/>
              <w:right w:w="50" w:type="dxa"/>
            </w:tcMar>
          </w:tcPr>
          <w:p>
            <w:pPr>
              <w:spacing w:after="0"/>
            </w:pPr>
            <w:r>
              <w:rPr>
                <w:rFonts w:ascii="Arial" w:hAnsi="Arial"/>
                <w:color w:val="2D3748"/>
                <w:sz w:val="17"/>
              </w:rPr>
              <w:t>Negligible</w:t>
            </w:r>
          </w:p>
        </w:tc>
      </w:tr>
    </w:tbl>
    <w:p>
      <w:pPr>
        <w:spacing w:after="120"/>
      </w:pPr>
    </w:p>
    <w:p>
      <w:pPr>
        <w:pStyle w:val="Heading1"/>
      </w:pPr>
      <w:r>
        <w:rPr>
          <w:rFonts w:ascii="Arial" w:hAnsi="Arial"/>
          <w:color w:val="1A365D"/>
          <w:sz w:val="28"/>
        </w:rPr>
        <w:t>6. Latent Dirichlet Allocation (LDA) Topic Discovery</w:t>
      </w:r>
    </w:p>
    <w:p>
      <w:pPr>
        <w:pStyle w:val="ListBullet"/>
        <w:spacing w:after="40"/>
      </w:pPr>
      <w:r>
        <w:rPr>
          <w:b/>
          <w:color w:val="1A365D"/>
        </w:rPr>
        <w:t xml:space="preserve">Topic 1: Academic Deadlines &amp; School Challenges: </w:t>
      </w:r>
      <w:r>
        <w:t xml:space="preserve">Keywords: [school, college, class, semester, fail, work, student, grade]. </w:t>
      </w:r>
      <w:r>
        <w:rPr>
          <w:i/>
          <w:color w:val="2D3748"/>
        </w:rPr>
        <w:t>Captures academic procrastination, deadline avoidance, and course failure risk among college students.</w:t>
      </w:r>
    </w:p>
    <w:p>
      <w:pPr>
        <w:pStyle w:val="ListBullet"/>
        <w:spacing w:after="40"/>
      </w:pPr>
      <w:r>
        <w:rPr>
          <w:b/>
          <w:color w:val="1A365D"/>
        </w:rPr>
        <w:t xml:space="preserve">Topic 2: Daily Medication Management &amp; Focus: </w:t>
      </w:r>
      <w:r>
        <w:t xml:space="preserve">Keywords: [adderall, med, doctor, dose, feel, effect, focus, prescription]. </w:t>
      </w:r>
      <w:r>
        <w:rPr>
          <w:i/>
          <w:color w:val="2D3748"/>
        </w:rPr>
        <w:t>Reflects clinical coping strategies to restore executive attention for daily tasks.</w:t>
      </w:r>
    </w:p>
    <w:p>
      <w:pPr>
        <w:pStyle w:val="ListBullet"/>
        <w:spacing w:after="40"/>
      </w:pPr>
      <w:r>
        <w:rPr>
          <w:b/>
          <w:color w:val="1A365D"/>
        </w:rPr>
        <w:t xml:space="preserve">Topic 3: Task Initiation, Habit Building &amp; Procrastination: </w:t>
      </w:r>
      <w:r>
        <w:t xml:space="preserve">Keywords: [task, list, start, clean, goal, habit, small, productive]. </w:t>
      </w:r>
      <w:r>
        <w:rPr>
          <w:i/>
          <w:color w:val="2D3748"/>
        </w:rPr>
        <w:t>Directly represents executive dysfunction: struggling to initiate small tasks, breaking chores into micro-goals, and overcoming inertia.</w:t>
      </w:r>
    </w:p>
    <w:p>
      <w:pPr>
        <w:pStyle w:val="ListBullet"/>
        <w:spacing w:after="40"/>
      </w:pPr>
      <w:r>
        <w:rPr>
          <w:b/>
          <w:color w:val="1A365D"/>
        </w:rPr>
        <w:t xml:space="preserve">Topic 4: Emotional Dysregulation &amp; Burnout: </w:t>
      </w:r>
      <w:r>
        <w:t xml:space="preserve">Keywords: [feel, tired, cry, overwhelm, brain, exhaust, struggle, anxiety]. </w:t>
      </w:r>
      <w:r>
        <w:rPr>
          <w:i/>
          <w:color w:val="2D3748"/>
        </w:rPr>
        <w:t>Illustrates the emotional toll of chronic procrastination and cognitive exhaustion.</w:t>
      </w:r>
    </w:p>
    <w:p>
      <w:pPr>
        <w:pStyle w:val="ListBullet"/>
        <w:spacing w:after="40"/>
      </w:pPr>
      <w:r>
        <w:rPr>
          <w:b/>
          <w:color w:val="1A365D"/>
        </w:rPr>
        <w:t xml:space="preserve">Topic 5: Community Support &amp; Shared Accountability: </w:t>
      </w:r>
      <w:r>
        <w:t xml:space="preserve">Keywords: [win, post, share, tip, wednesday, advice, help, thread]. </w:t>
      </w:r>
      <w:r>
        <w:rPr>
          <w:i/>
          <w:color w:val="2D3748"/>
        </w:rPr>
        <w:t>Represents peer accountability and crowdsourced productivity strategies.</w:t>
      </w:r>
    </w:p>
    <w:p>
      <w:pPr>
        <w:spacing w:after="120"/>
      </w:pPr>
    </w:p>
    <w:p>
      <w:pPr>
        <w:pStyle w:val="Heading1"/>
      </w:pPr>
      <w:r>
        <w:rPr>
          <w:rFonts w:ascii="Arial" w:hAnsi="Arial"/>
          <w:color w:val="1A365D"/>
          <w:sz w:val="28"/>
        </w:rPr>
        <w:t>7. Supervised Predictive Machine Learning &amp; Model Explainability</w:t>
      </w:r>
    </w:p>
    <w:p>
      <w:pPr>
        <w:spacing w:after="120" w:line="276" w:lineRule="auto"/>
      </w:pPr>
      <w:r>
        <w:t>To evaluate whether psychological stress can be reliably classified from digital narrative text, we constructed a multi-modal feature matrix combining 1,000 TF-IDF n-grams (unigrams + bigrams with sublinear scaling) and 27 standardized psycholinguistic and surface features (1,027 total dimensions). Three competitive models were benchmarked on a stratified 80/20 train/test split:</w:t>
      </w:r>
    </w:p>
    <w:tbl>
      <w:tblPr>
        <w:tblW w:type="auto" w:w="0"/>
        <w:jc w:val="center"/>
        <w:tblLook w:firstColumn="1" w:firstRow="1" w:lastColumn="0" w:lastRow="0" w:noHBand="0" w:noVBand="1" w:val="04A0"/>
      </w:tblPr>
      <w:tblGrid>
        <w:gridCol w:w="1632"/>
        <w:gridCol w:w="1632"/>
        <w:gridCol w:w="1632"/>
        <w:gridCol w:w="1632"/>
        <w:gridCol w:w="1632"/>
        <w:gridCol w:w="1632"/>
      </w:tblGrid>
      <w:tr>
        <w:tc>
          <w:tcPr>
            <w:tcW w:type="dxa" w:w="1632"/>
            <w:shd w:fill="1A365D"/>
            <w:tcMar>
              <w:top w:w="40" w:type="dxa"/>
              <w:bottom w:w="40" w:type="dxa"/>
              <w:left w:w="50" w:type="dxa"/>
              <w:right w:w="50" w:type="dxa"/>
            </w:tcMar>
          </w:tcPr>
          <w:p>
            <w:pPr>
              <w:spacing w:after="40"/>
            </w:pPr>
            <w:r>
              <w:rPr>
                <w:rFonts w:ascii="Arial" w:hAnsi="Arial"/>
                <w:b/>
                <w:color w:val="FFFFFF"/>
                <w:sz w:val="17"/>
              </w:rPr>
              <w:t>Classifier Model</w:t>
            </w:r>
          </w:p>
        </w:tc>
        <w:tc>
          <w:tcPr>
            <w:tcW w:type="dxa" w:w="1632"/>
            <w:shd w:fill="1A365D"/>
            <w:tcMar>
              <w:top w:w="40" w:type="dxa"/>
              <w:bottom w:w="40" w:type="dxa"/>
              <w:left w:w="50" w:type="dxa"/>
              <w:right w:w="50" w:type="dxa"/>
            </w:tcMar>
          </w:tcPr>
          <w:p>
            <w:pPr>
              <w:spacing w:after="40"/>
            </w:pPr>
            <w:r>
              <w:rPr>
                <w:rFonts w:ascii="Arial" w:hAnsi="Arial"/>
                <w:b/>
                <w:color w:val="FFFFFF"/>
                <w:sz w:val="17"/>
              </w:rPr>
              <w:t>Accuracy</w:t>
            </w:r>
          </w:p>
        </w:tc>
        <w:tc>
          <w:tcPr>
            <w:tcW w:type="dxa" w:w="1632"/>
            <w:shd w:fill="1A365D"/>
            <w:tcMar>
              <w:top w:w="40" w:type="dxa"/>
              <w:bottom w:w="40" w:type="dxa"/>
              <w:left w:w="50" w:type="dxa"/>
              <w:right w:w="50" w:type="dxa"/>
            </w:tcMar>
          </w:tcPr>
          <w:p>
            <w:pPr>
              <w:spacing w:after="40"/>
            </w:pPr>
            <w:r>
              <w:rPr>
                <w:rFonts w:ascii="Arial" w:hAnsi="Arial"/>
                <w:b/>
                <w:color w:val="FFFFFF"/>
                <w:sz w:val="17"/>
              </w:rPr>
              <w:t>Precision</w:t>
            </w:r>
          </w:p>
        </w:tc>
        <w:tc>
          <w:tcPr>
            <w:tcW w:type="dxa" w:w="1632"/>
            <w:shd w:fill="1A365D"/>
            <w:tcMar>
              <w:top w:w="40" w:type="dxa"/>
              <w:bottom w:w="40" w:type="dxa"/>
              <w:left w:w="50" w:type="dxa"/>
              <w:right w:w="50" w:type="dxa"/>
            </w:tcMar>
          </w:tcPr>
          <w:p>
            <w:pPr>
              <w:spacing w:after="40"/>
            </w:pPr>
            <w:r>
              <w:rPr>
                <w:rFonts w:ascii="Arial" w:hAnsi="Arial"/>
                <w:b/>
                <w:color w:val="FFFFFF"/>
                <w:sz w:val="17"/>
              </w:rPr>
              <w:t>Recall (Sensitivity)</w:t>
            </w:r>
          </w:p>
        </w:tc>
        <w:tc>
          <w:tcPr>
            <w:tcW w:type="dxa" w:w="1632"/>
            <w:shd w:fill="1A365D"/>
            <w:tcMar>
              <w:top w:w="40" w:type="dxa"/>
              <w:bottom w:w="40" w:type="dxa"/>
              <w:left w:w="50" w:type="dxa"/>
              <w:right w:w="50" w:type="dxa"/>
            </w:tcMar>
          </w:tcPr>
          <w:p>
            <w:pPr>
              <w:spacing w:after="40"/>
            </w:pPr>
            <w:r>
              <w:rPr>
                <w:rFonts w:ascii="Arial" w:hAnsi="Arial"/>
                <w:b/>
                <w:color w:val="FFFFFF"/>
                <w:sz w:val="17"/>
              </w:rPr>
              <w:t>F1-Score</w:t>
            </w:r>
          </w:p>
        </w:tc>
        <w:tc>
          <w:tcPr>
            <w:tcW w:type="dxa" w:w="1632"/>
            <w:shd w:fill="1A365D"/>
            <w:tcMar>
              <w:top w:w="40" w:type="dxa"/>
              <w:bottom w:w="40" w:type="dxa"/>
              <w:left w:w="50" w:type="dxa"/>
              <w:right w:w="50" w:type="dxa"/>
            </w:tcMar>
          </w:tcPr>
          <w:p>
            <w:pPr>
              <w:spacing w:after="40"/>
            </w:pPr>
            <w:r>
              <w:rPr>
                <w:rFonts w:ascii="Arial" w:hAnsi="Arial"/>
                <w:b/>
                <w:color w:val="FFFFFF"/>
                <w:sz w:val="17"/>
              </w:rPr>
              <w:t>ROC-AUC</w:t>
            </w:r>
          </w:p>
        </w:tc>
      </w:tr>
      <w:tr>
        <w:tc>
          <w:tcPr>
            <w:tcW w:type="dxa" w:w="1632"/>
            <w:shd w:fill="FFFFFF"/>
            <w:tcMar>
              <w:top w:w="40" w:type="dxa"/>
              <w:bottom w:w="40" w:type="dxa"/>
              <w:left w:w="50" w:type="dxa"/>
              <w:right w:w="50" w:type="dxa"/>
            </w:tcMar>
          </w:tcPr>
          <w:p>
            <w:pPr>
              <w:spacing w:after="0"/>
            </w:pPr>
            <w:r>
              <w:rPr>
                <w:rFonts w:ascii="Arial" w:hAnsi="Arial"/>
                <w:b/>
                <w:color w:val="2D3748"/>
                <w:sz w:val="17"/>
              </w:rPr>
              <w:t>Logistic Regression (L2)</w:t>
            </w:r>
          </w:p>
        </w:tc>
        <w:tc>
          <w:tcPr>
            <w:tcW w:type="dxa" w:w="1632"/>
            <w:shd w:fill="FFFFFF"/>
            <w:tcMar>
              <w:top w:w="40" w:type="dxa"/>
              <w:bottom w:w="40" w:type="dxa"/>
              <w:left w:w="50" w:type="dxa"/>
              <w:right w:w="50" w:type="dxa"/>
            </w:tcMar>
          </w:tcPr>
          <w:p>
            <w:pPr>
              <w:spacing w:after="0"/>
            </w:pPr>
            <w:r>
              <w:rPr>
                <w:rFonts w:ascii="Arial" w:hAnsi="Arial"/>
                <w:b/>
                <w:color w:val="2D3748"/>
                <w:sz w:val="17"/>
              </w:rPr>
              <w:t>75.21%</w:t>
            </w:r>
          </w:p>
        </w:tc>
        <w:tc>
          <w:tcPr>
            <w:tcW w:type="dxa" w:w="1632"/>
            <w:shd w:fill="FFFFFF"/>
            <w:tcMar>
              <w:top w:w="40" w:type="dxa"/>
              <w:bottom w:w="40" w:type="dxa"/>
              <w:left w:w="50" w:type="dxa"/>
              <w:right w:w="50" w:type="dxa"/>
            </w:tcMar>
          </w:tcPr>
          <w:p>
            <w:pPr>
              <w:spacing w:after="0"/>
            </w:pPr>
            <w:r>
              <w:rPr>
                <w:rFonts w:ascii="Arial" w:hAnsi="Arial"/>
                <w:b/>
                <w:color w:val="2D3748"/>
                <w:sz w:val="17"/>
              </w:rPr>
              <w:t>75.19%</w:t>
            </w:r>
          </w:p>
        </w:tc>
        <w:tc>
          <w:tcPr>
            <w:tcW w:type="dxa" w:w="1632"/>
            <w:shd w:fill="FFFFFF"/>
            <w:tcMar>
              <w:top w:w="40" w:type="dxa"/>
              <w:bottom w:w="40" w:type="dxa"/>
              <w:left w:w="50" w:type="dxa"/>
              <w:right w:w="50" w:type="dxa"/>
            </w:tcMar>
          </w:tcPr>
          <w:p>
            <w:pPr>
              <w:spacing w:after="0"/>
            </w:pPr>
            <w:r>
              <w:rPr>
                <w:rFonts w:ascii="Arial" w:hAnsi="Arial"/>
                <w:b/>
                <w:color w:val="2D3748"/>
                <w:sz w:val="17"/>
              </w:rPr>
              <w:t>78.65%</w:t>
            </w:r>
          </w:p>
        </w:tc>
        <w:tc>
          <w:tcPr>
            <w:tcW w:type="dxa" w:w="1632"/>
            <w:shd w:fill="FFFFFF"/>
            <w:tcMar>
              <w:top w:w="40" w:type="dxa"/>
              <w:bottom w:w="40" w:type="dxa"/>
              <w:left w:w="50" w:type="dxa"/>
              <w:right w:w="50" w:type="dxa"/>
            </w:tcMar>
          </w:tcPr>
          <w:p>
            <w:pPr>
              <w:spacing w:after="0"/>
            </w:pPr>
            <w:r>
              <w:rPr>
                <w:rFonts w:ascii="Arial" w:hAnsi="Arial"/>
                <w:b/>
                <w:color w:val="2D3748"/>
                <w:sz w:val="17"/>
              </w:rPr>
              <w:t>76.88%</w:t>
            </w:r>
          </w:p>
        </w:tc>
        <w:tc>
          <w:tcPr>
            <w:tcW w:type="dxa" w:w="1632"/>
            <w:shd w:fill="FFFFFF"/>
            <w:tcMar>
              <w:top w:w="40" w:type="dxa"/>
              <w:bottom w:w="40" w:type="dxa"/>
              <w:left w:w="50" w:type="dxa"/>
              <w:right w:w="50" w:type="dxa"/>
            </w:tcMar>
          </w:tcPr>
          <w:p>
            <w:pPr>
              <w:spacing w:after="0"/>
            </w:pPr>
            <w:r>
              <w:rPr>
                <w:rFonts w:ascii="Arial" w:hAnsi="Arial"/>
                <w:b/>
                <w:color w:val="2D3748"/>
                <w:sz w:val="17"/>
              </w:rPr>
              <w:t>0.8490</w:t>
            </w:r>
          </w:p>
        </w:tc>
      </w:tr>
      <w:tr>
        <w:tc>
          <w:tcPr>
            <w:tcW w:type="dxa" w:w="1632"/>
            <w:shd w:fill="F7FAFC"/>
            <w:tcMar>
              <w:top w:w="40" w:type="dxa"/>
              <w:bottom w:w="40" w:type="dxa"/>
              <w:left w:w="50" w:type="dxa"/>
              <w:right w:w="50" w:type="dxa"/>
            </w:tcMar>
          </w:tcPr>
          <w:p>
            <w:pPr>
              <w:spacing w:after="0"/>
            </w:pPr>
            <w:r>
              <w:rPr>
                <w:rFonts w:ascii="Arial" w:hAnsi="Arial"/>
                <w:color w:val="2D3748"/>
                <w:sz w:val="17"/>
              </w:rPr>
              <w:t>Linear SVC (Calibrated)</w:t>
            </w:r>
          </w:p>
        </w:tc>
        <w:tc>
          <w:tcPr>
            <w:tcW w:type="dxa" w:w="1632"/>
            <w:shd w:fill="F7FAFC"/>
            <w:tcMar>
              <w:top w:w="40" w:type="dxa"/>
              <w:bottom w:w="40" w:type="dxa"/>
              <w:left w:w="50" w:type="dxa"/>
              <w:right w:w="50" w:type="dxa"/>
            </w:tcMar>
          </w:tcPr>
          <w:p>
            <w:pPr>
              <w:spacing w:after="0"/>
            </w:pPr>
            <w:r>
              <w:rPr>
                <w:rFonts w:ascii="Arial" w:hAnsi="Arial"/>
                <w:color w:val="2D3748"/>
                <w:sz w:val="17"/>
              </w:rPr>
              <w:t>74.36%</w:t>
            </w:r>
          </w:p>
        </w:tc>
        <w:tc>
          <w:tcPr>
            <w:tcW w:type="dxa" w:w="1632"/>
            <w:shd w:fill="F7FAFC"/>
            <w:tcMar>
              <w:top w:w="40" w:type="dxa"/>
              <w:bottom w:w="40" w:type="dxa"/>
              <w:left w:w="50" w:type="dxa"/>
              <w:right w:w="50" w:type="dxa"/>
            </w:tcMar>
          </w:tcPr>
          <w:p>
            <w:pPr>
              <w:spacing w:after="0"/>
            </w:pPr>
            <w:r>
              <w:rPr>
                <w:rFonts w:ascii="Arial" w:hAnsi="Arial"/>
                <w:color w:val="2D3748"/>
                <w:sz w:val="17"/>
              </w:rPr>
              <w:t>73.57%</w:t>
            </w:r>
          </w:p>
        </w:tc>
        <w:tc>
          <w:tcPr>
            <w:tcW w:type="dxa" w:w="1632"/>
            <w:shd w:fill="F7FAFC"/>
            <w:tcMar>
              <w:top w:w="40" w:type="dxa"/>
              <w:bottom w:w="40" w:type="dxa"/>
              <w:left w:w="50" w:type="dxa"/>
              <w:right w:w="50" w:type="dxa"/>
            </w:tcMar>
          </w:tcPr>
          <w:p>
            <w:pPr>
              <w:spacing w:after="0"/>
            </w:pPr>
            <w:r>
              <w:rPr>
                <w:rFonts w:ascii="Arial" w:hAnsi="Arial"/>
                <w:color w:val="2D3748"/>
                <w:sz w:val="17"/>
              </w:rPr>
              <w:t>79.73%</w:t>
            </w:r>
          </w:p>
        </w:tc>
        <w:tc>
          <w:tcPr>
            <w:tcW w:type="dxa" w:w="1632"/>
            <w:shd w:fill="F7FAFC"/>
            <w:tcMar>
              <w:top w:w="40" w:type="dxa"/>
              <w:bottom w:w="40" w:type="dxa"/>
              <w:left w:w="50" w:type="dxa"/>
              <w:right w:w="50" w:type="dxa"/>
            </w:tcMar>
          </w:tcPr>
          <w:p>
            <w:pPr>
              <w:spacing w:after="0"/>
            </w:pPr>
            <w:r>
              <w:rPr>
                <w:rFonts w:ascii="Arial" w:hAnsi="Arial"/>
                <w:color w:val="2D3748"/>
                <w:sz w:val="17"/>
              </w:rPr>
              <w:t>76.52%</w:t>
            </w:r>
          </w:p>
        </w:tc>
        <w:tc>
          <w:tcPr>
            <w:tcW w:type="dxa" w:w="1632"/>
            <w:shd w:fill="F7FAFC"/>
            <w:tcMar>
              <w:top w:w="40" w:type="dxa"/>
              <w:bottom w:w="40" w:type="dxa"/>
              <w:left w:w="50" w:type="dxa"/>
              <w:right w:w="50" w:type="dxa"/>
            </w:tcMar>
          </w:tcPr>
          <w:p>
            <w:pPr>
              <w:spacing w:after="0"/>
            </w:pPr>
            <w:r>
              <w:rPr>
                <w:rFonts w:ascii="Arial" w:hAnsi="Arial"/>
                <w:color w:val="2D3748"/>
                <w:sz w:val="17"/>
              </w:rPr>
              <w:t>0.8398</w:t>
            </w:r>
          </w:p>
        </w:tc>
      </w:tr>
      <w:tr>
        <w:tc>
          <w:tcPr>
            <w:tcW w:type="dxa" w:w="1632"/>
            <w:shd w:fill="FFFFFF"/>
            <w:tcMar>
              <w:top w:w="40" w:type="dxa"/>
              <w:bottom w:w="40" w:type="dxa"/>
              <w:left w:w="50" w:type="dxa"/>
              <w:right w:w="50" w:type="dxa"/>
            </w:tcMar>
          </w:tcPr>
          <w:p>
            <w:pPr>
              <w:spacing w:after="0"/>
            </w:pPr>
            <w:r>
              <w:rPr>
                <w:rFonts w:ascii="Arial" w:hAnsi="Arial"/>
                <w:color w:val="2D3748"/>
                <w:sz w:val="17"/>
              </w:rPr>
              <w:t>Random Forest (Ensemble)</w:t>
            </w:r>
          </w:p>
        </w:tc>
        <w:tc>
          <w:tcPr>
            <w:tcW w:type="dxa" w:w="1632"/>
            <w:shd w:fill="FFFFFF"/>
            <w:tcMar>
              <w:top w:w="40" w:type="dxa"/>
              <w:bottom w:w="40" w:type="dxa"/>
              <w:left w:w="50" w:type="dxa"/>
              <w:right w:w="50" w:type="dxa"/>
            </w:tcMar>
          </w:tcPr>
          <w:p>
            <w:pPr>
              <w:spacing w:after="0"/>
            </w:pPr>
            <w:r>
              <w:rPr>
                <w:rFonts w:ascii="Arial" w:hAnsi="Arial"/>
                <w:color w:val="2D3748"/>
                <w:sz w:val="17"/>
              </w:rPr>
              <w:t>73.94%</w:t>
            </w:r>
          </w:p>
        </w:tc>
        <w:tc>
          <w:tcPr>
            <w:tcW w:type="dxa" w:w="1632"/>
            <w:shd w:fill="FFFFFF"/>
            <w:tcMar>
              <w:top w:w="40" w:type="dxa"/>
              <w:bottom w:w="40" w:type="dxa"/>
              <w:left w:w="50" w:type="dxa"/>
              <w:right w:w="50" w:type="dxa"/>
            </w:tcMar>
          </w:tcPr>
          <w:p>
            <w:pPr>
              <w:spacing w:after="0"/>
            </w:pPr>
            <w:r>
              <w:rPr>
                <w:rFonts w:ascii="Arial" w:hAnsi="Arial"/>
                <w:color w:val="2D3748"/>
                <w:sz w:val="17"/>
              </w:rPr>
              <w:t>72.14%</w:t>
            </w:r>
          </w:p>
        </w:tc>
        <w:tc>
          <w:tcPr>
            <w:tcW w:type="dxa" w:w="1632"/>
            <w:shd w:fill="FFFFFF"/>
            <w:tcMar>
              <w:top w:w="40" w:type="dxa"/>
              <w:bottom w:w="40" w:type="dxa"/>
              <w:left w:w="50" w:type="dxa"/>
              <w:right w:w="50" w:type="dxa"/>
            </w:tcMar>
          </w:tcPr>
          <w:p>
            <w:pPr>
              <w:spacing w:after="0"/>
            </w:pPr>
            <w:r>
              <w:rPr>
                <w:rFonts w:ascii="Arial" w:hAnsi="Arial"/>
                <w:color w:val="2D3748"/>
                <w:sz w:val="17"/>
              </w:rPr>
              <w:t>81.89%</w:t>
            </w:r>
          </w:p>
        </w:tc>
        <w:tc>
          <w:tcPr>
            <w:tcW w:type="dxa" w:w="1632"/>
            <w:shd w:fill="FFFFFF"/>
            <w:tcMar>
              <w:top w:w="40" w:type="dxa"/>
              <w:bottom w:w="40" w:type="dxa"/>
              <w:left w:w="50" w:type="dxa"/>
              <w:right w:w="50" w:type="dxa"/>
            </w:tcMar>
          </w:tcPr>
          <w:p>
            <w:pPr>
              <w:spacing w:after="0"/>
            </w:pPr>
            <w:r>
              <w:rPr>
                <w:rFonts w:ascii="Arial" w:hAnsi="Arial"/>
                <w:color w:val="2D3748"/>
                <w:sz w:val="17"/>
              </w:rPr>
              <w:t>76.71%</w:t>
            </w:r>
          </w:p>
        </w:tc>
        <w:tc>
          <w:tcPr>
            <w:tcW w:type="dxa" w:w="1632"/>
            <w:shd w:fill="FFFFFF"/>
            <w:tcMar>
              <w:top w:w="40" w:type="dxa"/>
              <w:bottom w:w="40" w:type="dxa"/>
              <w:left w:w="50" w:type="dxa"/>
              <w:right w:w="50" w:type="dxa"/>
            </w:tcMar>
          </w:tcPr>
          <w:p>
            <w:pPr>
              <w:spacing w:after="0"/>
            </w:pPr>
            <w:r>
              <w:rPr>
                <w:rFonts w:ascii="Arial" w:hAnsi="Arial"/>
                <w:color w:val="2D3748"/>
                <w:sz w:val="17"/>
              </w:rPr>
              <w:t>0.8281</w:t>
            </w:r>
          </w:p>
        </w:tc>
      </w:tr>
    </w:tbl>
    <w:p>
      <w:pPr>
        <w:spacing w:after="120"/>
      </w:pPr>
    </w:p>
    <w:p>
      <w:pPr>
        <w:spacing w:before="100" w:after="40"/>
      </w:pPr>
      <w:r>
        <w:rPr>
          <w:rFonts w:ascii="Arial" w:hAnsi="Arial"/>
          <w:b/>
          <w:color w:val="2B6CB0"/>
          <w:sz w:val="20"/>
        </w:rPr>
        <w:t>• Figure 9: Receiver Operating Characteristic (ROC) Curves</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Compares True Positive Rate (Sensitivity) against False Positive Rate across classification thresholds for all 3 models.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Logistic Regression achieves the highest discrimination capability (AUC = 0.849), demonstrating superior probabilistic calibration over Random Forest.</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9 validates that linear feature combination in high-dimensional text space provides outstanding diagnostic discrimination (AUC ~ 85%), well above random guessing (0.50).'</w:t>
            </w:r>
          </w:p>
        </w:tc>
      </w:tr>
    </w:tbl>
    <w:p>
      <w:pPr>
        <w:spacing w:after="40"/>
      </w:pPr>
    </w:p>
    <w:p>
      <w:pPr>
        <w:spacing w:before="100" w:after="40"/>
      </w:pPr>
      <w:r>
        <w:rPr>
          <w:rFonts w:ascii="Arial" w:hAnsi="Arial"/>
          <w:b/>
          <w:color w:val="2B6CB0"/>
          <w:sz w:val="20"/>
        </w:rPr>
        <w:t>• Figure 10: Multi-Model Confusion Matrix Heatmaps</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Visualizes True Negatives, False Positives, False Negatives, and True Positives across all three classifiers.</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All models prioritize high Recall (&gt;78-81%), minimizing False Negatives. In clinical crisis surveillance, capturing distressed individuals (high sensitivity) is paramount.</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10 shows our models achieve balanced error trade-offs. Random Forest maximizes recall (81.9%), while Logistic Regression achieves the optimal balance between precision (75.2%) and recall (78.6%).'</w:t>
            </w:r>
          </w:p>
        </w:tc>
      </w:tr>
    </w:tbl>
    <w:p>
      <w:pPr>
        <w:spacing w:after="40"/>
      </w:pPr>
    </w:p>
    <w:p>
      <w:pPr>
        <w:spacing w:before="100" w:after="40"/>
      </w:pPr>
      <w:r>
        <w:rPr>
          <w:rFonts w:ascii="Arial" w:hAnsi="Arial"/>
          <w:b/>
          <w:color w:val="2B6CB0"/>
          <w:sz w:val="20"/>
        </w:rPr>
        <w:t>• Figure 11: Top Predictive Linguistic &amp; Psychological Drivers of Stress</w:t>
        <w:br/>
      </w:r>
    </w:p>
    <w:tbl>
      <w:tblPr>
        <w:tblW w:type="auto" w:w="0"/>
        <w:jc w:val="center"/>
        <w:tblLook w:firstColumn="1" w:firstRow="1" w:lastColumn="0" w:lastRow="0" w:noHBand="0" w:noVBand="1" w:val="04A0"/>
      </w:tblPr>
      <w:tblGrid>
        <w:gridCol w:w="4896"/>
        <w:gridCol w:w="4896"/>
      </w:tblGrid>
      <w:tr>
        <w:tc>
          <w:tcPr>
            <w:tcW w:type="dxa" w:w="2880"/>
            <w:shd w:fill="EDF2F7"/>
            <w:tcMar>
              <w:top w:w="40" w:type="dxa"/>
              <w:bottom w:w="40" w:type="dxa"/>
              <w:left w:w="75" w:type="dxa"/>
              <w:right w:w="75" w:type="dxa"/>
            </w:tcMar>
          </w:tcPr>
          <w:p>
            <w:pPr>
              <w:spacing w:after="0"/>
            </w:pPr>
            <w:r>
              <w:rPr>
                <w:rFonts w:ascii="Arial" w:hAnsi="Arial"/>
                <w:b/>
                <w:color w:val="1A365D"/>
                <w:sz w:val="17"/>
              </w:rPr>
              <w:t>Plot Description &amp; Purpose</w:t>
            </w:r>
          </w:p>
        </w:tc>
        <w:tc>
          <w:tcPr>
            <w:tcW w:type="dxa" w:w="6912"/>
            <w:shd w:fill="F7FAFC"/>
            <w:tcMar>
              <w:top w:w="40" w:type="dxa"/>
              <w:bottom w:w="40" w:type="dxa"/>
              <w:left w:w="75" w:type="dxa"/>
              <w:right w:w="75" w:type="dxa"/>
            </w:tcMar>
          </w:tcPr>
          <w:p>
            <w:pPr>
              <w:spacing w:after="0" w:line="264" w:lineRule="auto"/>
            </w:pPr>
            <w:r>
              <w:rPr>
                <w:rFonts w:ascii="Arial" w:hAnsi="Arial"/>
                <w:color w:val="2D3748"/>
                <w:sz w:val="17"/>
              </w:rPr>
              <w:t>Horizontal bar plots displaying top positive feature weights (predicting stress) and negative weights (predicting non-stress) from Logistic Regression.</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Key Empirical Findings</w:t>
            </w:r>
          </w:p>
        </w:tc>
        <w:tc>
          <w:tcPr>
            <w:tcW w:type="dxa" w:w="6912"/>
            <w:shd w:fill="FFFFFF"/>
            <w:tcMar>
              <w:top w:w="40" w:type="dxa"/>
              <w:bottom w:w="40" w:type="dxa"/>
              <w:left w:w="75" w:type="dxa"/>
              <w:right w:w="75" w:type="dxa"/>
            </w:tcMar>
          </w:tcPr>
          <w:p>
            <w:pPr>
              <w:spacing w:after="0" w:line="264" w:lineRule="auto"/>
            </w:pPr>
            <w:r>
              <w:rPr>
                <w:rFonts w:ascii="Arial" w:hAnsi="Arial"/>
                <w:color w:val="2D3748"/>
                <w:sz w:val="17"/>
              </w:rPr>
              <w:t>Stress predictors are dominated by first-person pronouns ('lex_liwc_i': +0.875), anxiety markers ('lex_liwc_anx': +0.303), present focus (+0.341), and words of struggle ('hard', 'job', 'feel like'). Non-stress predictors feature high tone ('lex_liwc_Tone': -0.431), pleasantness (-0.315), and constructive words ('finally', 'look', 'thank').</w:t>
            </w:r>
          </w:p>
        </w:tc>
      </w:tr>
      <w:tr>
        <w:tc>
          <w:tcPr>
            <w:tcW w:type="dxa" w:w="2880"/>
            <w:shd w:fill="EDF2F7"/>
            <w:tcMar>
              <w:top w:w="40" w:type="dxa"/>
              <w:bottom w:w="40" w:type="dxa"/>
              <w:left w:w="75" w:type="dxa"/>
              <w:right w:w="75" w:type="dxa"/>
            </w:tcMar>
          </w:tcPr>
          <w:p>
            <w:pPr>
              <w:spacing w:after="0"/>
            </w:pPr>
            <w:r>
              <w:rPr>
                <w:rFonts w:ascii="Arial" w:hAnsi="Arial"/>
                <w:b/>
                <w:color w:val="1A365D"/>
                <w:sz w:val="17"/>
              </w:rPr>
              <w:t>Viva Defense Interpretation</w:t>
            </w:r>
          </w:p>
        </w:tc>
        <w:tc>
          <w:tcPr>
            <w:tcW w:type="dxa" w:w="6912"/>
            <w:shd w:fill="F7FAFC"/>
            <w:tcMar>
              <w:top w:w="40" w:type="dxa"/>
              <w:bottom w:w="40" w:type="dxa"/>
              <w:left w:w="75" w:type="dxa"/>
              <w:right w:w="75" w:type="dxa"/>
            </w:tcMar>
          </w:tcPr>
          <w:p>
            <w:pPr>
              <w:spacing w:after="0" w:line="264" w:lineRule="auto"/>
            </w:pPr>
            <w:r>
              <w:rPr>
                <w:rFonts w:ascii="Arial" w:hAnsi="Arial"/>
                <w:i/>
                <w:color w:val="319795"/>
                <w:sz w:val="17"/>
              </w:rPr>
              <w:t>'Figure 11 is our primary model explainability artifact. It proves that the classifier is not a black box; its highest mathematical weights align perfectly with our psycholinguistic hypothesis.'</w:t>
            </w:r>
          </w:p>
        </w:tc>
      </w:tr>
    </w:tbl>
    <w:p>
      <w:pPr>
        <w:spacing w:after="40"/>
      </w:pPr>
    </w:p>
    <w:p>
      <w:pPr>
        <w:pStyle w:val="Heading1"/>
      </w:pPr>
      <w:r>
        <w:rPr>
          <w:rFonts w:ascii="Arial" w:hAnsi="Arial"/>
          <w:color w:val="1A365D"/>
          <w:sz w:val="28"/>
        </w:rPr>
        <w:t>8. Top 20 Viva Voce Examination Questions &amp; Model Answers</w:t>
      </w:r>
    </w:p>
    <w:p>
      <w:pPr>
        <w:spacing w:before="100" w:after="40" w:line="276" w:lineRule="auto"/>
      </w:pPr>
      <w:r>
        <w:rPr>
          <w:rFonts w:ascii="Arial" w:hAnsi="Arial"/>
          <w:b/>
          <w:color w:val="1A365D"/>
          <w:sz w:val="19"/>
        </w:rPr>
        <w:t>Q1: Your project title mentions 'Productivity and Task-Management Text', yet your primary dataset is Dreaddit. How do you justify using a stress corpus?</w:t>
        <w:br/>
      </w:r>
      <w:r>
        <w:rPr>
          <w:rFonts w:ascii="Arial" w:hAnsi="Arial"/>
          <w:color w:val="2D3748"/>
          <w:sz w:val="18"/>
        </w:rPr>
        <w:t>Model Answer: Academic procrastination and task postponement are clinically recognized not as flaws in scheduling, but as failures of emotional regulation under stress (Pychyl &amp; Sirois, 2016). Dreaddit captures ecological distress narratives across academic and interpersonal pressures. Furthermore, we explicitly bridge this by incorporating 4,933 curated submissions from the r/ADHD community, where users discuss acute executive dysfunction, deadline paralysis, and focus management. Studying both allows us to compare generalized acute stress with specific task-initiation failure.</w:t>
      </w:r>
    </w:p>
    <w:p>
      <w:pPr>
        <w:spacing w:before="100" w:after="40" w:line="276" w:lineRule="auto"/>
      </w:pPr>
      <w:r>
        <w:rPr>
          <w:rFonts w:ascii="Arial" w:hAnsi="Arial"/>
          <w:b/>
          <w:color w:val="1A365D"/>
          <w:sz w:val="19"/>
        </w:rPr>
        <w:t>Q2: Why did you choose WordNet Lemmatization over traditional Porter or Snowball Stemming?</w:t>
        <w:br/>
      </w:r>
      <w:r>
        <w:rPr>
          <w:rFonts w:ascii="Arial" w:hAnsi="Arial"/>
          <w:color w:val="2D3748"/>
          <w:sz w:val="18"/>
        </w:rPr>
        <w:t>Model Answer: Stemming applies crude heuristic string chopping (e.g., 'procrastinating' -&gt; 'procrastin', 'anxiety' -&gt; 'anxiet'). While fast, it produces non-dictionary truncations that hinder semantic interpretation and corrupt n-gram readability. WordNet lemmatization maps words to valid morphological dictionary headwords. By incorporating Part-of-Speech tags, we ensure that verbs ('feeling' -&gt; 'feel', 'avoiding' -&gt; 'avoid') and adjectives ('anxious' -&gt; 'anxious') retain their true grammatical roots, preserving essential behavioral meaning.</w:t>
      </w:r>
    </w:p>
    <w:p>
      <w:pPr>
        <w:spacing w:before="100" w:after="40" w:line="276" w:lineRule="auto"/>
      </w:pPr>
      <w:r>
        <w:rPr>
          <w:rFonts w:ascii="Arial" w:hAnsi="Arial"/>
          <w:b/>
          <w:color w:val="1A365D"/>
          <w:sz w:val="19"/>
        </w:rPr>
        <w:t>Q3: Why was contraction expansion necessary before text cleaning?</w:t>
        <w:br/>
      </w:r>
      <w:r>
        <w:rPr>
          <w:rFonts w:ascii="Arial" w:hAnsi="Arial"/>
          <w:color w:val="2D3748"/>
          <w:sz w:val="18"/>
        </w:rPr>
        <w:t>Model Answer: In informal social media writing, contractions are ubiquitous ('I'm', 'don't', 'can't'). Naive regex stripping of punctuation collapses these into 'im', 'dont', and 'cant'. In initial runs, these artifacts dominated the top 10 most frequent words in our vocabulary, creating severe noise. More critically, stripping apostrophes without expansion obscures negation words ('not'). Expanding 'don't' to 'do not' preserves the negation token, which is a vital determinant in sentiment and stress classification.</w:t>
      </w:r>
    </w:p>
    <w:p>
      <w:pPr>
        <w:spacing w:before="100" w:after="40" w:line="276" w:lineRule="auto"/>
      </w:pPr>
      <w:r>
        <w:rPr>
          <w:rFonts w:ascii="Arial" w:hAnsi="Arial"/>
          <w:b/>
          <w:color w:val="1A365D"/>
          <w:sz w:val="19"/>
        </w:rPr>
        <w:t>Q4: What is Type-Token Ratio (TTR) and what does it reveal about stressed text?</w:t>
        <w:br/>
      </w:r>
      <w:r>
        <w:rPr>
          <w:rFonts w:ascii="Arial" w:hAnsi="Arial"/>
          <w:color w:val="2D3748"/>
          <w:sz w:val="18"/>
        </w:rPr>
        <w:t>Model Answer: Type-Token Ratio is the count of unique lemmas divided by the total count of lemmas. Psycholinguistically, it quantifies lexical diversity versus repetitive verbal behavior. In clinical psychology, individuals experiencing acute rumination or cognitive overload exhibit lower TTR because their working memory is constrained, causing them to repetitively iterate over a small set of distressing keywords. Higher TTR indicates cognitive flexibility and adaptive coping.</w:t>
      </w:r>
    </w:p>
    <w:p>
      <w:pPr>
        <w:spacing w:before="100" w:after="40" w:line="276" w:lineRule="auto"/>
      </w:pPr>
      <w:r>
        <w:rPr>
          <w:rFonts w:ascii="Arial" w:hAnsi="Arial"/>
          <w:b/>
          <w:color w:val="1A365D"/>
          <w:sz w:val="19"/>
        </w:rPr>
        <w:t>Q5: Why did you use Mann-Whitney U tests instead of standard Student's t-tests?</w:t>
        <w:br/>
      </w:r>
      <w:r>
        <w:rPr>
          <w:rFonts w:ascii="Arial" w:hAnsi="Arial"/>
          <w:color w:val="2D3748"/>
          <w:sz w:val="18"/>
        </w:rPr>
        <w:t>Model Answer: Student's t-tests assume that continuous data is normally distributed and homoscedastic. In natural language processing, word frequencies, punctuation counts, and LIWC percentages are heavily right-skewed, zero-inflated, and bounded. Violating the normality assumption inflates Type I false positive rates. The Mann-Whitney U test is a non-parametric rank-sum test that evaluates stochastic dominance without assuming normality, making it the statistically sound choice for linguistic corpora.</w:t>
      </w:r>
    </w:p>
    <w:p>
      <w:pPr>
        <w:spacing w:before="100" w:after="40" w:line="276" w:lineRule="auto"/>
      </w:pPr>
      <w:r>
        <w:rPr>
          <w:rFonts w:ascii="Arial" w:hAnsi="Arial"/>
          <w:b/>
          <w:color w:val="1A365D"/>
          <w:sz w:val="19"/>
        </w:rPr>
        <w:t>Q6: How do you interpret Cohen's d effect size, and which features had the largest effects?</w:t>
        <w:br/>
      </w:r>
      <w:r>
        <w:rPr>
          <w:rFonts w:ascii="Arial" w:hAnsi="Arial"/>
          <w:color w:val="2D3748"/>
          <w:sz w:val="18"/>
        </w:rPr>
        <w:t>Model Answer: While p-values indicate whether a difference is statistically non-random, Cohen's d quantifies the practical magnitude of the difference in standard deviation units (|d| &gt;= 0.8 is large). In our results, Emotional Tone had a massive negative effect (d = -1.003, p &lt; 1e-160), meaning stressed narratives are over a full standard deviation lower in positive valence. Conversely, first-person singular pronouns ('I'-talk) showed a large positive effect (d = +0.832, p &lt; 1e-114), confirming egocentric narrowing.</w:t>
      </w:r>
    </w:p>
    <w:p>
      <w:pPr>
        <w:spacing w:before="100" w:after="40" w:line="276" w:lineRule="auto"/>
      </w:pPr>
      <w:r>
        <w:rPr>
          <w:rFonts w:ascii="Arial" w:hAnsi="Arial"/>
          <w:b/>
          <w:color w:val="1A365D"/>
          <w:sz w:val="19"/>
        </w:rPr>
        <w:t>Q7: What does the discrepancy category ('lex_liwc_discrep') indicate in procrastination?</w:t>
        <w:br/>
      </w:r>
      <w:r>
        <w:rPr>
          <w:rFonts w:ascii="Arial" w:hAnsi="Arial"/>
          <w:color w:val="2D3748"/>
          <w:sz w:val="18"/>
        </w:rPr>
        <w:t>Model Answer: The discrepancy dictionary includes modal verbs like 'should', 'would', 'could', and 'ought'. In Higgins' Self-Discrepancy Theory, psychological distress arises when there is a mismatch between one's actual behavior and the 'ought self' (obligations). High discrepancy usage signifies the chronic internal guilt of knowing a task must be done while simultaneously avoiding it—the defining psychological hallmark of procrastination.</w:t>
      </w:r>
    </w:p>
    <w:p>
      <w:pPr>
        <w:spacing w:before="100" w:after="40" w:line="276" w:lineRule="auto"/>
      </w:pPr>
      <w:r>
        <w:rPr>
          <w:rFonts w:ascii="Arial" w:hAnsi="Arial"/>
          <w:b/>
          <w:color w:val="1A365D"/>
          <w:sz w:val="19"/>
        </w:rPr>
        <w:t>Q8: Why are first-person singular pronouns ('lex_liwc_i') clinically significant?</w:t>
        <w:br/>
      </w:r>
      <w:r>
        <w:rPr>
          <w:rFonts w:ascii="Arial" w:hAnsi="Arial"/>
          <w:color w:val="2D3748"/>
          <w:sz w:val="18"/>
        </w:rPr>
        <w:t>Model Answer: Decades of psycholinguistic research pioneered by James Pennebaker have demonstrated that high first-person singular pronoun density ('I-talk') is an objective biomarker of depression and acute stress. Stressed and overwhelmed individuals experience cognitive narrowing, focusing inward on their subjective pain, whereas healthy coping or collective collaboration is marked by increased plural pronouns ('we').</w:t>
      </w:r>
    </w:p>
    <w:p>
      <w:pPr>
        <w:spacing w:before="100" w:after="40" w:line="276" w:lineRule="auto"/>
      </w:pPr>
      <w:r>
        <w:rPr>
          <w:rFonts w:ascii="Arial" w:hAnsi="Arial"/>
          <w:b/>
          <w:color w:val="1A365D"/>
          <w:sz w:val="19"/>
        </w:rPr>
        <w:t>Q9: What is Latent Dirichlet Allocation (LDA) and what did it reveal in the ADHD dataset?</w:t>
        <w:br/>
      </w:r>
      <w:r>
        <w:rPr>
          <w:rFonts w:ascii="Arial" w:hAnsi="Arial"/>
          <w:color w:val="2D3748"/>
          <w:sz w:val="18"/>
        </w:rPr>
        <w:t>Model Answer: LDA is an unsupervised generative probabilistic model that models documents as mixtures of latent topics, where topics are multinomial distributions over words. In our ADHD corpus, LDA successfully identified five clear latent themes, notably Topic 3 ('Task Initiation &amp; Procrastination Coping', ~20% prevalence), characterized by keywords like 'task', 'list', 'start', 'clean', and 'goal', proving that task management is a core preoccupation of attention deficit discussions.</w:t>
      </w:r>
    </w:p>
    <w:p>
      <w:pPr>
        <w:spacing w:before="100" w:after="40" w:line="276" w:lineRule="auto"/>
      </w:pPr>
      <w:r>
        <w:rPr>
          <w:rFonts w:ascii="Arial" w:hAnsi="Arial"/>
          <w:b/>
          <w:color w:val="1A365D"/>
          <w:sz w:val="19"/>
        </w:rPr>
        <w:t>Q10: Why did you filter posts by word count (5 &lt;= word_count &lt;= 500)?</w:t>
        <w:br/>
      </w:r>
      <w:r>
        <w:rPr>
          <w:rFonts w:ascii="Arial" w:hAnsi="Arial"/>
          <w:color w:val="2D3748"/>
          <w:sz w:val="18"/>
        </w:rPr>
        <w:t>Model Answer: Posts with fewer than 5 words lack sufficient contextual and syntactic cues for reliable psycholinguistic calculation (e.g., TTR on 3 words is mathematically distorted). Conversely, posts exceeding 500 words represent extreme statistical outliers that distort mean distributions and introduce substantial length bias in linear classifiers. Truncating outliers stabilizes feature variance while retaining over 99% of valid corpus data.</w:t>
      </w:r>
    </w:p>
    <w:p>
      <w:pPr>
        <w:spacing w:before="100" w:after="40" w:line="276" w:lineRule="auto"/>
      </w:pPr>
      <w:r>
        <w:rPr>
          <w:rFonts w:ascii="Arial" w:hAnsi="Arial"/>
          <w:b/>
          <w:color w:val="1A365D"/>
          <w:sz w:val="19"/>
        </w:rPr>
        <w:t>Q11: How did you solve the large file memory crash from the ADHD dataset?</w:t>
        <w:br/>
      </w:r>
      <w:r>
        <w:rPr>
          <w:rFonts w:ascii="Arial" w:hAnsi="Arial"/>
          <w:color w:val="2D3748"/>
          <w:sz w:val="18"/>
        </w:rPr>
        <w:t>Model Answer: The raw ADHD folder contained a 1.24 GB uncompressed CSV file. Loading this into pandas with pd.read_csv consumed over 4 GB of RAM, causing kernel termination. We solved this by implementing an iterator with chunksize=10,000, streaming rows from disk, filtering in-memory for non-null, high-character selftext posts, and extracting a representative sample of 4,933 submissions. This reduced memory consumption to under 15 MB while achieving statistical significance.</w:t>
      </w:r>
    </w:p>
    <w:p>
      <w:pPr>
        <w:spacing w:before="100" w:after="40" w:line="276" w:lineRule="auto"/>
      </w:pPr>
      <w:r>
        <w:rPr>
          <w:rFonts w:ascii="Arial" w:hAnsi="Arial"/>
          <w:b/>
          <w:color w:val="1A365D"/>
          <w:sz w:val="19"/>
        </w:rPr>
        <w:t>Q12: How do LIWC features differ from standard TF-IDF bag-of-words representations?</w:t>
        <w:br/>
      </w:r>
      <w:r>
        <w:rPr>
          <w:rFonts w:ascii="Arial" w:hAnsi="Arial"/>
          <w:color w:val="2D3748"/>
          <w:sz w:val="18"/>
        </w:rPr>
        <w:t>Model Answer: TF-IDF represents text based purely on vocabulary frequency without inherent semantic awareness, which is sparse and domain-sensitive. LIWC (Linguistic Inquiry and Word Count) is a clinically validated psycholinguistic lexicon that aggregates words into pre-established psychological dimensions—such as cognitive discrepancy, temporal focus, and affective valence. LIWC captures high-level behavioral posture regardless of whether a student uses formal or colloquial phrasing.</w:t>
      </w:r>
    </w:p>
    <w:p>
      <w:pPr>
        <w:spacing w:before="100" w:after="40" w:line="276" w:lineRule="auto"/>
      </w:pPr>
      <w:r>
        <w:rPr>
          <w:rFonts w:ascii="Arial" w:hAnsi="Arial"/>
          <w:b/>
          <w:color w:val="1A365D"/>
          <w:sz w:val="19"/>
        </w:rPr>
        <w:t>Q13: What did the correlation matrix (Figure 6) reveal about the relationship between features?</w:t>
        <w:br/>
      </w:r>
      <w:r>
        <w:rPr>
          <w:rFonts w:ascii="Arial" w:hAnsi="Arial"/>
          <w:color w:val="2D3748"/>
          <w:sz w:val="18"/>
        </w:rPr>
        <w:t>Model Answer: The correlation matrix revealed that negative affect features (Tone = -0.42, Anxiety = +0.35, Anger = +0.31) and I-talk (+0.37) correlate strongly with the Stress Label. Importantly, structural readability (Flesch-Kincaid Grade) showed near-zero correlation with stress (-0.03), demonstrating that stress impairs emotional regulation and self-focus rather than grammatical literacy.</w:t>
      </w:r>
    </w:p>
    <w:p>
      <w:pPr>
        <w:spacing w:before="100" w:after="40" w:line="276" w:lineRule="auto"/>
      </w:pPr>
      <w:r>
        <w:rPr>
          <w:rFonts w:ascii="Arial" w:hAnsi="Arial"/>
          <w:b/>
          <w:color w:val="1A365D"/>
          <w:sz w:val="19"/>
        </w:rPr>
        <w:t>Q14: How does our empirical work support Paper #8 and Paper #13 from our Literature Review?</w:t>
        <w:br/>
      </w:r>
      <w:r>
        <w:rPr>
          <w:rFonts w:ascii="Arial" w:hAnsi="Arial"/>
          <w:color w:val="2D3748"/>
          <w:sz w:val="18"/>
        </w:rPr>
        <w:t>Model Answer: Paper #8 hypothesized a dynamic temporal relationship between anxiety and procrastination. Our Figure 4 and statistical tests confirmed that stressed text shows significantly elevated past focus (d = +0.22, p &lt; 1e-12) and anxiety spikes (d = +0.56, p &lt; 1e-72). Paper #13 emphasized that procrastination is dynamic and context-dependent; our cross-corpus comparison showed that ADHD task discourse exhibits 6x more question marks and 7x more exclamation marks, highlighting urgent reassurance-seeking under deadline panic.</w:t>
      </w:r>
    </w:p>
    <w:p>
      <w:pPr>
        <w:spacing w:before="100" w:after="40" w:line="276" w:lineRule="auto"/>
      </w:pPr>
      <w:r>
        <w:rPr>
          <w:rFonts w:ascii="Arial" w:hAnsi="Arial"/>
          <w:b/>
          <w:color w:val="1A365D"/>
          <w:sz w:val="19"/>
        </w:rPr>
        <w:t>Q15: How did you construct your multi-modal feature matrix for machine learning?</w:t>
        <w:br/>
      </w:r>
      <w:r>
        <w:rPr>
          <w:rFonts w:ascii="Arial" w:hAnsi="Arial"/>
          <w:color w:val="2D3748"/>
          <w:sz w:val="18"/>
        </w:rPr>
        <w:t>Model Answer: We engineered a unified feature space fusing two complementary representations: (1) 1,000 TF-IDF n-grams (unigrams and bigrams with sublinear term-frequency scaling) capturing colloquial domain vocabulary, and (2) 27 standardized numerical psycholinguistic features (LIWC dimensions, readability scores, and surface text metrics). We horizontally concatenated these into a sparse CSR matrix using scipy.sparse.hstack.</w:t>
      </w:r>
    </w:p>
    <w:p>
      <w:pPr>
        <w:spacing w:before="100" w:after="40" w:line="276" w:lineRule="auto"/>
      </w:pPr>
      <w:r>
        <w:rPr>
          <w:rFonts w:ascii="Arial" w:hAnsi="Arial"/>
          <w:b/>
          <w:color w:val="1A365D"/>
          <w:sz w:val="19"/>
        </w:rPr>
        <w:t>Q16: Why did Logistic Regression outperform Random Forest in ROC-AUC (0.849 vs 0.828)?</w:t>
        <w:br/>
      </w:r>
      <w:r>
        <w:rPr>
          <w:rFonts w:ascii="Arial" w:hAnsi="Arial"/>
          <w:color w:val="2D3748"/>
          <w:sz w:val="18"/>
        </w:rPr>
        <w:t>Model Answer: In high-dimensional, sparse text representations (1,027 features), linear models like Logistic Regression and Linear Support Vector Machines naturally thrive because the true decision boundary is approximately linear in high-dimensional feature space. Random Forest relies on axis-aligned orthogonal splits, which struggle when signal is diffused across hundreds of low-frequency n-grams and correlated continuous linguistic ratios.</w:t>
      </w:r>
    </w:p>
    <w:p>
      <w:pPr>
        <w:spacing w:before="100" w:after="40" w:line="276" w:lineRule="auto"/>
      </w:pPr>
      <w:r>
        <w:rPr>
          <w:rFonts w:ascii="Arial" w:hAnsi="Arial"/>
          <w:b/>
          <w:color w:val="1A365D"/>
          <w:sz w:val="19"/>
        </w:rPr>
        <w:t>Q17: In mental health and crisis surveillance, why is Recall more critical than Precision?</w:t>
        <w:br/>
      </w:r>
      <w:r>
        <w:rPr>
          <w:rFonts w:ascii="Arial" w:hAnsi="Arial"/>
          <w:color w:val="2D3748"/>
          <w:sz w:val="18"/>
        </w:rPr>
        <w:t>Model Answer: In public health screening, a False Negative represents a student experiencing acute burnout or crisis who is incorrectly classified as functional, potentially leading to unaddressed failure or harm. Conversely, a False Positive merely initiates a supportive wellness check. Therefore, models must maintain high sensitivity/recall (&gt;78-81%) to capture individuals requiring timely intervention.</w:t>
      </w:r>
    </w:p>
    <w:p>
      <w:pPr>
        <w:spacing w:before="100" w:after="40" w:line="276" w:lineRule="auto"/>
      </w:pPr>
      <w:r>
        <w:rPr>
          <w:rFonts w:ascii="Arial" w:hAnsi="Arial"/>
          <w:b/>
          <w:color w:val="1A365D"/>
          <w:sz w:val="19"/>
        </w:rPr>
        <w:t>Q18: How do you interpret the learned Logistic Regression coefficients (Figure 11)?</w:t>
        <w:br/>
      </w:r>
      <w:r>
        <w:rPr>
          <w:rFonts w:ascii="Arial" w:hAnsi="Arial"/>
          <w:color w:val="2D3748"/>
          <w:sz w:val="18"/>
        </w:rPr>
        <w:t>Model Answer: The model coefficients represent the log-odds change in stress probability per unit increase in standardized feature value. The top positive mathematical drivers were first-person singular pronouns ('lex_liwc_i': +0.875), anxiety markers ('lex_liwc_anx': +0.303), and colloquial stress vocabulary ('hard', 'job', 'feel like'). The strongest protective negative weights were Emotional Tone (-0.431) and pleasantness (-0.315), proving model transparency and clinical alignment.</w:t>
      </w:r>
    </w:p>
    <w:p>
      <w:pPr>
        <w:spacing w:before="100" w:after="40" w:line="276" w:lineRule="auto"/>
      </w:pPr>
      <w:r>
        <w:rPr>
          <w:rFonts w:ascii="Arial" w:hAnsi="Arial"/>
          <w:b/>
          <w:color w:val="1A365D"/>
          <w:sz w:val="19"/>
        </w:rPr>
        <w:t>Q19: What is Out-of-Domain Generalization and what did your model reveal when applied to the ADHD corpus?</w:t>
        <w:br/>
      </w:r>
      <w:r>
        <w:rPr>
          <w:rFonts w:ascii="Arial" w:hAnsi="Arial"/>
          <w:color w:val="2D3748"/>
          <w:sz w:val="18"/>
        </w:rPr>
        <w:t>Model Answer: Out-of-domain generalization evaluates how a model trained on one dataset performs on an entirely unseen community. When applying our stress classifier to the 4,933 ADHD submissions, we cross-tabulated predictions with our LDA topics. Posts in Topic 4 ('Emotional Dysregulation &amp; Burnout') exhibited over 75% predicted acute stress, whereas Topic 5 ('Community Guidance') showed less than 30% stress, validating that our classifier captures genuine psychological states across different online platforms.</w:t>
      </w:r>
    </w:p>
    <w:p>
      <w:pPr>
        <w:spacing w:before="100" w:after="40" w:line="276" w:lineRule="auto"/>
      </w:pPr>
      <w:r>
        <w:rPr>
          <w:rFonts w:ascii="Arial" w:hAnsi="Arial"/>
          <w:b/>
          <w:color w:val="1A365D"/>
          <w:sz w:val="19"/>
        </w:rPr>
        <w:t>Q20: How does this machine learning pipeline advance beyond the initial preprocessing stage?</w:t>
        <w:br/>
      </w:r>
      <w:r>
        <w:rPr>
          <w:rFonts w:ascii="Arial" w:hAnsi="Arial"/>
          <w:color w:val="2D3748"/>
          <w:sz w:val="18"/>
        </w:rPr>
        <w:t>Model Answer: The initial notebook was purely descriptive data cleaning. Our completed pipeline elevates the project into an end-to-end empirical investigation: from robust cleaning and hypothesis testing, to unsupervised topic modeling, supervised predictive classification with 85% ROC-AUC, transparent feature attribution, and cross-corpus generalizability testing.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