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ind w:firstLine="0"/>
        <w:rPr>
          <w:sz w:val="2"/>
          <w:szCs w:val="2"/>
        </w:rPr>
      </w:pPr>
      <w:r>
        <w:rPr>
          <w:rFonts w:ascii="Symbol" w:hAnsi="Symbol"/>
          <w:sz w:val="2"/>
          <w:szCs w:val="2"/>
        </w:rPr>
        <w:footnoteReference w:customMarkFollows="1" w:id="1"/>
        <w:t xml:space="preserve"> </w:t>
      </w:r>
    </w:p>
    <w:p>
      <w:pPr>
        <w:pStyle w:val="Abstract"/>
        <w:spacing w:before="0"/>
      </w:pPr>
      <w:r>
        <w:rPr>
          <w:sz w:val="2"/>
          <w:szCs w:val="2"/>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908050</wp:posOffset>
                </wp:positionH>
                <wp:positionV relativeFrom="line">
                  <wp:posOffset>635</wp:posOffset>
                </wp:positionV>
                <wp:extent cx="5943600" cy="448568"/>
                <wp:effectExtent l="0" t="0" r="0" b="0"/>
                <wp:wrapTopAndBottom distT="152400" distB="152400"/>
                <wp:docPr id="1073741825" name="officeArt object" descr="Template for Preparation of Papers for IEEE Sponsored Conferences &amp; Symposia*"/>
                <wp:cNvGraphicFramePr/>
                <a:graphic xmlns:a="http://schemas.openxmlformats.org/drawingml/2006/main">
                  <a:graphicData uri="http://schemas.microsoft.com/office/word/2010/wordprocessingShape">
                    <wps:wsp>
                      <wps:cNvSpPr/>
                      <wps:spPr>
                        <a:xfrm>
                          <a:off x="0" y="0"/>
                          <a:ext cx="5943600" cy="448568"/>
                        </a:xfrm>
                        <a:prstGeom prst="rect">
                          <a:avLst/>
                        </a:prstGeom>
                        <a:solidFill>
                          <a:srgbClr val="000000">
                            <a:alpha val="0"/>
                          </a:srgbClr>
                        </a:solidFill>
                        <a:ln w="12700" cap="flat">
                          <a:noFill/>
                          <a:miter lim="400000"/>
                        </a:ln>
                        <a:effectLst/>
                        <a:extLst>
                          <a:ext uri="{C572A759-6A51-4108-AA02-DFA0A04FC94B}">
                            <ma14:wrappingTextBoxFlag xmlns:ma14="http://schemas.microsoft.com/office/mac/drawingml/2011/main" val="1"/>
                          </a:ext>
                        </a:extLst>
                      </wps:spPr>
                      <wps:txbx>
                        <w:txbxContent>
                          <w:p>
                            <w:pPr>
                              <w:pStyle w:val="Title A"/>
                            </w:pPr>
                            <w:r>
                              <w:rPr>
                                <w:rtl w:val="0"/>
                                <w:lang w:val="en-US"/>
                              </w:rPr>
                              <w:t>Template for Preparation of Papers for IEEE Sponsored Conferences &amp; Symposia*</w:t>
                            </w:r>
                          </w:p>
                        </w:txbxContent>
                      </wps:txbx>
                      <wps:bodyPr wrap="square" lIns="0" tIns="0" rIns="0" bIns="0" numCol="1" anchor="ctr">
                        <a:noAutofit/>
                      </wps:bodyPr>
                    </wps:wsp>
                  </a:graphicData>
                </a:graphic>
              </wp:anchor>
            </w:drawing>
          </mc:Choice>
          <mc:Fallback>
            <w:pict>
              <v:rect id="_x0000_s1026" style="visibility:visible;position:absolute;margin-left:71.5pt;margin-top:0.1pt;width:468.0pt;height:35.3pt;z-index:251659264;mso-position-horizontal:absolute;mso-position-horizontal-relative:page;mso-position-vertical:absolute;mso-position-vertical-relative:line;mso-wrap-distance-left:12.0pt;mso-wrap-distance-top:12.0pt;mso-wrap-distance-right:12.0pt;mso-wrap-distance-bottom:12.0pt;">
                <v:fill color="#000000" opacity="0.0%" type="solid"/>
                <v:stroke on="f" weight="1.0pt" dashstyle="solid" endcap="flat" miterlimit="400.0%" joinstyle="miter" linestyle="single" startarrow="none" startarrowwidth="medium" startarrowlength="medium" endarrow="none" endarrowwidth="medium" endarrowlength="medium"/>
                <v:textbox>
                  <w:txbxContent>
                    <w:p>
                      <w:pPr>
                        <w:pStyle w:val="Title A"/>
                      </w:pPr>
                      <w:r>
                        <w:rPr>
                          <w:rtl w:val="0"/>
                          <w:lang w:val="en-US"/>
                        </w:rPr>
                        <w:t>Template for Preparation of Papers for IEEE Sponsored Conferences &amp; Symposia*</w:t>
                      </w:r>
                    </w:p>
                  </w:txbxContent>
                </v:textbox>
                <w10:wrap type="topAndBottom" side="bothSides" anchorx="page"/>
              </v:rect>
            </w:pict>
          </mc:Fallback>
        </mc:AlternateContent>
      </w:r>
      <w:r>
        <w:rPr>
          <w:sz w:val="2"/>
          <w:szCs w:val="2"/>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1018540</wp:posOffset>
                </wp:positionH>
                <wp:positionV relativeFrom="line">
                  <wp:posOffset>635</wp:posOffset>
                </wp:positionV>
                <wp:extent cx="5760720" cy="146466"/>
                <wp:effectExtent l="0" t="0" r="0" b="0"/>
                <wp:wrapTopAndBottom distT="152400" distB="152400"/>
                <wp:docPr id="1073741826" name="officeArt object" descr="First A. Author, Second B. Author, Jr., and Third C. Author, Member, IEEE"/>
                <wp:cNvGraphicFramePr/>
                <a:graphic xmlns:a="http://schemas.openxmlformats.org/drawingml/2006/main">
                  <a:graphicData uri="http://schemas.microsoft.com/office/word/2010/wordprocessingShape">
                    <wps:wsp>
                      <wps:cNvSpPr/>
                      <wps:spPr>
                        <a:xfrm>
                          <a:off x="0" y="0"/>
                          <a:ext cx="5760720" cy="146466"/>
                        </a:xfrm>
                        <a:prstGeom prst="rect">
                          <a:avLst/>
                        </a:prstGeom>
                        <a:solidFill>
                          <a:srgbClr val="000000">
                            <a:alpha val="0"/>
                          </a:srgbClr>
                        </a:solidFill>
                        <a:ln w="12700" cap="flat">
                          <a:noFill/>
                          <a:miter lim="400000"/>
                        </a:ln>
                        <a:effectLst/>
                      </wps:spPr>
                      <wps:txbx>
                        <w:txbxContent>
                          <w:p>
                            <w:pPr>
                              <w:pStyle w:val="Authors"/>
                            </w:pPr>
                            <w:r>
                              <w:rPr>
                                <w:rtl w:val="0"/>
                                <w:lang w:val="en-US"/>
                              </w:rPr>
                              <w:t xml:space="preserve">First A. Author, Second B. Author, Jr., and Third C. Author, </w:t>
                            </w:r>
                            <w:r>
                              <w:rPr>
                                <w:i w:val="1"/>
                                <w:iCs w:val="1"/>
                                <w:rtl w:val="0"/>
                                <w:lang w:val="en-US"/>
                              </w:rPr>
                              <w:t>Member, IEEE</w:t>
                            </w:r>
                          </w:p>
                        </w:txbxContent>
                      </wps:txbx>
                      <wps:bodyPr wrap="square" lIns="0" tIns="0" rIns="0" bIns="0" numCol="1" anchor="ctr">
                        <a:noAutofit/>
                      </wps:bodyPr>
                    </wps:wsp>
                  </a:graphicData>
                </a:graphic>
              </wp:anchor>
            </w:drawing>
          </mc:Choice>
          <mc:Fallback>
            <w:pict>
              <v:rect id="_x0000_s1027" style="visibility:visible;position:absolute;margin-left:80.2pt;margin-top:0.1pt;width:453.6pt;height:11.5pt;z-index:251660288;mso-position-horizontal:absolute;mso-position-horizontal-relative:page;mso-position-vertical:absolute;mso-position-vertical-relative:line;mso-wrap-distance-left:12.0pt;mso-wrap-distance-top:12.0pt;mso-wrap-distance-right:12.0pt;mso-wrap-distance-bottom:12.0pt;">
                <v:fill color="#000000" opacity="0.0%" type="solid"/>
                <v:stroke on="f" weight="1.0pt" dashstyle="solid" endcap="flat" miterlimit="400.0%" joinstyle="miter" linestyle="single" startarrow="none" startarrowwidth="medium" startarrowlength="medium" endarrow="none" endarrowwidth="medium" endarrowlength="medium"/>
                <v:textbox>
                  <w:txbxContent>
                    <w:p>
                      <w:pPr>
                        <w:pStyle w:val="Authors"/>
                      </w:pPr>
                      <w:r>
                        <w:rPr>
                          <w:rtl w:val="0"/>
                          <w:lang w:val="en-US"/>
                        </w:rPr>
                        <w:t xml:space="preserve">First A. Author, Second B. Author, Jr., and Third C. Author, </w:t>
                      </w:r>
                      <w:r>
                        <w:rPr>
                          <w:i w:val="1"/>
                          <w:iCs w:val="1"/>
                          <w:rtl w:val="0"/>
                          <w:lang w:val="en-US"/>
                        </w:rPr>
                        <w:t>Member, IEEE</w:t>
                      </w:r>
                    </w:p>
                  </w:txbxContent>
                </v:textbox>
                <w10:wrap type="topAndBottom" side="bothSides" anchorx="page"/>
              </v:rect>
            </w:pict>
          </mc:Fallback>
        </mc:AlternateContent>
      </w:r>
      <w:r>
        <w:rPr>
          <w:i w:val="1"/>
          <w:iCs w:val="1"/>
          <w:rtl w:val="0"/>
          <w:lang w:val="en-US"/>
        </w:rPr>
        <w:t>Abstract</w:t>
      </w:r>
      <w:r>
        <w:rPr>
          <w:rtl w:val="0"/>
          <w:lang w:val="en-US"/>
        </w:rPr>
        <w:t xml:space="preserve">— </w:t>
      </w:r>
      <w:r>
        <w:rPr>
          <w:rtl w:val="0"/>
          <w:lang w:val="en-US"/>
        </w:rPr>
        <w:t xml:space="preserve">This electronic document is a </w:t>
      </w:r>
      <w:r>
        <w:rPr>
          <w:rtl w:val="0"/>
          <w:lang w:val="en-US"/>
        </w:rPr>
        <w:t>“</w:t>
      </w:r>
      <w:r>
        <w:rPr>
          <w:rtl w:val="0"/>
          <w:lang w:val="en-US"/>
        </w:rPr>
        <w:t>live</w:t>
      </w:r>
      <w:r>
        <w:rPr>
          <w:rtl w:val="0"/>
          <w:lang w:val="en-US"/>
        </w:rPr>
        <w:t xml:space="preserve">” </w:t>
      </w:r>
      <w:r>
        <w:rPr>
          <w:rtl w:val="0"/>
          <w:lang w:val="en-US"/>
        </w:rPr>
        <w:t>template. The various components of your paper [title, text, heads, etc.] are already defined on the style sheet, as illustrated by the portions given in this document.</w:t>
      </w:r>
    </w:p>
    <w:p>
      <w:pPr>
        <w:pStyle w:val="heading 1"/>
        <w:numPr>
          <w:ilvl w:val="0"/>
          <w:numId w:val="2"/>
        </w:numPr>
        <w:spacing w:before="120" w:after="120"/>
        <w:rPr>
          <w:lang w:val="en-US"/>
        </w:rPr>
      </w:pPr>
      <w:r>
        <w:rPr>
          <w:rtl w:val="0"/>
          <w:lang w:val="en-US"/>
        </w:rPr>
        <w:t>I</w:t>
      </w:r>
      <w:r>
        <w:rPr>
          <w:sz w:val="16"/>
          <w:szCs w:val="16"/>
          <w:rtl w:val="0"/>
          <w:lang w:val="en-US"/>
        </w:rPr>
        <w:t>NTRODUCTION</w:t>
      </w:r>
    </w:p>
    <w:p>
      <w:pPr>
        <w:pStyle w:val="Body Text"/>
        <w:rPr>
          <w:sz w:val="20"/>
          <w:szCs w:val="20"/>
        </w:rPr>
      </w:pPr>
      <w:r>
        <w:rPr>
          <w:sz w:val="20"/>
          <w:szCs w:val="20"/>
          <w:rtl w:val="0"/>
          <w:lang w:val="en-US"/>
        </w:rPr>
        <w:t>Dermatological disorders, such as atopic dermatitis (AD, or eczema), and acne vulgaris, are temporally dynamic within individuals and have a high degree of variance between different individuals. The data available for their scrutiny is usually sparse, uneven, longitudinal and often incomplete. In this situation, a single point estimate and a p-value do not tell us very much about how secure a conclusion is. Bayesian statistics offers an alternative: every unknown quantity is treated as a random variable with a probability distribution, so estimates, forecasts and decisions all carry their uncertainty with them.</w:t>
      </w:r>
      <w:r>
        <w:rPr>
          <w:sz w:val="20"/>
          <w:szCs w:val="20"/>
        </w:rPr>
        <w:br w:type="textWrapping"/>
      </w:r>
      <w:r>
        <w:rPr>
          <w:sz w:val="20"/>
          <w:szCs w:val="20"/>
          <w:rtl w:val="0"/>
          <w:lang w:val="en-US"/>
        </w:rPr>
        <w:t>This paper analyses nine recent studies that incorporate Bayesian or similar probabilistic approaches for skin-related issues. They cover forecasting of daily eczema severity [1], [2], turning forecasts into treatment recommendations [3], dose</w:t>
      </w:r>
      <w:r>
        <w:rPr>
          <w:sz w:val="20"/>
          <w:szCs w:val="20"/>
          <w:rtl w:val="0"/>
          <w:lang w:val="en-US"/>
        </w:rPr>
        <w:t>–</w:t>
      </w:r>
      <w:r>
        <w:rPr>
          <w:sz w:val="20"/>
          <w:szCs w:val="20"/>
          <w:rtl w:val="0"/>
          <w:lang w:val="en-US"/>
        </w:rPr>
        <w:t>response curve fitting [4], skin-sensitiser potency [5], skin permeability [6], and three applications in skincare: a randomised trial of a machine-learning recommender [7], a Na</w:t>
      </w:r>
      <w:r>
        <w:rPr>
          <w:sz w:val="20"/>
          <w:szCs w:val="20"/>
          <w:rtl w:val="0"/>
          <w:lang w:val="en-US"/>
        </w:rPr>
        <w:t>ï</w:t>
      </w:r>
      <w:r>
        <w:rPr>
          <w:sz w:val="20"/>
          <w:szCs w:val="20"/>
          <w:rtl w:val="0"/>
          <w:lang w:val="en-US"/>
        </w:rPr>
        <w:t>ve Bayes product recommender [8], and Bayesian optimisation of a neural network on cosmetic formulation data [9]. The aim is not only to summarise their findings but to interpret them as applications of statistics and probability. What model was established? How was it caliberated? How was it validated? How robust are the conclusions?</w:t>
      </w:r>
      <w:r>
        <w:rPr>
          <w:sz w:val="20"/>
          <w:szCs w:val="20"/>
        </w:rPr>
        <w:br w:type="textWrapping"/>
      </w:r>
      <w:r>
        <w:rPr>
          <w:sz w:val="20"/>
          <w:szCs w:val="20"/>
          <w:rtl w:val="0"/>
          <w:lang w:val="en-US"/>
        </w:rPr>
        <w:t>Section II recalls the statistical background, Section III reviews the studies, Section IV compares them, Section V gives a critical discussion, Section VI lists open problems, and Section VII concludes.</w:t>
      </w:r>
    </w:p>
    <w:p>
      <w:pPr>
        <w:pStyle w:val="heading 1"/>
        <w:numPr>
          <w:ilvl w:val="0"/>
          <w:numId w:val="2"/>
        </w:numPr>
        <w:spacing w:before="120" w:after="120"/>
        <w:rPr>
          <w:lang w:val="en-US"/>
        </w:rPr>
      </w:pPr>
      <w:r>
        <w:rPr>
          <w:rtl w:val="0"/>
          <w:lang w:val="en-US"/>
        </w:rPr>
        <w:t>Statistical Background</w:t>
      </w:r>
    </w:p>
    <w:p>
      <w:pPr>
        <w:pStyle w:val="Body Text"/>
      </w:pPr>
      <w:r>
        <w:rPr>
          <w:rtl w:val="0"/>
          <w:lang w:val="en-US"/>
        </w:rPr>
        <w:t>A.</w:t>
        <w:tab/>
      </w:r>
      <w:r>
        <w:rPr>
          <w:rtl w:val="0"/>
        </w:rPr>
        <w:t>Bayes</w:t>
      </w:r>
      <w:r>
        <w:rPr>
          <w:rtl w:val="0"/>
        </w:rPr>
        <w:t xml:space="preserve">’ </w:t>
      </w:r>
      <w:r>
        <w:rPr>
          <w:rtl w:val="0"/>
        </w:rPr>
        <w:t xml:space="preserve">Theorem and Posterior Inference </w:t>
      </w:r>
    </w:p>
    <w:p>
      <w:pPr>
        <w:pStyle w:val="Body Text"/>
      </w:pPr>
      <w:r>
        <w:rPr>
          <w:rtl w:val="0"/>
        </w:rPr>
        <w:t xml:space="preserve">Let </w:t>
      </w:r>
      <w:r>
        <w:rPr>
          <w:i w:val="1"/>
          <w:iCs w:val="1"/>
          <w:rtl w:val="0"/>
          <w:lang w:val="en-US"/>
        </w:rPr>
        <w:t>θ</w:t>
      </w:r>
      <w:r>
        <w:rPr>
          <w:rtl w:val="0"/>
        </w:rPr>
        <w:t xml:space="preserve"> denote the unknown parameters of a model and </w:t>
      </w:r>
      <w:r>
        <w:rPr>
          <w:i w:val="1"/>
          <w:iCs w:val="1"/>
          <w:rtl w:val="0"/>
          <w:lang w:val="en-US"/>
        </w:rPr>
        <w:t>y</w:t>
      </w:r>
      <w:r>
        <w:rPr>
          <w:rtl w:val="0"/>
        </w:rPr>
        <w:t xml:space="preserve"> the observed data. Bayes</w:t>
      </w:r>
      <w:r>
        <w:rPr>
          <w:rtl w:val="0"/>
        </w:rPr>
        <w:t xml:space="preserve">’ </w:t>
      </w:r>
      <w:r>
        <w:rPr>
          <w:rtl w:val="0"/>
        </w:rPr>
        <w:t xml:space="preserve">theorem combines a prior distribution </w:t>
      </w:r>
      <w:r>
        <w:rPr>
          <w:i w:val="1"/>
          <w:iCs w:val="1"/>
          <w:rtl w:val="0"/>
          <w:lang w:val="en-US"/>
        </w:rPr>
        <w:t>p</w:t>
      </w:r>
      <w:r>
        <w:rPr>
          <w:rtl w:val="0"/>
        </w:rPr>
        <w:t>(</w:t>
      </w:r>
      <w:r>
        <w:rPr>
          <w:i w:val="1"/>
          <w:iCs w:val="1"/>
          <w:rtl w:val="0"/>
          <w:lang w:val="en-US"/>
        </w:rPr>
        <w:t>θ</w:t>
      </w:r>
      <w:r>
        <w:rPr>
          <w:rtl w:val="0"/>
        </w:rPr>
        <w:t xml:space="preserve">) with the likelihood </w:t>
      </w:r>
      <w:r>
        <w:rPr>
          <w:i w:val="1"/>
          <w:iCs w:val="1"/>
          <w:rtl w:val="0"/>
          <w:lang w:val="en-US"/>
        </w:rPr>
        <w:t>p</w:t>
      </w:r>
      <w:r>
        <w:rPr>
          <w:rtl w:val="0"/>
        </w:rPr>
        <w:t>(</w:t>
      </w:r>
      <w:r>
        <w:rPr>
          <w:i w:val="1"/>
          <w:iCs w:val="1"/>
          <w:rtl w:val="0"/>
          <w:lang w:val="en-US"/>
        </w:rPr>
        <w:t>y</w:t>
      </w:r>
      <w:r>
        <w:rPr>
          <w:rtl w:val="0"/>
        </w:rPr>
        <w:t xml:space="preserve"> | </w:t>
      </w:r>
      <w:r>
        <w:rPr>
          <w:i w:val="1"/>
          <w:iCs w:val="1"/>
          <w:rtl w:val="0"/>
          <w:lang w:val="en-US"/>
        </w:rPr>
        <w:t>θ</w:t>
      </w:r>
      <w:r>
        <w:rPr>
          <w:rtl w:val="0"/>
        </w:rPr>
        <w:t>) to give the posterior distribution</w:t>
      </w:r>
    </w:p>
    <w:p>
      <w:pPr>
        <w:pStyle w:val="Body Text"/>
      </w:pPr>
      <w:r>
        <w:rPr>
          <w:i w:val="1"/>
          <w:iCs w:val="1"/>
          <w:rtl w:val="0"/>
          <w:lang w:val="en-US"/>
        </w:rPr>
        <w:t>p</w:t>
      </w:r>
      <w:r>
        <w:rPr>
          <w:rtl w:val="0"/>
        </w:rPr>
        <w:t>(</w:t>
      </w:r>
      <w:r>
        <w:rPr>
          <w:i w:val="1"/>
          <w:iCs w:val="1"/>
          <w:rtl w:val="0"/>
          <w:lang w:val="en-US"/>
        </w:rPr>
        <w:t>θ</w:t>
      </w:r>
      <w:r>
        <w:rPr>
          <w:rtl w:val="0"/>
        </w:rPr>
        <w:t xml:space="preserve"> | </w:t>
      </w:r>
      <w:r>
        <w:rPr>
          <w:i w:val="1"/>
          <w:iCs w:val="1"/>
          <w:rtl w:val="0"/>
          <w:lang w:val="en-US"/>
        </w:rPr>
        <w:t>y</w:t>
      </w:r>
      <w:r>
        <w:rPr>
          <w:rtl w:val="0"/>
        </w:rPr>
        <w:t xml:space="preserve">) = </w:t>
      </w:r>
      <w:r>
        <w:rPr>
          <w:i w:val="1"/>
          <w:iCs w:val="1"/>
          <w:rtl w:val="0"/>
          <w:lang w:val="en-US"/>
        </w:rPr>
        <w:t>p</w:t>
      </w:r>
      <w:r>
        <w:rPr>
          <w:rtl w:val="0"/>
        </w:rPr>
        <w:t>(</w:t>
      </w:r>
      <w:r>
        <w:rPr>
          <w:i w:val="1"/>
          <w:iCs w:val="1"/>
          <w:rtl w:val="0"/>
          <w:lang w:val="en-US"/>
        </w:rPr>
        <w:t>y</w:t>
      </w:r>
      <w:r>
        <w:rPr>
          <w:rtl w:val="0"/>
        </w:rPr>
        <w:t xml:space="preserve"> | </w:t>
      </w:r>
      <w:r>
        <w:rPr>
          <w:i w:val="1"/>
          <w:iCs w:val="1"/>
          <w:rtl w:val="0"/>
          <w:lang w:val="en-US"/>
        </w:rPr>
        <w:t>θ</w:t>
      </w:r>
      <w:r>
        <w:rPr>
          <w:rtl w:val="0"/>
        </w:rPr>
        <w:t xml:space="preserve">) </w:t>
      </w:r>
      <w:r>
        <w:rPr>
          <w:i w:val="1"/>
          <w:iCs w:val="1"/>
          <w:rtl w:val="0"/>
          <w:lang w:val="en-US"/>
        </w:rPr>
        <w:t>p</w:t>
      </w:r>
      <w:r>
        <w:rPr>
          <w:rtl w:val="0"/>
        </w:rPr>
        <w:t>(</w:t>
      </w:r>
      <w:r>
        <w:rPr>
          <w:i w:val="1"/>
          <w:iCs w:val="1"/>
          <w:rtl w:val="0"/>
          <w:lang w:val="en-US"/>
        </w:rPr>
        <w:t>θ</w:t>
      </w:r>
      <w:r>
        <w:rPr>
          <w:rtl w:val="0"/>
        </w:rPr>
        <w:t xml:space="preserve">) / </w:t>
      </w:r>
      <w:r>
        <w:rPr>
          <w:i w:val="1"/>
          <w:iCs w:val="1"/>
          <w:rtl w:val="0"/>
          <w:lang w:val="en-US"/>
        </w:rPr>
        <w:t>p</w:t>
      </w:r>
      <w:r>
        <w:rPr>
          <w:rtl w:val="0"/>
        </w:rPr>
        <w:t>(</w:t>
      </w:r>
      <w:r>
        <w:rPr>
          <w:i w:val="1"/>
          <w:iCs w:val="1"/>
          <w:rtl w:val="0"/>
          <w:lang w:val="en-US"/>
        </w:rPr>
        <w:t>y</w:t>
      </w:r>
      <w:r>
        <w:rPr>
          <w:rtl w:val="0"/>
        </w:rPr>
        <w:t>) (1)</w:t>
      </w:r>
    </w:p>
    <w:p>
      <w:pPr>
        <w:pStyle w:val="Body Text"/>
      </w:pPr>
      <w:r>
        <w:rPr>
          <w:rtl w:val="0"/>
        </w:rPr>
        <w:t xml:space="preserve">The Bayesian studies reviewed here summarise the posterior by its median or mean and by a credible interval. A 95% credible interval is a range that, given the model and the prior, contains the parameter with probability 0.95, a direct probability statement that a frequentist confidence interval does not provide [10]. Two groups or conditions can be compared by computing the difference </w:t>
      </w:r>
      <w:r>
        <w:rPr>
          <w:rtl w:val="0"/>
        </w:rPr>
        <w:t xml:space="preserve">Δθ </w:t>
      </w:r>
      <w:r>
        <w:rPr>
          <w:rtl w:val="0"/>
        </w:rPr>
        <w:t>for every posterior sample and reading off the probability positive [4].</w:t>
      </w:r>
    </w:p>
    <w:p>
      <w:pPr>
        <w:pStyle w:val="Body Text"/>
      </w:pPr>
      <w:r>
        <w:rPr>
          <w:rtl w:val="0"/>
          <w:lang w:val="en-US"/>
        </w:rPr>
        <w:t>B.</w:t>
        <w:tab/>
      </w:r>
      <w:r>
        <w:rPr>
          <w:rtl w:val="0"/>
        </w:rPr>
        <w:t>Hierarchical Models and Priors</w:t>
      </w:r>
    </w:p>
    <w:p>
      <w:pPr>
        <w:pStyle w:val="Body Text"/>
      </w:pPr>
      <w:r>
        <w:rPr>
          <w:rtl w:val="0"/>
        </w:rPr>
        <w:t>In a hierarchical (multilevel) model, patient-specific or chemical-specific parameters are themselves drawn from a population distribution, for example a patient</w:t>
      </w:r>
      <w:r>
        <w:rPr>
          <w:rtl w:val="0"/>
        </w:rPr>
        <w:t>’</w:t>
      </w:r>
      <w:r>
        <w:rPr>
          <w:rtl w:val="0"/>
        </w:rPr>
        <w:t>s treatment responsiveness wT,k ~ N(</w:t>
      </w:r>
      <w:r>
        <w:rPr>
          <w:rtl w:val="0"/>
        </w:rPr>
        <w:t>μ</w:t>
      </w:r>
      <w:r>
        <w:rPr>
          <w:rtl w:val="0"/>
        </w:rPr>
        <w:t xml:space="preserve">T, </w:t>
      </w:r>
      <w:r>
        <w:rPr>
          <w:rtl w:val="0"/>
        </w:rPr>
        <w:t>σ</w:t>
      </w:r>
      <w:r>
        <w:rPr>
          <w:rtl w:val="0"/>
        </w:rPr>
        <w:t>T2) [1]. This partial pooling lets units with little data borrow strength from the rest of the population [5]. Priors range from weakly informative [2] to informative power priors built from historical data, which pre-train the model and shorten learning [3], [11]. Labelle et al. describe priors as safety nets: when the data are insufficient, the posterior falls back on the prior, so an overly narrow prior can overwhelm the data [4].</w:t>
      </w:r>
    </w:p>
    <w:p>
      <w:pPr>
        <w:pStyle w:val="Body Text"/>
      </w:pPr>
      <w:r>
        <w:rPr>
          <w:rtl w:val="0"/>
        </w:rPr>
        <w:t xml:space="preserve">C. </w:t>
      </w:r>
      <w:r>
        <w:rPr>
          <w:rtl w:val="0"/>
        </w:rPr>
        <w:t>Computation and Convergence</w:t>
      </w:r>
    </w:p>
    <w:p>
      <w:pPr>
        <w:pStyle w:val="Body Text"/>
      </w:pPr>
      <w:r>
        <w:rPr>
          <w:rtl w:val="0"/>
          <w:lang w:val="en-US"/>
        </w:rPr>
        <w:t xml:space="preserve">Posterior distributions rarely have closed forms and are sampled by Markov chain Monte Carlo (MCMC). Five of the nine studies used Hamiltonian Monte Carlo in the Stan language [12], while Hamadeh </w:t>
      </w:r>
      <w:r>
        <w:rPr>
          <w:i w:val="1"/>
          <w:iCs w:val="1"/>
          <w:rtl w:val="0"/>
          <w:lang w:val="en-US"/>
        </w:rPr>
        <w:t>et al.</w:t>
      </w:r>
      <w:r>
        <w:rPr>
          <w:rtl w:val="0"/>
          <w:lang w:val="en-US"/>
        </w:rPr>
        <w:t xml:space="preserve"> used an adaptive block Metropolis</w:t>
      </w:r>
      <w:r>
        <w:rPr>
          <w:rtl w:val="0"/>
          <w:lang w:val="en-US"/>
        </w:rPr>
        <w:t>–</w:t>
      </w:r>
      <w:r>
        <w:rPr>
          <w:rtl w:val="0"/>
          <w:lang w:val="en-US"/>
        </w:rPr>
        <w:t>Hastings sampler [6]. Convergence is checked with trace plots, effective sample sizes and the potential scale reduction factor (R-hat), which compares variation between and within chains [13].</w:t>
      </w:r>
    </w:p>
    <w:p>
      <w:pPr>
        <w:pStyle w:val="heading 2"/>
      </w:pPr>
      <w:r>
        <w:rPr>
          <w:rtl w:val="0"/>
        </w:rPr>
        <w:t xml:space="preserve">D. </w:t>
      </w:r>
      <w:r>
        <w:rPr>
          <w:rtl w:val="0"/>
        </w:rPr>
        <w:t>Scoring Probabilistic Predictions</w:t>
      </w:r>
    </w:p>
    <w:p>
      <w:pPr>
        <w:pStyle w:val="Body Text"/>
      </w:pPr>
      <w:r>
        <w:rPr>
          <w:rtl w:val="0"/>
        </w:rPr>
        <w:t>Because Bayesian models forecast whole distributions, they are judged with scoring rules and not only by error. The log predictive density (lpd) is the logarithm of the probability that the model assigned to the value actually observed; higher is better, and for discrete outcomes its maximum is 0 [14], [2]. The ranked probability skill score (RPSS) measures calibration relative to a chance forecast, and the area under the ROC curve (AUROC) measures discrimination [1]. For time series, the studies use forward chaining: the model is trained on the first t days, tested on the next few days, retrained with the new data, and so on, so that the future is never used to predict the past [1], [2].</w:t>
      </w:r>
    </w:p>
    <w:p>
      <w:pPr>
        <w:pStyle w:val="Normal.0"/>
      </w:pPr>
    </w:p>
    <w:p>
      <w:pPr>
        <w:pStyle w:val="heading 1"/>
        <w:numPr>
          <w:ilvl w:val="0"/>
          <w:numId w:val="2"/>
        </w:numPr>
        <w:spacing w:before="120" w:after="120"/>
        <w:rPr>
          <w:lang w:val="en-US"/>
        </w:rPr>
      </w:pPr>
      <w:r>
        <w:rPr>
          <w:rtl w:val="0"/>
          <w:lang w:val="en-US"/>
        </w:rPr>
        <w:t>Reviewed Studies</w:t>
      </w:r>
    </w:p>
    <w:p>
      <w:pPr>
        <w:pStyle w:val="heading 2"/>
      </w:pPr>
      <w:r>
        <w:rPr>
          <w:rtl w:val="0"/>
        </w:rPr>
        <w:t xml:space="preserve">A. </w:t>
      </w:r>
      <w:r>
        <w:rPr>
          <w:rtl w:val="0"/>
        </w:rPr>
        <w:t>Forecasting Eczema Severity</w:t>
      </w:r>
    </w:p>
    <w:p>
      <w:pPr>
        <w:pStyle w:val="Body Text"/>
      </w:pPr>
      <w:r>
        <w:rPr>
          <w:rtl w:val="0"/>
          <w:lang w:val="en-US"/>
        </w:rPr>
        <w:t xml:space="preserve">Hurault </w:t>
      </w:r>
      <w:r>
        <w:rPr>
          <w:i w:val="1"/>
          <w:iCs w:val="1"/>
          <w:rtl w:val="0"/>
          <w:lang w:val="en-US"/>
        </w:rPr>
        <w:t>et al.</w:t>
      </w:r>
      <w:r>
        <w:rPr>
          <w:rtl w:val="0"/>
          <w:lang w:val="en-US"/>
        </w:rPr>
        <w:t xml:space="preserve"> [1] built a Bayesian state-space model for the daily </w:t>
      </w:r>
      <w:r>
        <w:rPr>
          <w:rtl w:val="0"/>
          <w:lang w:val="en-US"/>
        </w:rPr>
        <w:t>“</w:t>
      </w:r>
      <w:r>
        <w:rPr>
          <w:rtl w:val="0"/>
          <w:lang w:val="en-US"/>
        </w:rPr>
        <w:t>bother</w:t>
      </w:r>
      <w:r>
        <w:rPr>
          <w:rtl w:val="0"/>
          <w:lang w:val="en-US"/>
        </w:rPr>
        <w:t xml:space="preserve">” </w:t>
      </w:r>
      <w:r>
        <w:rPr>
          <w:rtl w:val="0"/>
          <w:lang w:val="en-US"/>
        </w:rPr>
        <w:t xml:space="preserve">score </w:t>
      </w:r>
      <w:r>
        <w:rPr>
          <w:i w:val="1"/>
          <w:iCs w:val="1"/>
          <w:rtl w:val="0"/>
          <w:lang w:val="en-US"/>
        </w:rPr>
        <w:t>S</w:t>
      </w:r>
      <w:r>
        <w:rPr>
          <w:rtl w:val="0"/>
          <w:lang w:val="en-US"/>
        </w:rPr>
        <w:t xml:space="preserve"> (0</w:t>
      </w:r>
      <w:r>
        <w:rPr>
          <w:rtl w:val="0"/>
          <w:lang w:val="en-US"/>
        </w:rPr>
        <w:t>–</w:t>
      </w:r>
      <w:r>
        <w:rPr>
          <w:rtl w:val="0"/>
          <w:lang w:val="en-US"/>
        </w:rPr>
        <w:t xml:space="preserve">10) of a child with eczema. The score on day </w:t>
      </w:r>
      <w:r>
        <w:rPr>
          <w:i w:val="1"/>
          <w:iCs w:val="1"/>
          <w:rtl w:val="0"/>
          <w:lang w:val="en-US"/>
        </w:rPr>
        <w:t>t</w:t>
      </w:r>
      <w:r>
        <w:rPr>
          <w:rtl w:val="0"/>
          <w:lang w:val="en-US"/>
        </w:rPr>
        <w:t xml:space="preserve"> + 1 is Gaussian around an autoregressive term plus treatment and flare terms,</w:t>
      </w:r>
    </w:p>
    <w:p>
      <w:pPr>
        <w:pStyle w:val="equation"/>
        <w:spacing w:before="100" w:after="100"/>
      </w:pPr>
      <w:r>
        <w:tab/>
      </w:r>
      <w:r>
        <w:rPr>
          <w:rFonts w:ascii="Times New Roman" w:hAnsi="Times New Roman"/>
          <w:i w:val="1"/>
          <w:iCs w:val="1"/>
          <w:sz w:val="19"/>
          <w:szCs w:val="19"/>
          <w:rtl w:val="0"/>
          <w:lang w:val="en-US"/>
        </w:rPr>
        <w:t>S</w:t>
      </w:r>
      <w:r>
        <w:rPr>
          <w:rFonts w:ascii="Times New Roman" w:hAnsi="Times New Roman"/>
          <w:i w:val="1"/>
          <w:iCs w:val="1"/>
          <w:sz w:val="19"/>
          <w:szCs w:val="19"/>
          <w:vertAlign w:val="subscript"/>
          <w:rtl w:val="0"/>
          <w:lang w:val="en-US"/>
        </w:rPr>
        <w:t>k,t</w:t>
      </w:r>
      <w:r>
        <w:rPr>
          <w:rFonts w:ascii="Times New Roman" w:hAnsi="Times New Roman"/>
          <w:sz w:val="19"/>
          <w:szCs w:val="19"/>
          <w:vertAlign w:val="subscript"/>
          <w:rtl w:val="0"/>
          <w:lang w:val="en-US"/>
        </w:rPr>
        <w:t>+1</w:t>
      </w:r>
      <w:r>
        <w:rPr>
          <w:rFonts w:ascii="Times New Roman" w:hAnsi="Times New Roman"/>
          <w:sz w:val="19"/>
          <w:szCs w:val="19"/>
          <w:rtl w:val="0"/>
          <w:lang w:val="en-US"/>
        </w:rPr>
        <w:t xml:space="preserve"> ~ N(</w:t>
      </w:r>
      <w:r>
        <w:rPr>
          <w:rFonts w:ascii="Times New Roman" w:hAnsi="Times New Roman" w:hint="default"/>
          <w:i w:val="1"/>
          <w:iCs w:val="1"/>
          <w:sz w:val="19"/>
          <w:szCs w:val="19"/>
          <w:rtl w:val="0"/>
          <w:lang w:val="en-US"/>
        </w:rPr>
        <w:t>μ</w:t>
      </w:r>
      <w:r>
        <w:rPr>
          <w:rFonts w:ascii="Times New Roman" w:hAnsi="Times New Roman"/>
          <w:i w:val="1"/>
          <w:iCs w:val="1"/>
          <w:sz w:val="19"/>
          <w:szCs w:val="19"/>
          <w:vertAlign w:val="subscript"/>
          <w:rtl w:val="0"/>
          <w:lang w:val="en-US"/>
        </w:rPr>
        <w:t>k,t</w:t>
      </w:r>
      <w:r>
        <w:rPr>
          <w:rFonts w:ascii="Times New Roman" w:hAnsi="Times New Roman"/>
          <w:sz w:val="19"/>
          <w:szCs w:val="19"/>
          <w:rtl w:val="0"/>
          <w:lang w:val="en-US"/>
        </w:rPr>
        <w:t xml:space="preserve">, </w:t>
      </w:r>
      <w:r>
        <w:rPr>
          <w:rFonts w:ascii="Times New Roman" w:hAnsi="Times New Roman" w:hint="default"/>
          <w:i w:val="1"/>
          <w:iCs w:val="1"/>
          <w:sz w:val="19"/>
          <w:szCs w:val="19"/>
          <w:rtl w:val="0"/>
          <w:lang w:val="en-US"/>
        </w:rPr>
        <w:t>σ</w:t>
      </w:r>
      <w:r>
        <w:rPr>
          <w:rFonts w:ascii="Times New Roman" w:hAnsi="Times New Roman"/>
          <w:i w:val="1"/>
          <w:iCs w:val="1"/>
          <w:sz w:val="19"/>
          <w:szCs w:val="19"/>
          <w:vertAlign w:val="subscript"/>
          <w:rtl w:val="0"/>
          <w:lang w:val="en-US"/>
        </w:rPr>
        <w:t>S</w:t>
      </w:r>
      <w:r>
        <w:rPr>
          <w:rFonts w:ascii="Times New Roman" w:hAnsi="Times New Roman"/>
          <w:sz w:val="19"/>
          <w:szCs w:val="19"/>
          <w:vertAlign w:val="superscript"/>
          <w:rtl w:val="0"/>
          <w:lang w:val="en-US"/>
        </w:rPr>
        <w:t>2</w:t>
      </w:r>
      <w:r>
        <w:rPr>
          <w:rFonts w:ascii="Times New Roman" w:hAnsi="Times New Roman"/>
          <w:sz w:val="19"/>
          <w:szCs w:val="19"/>
          <w:rtl w:val="0"/>
          <w:lang w:val="en-US"/>
        </w:rPr>
        <w:t>)</w:t>
      </w:r>
      <w:r>
        <w:tab/>
      </w:r>
      <w:r>
        <w:rPr>
          <w:rFonts w:ascii="Times New Roman" w:hAnsi="Times New Roman"/>
          <w:sz w:val="19"/>
          <w:szCs w:val="19"/>
          <w:rtl w:val="0"/>
          <w:lang w:val="en-US"/>
        </w:rPr>
        <w:t>(2)</w:t>
      </w:r>
    </w:p>
    <w:p>
      <w:pPr>
        <w:pStyle w:val="equation"/>
        <w:spacing w:before="100" w:after="100"/>
      </w:pPr>
      <w:r>
        <w:tab/>
      </w:r>
      <w:r>
        <w:rPr>
          <w:rFonts w:ascii="Times New Roman" w:hAnsi="Times New Roman" w:hint="default"/>
          <w:i w:val="1"/>
          <w:iCs w:val="1"/>
          <w:sz w:val="19"/>
          <w:szCs w:val="19"/>
          <w:rtl w:val="0"/>
          <w:lang w:val="en-US"/>
        </w:rPr>
        <w:t>μ</w:t>
      </w:r>
      <w:r>
        <w:rPr>
          <w:rFonts w:ascii="Times New Roman" w:hAnsi="Times New Roman"/>
          <w:i w:val="1"/>
          <w:iCs w:val="1"/>
          <w:sz w:val="19"/>
          <w:szCs w:val="19"/>
          <w:vertAlign w:val="subscript"/>
          <w:rtl w:val="0"/>
          <w:lang w:val="en-US"/>
        </w:rPr>
        <w:t>k,t</w:t>
      </w:r>
      <w:r>
        <w:rPr>
          <w:rFonts w:ascii="Times New Roman" w:hAnsi="Times New Roman"/>
          <w:sz w:val="19"/>
          <w:szCs w:val="19"/>
          <w:rtl w:val="0"/>
          <w:lang w:val="en-US"/>
        </w:rPr>
        <w:t xml:space="preserve"> = </w:t>
      </w:r>
      <w:r>
        <w:rPr>
          <w:rFonts w:ascii="Times New Roman" w:hAnsi="Times New Roman"/>
          <w:i w:val="1"/>
          <w:iCs w:val="1"/>
          <w:sz w:val="19"/>
          <w:szCs w:val="19"/>
          <w:rtl w:val="0"/>
          <w:lang w:val="en-US"/>
        </w:rPr>
        <w:t>w</w:t>
      </w:r>
      <w:r>
        <w:rPr>
          <w:rFonts w:ascii="Times New Roman" w:hAnsi="Times New Roman"/>
          <w:i w:val="1"/>
          <w:iCs w:val="1"/>
          <w:sz w:val="19"/>
          <w:szCs w:val="19"/>
          <w:vertAlign w:val="subscript"/>
          <w:rtl w:val="0"/>
          <w:lang w:val="en-US"/>
        </w:rPr>
        <w:t>S,k</w:t>
      </w:r>
      <w:r>
        <w:rPr>
          <w:rFonts w:ascii="Times New Roman" w:hAnsi="Times New Roman"/>
          <w:sz w:val="19"/>
          <w:szCs w:val="19"/>
          <w:rtl w:val="0"/>
          <w:lang w:val="en-US"/>
        </w:rPr>
        <w:t xml:space="preserve"> </w:t>
      </w:r>
      <w:r>
        <w:rPr>
          <w:rFonts w:ascii="Times New Roman" w:hAnsi="Times New Roman"/>
          <w:i w:val="1"/>
          <w:iCs w:val="1"/>
          <w:sz w:val="19"/>
          <w:szCs w:val="19"/>
          <w:rtl w:val="0"/>
          <w:lang w:val="en-US"/>
        </w:rPr>
        <w:t>S</w:t>
      </w:r>
      <w:r>
        <w:rPr>
          <w:rFonts w:ascii="Times New Roman" w:hAnsi="Times New Roman"/>
          <w:i w:val="1"/>
          <w:iCs w:val="1"/>
          <w:sz w:val="19"/>
          <w:szCs w:val="19"/>
          <w:vertAlign w:val="subscript"/>
          <w:rtl w:val="0"/>
          <w:lang w:val="en-US"/>
        </w:rPr>
        <w:t>k,t</w:t>
      </w:r>
      <w:r>
        <w:rPr>
          <w:rFonts w:ascii="Times New Roman" w:hAnsi="Times New Roman"/>
          <w:sz w:val="19"/>
          <w:szCs w:val="19"/>
          <w:rtl w:val="0"/>
          <w:lang w:val="en-US"/>
        </w:rPr>
        <w:t xml:space="preserve"> + </w:t>
      </w:r>
      <w:r>
        <w:rPr>
          <w:rFonts w:ascii="Times New Roman" w:hAnsi="Times New Roman"/>
          <w:i w:val="1"/>
          <w:iCs w:val="1"/>
          <w:sz w:val="19"/>
          <w:szCs w:val="19"/>
          <w:rtl w:val="0"/>
          <w:lang w:val="en-US"/>
        </w:rPr>
        <w:t>w</w:t>
      </w:r>
      <w:r>
        <w:rPr>
          <w:rFonts w:ascii="Times New Roman" w:hAnsi="Times New Roman"/>
          <w:i w:val="1"/>
          <w:iCs w:val="1"/>
          <w:sz w:val="19"/>
          <w:szCs w:val="19"/>
          <w:vertAlign w:val="subscript"/>
          <w:rtl w:val="0"/>
          <w:lang w:val="en-US"/>
        </w:rPr>
        <w:t>T,k</w:t>
      </w:r>
      <w:r>
        <w:rPr>
          <w:rFonts w:ascii="Times New Roman" w:hAnsi="Times New Roman"/>
          <w:sz w:val="19"/>
          <w:szCs w:val="19"/>
          <w:rtl w:val="0"/>
          <w:lang w:val="en-US"/>
        </w:rPr>
        <w:t xml:space="preserve"> </w:t>
      </w:r>
      <w:r>
        <w:rPr>
          <w:rFonts w:ascii="Times New Roman" w:hAnsi="Times New Roman"/>
          <w:i w:val="1"/>
          <w:iCs w:val="1"/>
          <w:sz w:val="19"/>
          <w:szCs w:val="19"/>
          <w:rtl w:val="0"/>
          <w:lang w:val="en-US"/>
        </w:rPr>
        <w:t>T</w:t>
      </w:r>
      <w:r>
        <w:rPr>
          <w:rFonts w:ascii="Times New Roman" w:hAnsi="Times New Roman"/>
          <w:i w:val="1"/>
          <w:iCs w:val="1"/>
          <w:sz w:val="19"/>
          <w:szCs w:val="19"/>
          <w:vertAlign w:val="subscript"/>
          <w:rtl w:val="0"/>
          <w:lang w:val="en-US"/>
        </w:rPr>
        <w:t>k,t</w:t>
      </w:r>
      <w:r>
        <w:rPr>
          <w:rFonts w:ascii="Times New Roman" w:hAnsi="Times New Roman"/>
          <w:sz w:val="19"/>
          <w:szCs w:val="19"/>
          <w:rtl w:val="0"/>
          <w:lang w:val="en-US"/>
        </w:rPr>
        <w:t xml:space="preserve"> + </w:t>
      </w:r>
      <w:r>
        <w:rPr>
          <w:rFonts w:ascii="Times New Roman" w:hAnsi="Times New Roman"/>
          <w:i w:val="1"/>
          <w:iCs w:val="1"/>
          <w:sz w:val="19"/>
          <w:szCs w:val="19"/>
          <w:rtl w:val="0"/>
          <w:lang w:val="en-US"/>
        </w:rPr>
        <w:t>R</w:t>
      </w:r>
      <w:r>
        <w:rPr>
          <w:rFonts w:ascii="Times New Roman" w:hAnsi="Times New Roman"/>
          <w:i w:val="1"/>
          <w:iCs w:val="1"/>
          <w:sz w:val="19"/>
          <w:szCs w:val="19"/>
          <w:vertAlign w:val="subscript"/>
          <w:rtl w:val="0"/>
          <w:lang w:val="en-US"/>
        </w:rPr>
        <w:t>k,t</w:t>
      </w:r>
      <w:r>
        <w:rPr>
          <w:rFonts w:ascii="Times New Roman" w:hAnsi="Times New Roman"/>
          <w:sz w:val="19"/>
          <w:szCs w:val="19"/>
          <w:rtl w:val="0"/>
          <w:lang w:val="en-US"/>
        </w:rPr>
        <w:t xml:space="preserve"> + </w:t>
      </w:r>
      <w:r>
        <w:rPr>
          <w:rFonts w:ascii="Times New Roman" w:hAnsi="Times New Roman"/>
          <w:i w:val="1"/>
          <w:iCs w:val="1"/>
          <w:sz w:val="19"/>
          <w:szCs w:val="19"/>
          <w:rtl w:val="0"/>
          <w:lang w:val="en-US"/>
        </w:rPr>
        <w:t>b</w:t>
      </w:r>
      <w:r>
        <w:rPr>
          <w:rFonts w:ascii="Times New Roman" w:hAnsi="Times New Roman"/>
          <w:i w:val="1"/>
          <w:iCs w:val="1"/>
          <w:sz w:val="19"/>
          <w:szCs w:val="19"/>
          <w:vertAlign w:val="subscript"/>
          <w:rtl w:val="0"/>
          <w:lang w:val="en-US"/>
        </w:rPr>
        <w:t>S</w:t>
      </w:r>
      <w:r>
        <w:tab/>
      </w:r>
      <w:r>
        <w:rPr>
          <w:rFonts w:ascii="Times New Roman" w:hAnsi="Times New Roman"/>
          <w:sz w:val="19"/>
          <w:szCs w:val="19"/>
          <w:rtl w:val="0"/>
          <w:lang w:val="en-US"/>
        </w:rPr>
        <w:t>(3)</w:t>
      </w:r>
    </w:p>
    <w:p>
      <w:pPr>
        <w:pStyle w:val="Body Text"/>
      </w:pPr>
      <w:r>
        <w:rPr>
          <w:rtl w:val="0"/>
          <w:lang w:val="en-US"/>
        </w:rPr>
        <w:t xml:space="preserve">where </w:t>
      </w:r>
      <w:r>
        <w:rPr>
          <w:i w:val="1"/>
          <w:iCs w:val="1"/>
          <w:rtl w:val="0"/>
          <w:lang w:val="en-US"/>
        </w:rPr>
        <w:t>w</w:t>
      </w:r>
      <w:r>
        <w:rPr>
          <w:i w:val="1"/>
          <w:iCs w:val="1"/>
          <w:vertAlign w:val="subscript"/>
          <w:rtl w:val="0"/>
          <w:lang w:val="en-US"/>
        </w:rPr>
        <w:t>S,k</w:t>
      </w:r>
      <w:r>
        <w:rPr>
          <w:rtl w:val="0"/>
          <w:lang w:val="en-US"/>
        </w:rPr>
        <w:t xml:space="preserve"> is the persistence of patient </w:t>
      </w:r>
      <w:r>
        <w:rPr>
          <w:i w:val="1"/>
          <w:iCs w:val="1"/>
          <w:rtl w:val="0"/>
          <w:lang w:val="en-US"/>
        </w:rPr>
        <w:t>k</w:t>
      </w:r>
      <w:r>
        <w:rPr>
          <w:rtl w:val="0"/>
          <w:lang w:val="en-US"/>
        </w:rPr>
        <w:t>’</w:t>
      </w:r>
      <w:r>
        <w:rPr>
          <w:rtl w:val="0"/>
          <w:lang w:val="en-US"/>
        </w:rPr>
        <w:t xml:space="preserve">s score, </w:t>
      </w:r>
      <w:r>
        <w:rPr>
          <w:i w:val="1"/>
          <w:iCs w:val="1"/>
          <w:rtl w:val="0"/>
          <w:lang w:val="en-US"/>
        </w:rPr>
        <w:t>w</w:t>
      </w:r>
      <w:r>
        <w:rPr>
          <w:i w:val="1"/>
          <w:iCs w:val="1"/>
          <w:vertAlign w:val="subscript"/>
          <w:rtl w:val="0"/>
          <w:lang w:val="en-US"/>
        </w:rPr>
        <w:t>T,k</w:t>
      </w:r>
      <w:r>
        <w:rPr>
          <w:rtl w:val="0"/>
          <w:lang w:val="en-US"/>
        </w:rPr>
        <w:t xml:space="preserve"> is treatment responsiveness with a hierarchical prior, and </w:t>
      </w:r>
      <w:r>
        <w:rPr>
          <w:i w:val="1"/>
          <w:iCs w:val="1"/>
          <w:rtl w:val="0"/>
          <w:lang w:val="en-US"/>
        </w:rPr>
        <w:t>T</w:t>
      </w:r>
      <w:r>
        <w:rPr>
          <w:rtl w:val="0"/>
          <w:lang w:val="en-US"/>
        </w:rPr>
        <w:t xml:space="preserve"> is treatment use. The flare term </w:t>
      </w:r>
      <w:r>
        <w:rPr>
          <w:i w:val="1"/>
          <w:iCs w:val="1"/>
          <w:rtl w:val="0"/>
          <w:lang w:val="en-US"/>
        </w:rPr>
        <w:t>R</w:t>
      </w:r>
      <w:r>
        <w:rPr>
          <w:i w:val="1"/>
          <w:iCs w:val="1"/>
          <w:vertAlign w:val="subscript"/>
          <w:rtl w:val="0"/>
          <w:lang w:val="en-US"/>
        </w:rPr>
        <w:t>k,t</w:t>
      </w:r>
      <w:r>
        <w:rPr>
          <w:rtl w:val="0"/>
          <w:lang w:val="en-US"/>
        </w:rPr>
        <w:t xml:space="preserve"> is exponentially distributed with a rate given by a latent flare-trigger level </w:t>
      </w:r>
      <w:r>
        <w:rPr>
          <w:i w:val="1"/>
          <w:iCs w:val="1"/>
          <w:rtl w:val="0"/>
          <w:lang w:val="en-US"/>
        </w:rPr>
        <w:t>P</w:t>
      </w:r>
      <w:r>
        <w:rPr>
          <w:i w:val="1"/>
          <w:iCs w:val="1"/>
          <w:vertAlign w:val="subscript"/>
          <w:rtl w:val="0"/>
          <w:lang w:val="en-US"/>
        </w:rPr>
        <w:t>k,t</w:t>
      </w:r>
      <w:r>
        <w:rPr>
          <w:rtl w:val="0"/>
          <w:lang w:val="en-US"/>
        </w:rPr>
        <w:t>, which follows a Gaussian random walk on the log scale. The structure mirrors an earlier mechanistic model of eczema, so the parameters have a biological reading. Missing scores were treated as unknown parameters and inferred together with the model, which mattered because 38.8% of scores in the first dataset (59 children, 6536 patient-days) were missing. The second dataset came from the SWET trial (334 children, 35 854 patient-days). Under forward chaining, forecasts were 48% and 61% better than chance (RPSS), with AUROC of 87% and 90%, on the two datasets. Patient-level posteriors revealed heterogeneity that population averages hide: no treatment effect was credible at the population level, yet corticosteroids had a credible effect in 70 of 295 users and step-up treatment in 27 of 284, while none of 92 calcineurin-inhibitor users showed an intrinsic effect. Older age, absence of filaggrin mutations and sleeping at home were associated with greater improvement [1].</w:t>
      </w:r>
    </w:p>
    <w:p>
      <w:pPr>
        <w:pStyle w:val="Body Text"/>
      </w:pPr>
      <w:r>
        <w:rPr>
          <w:rtl w:val="0"/>
          <w:lang w:val="en-US"/>
        </w:rPr>
        <w:t xml:space="preserve">EczemaPred [2] replaces the single bother score with the nine items of the patient-oriented SCORAD (PO-SCORAD): extent, six intensity signs and two subjective symptoms. Each item has its own state-space model: a Markov chain with binomial measurement for extent, a random walk with ordered-logistic measurement for intensity signs, and a random walk with binomial measurement for itching and sleep loss. Item predictions are then aggregated into PO-SCORAD. The framework was validated on twice-weekly records of 347 children (9943 observations) and daily records of 16 adults (1136 observations). Four days ahead, the predicted PO-SCORAD was within five units of the measured value 71.8 </w:t>
      </w:r>
      <w:r>
        <w:rPr>
          <w:rtl w:val="0"/>
          <w:lang w:val="en-US"/>
        </w:rPr>
        <w:t xml:space="preserve">± </w:t>
      </w:r>
      <w:r>
        <w:rPr>
          <w:rtl w:val="0"/>
          <w:lang w:val="en-US"/>
        </w:rPr>
        <w:t>1.0% of the time for the children, against 51.9% for a mixed-effect autoregressive model, 47.9% for a random walk and 39.4% for a historical forecast (Fig. 1). In the first dataset accuracy fell by about 3 percentage points for each extra day of horizon, and roughly three-quarters of the prediction uncertainty (79% and 72% in the two datasets) came from the intensity signs [2].</w:t>
      </w:r>
    </w:p>
    <w:p>
      <w:pPr>
        <w:pStyle w:val="heading 2"/>
        <w:numPr>
          <w:ilvl w:val="1"/>
          <w:numId w:val="3"/>
        </w:numPr>
      </w:pPr>
      <w:r>
        <w:rPr>
          <w:rtl w:val="0"/>
          <w:lang w:val="en-US"/>
        </w:rPr>
        <w:t>From Prediction to Treatment Recommendation</w:t>
      </w:r>
    </w:p>
    <w:p>
      <w:pPr>
        <w:pStyle w:val="Body Text"/>
      </w:pPr>
      <w:r>
        <w:rPr>
          <w:rtl w:val="0"/>
          <w:lang w:val="en-US"/>
        </w:rPr>
        <w:t xml:space="preserve">Hurault </w:t>
      </w:r>
      <w:r>
        <w:rPr>
          <w:i w:val="1"/>
          <w:iCs w:val="1"/>
          <w:rtl w:val="0"/>
          <w:lang w:val="en-US"/>
        </w:rPr>
        <w:t>et al.</w:t>
      </w:r>
      <w:r>
        <w:rPr>
          <w:rtl w:val="0"/>
          <w:lang w:val="en-US"/>
        </w:rPr>
        <w:t xml:space="preserve"> [3] extend EczemaPred with correlated latent dynamics across the nine items, a calibration between self-assessed PO-SCORAD and clinician-assessed SCORAD, and treatment terms for topical corticosteroids and emollients. A power prior built from a trial of 337 children was used to start the learning for 16 adults followed for 12 weeks. Recommendations come from Bayesian decision analysis: each action </w:t>
      </w:r>
      <w:r>
        <w:rPr>
          <w:i w:val="1"/>
          <w:iCs w:val="1"/>
          <w:rtl w:val="0"/>
          <w:lang w:val="en-US"/>
        </w:rPr>
        <w:t>a</w:t>
      </w:r>
      <w:r>
        <w:rPr>
          <w:rtl w:val="0"/>
          <w:lang w:val="en-US"/>
        </w:rPr>
        <w:t xml:space="preserve"> (use or not use each treatment) is scored by a utility that penalises the predicted next-day SCORAD </w:t>
      </w:r>
      <w:r>
        <w:rPr>
          <w:rtl w:val="0"/>
          <w:lang w:val="en-US"/>
        </w:rPr>
        <w:t>ŷ</w:t>
      </w:r>
      <w:r>
        <w:rPr>
          <w:i w:val="1"/>
          <w:iCs w:val="1"/>
          <w:vertAlign w:val="subscript"/>
          <w:rtl w:val="0"/>
          <w:lang w:val="en-US"/>
        </w:rPr>
        <w:t>a</w:t>
      </w:r>
      <w:r>
        <w:rPr>
          <w:rtl w:val="0"/>
          <w:lang w:val="en-US"/>
        </w:rPr>
        <w:t xml:space="preserve"> and the perceived cost </w:t>
      </w:r>
      <w:r>
        <w:rPr>
          <w:i w:val="1"/>
          <w:iCs w:val="1"/>
          <w:rtl w:val="0"/>
          <w:lang w:val="en-US"/>
        </w:rPr>
        <w:t>c</w:t>
      </w:r>
      <w:r>
        <w:rPr>
          <w:i w:val="1"/>
          <w:iCs w:val="1"/>
          <w:vertAlign w:val="subscript"/>
          <w:rtl w:val="0"/>
          <w:lang w:val="en-US"/>
        </w:rPr>
        <w:t>a</w:t>
      </w:r>
      <w:r>
        <w:rPr>
          <w:rtl w:val="0"/>
          <w:lang w:val="en-US"/>
        </w:rPr>
        <w:t xml:space="preserve"> of the action, and the recommended action maximises the expected utility,</w:t>
      </w:r>
    </w:p>
    <w:p>
      <w:pPr>
        <w:pStyle w:val="equation"/>
        <w:spacing w:before="100" w:after="100"/>
      </w:pPr>
      <w:r>
        <w:tab/>
      </w:r>
      <w:r>
        <w:rPr>
          <w:rFonts w:ascii="Times New Roman" w:hAnsi="Times New Roman"/>
          <w:i w:val="1"/>
          <w:iCs w:val="1"/>
          <w:sz w:val="19"/>
          <w:szCs w:val="19"/>
          <w:rtl w:val="0"/>
          <w:lang w:val="en-US"/>
        </w:rPr>
        <w:t>a</w:t>
      </w:r>
      <w:r>
        <w:rPr>
          <w:rFonts w:ascii="Arial Unicode MS" w:cs="Arial Unicode MS" w:hAnsi="Arial Unicode MS" w:eastAsia="Arial Unicode MS" w:hint="default"/>
          <w:b w:val="0"/>
          <w:bCs w:val="0"/>
          <w:i w:val="0"/>
          <w:iCs w:val="0"/>
          <w:sz w:val="19"/>
          <w:szCs w:val="19"/>
          <w:vertAlign w:val="superscript"/>
          <w:rtl w:val="0"/>
          <w:lang w:val="en-US"/>
        </w:rPr>
        <w:t>∗</w:t>
      </w:r>
      <w:r>
        <w:rPr>
          <w:rFonts w:ascii="Times New Roman" w:hAnsi="Times New Roman"/>
          <w:sz w:val="19"/>
          <w:szCs w:val="19"/>
          <w:rtl w:val="0"/>
          <w:lang w:val="en-US"/>
        </w:rPr>
        <w:t xml:space="preserve"> = argmax</w:t>
      </w:r>
      <w:r>
        <w:rPr>
          <w:rFonts w:ascii="Times New Roman" w:hAnsi="Times New Roman"/>
          <w:i w:val="1"/>
          <w:iCs w:val="1"/>
          <w:sz w:val="19"/>
          <w:szCs w:val="19"/>
          <w:vertAlign w:val="subscript"/>
          <w:rtl w:val="0"/>
          <w:lang w:val="en-US"/>
        </w:rPr>
        <w:t>a</w:t>
      </w:r>
      <w:r>
        <w:rPr>
          <w:rFonts w:ascii="Times New Roman" w:hAnsi="Times New Roman"/>
          <w:sz w:val="19"/>
          <w:szCs w:val="19"/>
          <w:rtl w:val="0"/>
          <w:lang w:val="en-US"/>
        </w:rPr>
        <w:t xml:space="preserve"> E[</w:t>
      </w:r>
      <w:r>
        <w:rPr>
          <w:rFonts w:ascii="Times New Roman" w:hAnsi="Times New Roman"/>
          <w:i w:val="1"/>
          <w:iCs w:val="1"/>
          <w:sz w:val="19"/>
          <w:szCs w:val="19"/>
          <w:rtl w:val="0"/>
          <w:lang w:val="en-US"/>
        </w:rPr>
        <w:t>U</w:t>
      </w:r>
      <w:r>
        <w:rPr>
          <w:rFonts w:ascii="Times New Roman" w:hAnsi="Times New Roman"/>
          <w:sz w:val="19"/>
          <w:szCs w:val="19"/>
          <w:rtl w:val="0"/>
          <w:lang w:val="en-US"/>
        </w:rPr>
        <w:t>(</w:t>
      </w:r>
      <w:r>
        <w:rPr>
          <w:rFonts w:ascii="Times New Roman" w:hAnsi="Times New Roman"/>
          <w:i w:val="1"/>
          <w:iCs w:val="1"/>
          <w:sz w:val="19"/>
          <w:szCs w:val="19"/>
          <w:rtl w:val="0"/>
          <w:lang w:val="en-US"/>
        </w:rPr>
        <w:t>a</w:t>
      </w:r>
      <w:r>
        <w:rPr>
          <w:rFonts w:ascii="Times New Roman" w:hAnsi="Times New Roman"/>
          <w:sz w:val="19"/>
          <w:szCs w:val="19"/>
          <w:rtl w:val="0"/>
          <w:lang w:val="en-US"/>
        </w:rPr>
        <w:t xml:space="preserve">, </w:t>
      </w:r>
      <w:r>
        <w:rPr>
          <w:rFonts w:ascii="Times New Roman" w:hAnsi="Times New Roman" w:hint="default"/>
          <w:sz w:val="19"/>
          <w:szCs w:val="19"/>
          <w:rtl w:val="0"/>
          <w:lang w:val="en-US"/>
        </w:rPr>
        <w:t>ŷ</w:t>
      </w:r>
      <w:r>
        <w:rPr>
          <w:rFonts w:ascii="Times New Roman" w:hAnsi="Times New Roman"/>
          <w:i w:val="1"/>
          <w:iCs w:val="1"/>
          <w:sz w:val="19"/>
          <w:szCs w:val="19"/>
          <w:vertAlign w:val="subscript"/>
          <w:rtl w:val="0"/>
          <w:lang w:val="en-US"/>
        </w:rPr>
        <w:t>a</w:t>
      </w:r>
      <w:r>
        <w:rPr>
          <w:rFonts w:ascii="Times New Roman" w:hAnsi="Times New Roman"/>
          <w:sz w:val="19"/>
          <w:szCs w:val="19"/>
          <w:rtl w:val="0"/>
          <w:lang w:val="en-US"/>
        </w:rPr>
        <w:t xml:space="preserve">)],  </w:t>
      </w:r>
      <w:r>
        <w:rPr>
          <w:rFonts w:ascii="Times New Roman" w:hAnsi="Times New Roman"/>
          <w:i w:val="1"/>
          <w:iCs w:val="1"/>
          <w:sz w:val="19"/>
          <w:szCs w:val="19"/>
          <w:rtl w:val="0"/>
          <w:lang w:val="en-US"/>
        </w:rPr>
        <w:t>U</w:t>
      </w:r>
      <w:r>
        <w:rPr>
          <w:rFonts w:ascii="Times New Roman" w:hAnsi="Times New Roman"/>
          <w:sz w:val="19"/>
          <w:szCs w:val="19"/>
          <w:rtl w:val="0"/>
          <w:lang w:val="en-US"/>
        </w:rPr>
        <w:t xml:space="preserve"> = </w:t>
      </w:r>
      <w:r>
        <w:rPr>
          <w:rFonts w:ascii="Times New Roman" w:hAnsi="Times New Roman" w:hint="default"/>
          <w:sz w:val="19"/>
          <w:szCs w:val="19"/>
          <w:rtl w:val="0"/>
          <w:lang w:val="en-US"/>
        </w:rPr>
        <w:t>−ŷ</w:t>
      </w:r>
      <w:r>
        <w:rPr>
          <w:rFonts w:ascii="Times New Roman" w:hAnsi="Times New Roman"/>
          <w:i w:val="1"/>
          <w:iCs w:val="1"/>
          <w:sz w:val="19"/>
          <w:szCs w:val="19"/>
          <w:vertAlign w:val="subscript"/>
          <w:rtl w:val="0"/>
          <w:lang w:val="en-US"/>
        </w:rPr>
        <w:t>a</w:t>
      </w:r>
      <w:r>
        <w:rPr>
          <w:rFonts w:ascii="Times New Roman" w:hAnsi="Times New Roman" w:hint="default"/>
          <w:sz w:val="19"/>
          <w:szCs w:val="19"/>
          <w:rtl w:val="0"/>
          <w:lang w:val="en-US"/>
        </w:rPr>
        <w:t xml:space="preserve"> − </w:t>
      </w:r>
      <w:r>
        <w:rPr>
          <w:rFonts w:ascii="Times New Roman" w:hAnsi="Times New Roman"/>
          <w:i w:val="1"/>
          <w:iCs w:val="1"/>
          <w:sz w:val="19"/>
          <w:szCs w:val="19"/>
          <w:rtl w:val="0"/>
          <w:lang w:val="en-US"/>
        </w:rPr>
        <w:t>c</w:t>
      </w:r>
      <w:r>
        <w:rPr>
          <w:rFonts w:ascii="Times New Roman" w:hAnsi="Times New Roman"/>
          <w:i w:val="1"/>
          <w:iCs w:val="1"/>
          <w:sz w:val="19"/>
          <w:szCs w:val="19"/>
          <w:vertAlign w:val="subscript"/>
          <w:rtl w:val="0"/>
          <w:lang w:val="en-US"/>
        </w:rPr>
        <w:t>a</w:t>
      </w:r>
      <w:r>
        <w:tab/>
      </w:r>
      <w:r>
        <w:rPr>
          <w:rFonts w:ascii="Times New Roman" w:hAnsi="Times New Roman"/>
          <w:sz w:val="19"/>
          <w:szCs w:val="19"/>
          <w:rtl w:val="0"/>
          <w:lang w:val="en-US"/>
        </w:rPr>
        <w:t>(4)</w:t>
      </w:r>
    </w:p>
    <w:p>
      <w:pPr>
        <w:pStyle w:val="Body Text"/>
      </w:pPr>
      <w:r>
        <w:rPr>
          <w:rtl w:val="0"/>
          <w:lang w:val="en-US"/>
        </w:rPr>
        <w:t xml:space="preserve">where the form of </w:t>
      </w:r>
      <w:r>
        <w:rPr>
          <w:i w:val="1"/>
          <w:iCs w:val="1"/>
          <w:rtl w:val="0"/>
          <w:lang w:val="en-US"/>
        </w:rPr>
        <w:t>U</w:t>
      </w:r>
      <w:r>
        <w:rPr>
          <w:rtl w:val="0"/>
          <w:lang w:val="en-US"/>
        </w:rPr>
        <w:t xml:space="preserve"> follows the authors</w:t>
      </w:r>
      <w:r>
        <w:rPr>
          <w:rtl w:val="0"/>
          <w:lang w:val="en-US"/>
        </w:rPr>
        <w:t xml:space="preserve">’ </w:t>
      </w:r>
      <w:r>
        <w:rPr>
          <w:rtl w:val="0"/>
          <w:lang w:val="en-US"/>
        </w:rPr>
        <w:t>worked example, in which a risk-neutral patient uses a treatment of cost 1 only if it lowers the expected SCORAD by at least one point. A risk-sensitive version also weighs the variance of the utility, so that risk-averse, risk-neutral and risk-seeking patients can receive different advice. With a high perceived cost no treatment was recommended, with no cost both treatments were, and with a normal cost the most frequent advice was corticosteroids without emollients. Treatment effects were negative (severity-reducing) but small and uncertain, partly because 7 of 16 patients reported never using either treatment. The authors found no clear gain in predictive performance from the power prior, the calibration or the treatment terms, and stress that the model is not causal and that the recommendations were not evaluated against outcomes [3]</w:t>
      </w:r>
      <w:r>
        <w:rPr>
          <w:rtl w:val="0"/>
          <w:lang w:val="en-US"/>
        </w:rPr>
        <w:t>.</w:t>
      </w:r>
    </w:p>
    <w:p>
      <w:pPr>
        <w:pStyle w:val="heading 2"/>
      </w:pPr>
      <w:r>
        <w:rPr>
          <w:rtl w:val="0"/>
          <w:lang w:val="en-US"/>
        </w:rPr>
        <w:t xml:space="preserve">C. </w:t>
      </w:r>
      <w:r>
        <w:rPr>
          <w:rtl w:val="0"/>
        </w:rPr>
        <w:t>Dose</w:t>
      </w:r>
      <w:r>
        <w:rPr>
          <w:rtl w:val="0"/>
        </w:rPr>
        <w:t>–</w:t>
      </w:r>
      <w:r>
        <w:rPr>
          <w:rtl w:val="0"/>
        </w:rPr>
        <w:t>Response Curves and Potency Estimation</w:t>
      </w:r>
    </w:p>
    <w:p>
      <w:pPr>
        <w:pStyle w:val="Body Text"/>
      </w:pPr>
      <w:r>
        <w:rPr>
          <w:rtl w:val="0"/>
        </w:rPr>
        <w:t>Labelle et al. [4] recast dose</w:t>
      </w:r>
      <w:r>
        <w:rPr>
          <w:rtl w:val="0"/>
        </w:rPr>
        <w:t>–</w:t>
      </w:r>
      <w:r>
        <w:rPr>
          <w:rtl w:val="0"/>
        </w:rPr>
        <w:t>response analysis in Bayesian form. Responses are modelled with the four-parameter log-logistic function</w:t>
      </w:r>
    </w:p>
    <w:p>
      <w:pPr>
        <w:pStyle w:val="Body Text"/>
      </w:pPr>
      <w:r>
        <w:rPr>
          <w:rtl w:val="0"/>
        </w:rPr>
        <w:tab/>
        <w:t xml:space="preserve">f(x) = LDR + (HDR </w:t>
      </w:r>
      <w:r>
        <w:rPr>
          <w:rtl w:val="0"/>
        </w:rPr>
        <w:t xml:space="preserve">− </w:t>
      </w:r>
      <w:r>
        <w:rPr>
          <w:rtl w:val="0"/>
        </w:rPr>
        <w:t>LDR) / [1 + 10S(log</w:t>
      </w:r>
      <w:r>
        <w:rPr>
          <w:rFonts w:ascii="Arial Unicode MS" w:cs="Arial Unicode MS" w:hAnsi="Arial Unicode MS" w:eastAsia="Arial Unicode MS" w:hint="default"/>
          <w:b w:val="0"/>
          <w:bCs w:val="0"/>
          <w:i w:val="0"/>
          <w:iCs w:val="0"/>
          <w:rtl w:val="0"/>
        </w:rPr>
        <w:t>₁₀</w:t>
      </w:r>
      <w:r>
        <w:rPr>
          <w:rtl w:val="0"/>
        </w:rPr>
        <w:t xml:space="preserve"> </w:t>
      </w:r>
      <w:r>
        <w:rPr>
          <w:rtl w:val="0"/>
        </w:rPr>
        <w:t>IC</w:t>
      </w:r>
      <w:r>
        <w:rPr>
          <w:rFonts w:ascii="Arial Unicode MS" w:cs="Arial Unicode MS" w:hAnsi="Arial Unicode MS" w:eastAsia="Arial Unicode MS" w:hint="default"/>
          <w:b w:val="0"/>
          <w:bCs w:val="0"/>
          <w:i w:val="0"/>
          <w:iCs w:val="0"/>
          <w:rtl w:val="0"/>
        </w:rPr>
        <w:t>₅₀</w:t>
      </w:r>
      <w:r>
        <w:rPr>
          <w:rtl w:val="0"/>
        </w:rPr>
        <w:t xml:space="preserve"> − </w:t>
      </w:r>
      <w:r>
        <w:rPr>
          <w:rtl w:val="0"/>
        </w:rPr>
        <w:t>log</w:t>
      </w:r>
      <w:r>
        <w:rPr>
          <w:rFonts w:ascii="Arial Unicode MS" w:cs="Arial Unicode MS" w:hAnsi="Arial Unicode MS" w:eastAsia="Arial Unicode MS" w:hint="default"/>
          <w:b w:val="0"/>
          <w:bCs w:val="0"/>
          <w:i w:val="0"/>
          <w:iCs w:val="0"/>
          <w:rtl w:val="0"/>
        </w:rPr>
        <w:t>₁₀</w:t>
      </w:r>
      <w:r>
        <w:rPr>
          <w:rtl w:val="0"/>
        </w:rPr>
        <w:t xml:space="preserve"> </w:t>
      </w:r>
      <w:r>
        <w:rPr>
          <w:rtl w:val="0"/>
        </w:rPr>
        <w:t>x)]</w:t>
        <w:tab/>
        <w:t>(5)</w:t>
      </w:r>
    </w:p>
    <w:p>
      <w:pPr>
        <w:pStyle w:val="Body Text"/>
      </w:pPr>
      <w:r>
        <w:rPr>
          <w:rtl w:val="0"/>
        </w:rPr>
        <w:t>where IC50 is the dose giving a response halfway between the low-dose and high-dose plateaus (LDR and HDR), S is the slope, and the errors are normal with unknown standard deviation. Fitted with the No-U-Turn sampler in Stan, the model returns a posterior for every parameter. For an experimental data set with essentially no response, the two</w:t>
      </w:r>
      <w:r>
        <w:rPr>
          <w:rtl w:val="0"/>
        </w:rPr>
        <w:t xml:space="preserve"> </w:t>
      </w:r>
      <w:r>
        <w:rPr>
          <w:rtl w:val="0"/>
        </w:rPr>
        <w:t>parameter least-squares fit did not converge and the four-parameter fit returned an implausibly low plateau (15.2%) and steep slope (18.9). The posterior instead placed the IC50 well outside the tested range with a very wide interval, which correctly says that the data cannot locate it. Two compounds are compared through the posterior of the difference in each parameter; for two experimental data sets the HDR differed by a median of almost 23 percentage points although the IC50 difference was uncertain. The authors also show the cost of poor priors: narrow priors centred at 100% for HDR pulled the fitted curve towards the prior, so normal priors with larger standard deviations were adopted as defaults. The method is offered as the web tool BiDRA [4].</w:t>
      </w:r>
    </w:p>
    <w:p>
      <w:pPr>
        <w:pStyle w:val="Body Text"/>
      </w:pPr>
      <w:r>
        <w:rPr>
          <w:rtl w:val="0"/>
          <w:lang w:val="en-US"/>
        </w:rPr>
        <w:t xml:space="preserve">Reynolds </w:t>
      </w:r>
      <w:r>
        <w:rPr>
          <w:i w:val="1"/>
          <w:iCs w:val="1"/>
          <w:rtl w:val="0"/>
          <w:lang w:val="en-US"/>
        </w:rPr>
        <w:t>et al.</w:t>
      </w:r>
      <w:r>
        <w:rPr>
          <w:rtl w:val="0"/>
          <w:lang w:val="en-US"/>
        </w:rPr>
        <w:t xml:space="preserve"> [5] apply Bayesian multilevel regression to skin-allergy risk assessment. They define a population threshold, the exposure below which no individual in the human repeat-insult patch-test population would be sensitised, and estimate it as a probability distribution from human patch-test data, mouse lymph-node assay data and four in vitro assays, with a hierarchical structure that pools information across chemicals. Thresholds were estimated for 30 chemicals using all data and for 43 further chemicals using in vitro data only. Cross-validation suggested that estimates from in vitro data alone were at least as accurate, on average, as those based on the animal assay. Percentiles of the posterior can serve as a point of departure for risk assessment; the 10th percentile, for instance, is a dose with a 90% probability of lying below the true threshold. The model also accepts partial data and censored measurements, which simply widen the posterior [5].</w:t>
      </w:r>
    </w:p>
    <w:p>
      <w:pPr>
        <w:pStyle w:val="heading 2"/>
      </w:pPr>
      <w:r>
        <w:rPr>
          <w:rtl w:val="0"/>
        </w:rPr>
        <w:t xml:space="preserve">D. </w:t>
      </w:r>
      <w:r>
        <w:rPr>
          <w:rtl w:val="0"/>
        </w:rPr>
        <w:t>Mechanistic Modelling of Skin Permeability</w:t>
      </w:r>
    </w:p>
    <w:p>
      <w:pPr>
        <w:pStyle w:val="Body Text"/>
      </w:pPr>
      <w:r>
        <w:rPr>
          <w:rtl w:val="0"/>
          <w:lang w:val="en-US"/>
        </w:rPr>
        <w:t xml:space="preserve">Hamadeh </w:t>
      </w:r>
      <w:r>
        <w:rPr>
          <w:i w:val="1"/>
          <w:iCs w:val="1"/>
          <w:rtl w:val="0"/>
          <w:lang w:val="en-US"/>
        </w:rPr>
        <w:t>et al.</w:t>
      </w:r>
      <w:r>
        <w:rPr>
          <w:rtl w:val="0"/>
          <w:lang w:val="en-US"/>
        </w:rPr>
        <w:t xml:space="preserve"> [6] combine a physiologically based pharmacokinetic (PBPK) model of skin absorption with Bayesian parameter inference. A sensitivity analysis first identifies the compound-, individual- and site-specific parameters that matter, and an adaptive Metropolis</w:t>
      </w:r>
      <w:r>
        <w:rPr>
          <w:rtl w:val="0"/>
          <w:lang w:val="en-US"/>
        </w:rPr>
        <w:t>–</w:t>
      </w:r>
      <w:r>
        <w:rPr>
          <w:rtl w:val="0"/>
          <w:lang w:val="en-US"/>
        </w:rPr>
        <w:t>Hastings sampler then derives their joint posterior from in vitro permeability measurements. Extrapolation to a new compound, vehicle pH or anatomical site is done by simulating the model with posterior samples. Training sets from different experimental designs were compared. Accuracy and precision of the extrapolated permeability were highest when measurements covered several vehicle pH levels and when each subject</w:t>
      </w:r>
      <w:r>
        <w:rPr>
          <w:rtl w:val="0"/>
          <w:lang w:val="en-US"/>
        </w:rPr>
        <w:t>’</w:t>
      </w:r>
      <w:r>
        <w:rPr>
          <w:rtl w:val="0"/>
          <w:lang w:val="en-US"/>
        </w:rPr>
        <w:t>s skin samples were tested with more than one compound, a cross-over design. Experimental design is thus itself a statistical choice that determines how well the parameters can be identified [6].</w:t>
      </w:r>
    </w:p>
    <w:p>
      <w:pPr>
        <w:pStyle w:val="heading 2"/>
      </w:pPr>
      <w:r>
        <w:rPr>
          <w:rtl w:val="0"/>
        </w:rPr>
        <w:t xml:space="preserve">E. </w:t>
      </w:r>
      <w:r>
        <w:rPr>
          <w:rtl w:val="0"/>
        </w:rPr>
        <w:t>Skincare Recommendation and Optimisation</w:t>
      </w:r>
    </w:p>
    <w:p>
      <w:pPr>
        <w:pStyle w:val="Body Text"/>
      </w:pPr>
      <w:r>
        <w:rPr>
          <w:rtl w:val="0"/>
          <w:lang w:val="en-US"/>
        </w:rPr>
        <w:t xml:space="preserve">Ghazanfar </w:t>
      </w:r>
      <w:r>
        <w:rPr>
          <w:i w:val="1"/>
          <w:iCs w:val="1"/>
          <w:rtl w:val="0"/>
          <w:lang w:val="en-US"/>
        </w:rPr>
        <w:t>et al.</w:t>
      </w:r>
      <w:r>
        <w:rPr>
          <w:rtl w:val="0"/>
          <w:lang w:val="en-US"/>
        </w:rPr>
        <w:t xml:space="preserve"> [7] report an evaluator-blinded randomised trial of a recommender that applies Bayesian modelling to a 31-parameter online skin profile. Adults with mild-to-moderate acne received either a recommended cleanser and cream (group A) or chose their own (group B). After 8 weeks, 36 and 32 participants were analysed (68 of 99 screened). The Investigator Global Assessment (IGA, 0</w:t>
      </w:r>
      <w:r>
        <w:rPr>
          <w:rtl w:val="0"/>
          <w:lang w:val="en-US"/>
        </w:rPr>
        <w:t>–</w:t>
      </w:r>
      <w:r>
        <w:rPr>
          <w:rtl w:val="0"/>
          <w:lang w:val="en-US"/>
        </w:rPr>
        <w:t>4) by two blinded dermatologists fell from 1.53 to 1.21 in group A (</w:t>
      </w:r>
      <w:r>
        <w:rPr>
          <w:i w:val="1"/>
          <w:iCs w:val="1"/>
          <w:rtl w:val="0"/>
          <w:lang w:val="en-US"/>
        </w:rPr>
        <w:t>P</w:t>
      </w:r>
      <w:r>
        <w:rPr>
          <w:rtl w:val="0"/>
          <w:lang w:val="en-US"/>
        </w:rPr>
        <w:t xml:space="preserve"> = .04) and from 1.42 to 1.33 in group B (</w:t>
      </w:r>
      <w:r>
        <w:rPr>
          <w:i w:val="1"/>
          <w:iCs w:val="1"/>
          <w:rtl w:val="0"/>
          <w:lang w:val="en-US"/>
        </w:rPr>
        <w:t>P</w:t>
      </w:r>
      <w:r>
        <w:rPr>
          <w:rtl w:val="0"/>
          <w:lang w:val="en-US"/>
        </w:rPr>
        <w:t xml:space="preserve"> = .54). The Dermatology Life Quality Index (DLQI) fell from 7.75 to 3.5 in group A and from 7.53 to 5.3 in group B, against a minimal clinically important difference of 3.10 points. No adverse reactions occurred in group A, and three minor ones in group B [7].</w:t>
      </w:r>
    </w:p>
    <w:p>
      <w:pPr>
        <w:pStyle w:val="Body Text"/>
      </w:pPr>
      <w:r>
        <w:rPr>
          <w:rtl w:val="0"/>
          <w:lang w:val="en-US"/>
        </w:rPr>
        <w:t xml:space="preserve">Asmaraloka </w:t>
      </w:r>
      <w:r>
        <w:rPr>
          <w:i w:val="1"/>
          <w:iCs w:val="1"/>
          <w:rtl w:val="0"/>
          <w:lang w:val="en-US"/>
        </w:rPr>
        <w:t>et al.</w:t>
      </w:r>
      <w:r>
        <w:rPr>
          <w:rtl w:val="0"/>
          <w:lang w:val="en-US"/>
        </w:rPr>
        <w:t xml:space="preserve"> [8] train a Categorical Na</w:t>
      </w:r>
      <w:r>
        <w:rPr>
          <w:rtl w:val="0"/>
          <w:lang w:val="en-US"/>
        </w:rPr>
        <w:t>ï</w:t>
      </w:r>
      <w:r>
        <w:rPr>
          <w:rtl w:val="0"/>
          <w:lang w:val="en-US"/>
        </w:rPr>
        <w:t>ve Bayes classifier on 960 consultation records from one clinic, balanced to 80 records for each of 12 product classes. Inputs are age range, gender, skin type and binary indicators for eleven skin complaints. Na</w:t>
      </w:r>
      <w:r>
        <w:rPr>
          <w:rtl w:val="0"/>
          <w:lang w:val="en-US"/>
        </w:rPr>
        <w:t>ï</w:t>
      </w:r>
      <w:r>
        <w:rPr>
          <w:rtl w:val="0"/>
          <w:lang w:val="en-US"/>
        </w:rPr>
        <w:t>ve Bayes selects the class with the highest posterior probability under the assumption that attributes are conditionally independent given the class, with Laplace smoothing (</w:t>
      </w:r>
      <w:r>
        <w:rPr>
          <w:i w:val="1"/>
          <w:iCs w:val="1"/>
          <w:rtl w:val="0"/>
          <w:lang w:val="en-US"/>
        </w:rPr>
        <w:t>α</w:t>
      </w:r>
      <w:r>
        <w:rPr>
          <w:rtl w:val="0"/>
          <w:lang w:val="en-US"/>
        </w:rPr>
        <w:t xml:space="preserve"> = 1). On a stratified 80:20 hold-out split, accuracy was 88% and the macro-averaged precision, recall and F1 were 0.89, 0.88 and 0.88. Performance was uneven: two classes, a barrier serum and a sunscreen, had F1 scores of only 0.53 and 0.59 [8].</w:t>
      </w:r>
    </w:p>
    <w:p>
      <w:pPr>
        <w:pStyle w:val="Body Text"/>
      </w:pPr>
      <w:r>
        <w:rPr>
          <w:rtl w:val="0"/>
          <w:lang w:val="en-US"/>
        </w:rPr>
        <w:t xml:space="preserve">Guillemot </w:t>
      </w:r>
      <w:r>
        <w:rPr>
          <w:i w:val="1"/>
          <w:iCs w:val="1"/>
          <w:rtl w:val="0"/>
          <w:lang w:val="en-US"/>
        </w:rPr>
        <w:t>et al.</w:t>
      </w:r>
      <w:r>
        <w:rPr>
          <w:rtl w:val="0"/>
          <w:lang w:val="en-US"/>
        </w:rPr>
        <w:t xml:space="preserve"> [9] use Bayesian optimisation, rather than a Bayesian model of the skin, to tune a neural network that classifies the moisturising effect of 4015 cosmetic formulations (2039 features, three ordered classes), following the approach popularised for machine learning by Snoek </w:t>
      </w:r>
      <w:r>
        <w:rPr>
          <w:i w:val="1"/>
          <w:iCs w:val="1"/>
          <w:rtl w:val="0"/>
          <w:lang w:val="en-US"/>
        </w:rPr>
        <w:t>et al.</w:t>
      </w:r>
      <w:r>
        <w:rPr>
          <w:rtl w:val="0"/>
          <w:lang w:val="en-US"/>
        </w:rPr>
        <w:t xml:space="preserve"> [15]. A Gaussian-process surrogate with a Mat</w:t>
      </w:r>
      <w:r>
        <w:rPr>
          <w:rtl w:val="0"/>
          <w:lang w:val="en-US"/>
        </w:rPr>
        <w:t>é</w:t>
      </w:r>
      <w:r>
        <w:rPr>
          <w:rtl w:val="0"/>
          <w:lang w:val="en-US"/>
        </w:rPr>
        <w:t>rn 5/2 kernel models the AUC objective as a function of the hyperparameters, and the expected-improvement criterion chooses the next trial by balancing exploration against exploitation. With 80 evaluations (20 initial and 60 guided) and four hyperparameters, the tuned network reached a test AUC of 0.856 and an accuracy of 72.3%, against 0.817 and 67.5% for grid search over three hyperparameters with 140 evaluations. Both networks overfitted, with training AUC of 0.92</w:t>
      </w:r>
      <w:r>
        <w:rPr>
          <w:rtl w:val="0"/>
          <w:lang w:val="en-US"/>
        </w:rPr>
        <w:t>–</w:t>
      </w:r>
      <w:r>
        <w:rPr>
          <w:rtl w:val="0"/>
          <w:lang w:val="en-US"/>
        </w:rPr>
        <w:t>0.93 against about 0.85 on the test set [9]</w:t>
      </w:r>
      <w:r>
        <w:rPr>
          <w:rtl w:val="0"/>
          <w:lang w:val="en-US"/>
        </w:rPr>
        <w:t xml:space="preserve">. </w:t>
      </w:r>
    </w:p>
    <w:p>
      <w:pPr>
        <w:pStyle w:val="Body Text"/>
      </w:pPr>
    </w:p>
    <w:p>
      <w:pPr>
        <w:pStyle w:val="heading 1"/>
        <w:numPr>
          <w:ilvl w:val="0"/>
          <w:numId w:val="4"/>
        </w:numPr>
        <w:spacing w:before="120" w:after="120"/>
        <w:rPr>
          <w:lang w:val="en-US"/>
        </w:rPr>
      </w:pPr>
      <w:r>
        <w:rPr>
          <w:rtl w:val="0"/>
          <w:lang w:val="en-US"/>
        </w:rPr>
        <w:t>Comparative Analysis</w:t>
      </w:r>
    </w:p>
    <w:p>
      <w:pPr>
        <w:pStyle w:val="Body Text"/>
      </w:pPr>
      <w:r>
        <w:rPr>
          <w:rtl w:val="0"/>
          <w:lang w:val="en-US"/>
        </w:rPr>
        <w:t>Table I summarises the nine studies, and Table II collects the quantitative comparisons with conventional baselines that they report. Three patterns stand out.</w:t>
      </w:r>
    </w:p>
    <w:p>
      <w:pPr>
        <w:pStyle w:val="table head"/>
        <w:keepNext w:val="1"/>
        <w:numPr>
          <w:ilvl w:val="0"/>
          <w:numId w:val="6"/>
        </w:numPr>
        <w:rPr>
          <w:lang w:val="en-US"/>
        </w:rPr>
      </w:pPr>
      <w:r>
        <w:rPr>
          <w:rtl w:val="0"/>
          <w:lang w:val="en-US"/>
        </w:rPr>
        <w:t>Summary of Reviewed Studies</w:t>
      </w:r>
    </w:p>
    <w:tbl>
      <w:tblPr>
        <w:tblW w:w="489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20"/>
        <w:gridCol w:w="2400"/>
        <w:gridCol w:w="1976"/>
      </w:tblGrid>
      <w:tr>
        <w:tblPrEx>
          <w:shd w:val="clear" w:color="auto" w:fill="4472c4"/>
        </w:tblPrEx>
        <w:trPr>
          <w:trHeight w:val="178" w:hRule="atLeast"/>
          <w:tblHeader/>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Ref.</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Data and model</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Principal finding</w:t>
            </w:r>
          </w:p>
        </w:tc>
      </w:tr>
      <w:tr>
        <w:tblPrEx>
          <w:shd w:val="clear" w:color="auto" w:fill="cdd4e9"/>
        </w:tblPrEx>
        <w:trPr>
          <w:trHeight w:val="53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[1]</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59 + 334 children; hierarchical state-space model with exponential flares</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RPSS 48%/61% above chance; AUROC 87%/90%</w:t>
            </w:r>
          </w:p>
        </w:tc>
      </w:tr>
      <w:tr>
        <w:tblPrEx>
          <w:shd w:val="clear" w:color="auto" w:fill="cdd4e9"/>
        </w:tblPrEx>
        <w:trPr>
          <w:trHeight w:val="35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[2]</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347 children, 16 adults; item-level Bayesian state-space models</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4-day accuracy 71.8% vs 51.9% for best baseline</w:t>
            </w:r>
          </w:p>
        </w:tc>
      </w:tr>
      <w:tr>
        <w:tblPrEx>
          <w:shd w:val="clear" w:color="auto" w:fill="cdd4e9"/>
        </w:tblPrEx>
        <w:trPr>
          <w:trHeight w:val="53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[3]</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16 adults, prior from 337 children; multivariate state-space model plus decision analysis</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Corticosteroids &gt; emollients; small, uncertain effects</w:t>
            </w:r>
          </w:p>
        </w:tc>
      </w:tr>
      <w:tr>
        <w:tblPrEx>
          <w:shd w:val="clear" w:color="auto" w:fill="cdd4e9"/>
        </w:tblPrEx>
        <w:trPr>
          <w:trHeight w:val="53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[4]</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Synthetic and 3 experimental dose</w:t>
            </w:r>
            <w:r>
              <w:rPr>
                <w:shd w:val="nil" w:color="auto" w:fill="auto"/>
                <w:rtl w:val="0"/>
              </w:rPr>
              <w:t>–</w:t>
            </w:r>
            <w:r>
              <w:rPr>
                <w:shd w:val="nil" w:color="auto" w:fill="auto"/>
                <w:rtl w:val="0"/>
                <w:lang w:val="en-US"/>
              </w:rPr>
              <w:t>response sets; log-logistic model, NUTS</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Posterior of differences; flags unresponsive compound</w:t>
            </w:r>
          </w:p>
        </w:tc>
      </w:tr>
      <w:tr>
        <w:tblPrEx>
          <w:shd w:val="clear" w:color="auto" w:fill="cdd4e9"/>
        </w:tblPrEx>
        <w:trPr>
          <w:trHeight w:val="53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[5]</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30 chemicals (all data) + 43 (in vitro only); multilevel regression</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In vitro-only estimates at least as accurate as LLNA-based</w:t>
            </w:r>
          </w:p>
        </w:tc>
      </w:tr>
      <w:tr>
        <w:tblPrEx>
          <w:shd w:val="clear" w:color="auto" w:fill="cdd4e9"/>
        </w:tblPrEx>
        <w:trPr>
          <w:trHeight w:val="53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[6]</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In vitro permeability data sets; PBPK model with MCMC</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Multi-pH, cross-over training gives best extrapolation</w:t>
            </w:r>
          </w:p>
        </w:tc>
      </w:tr>
      <w:tr>
        <w:tblPrEx>
          <w:shd w:val="clear" w:color="auto" w:fill="cdd4e9"/>
        </w:tblPrEx>
        <w:trPr>
          <w:trHeight w:val="35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[7]</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68 adults analysed; randomised trial of a recommender</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 xml:space="preserve">IGA </w:t>
            </w:r>
            <w:r>
              <w:rPr>
                <w:shd w:val="nil" w:color="auto" w:fill="auto"/>
                <w:rtl w:val="0"/>
              </w:rPr>
              <w:t>−</w:t>
            </w:r>
            <w:r>
              <w:rPr>
                <w:shd w:val="nil" w:color="auto" w:fill="auto"/>
                <w:rtl w:val="0"/>
              </w:rPr>
              <w:t xml:space="preserve">0.32 vs </w:t>
            </w:r>
            <w:r>
              <w:rPr>
                <w:shd w:val="nil" w:color="auto" w:fill="auto"/>
                <w:rtl w:val="0"/>
              </w:rPr>
              <w:t>−</w:t>
            </w:r>
            <w:r>
              <w:rPr>
                <w:shd w:val="nil" w:color="auto" w:fill="auto"/>
                <w:rtl w:val="0"/>
              </w:rPr>
              <w:t>0.09; DLQI 7.75</w:t>
            </w:r>
            <w:r>
              <w:rPr>
                <w:shd w:val="nil" w:color="auto" w:fill="auto"/>
                <w:rtl w:val="0"/>
              </w:rPr>
              <w:t>→</w:t>
            </w:r>
            <w:r>
              <w:rPr>
                <w:shd w:val="nil" w:color="auto" w:fill="auto"/>
                <w:rtl w:val="0"/>
              </w:rPr>
              <w:t>3.5 vs 7.53</w:t>
            </w:r>
            <w:r>
              <w:rPr>
                <w:shd w:val="nil" w:color="auto" w:fill="auto"/>
                <w:rtl w:val="0"/>
              </w:rPr>
              <w:t>→</w:t>
            </w:r>
            <w:r>
              <w:rPr>
                <w:shd w:val="nil" w:color="auto" w:fill="auto"/>
                <w:rtl w:val="0"/>
              </w:rPr>
              <w:t>5.3</w:t>
            </w:r>
          </w:p>
        </w:tc>
      </w:tr>
      <w:tr>
        <w:tblPrEx>
          <w:shd w:val="clear" w:color="auto" w:fill="cdd4e9"/>
        </w:tblPrEx>
        <w:trPr>
          <w:trHeight w:val="35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[8]</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960 records, 12 classes; Categorical Na</w:t>
            </w:r>
            <w:r>
              <w:rPr>
                <w:shd w:val="nil" w:color="auto" w:fill="auto"/>
                <w:rtl w:val="0"/>
                <w:lang w:val="nl-NL"/>
              </w:rPr>
              <w:t>ï</w:t>
            </w:r>
            <w:r>
              <w:rPr>
                <w:shd w:val="nil" w:color="auto" w:fill="auto"/>
                <w:rtl w:val="0"/>
              </w:rPr>
              <w:t>ve Bayes</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Accuracy 88%; macro-F1 0.88</w:t>
            </w:r>
          </w:p>
        </w:tc>
      </w:tr>
      <w:tr>
        <w:tblPrEx>
          <w:shd w:val="clear" w:color="auto" w:fill="cdd4e9"/>
        </w:tblPrEx>
        <w:trPr>
          <w:trHeight w:val="358" w:hRule="atLeast"/>
        </w:trPr>
        <w:tc>
          <w:tcPr>
            <w:tcW w:type="dxa" w:w="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[9]</w:t>
            </w:r>
          </w:p>
        </w:tc>
        <w:tc>
          <w:tcPr>
            <w:tcW w:type="dxa" w:w="24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4015 formulations; Gaussian-process Bayesian optimisation</w:t>
            </w:r>
          </w:p>
        </w:tc>
        <w:tc>
          <w:tcPr>
            <w:tcW w:type="dxa" w:w="19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AUC 0.856 vs 0.817 with 80 vs 140 evaluations</w:t>
            </w:r>
          </w:p>
        </w:tc>
      </w:tr>
    </w:tbl>
    <w:p>
      <w:pPr>
        <w:pStyle w:val="table head"/>
        <w:keepNext w:val="1"/>
        <w:widowControl w:val="0"/>
        <w:spacing w:line="240" w:lineRule="auto"/>
      </w:pPr>
    </w:p>
    <w:p>
      <w:pPr>
        <w:pStyle w:val="Body Text"/>
      </w:pPr>
      <w:r>
        <w:rPr>
          <w:i w:val="1"/>
          <w:iCs w:val="1"/>
          <w:rtl w:val="0"/>
          <w:lang w:val="en-US"/>
        </w:rPr>
        <w:t>Scale and data type.</w:t>
      </w:r>
      <w:r>
        <w:rPr>
          <w:rtl w:val="0"/>
          <w:lang w:val="en-US"/>
        </w:rPr>
        <w:t xml:space="preserve"> Sample sizes range from 16 adults [3] to 35 854 patient-days from 334 children [1], and from 30 chemicals with full data [5] to 4015 formulations [9]. Three studies deal with repeated measurements within patients [1], [2], [3], where hierarchical structure and the handling of missing data matter most.</w:t>
      </w:r>
    </w:p>
    <w:p>
      <w:pPr>
        <w:pStyle w:val="Body Text"/>
      </w:pPr>
      <w:r>
        <w:rPr>
          <w:i w:val="1"/>
          <w:iCs w:val="1"/>
          <w:rtl w:val="0"/>
          <w:lang w:val="en-US"/>
        </w:rPr>
        <w:t>Role of the Bayesian method.</w:t>
      </w:r>
      <w:r>
        <w:rPr>
          <w:rtl w:val="0"/>
          <w:lang w:val="en-US"/>
        </w:rPr>
        <w:t xml:space="preserve"> In six studies the Bayesian model is the object of inquiry [1], [2], [3], [4], [5], [6]. In the other three it is a component of a recommendation or tuning pipeline [7], [8], [9]. Na</w:t>
      </w:r>
      <w:r>
        <w:rPr>
          <w:rtl w:val="0"/>
          <w:lang w:val="en-US"/>
        </w:rPr>
        <w:t>ï</w:t>
      </w:r>
      <w:r>
        <w:rPr>
          <w:rtl w:val="0"/>
          <w:lang w:val="en-US"/>
        </w:rPr>
        <w:t>ve Bayes is Bayesian only in its use of Bayes</w:t>
      </w:r>
      <w:r>
        <w:rPr>
          <w:rtl w:val="0"/>
          <w:lang w:val="en-US"/>
        </w:rPr>
        <w:t xml:space="preserve">’ </w:t>
      </w:r>
      <w:r>
        <w:rPr>
          <w:rtl w:val="0"/>
          <w:lang w:val="en-US"/>
        </w:rPr>
        <w:t xml:space="preserve">theorem to score classes: Laplace smoothing with </w:t>
      </w:r>
      <w:r>
        <w:rPr>
          <w:i w:val="1"/>
          <w:iCs w:val="1"/>
          <w:rtl w:val="0"/>
          <w:lang w:val="en-US"/>
        </w:rPr>
        <w:t>α</w:t>
      </w:r>
      <w:r>
        <w:rPr>
          <w:rtl w:val="0"/>
          <w:lang w:val="en-US"/>
        </w:rPr>
        <w:t xml:space="preserve"> = 1 equals the posterior mean under a uniform Dirichlet prior, but no uncertainty about the class probabilities is reported.</w:t>
      </w:r>
    </w:p>
    <w:p>
      <w:pPr>
        <w:pStyle w:val="Body Text"/>
      </w:pPr>
      <w:r>
        <w:rPr>
          <w:i w:val="1"/>
          <w:iCs w:val="1"/>
          <w:rtl w:val="0"/>
          <w:lang w:val="en-US"/>
        </w:rPr>
        <w:t>Validation.</w:t>
      </w:r>
      <w:r>
        <w:rPr>
          <w:rtl w:val="0"/>
          <w:lang w:val="en-US"/>
        </w:rPr>
        <w:t xml:space="preserve"> The time-series studies use forward chaining, and only the two eczema forecasting studies evaluate on a second, independent dataset [1], [2]. The potency study uses cross-validation [5], the Na</w:t>
      </w:r>
      <w:r>
        <w:rPr>
          <w:rtl w:val="0"/>
          <w:lang w:val="en-US"/>
        </w:rPr>
        <w:t>ï</w:t>
      </w:r>
      <w:r>
        <w:rPr>
          <w:rtl w:val="0"/>
          <w:lang w:val="en-US"/>
        </w:rPr>
        <w:t>ve Bayes study a single hold-out split [8], and the acne study a randomised comparison [7].</w:t>
      </w:r>
    </w:p>
    <w:p>
      <w:pPr>
        <w:pStyle w:val="table head"/>
      </w:pPr>
      <w:r>
        <w:rPr>
          <w:rtl w:val="0"/>
          <w:lang w:val="en-US"/>
        </w:rPr>
        <w:t xml:space="preserve">II. </w:t>
      </w:r>
      <w:r>
        <w:rPr>
          <w:rtl w:val="0"/>
        </w:rPr>
        <w:t>Reported Comparisons with Conventional Baselines</w:t>
      </w:r>
    </w:p>
    <w:tbl>
      <w:tblPr>
        <w:tblW w:w="48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800"/>
        <w:gridCol w:w="1796"/>
      </w:tblGrid>
      <w:tr>
        <w:tblPrEx>
          <w:shd w:val="clear" w:color="auto" w:fill="4472c4"/>
        </w:tblPrEx>
        <w:trPr>
          <w:trHeight w:val="178" w:hRule="atLeast"/>
          <w:tblHeader/>
        </w:trPr>
        <w:tc>
          <w:tcPr>
            <w:tcW w:type="dxa" w:w="13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Task</w:t>
            </w:r>
          </w:p>
        </w:tc>
        <w:tc>
          <w:tcPr>
            <w:tcW w:type="dxa" w:w="1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Conventional baseline</w:t>
            </w:r>
          </w:p>
        </w:tc>
        <w:tc>
          <w:tcPr>
            <w:tcW w:type="dxa" w:w="17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Bayesian approach</w:t>
            </w:r>
          </w:p>
        </w:tc>
      </w:tr>
      <w:tr>
        <w:tblPrEx>
          <w:shd w:val="clear" w:color="auto" w:fill="cdd4e9"/>
        </w:tblPrEx>
        <w:trPr>
          <w:trHeight w:val="538" w:hRule="atLeast"/>
        </w:trPr>
        <w:tc>
          <w:tcPr>
            <w:tcW w:type="dxa" w:w="13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pt-PT"/>
              </w:rPr>
              <w:t>Eczema forecasting [2]</w:t>
            </w:r>
          </w:p>
        </w:tc>
        <w:tc>
          <w:tcPr>
            <w:tcW w:type="dxa" w:w="1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Mixed-effect autoregression: 51.9% within five units</w:t>
            </w:r>
          </w:p>
        </w:tc>
        <w:tc>
          <w:tcPr>
            <w:tcW w:type="dxa" w:w="17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rPr>
              <w:t>EczemaPred: 71.8%</w:t>
            </w:r>
          </w:p>
        </w:tc>
      </w:tr>
      <w:tr>
        <w:tblPrEx>
          <w:shd w:val="clear" w:color="auto" w:fill="cdd4e9"/>
        </w:tblPrEx>
        <w:trPr>
          <w:trHeight w:val="538" w:hRule="atLeast"/>
        </w:trPr>
        <w:tc>
          <w:tcPr>
            <w:tcW w:type="dxa" w:w="13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rPr>
              <w:t>Dose</w:t>
            </w:r>
            <w:r>
              <w:rPr>
                <w:shd w:val="nil" w:color="auto" w:fill="auto"/>
                <w:rtl w:val="0"/>
              </w:rPr>
              <w:t>–</w:t>
            </w:r>
            <w:r>
              <w:rPr>
                <w:shd w:val="nil" w:color="auto" w:fill="auto"/>
                <w:rtl w:val="0"/>
                <w:lang w:val="en-US"/>
              </w:rPr>
              <w:t>response, unresponsive data [4]</w:t>
            </w:r>
          </w:p>
        </w:tc>
        <w:tc>
          <w:tcPr>
            <w:tcW w:type="dxa" w:w="1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Least squares: no convergence, or HDR 15.2% with slope 18.9</w:t>
            </w:r>
          </w:p>
        </w:tc>
        <w:tc>
          <w:tcPr>
            <w:tcW w:type="dxa" w:w="17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Posterior: IC50 outside tested range, very wide interval</w:t>
            </w:r>
          </w:p>
        </w:tc>
      </w:tr>
      <w:tr>
        <w:tblPrEx>
          <w:shd w:val="clear" w:color="auto" w:fill="cdd4e9"/>
        </w:tblPrEx>
        <w:trPr>
          <w:trHeight w:val="538" w:hRule="atLeast"/>
        </w:trPr>
        <w:tc>
          <w:tcPr>
            <w:tcW w:type="dxa" w:w="13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Potency estimation [5]</w:t>
            </w:r>
          </w:p>
        </w:tc>
        <w:tc>
          <w:tcPr>
            <w:tcW w:type="dxa" w:w="1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Estimate from LLNA data</w:t>
            </w:r>
          </w:p>
        </w:tc>
        <w:tc>
          <w:tcPr>
            <w:tcW w:type="dxa" w:w="17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In vitro-only estimate at least as accurate on average</w:t>
            </w:r>
          </w:p>
        </w:tc>
      </w:tr>
      <w:tr>
        <w:tblPrEx>
          <w:shd w:val="clear" w:color="auto" w:fill="cdd4e9"/>
        </w:tblPrEx>
        <w:trPr>
          <w:trHeight w:val="538" w:hRule="atLeast"/>
        </w:trPr>
        <w:tc>
          <w:tcPr>
            <w:tcW w:type="dxa" w:w="13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Hyperparameter tuning [9]</w:t>
            </w:r>
          </w:p>
        </w:tc>
        <w:tc>
          <w:tcPr>
            <w:tcW w:type="dxa" w:w="18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Grid search: 140 runs, AUC 0.817, accuracy 67.5%</w:t>
            </w:r>
          </w:p>
        </w:tc>
        <w:tc>
          <w:tcPr>
            <w:tcW w:type="dxa" w:w="17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jc w:val="left"/>
            </w:pPr>
            <w:r>
              <w:rPr>
                <w:shd w:val="nil" w:color="auto" w:fill="auto"/>
                <w:rtl w:val="0"/>
                <w:lang w:val="en-US"/>
              </w:rPr>
              <w:t>Bayesian optimisation: 80 runs, AUC 0.856, accuracy 72.3%</w:t>
            </w:r>
          </w:p>
        </w:tc>
      </w:tr>
    </w:tbl>
    <w:p>
      <w:pPr>
        <w:pStyle w:val="Body Text"/>
      </w:pPr>
    </w:p>
    <w:p>
      <w:pPr>
        <w:pStyle w:val="heading 1"/>
        <w:numPr>
          <w:ilvl w:val="0"/>
          <w:numId w:val="7"/>
        </w:numPr>
      </w:pPr>
      <w:r>
        <w:rPr>
          <w:rtl w:val="0"/>
        </w:rPr>
        <w:t>Critical Discussion</w:t>
      </w:r>
    </w:p>
    <w:p>
      <w:pPr>
        <w:pStyle w:val="heading 2"/>
        <w:numPr>
          <w:ilvl w:val="0"/>
          <w:numId w:val="9"/>
        </w:numPr>
      </w:pPr>
      <w:r>
        <w:rPr>
          <w:rtl w:val="0"/>
        </w:rPr>
        <w:t>Uncertainty Is the Main Gain</w:t>
      </w:r>
    </w:p>
    <w:p>
      <w:pPr>
        <w:pStyle w:val="Body Text"/>
      </w:pPr>
      <w:r>
        <w:rPr>
          <w:rtl w:val="0"/>
          <w:lang w:val="en-US"/>
        </w:rPr>
        <w:t>The most consistent benefit of the Bayesian approach is honest uncertainty. The least-squares fit of an unresponsive compound gave a confident but meaningless answer, whereas the posterior exposed the lack of information [4]. For forecasting, EczemaPred clearly beat na</w:t>
      </w:r>
      <w:r>
        <w:rPr>
          <w:rtl w:val="0"/>
          <w:lang w:val="en-US"/>
        </w:rPr>
        <w:t>ï</w:t>
      </w:r>
      <w:r>
        <w:rPr>
          <w:rtl w:val="0"/>
          <w:lang w:val="en-US"/>
        </w:rPr>
        <w:t>ve baselines (Fig. 1 and Table II), but its authors note that complex models often add only a small margin over simple ones [16], [2], and accuracy decays by about 3 points per day of horizon. In the 2024 study, additional information and model components did not noticeably improve predictive performance [3]. These models are therefore best read as tools for quantifying uncertainty and heterogeneity, not as accurate long-range forecasters.</w:t>
      </w:r>
    </w:p>
    <w:p>
      <w:pPr>
        <w:pStyle w:val="heading 2"/>
      </w:pPr>
      <w:r>
        <w:rPr>
          <w:rtl w:val="0"/>
        </w:rPr>
        <w:t xml:space="preserve">B. </w:t>
      </w:r>
      <w:r>
        <w:rPr>
          <w:rtl w:val="0"/>
        </w:rPr>
        <w:t>Priors and Sensitivity</w:t>
      </w:r>
    </w:p>
    <w:p>
      <w:pPr>
        <w:pStyle w:val="Normal.0"/>
      </w:pPr>
      <w:r>
        <w:tab/>
      </w:r>
      <w:r>
        <w:rPr>
          <w:rFonts w:cs="Arial Unicode MS" w:eastAsia="Arial Unicode MS"/>
          <w:rtl w:val="0"/>
        </w:rPr>
        <w:t xml:space="preserve">When data are scarce, priors drive the result. Labelle </w:t>
      </w:r>
      <w:r>
        <w:rPr>
          <w:rFonts w:cs="Arial Unicode MS" w:eastAsia="Arial Unicode MS"/>
          <w:i w:val="1"/>
          <w:iCs w:val="1"/>
          <w:rtl w:val="0"/>
          <w:lang w:val="en-US"/>
        </w:rPr>
        <w:t>et al.</w:t>
      </w:r>
      <w:r>
        <w:rPr>
          <w:rFonts w:cs="Arial Unicode MS" w:eastAsia="Arial Unicode MS"/>
          <w:rtl w:val="0"/>
        </w:rPr>
        <w:t xml:space="preserve"> show that narrow priors biased the fitted curve even for nearly noise-free synthetic data, and that a poorly chosen prior combined with high noise shifted the median HDR to 86.5 when the true value was 60 [4]. The power prior in [3] helped start the learning but, by the authors</w:t>
      </w:r>
      <w:r>
        <w:rPr>
          <w:rFonts w:cs="Arial Unicode MS" w:eastAsia="Arial Unicode MS" w:hint="default"/>
          <w:rtl w:val="0"/>
        </w:rPr>
        <w:t xml:space="preserve">’ </w:t>
      </w:r>
      <w:r>
        <w:rPr>
          <w:rFonts w:cs="Arial Unicode MS" w:eastAsia="Arial Unicode MS"/>
          <w:rtl w:val="0"/>
        </w:rPr>
        <w:t>own analysis, did not noticeably improve long-run prediction. Bayesian</w:t>
      </w:r>
      <w:r>
        <w:rPr>
          <w:rFonts w:cs="Arial Unicode MS" w:eastAsia="Arial Unicode MS"/>
          <w:rtl w:val="0"/>
        </w:rPr>
        <w:t xml:space="preserve"> </w:t>
      </w:r>
      <w:r>
        <w:rPr>
          <w:rFonts w:cs="Arial Unicode MS" w:eastAsia="Arial Unicode MS"/>
          <w:rtl w:val="0"/>
        </w:rPr>
        <w:t>studies should report their priors and run prior predictive checks and sensitivity analyses; the two later eczema studies did conduct prior predictive checks [2], [3].</w:t>
      </w:r>
    </w:p>
    <w:p>
      <w:pPr>
        <w:pStyle w:val="heading 2"/>
      </w:pPr>
      <w:r>
        <w:rPr>
          <w:rtl w:val="0"/>
        </w:rPr>
        <w:t xml:space="preserve">C. </w:t>
      </w:r>
      <w:r>
        <w:rPr>
          <w:rtl w:val="0"/>
        </w:rPr>
        <w:t xml:space="preserve">Significance Testing, Trial Design and Conflicts of </w:t>
      </w:r>
      <w:r>
        <w:rPr>
          <w:rtl w:val="0"/>
        </w:rPr>
        <w:tab/>
        <w:tab/>
        <w:t xml:space="preserve">  </w:t>
        <w:tab/>
        <w:t xml:space="preserve"> </w:t>
        <w:tab/>
      </w:r>
      <w:r>
        <w:rPr>
          <w:rtl w:val="0"/>
        </w:rPr>
        <w:t>Interest</w:t>
      </w:r>
    </w:p>
    <w:p>
      <w:pPr>
        <w:pStyle w:val="Normal.0"/>
      </w:pPr>
      <w:r>
        <w:tab/>
      </w:r>
      <w:r>
        <w:rPr>
          <w:rFonts w:cs="Arial Unicode MS" w:eastAsia="Arial Unicode MS"/>
          <w:rtl w:val="0"/>
        </w:rPr>
        <w:t>The acne trial [7] illustrates classical pitfalls. Its headline claim, that the recommender outperformed self-selection, rests on within-group contrasts: the change in IGA was significant in group A (</w:t>
      </w:r>
      <w:r>
        <w:rPr>
          <w:rFonts w:cs="Arial Unicode MS" w:eastAsia="Arial Unicode MS"/>
          <w:i w:val="1"/>
          <w:iCs w:val="1"/>
          <w:rtl w:val="0"/>
          <w:lang w:val="en-US"/>
        </w:rPr>
        <w:t>P</w:t>
      </w:r>
      <w:r>
        <w:rPr>
          <w:rFonts w:cs="Arial Unicode MS" w:eastAsia="Arial Unicode MS"/>
          <w:rtl w:val="0"/>
        </w:rPr>
        <w:t xml:space="preserve"> = .04) but not in group B (</w:t>
      </w:r>
      <w:r>
        <w:rPr>
          <w:rFonts w:cs="Arial Unicode MS" w:eastAsia="Arial Unicode MS"/>
          <w:i w:val="1"/>
          <w:iCs w:val="1"/>
          <w:rtl w:val="0"/>
          <w:lang w:val="en-US"/>
        </w:rPr>
        <w:t>P</w:t>
      </w:r>
      <w:r>
        <w:rPr>
          <w:rFonts w:cs="Arial Unicode MS" w:eastAsia="Arial Unicode MS"/>
          <w:rtl w:val="0"/>
        </w:rPr>
        <w:t xml:space="preserve"> = .54). The difference between significant and not significant is not itself significant [17]; a direct comparison of change scores between groups, or a regression adjusted for baseline, would answer the stated question. The IGA </w:t>
      </w:r>
      <w:r>
        <w:rPr>
          <w:rFonts w:cs="Arial Unicode MS" w:eastAsia="Arial Unicode MS"/>
          <w:i w:val="1"/>
          <w:iCs w:val="1"/>
          <w:rtl w:val="0"/>
          <w:lang w:val="en-US"/>
        </w:rPr>
        <w:t>P</w:t>
      </w:r>
      <w:r>
        <w:rPr>
          <w:rFonts w:cs="Arial Unicode MS" w:eastAsia="Arial Unicode MS"/>
          <w:rtl w:val="0"/>
        </w:rPr>
        <w:t>-value for group A is also .04 in the text but .03 in Table 2. The IGA change in group A (0.32 on a 0</w:t>
      </w:r>
      <w:r>
        <w:rPr>
          <w:rFonts w:cs="Arial Unicode MS" w:eastAsia="Arial Unicode MS" w:hint="default"/>
          <w:rtl w:val="0"/>
        </w:rPr>
        <w:t>–</w:t>
      </w:r>
      <w:r>
        <w:rPr>
          <w:rFonts w:cs="Arial Unicode MS" w:eastAsia="Arial Unicode MS"/>
          <w:rtl w:val="0"/>
        </w:rPr>
        <w:t>4 scale) is small, and the two dermatologists disagreed on the category of change in 36 of 68 cases. Excluding participants for self-reported non-compliance makes the analysis per-protocol (and the numbers excluded differ between the text, 5 and 9, and the flow diagram, 3 and 9), so only 68 of 99 screened participants were analysed. Three authors are employees of the company that developed the recommender and sponsored the study, and the recommendation model is described only in outline, so its Bayesian component cannot be assessed or reproduced. Finally, group B chose heterogeneous products, so the trial compares the recommender with whatever people select, not with a standard of care.</w:t>
      </w:r>
    </w:p>
    <w:p>
      <w:pPr>
        <w:pStyle w:val="Normal.0"/>
      </w:pPr>
    </w:p>
    <w:p>
      <w:pPr>
        <w:pStyle w:val="heading 2"/>
      </w:pPr>
      <w:r>
        <w:rPr>
          <w:rtl w:val="0"/>
        </w:rPr>
        <w:t xml:space="preserve">D. </w:t>
      </w:r>
      <w:r>
        <w:rPr>
          <w:rtl w:val="0"/>
        </w:rPr>
        <w:t>Model Assumptions and Class Balance</w:t>
      </w:r>
    </w:p>
    <w:p>
      <w:pPr>
        <w:pStyle w:val="Normal.0"/>
      </w:pPr>
      <w:r>
        <w:tab/>
      </w:r>
      <w:r>
        <w:rPr>
          <w:rFonts w:cs="Arial Unicode MS" w:eastAsia="Arial Unicode MS"/>
          <w:rtl w:val="0"/>
        </w:rPr>
        <w:t>Na</w:t>
      </w:r>
      <w:r>
        <w:rPr>
          <w:rFonts w:cs="Arial Unicode MS" w:eastAsia="Arial Unicode MS" w:hint="default"/>
          <w:rtl w:val="0"/>
        </w:rPr>
        <w:t>ï</w:t>
      </w:r>
      <w:r>
        <w:rPr>
          <w:rFonts w:cs="Arial Unicode MS" w:eastAsia="Arial Unicode MS"/>
          <w:rtl w:val="0"/>
        </w:rPr>
        <w:t>ve Bayes assumes that attributes are independent given the class. Skin complaints are unlikely to satisfy this: EczemaPred found positively correlated day-to-day changes in itching, scratching, redness and oozing, which makes aggregate uncertainty larger than independence implies [3], and its earlier version, which aggregated item forecasts under independence, listed modelling these correlations as an improvement [2]. In the Na</w:t>
      </w:r>
      <w:r>
        <w:rPr>
          <w:rFonts w:cs="Arial Unicode MS" w:eastAsia="Arial Unicode MS" w:hint="default"/>
          <w:rtl w:val="0"/>
        </w:rPr>
        <w:t>ï</w:t>
      </w:r>
      <w:r>
        <w:rPr>
          <w:rFonts w:cs="Arial Unicode MS" w:eastAsia="Arial Unicode MS"/>
          <w:rtl w:val="0"/>
        </w:rPr>
        <w:t>ve Bayes study each product class was sampled to exactly 80 records, which fixes the class prior at 1/12 and removes the real case mix, so the 88% accuracy may not transfer to the clinic</w:t>
      </w:r>
      <w:r>
        <w:rPr>
          <w:rFonts w:cs="Arial Unicode MS" w:eastAsia="Arial Unicode MS" w:hint="default"/>
          <w:rtl w:val="0"/>
        </w:rPr>
        <w:t>’</w:t>
      </w:r>
      <w:r>
        <w:rPr>
          <w:rFonts w:cs="Arial Unicode MS" w:eastAsia="Arial Unicode MS"/>
          <w:rtl w:val="0"/>
        </w:rPr>
        <w:t>s actual distribution of recommendations. The labels are consultants</w:t>
      </w:r>
      <w:r>
        <w:rPr>
          <w:rFonts w:cs="Arial Unicode MS" w:eastAsia="Arial Unicode MS" w:hint="default"/>
          <w:rtl w:val="0"/>
        </w:rPr>
        <w:t xml:space="preserve">’ </w:t>
      </w:r>
      <w:r>
        <w:rPr>
          <w:rFonts w:cs="Arial Unicode MS" w:eastAsia="Arial Unicode MS"/>
          <w:rtl w:val="0"/>
        </w:rPr>
        <w:t>recommendations rather than measured outcomes, so the model learns to imitate advice, not to predict what works [8].</w:t>
      </w:r>
    </w:p>
    <w:p>
      <w:pPr>
        <w:pStyle w:val="heading 2"/>
      </w:pPr>
      <w:r>
        <w:rPr>
          <w:rtl w:val="0"/>
        </w:rPr>
        <w:t xml:space="preserve">E. </w:t>
      </w:r>
      <w:r>
        <w:rPr>
          <w:rtl w:val="0"/>
        </w:rPr>
        <w:t>Causality, Generalisation and Interpretability</w:t>
      </w:r>
    </w:p>
    <w:p>
      <w:pPr>
        <w:pStyle w:val="Body Text"/>
      </w:pPr>
      <w:r>
        <w:rPr>
          <w:rtl w:val="0"/>
          <w:lang w:val="en-US"/>
        </w:rPr>
        <w:t>Prediction and causal inference are different tasks. Treatment use is self-reported and tends to follow bad days, so associations between treatment and next-day severity are likely confounded; the authors state that their model is not causal [3]. Senn argues that apparent differences in individual response are easily confused with within-patient noise unless treatments are repeated in the same patient [18], which is a reason to favour the repeated daily records used in the eczema studies. Generalisation is limited by data: the potency model rests on 30 chemicals with full data [5], the recommender trial and the Na</w:t>
      </w:r>
      <w:r>
        <w:rPr>
          <w:rtl w:val="0"/>
          <w:lang w:val="en-US"/>
        </w:rPr>
        <w:t>ï</w:t>
      </w:r>
      <w:r>
        <w:rPr>
          <w:rtl w:val="0"/>
          <w:lang w:val="en-US"/>
        </w:rPr>
        <w:t>ve Bayes system each come from a single company or clinic [7], [8], and the neural-network comparison does not report repeated runs or intervals, so a gain of 0.039 in AUC cannot be separated from run-to-run variation [9]. On the positive side, mechanistic Bayesian models have parameters with a clinical meaning, such as persistence, responsiveness and flare triggers, which answers calls to prefer interpretable models for high-stakes decisions [19]. The neural network in [9] offers no such reading.</w:t>
      </w:r>
    </w:p>
    <w:p>
      <w:pPr>
        <w:pStyle w:val="heading 1"/>
      </w:pPr>
      <w:r>
        <w:rPr>
          <w:rtl w:val="0"/>
          <w:lang w:val="en-US"/>
        </w:rPr>
        <w:t xml:space="preserve">VI. </w:t>
        <w:tab/>
        <w:tab/>
      </w:r>
      <w:r>
        <w:rPr>
          <w:rtl w:val="0"/>
        </w:rPr>
        <w:t>Research Gaps and Future Directions</w:t>
      </w:r>
    </w:p>
    <w:p>
      <w:pPr>
        <w:pStyle w:val="bullet list"/>
        <w:numPr>
          <w:ilvl w:val="0"/>
          <w:numId w:val="11"/>
        </w:numPr>
        <w:rPr>
          <w:lang w:val="en-US"/>
        </w:rPr>
      </w:pPr>
      <w:r>
        <w:rPr>
          <w:i w:val="1"/>
          <w:iCs w:val="1"/>
          <w:rtl w:val="0"/>
          <w:lang w:val="en-US"/>
        </w:rPr>
        <w:t>External and prospective validation.</w:t>
      </w:r>
      <w:r>
        <w:rPr>
          <w:rtl w:val="0"/>
          <w:lang w:val="en-US"/>
        </w:rPr>
        <w:t xml:space="preserve"> The recommendations in [3] were not tested against outcomes; a randomised or N-of-1 trial comparing model-guided with standard care is the natural next step.</w:t>
      </w:r>
    </w:p>
    <w:p>
      <w:pPr>
        <w:pStyle w:val="bullet list"/>
        <w:numPr>
          <w:ilvl w:val="0"/>
          <w:numId w:val="11"/>
        </w:numPr>
        <w:rPr>
          <w:lang w:val="en-US"/>
        </w:rPr>
      </w:pPr>
      <w:r>
        <w:rPr>
          <w:i w:val="1"/>
          <w:iCs w:val="1"/>
          <w:rtl w:val="0"/>
          <w:lang w:val="en-US"/>
        </w:rPr>
        <w:t>Better treatment data.</w:t>
      </w:r>
      <w:r>
        <w:rPr>
          <w:rtl w:val="0"/>
          <w:lang w:val="en-US"/>
        </w:rPr>
        <w:t xml:space="preserve"> Daily records of quantity, potency and adherence are needed to estimate treatment effects reliably, as the eczema studies acknowledge [1], [3].</w:t>
      </w:r>
    </w:p>
    <w:p>
      <w:pPr>
        <w:pStyle w:val="bullet list"/>
        <w:numPr>
          <w:ilvl w:val="0"/>
          <w:numId w:val="11"/>
        </w:numPr>
        <w:rPr>
          <w:lang w:val="en-US"/>
        </w:rPr>
      </w:pPr>
      <w:r>
        <w:rPr>
          <w:i w:val="1"/>
          <w:iCs w:val="1"/>
          <w:rtl w:val="0"/>
          <w:lang w:val="en-US"/>
        </w:rPr>
        <w:t>Joint modelling of correlated outcomes.</w:t>
      </w:r>
      <w:r>
        <w:rPr>
          <w:rtl w:val="0"/>
          <w:lang w:val="en-US"/>
        </w:rPr>
        <w:t xml:space="preserve"> Correlated item dynamics could be combined with product recommenders such as [8], whose class probabilities could feed a decision-analytic utility instead of a single predicted label (a suggestion of this review, not tested in the cited work).</w:t>
      </w:r>
    </w:p>
    <w:p>
      <w:pPr>
        <w:pStyle w:val="bullet list"/>
        <w:numPr>
          <w:ilvl w:val="0"/>
          <w:numId w:val="11"/>
        </w:numPr>
        <w:rPr>
          <w:lang w:val="en-US"/>
        </w:rPr>
      </w:pPr>
      <w:r>
        <w:rPr>
          <w:i w:val="1"/>
          <w:iCs w:val="1"/>
          <w:rtl w:val="0"/>
          <w:lang w:val="en-US"/>
        </w:rPr>
        <w:t>Sequential learning.</w:t>
      </w:r>
      <w:r>
        <w:rPr>
          <w:rtl w:val="0"/>
          <w:lang w:val="en-US"/>
        </w:rPr>
        <w:t xml:space="preserve"> Posteriors from one study can serve as priors for the next, as proposed for new patients and extended models [1], [2].</w:t>
      </w:r>
    </w:p>
    <w:p>
      <w:pPr>
        <w:pStyle w:val="bullet list"/>
        <w:numPr>
          <w:ilvl w:val="0"/>
          <w:numId w:val="11"/>
        </w:numPr>
        <w:rPr>
          <w:lang w:val="en-US"/>
        </w:rPr>
      </w:pPr>
      <w:r>
        <w:rPr>
          <w:i w:val="1"/>
          <w:iCs w:val="1"/>
          <w:rtl w:val="0"/>
          <w:lang w:val="en-US"/>
        </w:rPr>
        <w:t>Transparent reporting.</w:t>
      </w:r>
      <w:r>
        <w:rPr>
          <w:rtl w:val="0"/>
          <w:lang w:val="en-US"/>
        </w:rPr>
        <w:t xml:space="preserve"> Priors, prior predictive checks, convergence diagnostics, uncertainty intervals on performance metrics, and access to code and data should be reported routinely; the acne trial data are available only on request [7].</w:t>
      </w:r>
    </w:p>
    <w:p>
      <w:pPr>
        <w:pStyle w:val="heading 1"/>
        <w:spacing w:before="120" w:after="120"/>
      </w:pPr>
    </w:p>
    <w:p>
      <w:pPr>
        <w:pStyle w:val="heading 1"/>
      </w:pPr>
      <w:r>
        <w:rPr>
          <w:rtl w:val="0"/>
        </w:rPr>
        <w:t xml:space="preserve">VII. </w:t>
        <w:tab/>
      </w:r>
      <w:r>
        <w:rPr>
          <w:rtl w:val="0"/>
        </w:rPr>
        <w:t>Conclusion</w:t>
      </w:r>
    </w:p>
    <w:p>
      <w:pPr>
        <w:pStyle w:val="Body Text"/>
      </w:pPr>
      <w:r>
        <w:rPr>
          <w:rtl w:val="0"/>
          <w:lang w:val="en-US"/>
        </w:rPr>
        <w:t>The reviewed studies show that Bayesian methods suit the small, noisy and heterogeneous data of dermatology and skincare. Hierarchical models separate population effects from individual ones, MCMC delivers full posterior distributions, missing data are handled inside the model, and decision analysis can turn predictions into recommendations. At the same time, accuracy gains over simple baselines are modest, conclusions depend on priors when data are scarce, and several claims of personalised benefit are not yet backed by causal or independently validated evidence. Good statistical practice, namely explicit priors, honest uncertainty, direct comparisons between groups and external validation, matters as much as the choice of model.</w:t>
      </w:r>
    </w:p>
    <w:p>
      <w:pPr>
        <w:pStyle w:val="Reference Head"/>
      </w:pPr>
    </w:p>
    <w:p>
      <w:pPr>
        <w:pStyle w:val="Reference Head"/>
      </w:pPr>
    </w:p>
    <w:p>
      <w:pPr>
        <w:pStyle w:val="Reference Head"/>
      </w:pPr>
    </w:p>
    <w:p>
      <w:pPr>
        <w:pStyle w:val="Reference Head"/>
      </w:pPr>
      <w:r>
        <w:rPr>
          <w:rFonts w:cs="Arial Unicode MS" w:eastAsia="Arial Unicode MS"/>
          <w:rtl w:val="0"/>
          <w:lang w:val="en-US"/>
        </w:rPr>
        <w:t>Appendix</w:t>
      </w:r>
    </w:p>
    <w:p>
      <w:pPr>
        <w:pStyle w:val="Text"/>
      </w:pPr>
      <w:r>
        <w:rPr>
          <w:rtl w:val="0"/>
          <w:lang w:val="en-US"/>
        </w:rPr>
        <w:t>Appendixes should appear before the acknowledgment.</w:t>
      </w:r>
    </w:p>
    <w:p>
      <w:pPr>
        <w:pStyle w:val="Reference Head"/>
      </w:pPr>
      <w:r>
        <w:rPr>
          <w:rFonts w:cs="Arial Unicode MS" w:eastAsia="Arial Unicode MS"/>
          <w:rtl w:val="0"/>
          <w:lang w:val="en-US"/>
        </w:rPr>
        <w:t>Acknowledgment</w:t>
      </w:r>
    </w:p>
    <w:p>
      <w:pPr>
        <w:pStyle w:val="Text"/>
        <w:spacing w:after="120" w:line="228" w:lineRule="auto"/>
        <w:ind w:firstLine="288"/>
      </w:pPr>
      <w:r>
        <w:rPr>
          <w:rtl w:val="0"/>
          <w:lang w:val="en-US"/>
        </w:rPr>
        <w:t xml:space="preserve">The preferred spelling of the word </w:t>
      </w:r>
      <w:r>
        <w:rPr>
          <w:rtl w:val="0"/>
          <w:lang w:val="en-US"/>
        </w:rPr>
        <w:t>“</w:t>
      </w:r>
      <w:r>
        <w:rPr>
          <w:rtl w:val="0"/>
          <w:lang w:val="en-US"/>
        </w:rPr>
        <w:t>acknowledgment</w:t>
      </w:r>
      <w:r>
        <w:rPr>
          <w:rtl w:val="0"/>
          <w:lang w:val="en-US"/>
        </w:rPr>
        <w:t xml:space="preserve">” </w:t>
      </w:r>
      <w:r>
        <w:rPr>
          <w:rtl w:val="0"/>
          <w:lang w:val="en-US"/>
        </w:rPr>
        <w:t xml:space="preserve">in America is without an </w:t>
      </w:r>
      <w:r>
        <w:rPr>
          <w:rtl w:val="0"/>
          <w:lang w:val="en-US"/>
        </w:rPr>
        <w:t>“</w:t>
      </w:r>
      <w:r>
        <w:rPr>
          <w:rtl w:val="0"/>
          <w:lang w:val="en-US"/>
        </w:rPr>
        <w:t>e</w:t>
      </w:r>
      <w:r>
        <w:rPr>
          <w:rtl w:val="0"/>
          <w:lang w:val="en-US"/>
        </w:rPr>
        <w:t xml:space="preserve">” </w:t>
      </w:r>
      <w:r>
        <w:rPr>
          <w:rtl w:val="0"/>
          <w:lang w:val="en-US"/>
        </w:rPr>
        <w:t xml:space="preserve">after the </w:t>
      </w:r>
      <w:r>
        <w:rPr>
          <w:rtl w:val="0"/>
          <w:lang w:val="en-US"/>
        </w:rPr>
        <w:t>“</w:t>
      </w:r>
      <w:r>
        <w:rPr>
          <w:rtl w:val="0"/>
          <w:lang w:val="en-US"/>
        </w:rPr>
        <w:t>g</w:t>
      </w:r>
      <w:r>
        <w:rPr>
          <w:rtl w:val="0"/>
          <w:lang w:val="en-US"/>
        </w:rPr>
        <w:t>”</w:t>
      </w:r>
      <w:r>
        <w:rPr>
          <w:rtl w:val="0"/>
          <w:lang w:val="en-US"/>
        </w:rPr>
        <w:t xml:space="preserve">. Avoid the stilted expression, </w:t>
      </w:r>
      <w:r>
        <w:rPr>
          <w:rtl w:val="0"/>
          <w:lang w:val="en-US"/>
        </w:rPr>
        <w:t>“</w:t>
      </w:r>
      <w:r>
        <w:rPr>
          <w:rtl w:val="0"/>
          <w:lang w:val="en-US"/>
        </w:rPr>
        <w:t>One of us (R. B. G.) thanks . . .</w:t>
      </w:r>
      <w:r>
        <w:rPr>
          <w:rtl w:val="0"/>
          <w:lang w:val="en-US"/>
        </w:rPr>
        <w:t xml:space="preserve">”  </w:t>
      </w:r>
      <w:r>
        <w:rPr>
          <w:rtl w:val="0"/>
          <w:lang w:val="en-US"/>
        </w:rPr>
        <w:t xml:space="preserve">Instead, try </w:t>
      </w:r>
      <w:r>
        <w:rPr>
          <w:rtl w:val="0"/>
          <w:lang w:val="en-US"/>
        </w:rPr>
        <w:t>“</w:t>
      </w:r>
      <w:r>
        <w:rPr>
          <w:rtl w:val="0"/>
          <w:lang w:val="en-US"/>
        </w:rPr>
        <w:t>R. B. G. thanks</w:t>
      </w:r>
      <w:r>
        <w:rPr>
          <w:rtl w:val="0"/>
          <w:lang w:val="en-US"/>
        </w:rPr>
        <w:t>”</w:t>
      </w:r>
      <w:r>
        <w:rPr>
          <w:rtl w:val="0"/>
          <w:lang w:val="en-US"/>
        </w:rPr>
        <w:t>. Put sponsor acknowledgments in the unnumbered footnote on the first page.</w:t>
      </w:r>
    </w:p>
    <w:p>
      <w:pPr>
        <w:pStyle w:val="Reference Head"/>
      </w:pPr>
    </w:p>
    <w:p>
      <w:pPr>
        <w:pStyle w:val="Reference Head"/>
      </w:pPr>
    </w:p>
    <w:p>
      <w:pPr>
        <w:pStyle w:val="Reference Head"/>
      </w:pPr>
      <w:r>
        <w:rPr>
          <w:rFonts w:cs="Arial Unicode MS" w:eastAsia="Arial Unicode MS"/>
          <w:rtl w:val="0"/>
          <w:lang w:val="en-US"/>
        </w:rPr>
        <w:t>References</w:t>
      </w:r>
    </w:p>
    <w:p>
      <w:pPr>
        <w:pStyle w:val="References"/>
        <w:numPr>
          <w:ilvl w:val="0"/>
          <w:numId w:val="13"/>
        </w:numPr>
        <w:rPr>
          <w:lang w:val="en-US"/>
        </w:rPr>
      </w:pPr>
      <w:r>
        <w:rPr>
          <w:rtl w:val="0"/>
          <w:lang w:val="en-US"/>
        </w:rPr>
        <w:t>G. Hurault, E. Dom</w:t>
      </w:r>
      <w:r>
        <w:rPr>
          <w:rtl w:val="0"/>
          <w:lang w:val="en-US"/>
        </w:rPr>
        <w:t>í</w:t>
      </w:r>
      <w:r>
        <w:rPr>
          <w:rtl w:val="0"/>
          <w:lang w:val="en-US"/>
        </w:rPr>
        <w:t>nguez-H</w:t>
      </w:r>
      <w:r>
        <w:rPr>
          <w:rtl w:val="0"/>
          <w:lang w:val="en-US"/>
        </w:rPr>
        <w:t>ü</w:t>
      </w:r>
      <w:r>
        <w:rPr>
          <w:rtl w:val="0"/>
          <w:lang w:val="en-US"/>
        </w:rPr>
        <w:t xml:space="preserve">ttinger, S. M. Langan, H. C. Williams, and R. J. Tanaka, </w:t>
      </w:r>
      <w:r>
        <w:rPr>
          <w:rtl w:val="0"/>
          <w:lang w:val="en-US"/>
        </w:rPr>
        <w:t>“</w:t>
      </w:r>
      <w:r>
        <w:rPr>
          <w:rtl w:val="0"/>
          <w:lang w:val="en-US"/>
        </w:rPr>
        <w:t>Personalized prediction of daily eczema severity scores using a mechanistic machine learning model,</w:t>
      </w:r>
      <w:r>
        <w:rPr>
          <w:rtl w:val="0"/>
          <w:lang w:val="en-US"/>
        </w:rPr>
        <w:t xml:space="preserve">” </w:t>
      </w:r>
      <w:r>
        <w:rPr>
          <w:i w:val="1"/>
          <w:iCs w:val="1"/>
          <w:rtl w:val="0"/>
          <w:lang w:val="en-US"/>
        </w:rPr>
        <w:t>Clin. Exp. Allergy</w:t>
      </w:r>
      <w:r>
        <w:rPr>
          <w:rtl w:val="0"/>
          <w:lang w:val="en-US"/>
        </w:rPr>
        <w:t>, vol. 50, no. 11, pp. 1258</w:t>
      </w:r>
      <w:r>
        <w:rPr>
          <w:rtl w:val="0"/>
          <w:lang w:val="en-US"/>
        </w:rPr>
        <w:t>–</w:t>
      </w:r>
      <w:r>
        <w:rPr>
          <w:rtl w:val="0"/>
          <w:lang w:val="en-US"/>
        </w:rPr>
        <w:t>1266, 2020.</w:t>
      </w:r>
    </w:p>
    <w:p>
      <w:pPr>
        <w:pStyle w:val="References"/>
        <w:numPr>
          <w:ilvl w:val="0"/>
          <w:numId w:val="13"/>
        </w:numPr>
        <w:rPr>
          <w:lang w:val="en-US"/>
        </w:rPr>
      </w:pPr>
      <w:r>
        <w:rPr>
          <w:rtl w:val="0"/>
          <w:lang w:val="en-US"/>
        </w:rPr>
        <w:t xml:space="preserve">G. Hurault, J. F. Stalder, S. Mery, A. Delarue, M. Saint Aroman, G. Josse, and R. J. Tanaka, </w:t>
      </w:r>
      <w:r>
        <w:rPr>
          <w:rtl w:val="0"/>
          <w:lang w:val="en-US"/>
        </w:rPr>
        <w:t>“</w:t>
      </w:r>
      <w:r>
        <w:rPr>
          <w:rtl w:val="0"/>
          <w:lang w:val="en-US"/>
        </w:rPr>
        <w:t>EczemaPred: A computational framework for personalised prediction of eczema severity dynamics,</w:t>
      </w:r>
      <w:r>
        <w:rPr>
          <w:rtl w:val="0"/>
          <w:lang w:val="en-US"/>
        </w:rPr>
        <w:t xml:space="preserve">” </w:t>
      </w:r>
      <w:r>
        <w:rPr>
          <w:i w:val="1"/>
          <w:iCs w:val="1"/>
          <w:rtl w:val="0"/>
          <w:lang w:val="en-US"/>
        </w:rPr>
        <w:t>Clin. Transl. Allergy</w:t>
      </w:r>
      <w:r>
        <w:rPr>
          <w:rtl w:val="0"/>
          <w:lang w:val="en-US"/>
        </w:rPr>
        <w:t>, vol. 12, no. 3, p. e12140, 2022.</w:t>
      </w:r>
    </w:p>
    <w:p>
      <w:pPr>
        <w:pStyle w:val="References"/>
        <w:numPr>
          <w:ilvl w:val="0"/>
          <w:numId w:val="13"/>
        </w:numPr>
        <w:rPr>
          <w:lang w:val="en-US"/>
        </w:rPr>
      </w:pPr>
      <w:r>
        <w:rPr>
          <w:rtl w:val="0"/>
          <w:lang w:val="en-US"/>
        </w:rPr>
        <w:t xml:space="preserve">G. Hurault, J. F. Stalder, M. Saint Aroman, and R. J. Tanaka, </w:t>
      </w:r>
      <w:r>
        <w:rPr>
          <w:rtl w:val="0"/>
          <w:lang w:val="en-US"/>
        </w:rPr>
        <w:t>“</w:t>
      </w:r>
      <w:r>
        <w:rPr>
          <w:rtl w:val="0"/>
          <w:lang w:val="en-US"/>
        </w:rPr>
        <w:t>Data-driven personalised recommendations for eczema treatment using a Bayesian model of severity dynamics,</w:t>
      </w:r>
      <w:r>
        <w:rPr>
          <w:rtl w:val="0"/>
          <w:lang w:val="en-US"/>
        </w:rPr>
        <w:t xml:space="preserve">” </w:t>
      </w:r>
      <w:r>
        <w:rPr>
          <w:rtl w:val="0"/>
          <w:lang w:val="en-US"/>
        </w:rPr>
        <w:t>medRxiv preprint, doi: 10.1101/2024.01.21.24301575, Jan. 2024.</w:t>
      </w:r>
    </w:p>
    <w:p>
      <w:pPr>
        <w:pStyle w:val="References"/>
        <w:numPr>
          <w:ilvl w:val="0"/>
          <w:numId w:val="13"/>
        </w:numPr>
        <w:rPr>
          <w:lang w:val="en-US"/>
        </w:rPr>
      </w:pPr>
      <w:r>
        <w:rPr>
          <w:rtl w:val="0"/>
          <w:lang w:val="en-US"/>
        </w:rPr>
        <w:t xml:space="preserve">C. Labelle, A. Marinier, and S. Lemieux, </w:t>
      </w:r>
      <w:r>
        <w:rPr>
          <w:rtl w:val="0"/>
          <w:lang w:val="en-US"/>
        </w:rPr>
        <w:t>“</w:t>
      </w:r>
      <w:r>
        <w:rPr>
          <w:rtl w:val="0"/>
          <w:lang w:val="en-US"/>
        </w:rPr>
        <w:t>Enhancing the drug discovery process: Bayesian inference for the analysis and comparison of dose</w:t>
      </w:r>
      <w:r>
        <w:rPr>
          <w:rtl w:val="0"/>
          <w:lang w:val="en-US"/>
        </w:rPr>
        <w:t>–</w:t>
      </w:r>
      <w:r>
        <w:rPr>
          <w:rtl w:val="0"/>
          <w:lang w:val="en-US"/>
        </w:rPr>
        <w:t>response experiments,</w:t>
      </w:r>
      <w:r>
        <w:rPr>
          <w:rtl w:val="0"/>
          <w:lang w:val="en-US"/>
        </w:rPr>
        <w:t xml:space="preserve">” </w:t>
      </w:r>
      <w:r>
        <w:rPr>
          <w:i w:val="1"/>
          <w:iCs w:val="1"/>
          <w:rtl w:val="0"/>
          <w:lang w:val="en-US"/>
        </w:rPr>
        <w:t>Bioinformatics</w:t>
      </w:r>
      <w:r>
        <w:rPr>
          <w:rtl w:val="0"/>
          <w:lang w:val="en-US"/>
        </w:rPr>
        <w:t>, vol. 35, no. 14, pp. i464</w:t>
      </w:r>
      <w:r>
        <w:rPr>
          <w:rtl w:val="0"/>
          <w:lang w:val="en-US"/>
        </w:rPr>
        <w:t>–</w:t>
      </w:r>
      <w:r>
        <w:rPr>
          <w:rtl w:val="0"/>
          <w:lang w:val="en-US"/>
        </w:rPr>
        <w:t>i473, 2019.</w:t>
      </w:r>
    </w:p>
    <w:p>
      <w:pPr>
        <w:pStyle w:val="References"/>
        <w:numPr>
          <w:ilvl w:val="0"/>
          <w:numId w:val="13"/>
        </w:numPr>
        <w:rPr>
          <w:lang w:val="en-US"/>
        </w:rPr>
      </w:pPr>
      <w:r>
        <w:rPr>
          <w:rtl w:val="0"/>
          <w:lang w:val="en-US"/>
        </w:rPr>
        <w:t xml:space="preserve">J. Reynolds, C. MacKay, N. Gilmour, D. Miguel-Vilumbrales, and G. Maxwell, </w:t>
      </w:r>
      <w:r>
        <w:rPr>
          <w:rtl w:val="0"/>
          <w:lang w:val="en-US"/>
        </w:rPr>
        <w:t>“</w:t>
      </w:r>
      <w:r>
        <w:rPr>
          <w:rtl w:val="0"/>
          <w:lang w:val="en-US"/>
        </w:rPr>
        <w:t>Probabilistic prediction of human skin sensitiser potency for use in next generation risk assessment,</w:t>
      </w:r>
      <w:r>
        <w:rPr>
          <w:rtl w:val="0"/>
          <w:lang w:val="en-US"/>
        </w:rPr>
        <w:t xml:space="preserve">” </w:t>
      </w:r>
      <w:r>
        <w:rPr>
          <w:i w:val="1"/>
          <w:iCs w:val="1"/>
          <w:rtl w:val="0"/>
          <w:lang w:val="en-US"/>
        </w:rPr>
        <w:t>Comput. Toxicol.</w:t>
      </w:r>
      <w:r>
        <w:rPr>
          <w:rtl w:val="0"/>
          <w:lang w:val="en-US"/>
        </w:rPr>
        <w:t>, vol. 9, pp. 36</w:t>
      </w:r>
      <w:r>
        <w:rPr>
          <w:rtl w:val="0"/>
          <w:lang w:val="en-US"/>
        </w:rPr>
        <w:t>–</w:t>
      </w:r>
      <w:r>
        <w:rPr>
          <w:rtl w:val="0"/>
          <w:lang w:val="en-US"/>
        </w:rPr>
        <w:t>49, 2019.</w:t>
      </w:r>
    </w:p>
    <w:p>
      <w:pPr>
        <w:pStyle w:val="References"/>
        <w:numPr>
          <w:ilvl w:val="0"/>
          <w:numId w:val="13"/>
        </w:numPr>
        <w:rPr>
          <w:lang w:val="en-US"/>
        </w:rPr>
      </w:pPr>
      <w:r>
        <w:rPr>
          <w:rtl w:val="0"/>
          <w:lang w:val="en-US"/>
        </w:rPr>
        <w:t xml:space="preserve">A. Hamadeh, A. Najjar, J. Troutman, and A. Edginton, </w:t>
      </w:r>
      <w:r>
        <w:rPr>
          <w:rtl w:val="0"/>
          <w:lang w:val="en-US"/>
        </w:rPr>
        <w:t>“</w:t>
      </w:r>
      <w:r>
        <w:rPr>
          <w:rtl w:val="0"/>
          <w:lang w:val="en-US"/>
        </w:rPr>
        <w:t>Enhancement of skin permeability prediction through PBPK modeling, Bayesian inference, and experiment design,</w:t>
      </w:r>
      <w:r>
        <w:rPr>
          <w:rtl w:val="0"/>
          <w:lang w:val="en-US"/>
        </w:rPr>
        <w:t xml:space="preserve">” </w:t>
      </w:r>
      <w:r>
        <w:rPr>
          <w:i w:val="1"/>
          <w:iCs w:val="1"/>
          <w:rtl w:val="0"/>
          <w:lang w:val="en-US"/>
        </w:rPr>
        <w:t>Pharmaceutics</w:t>
      </w:r>
      <w:r>
        <w:rPr>
          <w:rtl w:val="0"/>
          <w:lang w:val="en-US"/>
        </w:rPr>
        <w:t>, vol. 15, no. 12, p. 2667, 2023.</w:t>
      </w:r>
    </w:p>
    <w:p>
      <w:pPr>
        <w:pStyle w:val="References"/>
        <w:numPr>
          <w:ilvl w:val="0"/>
          <w:numId w:val="13"/>
        </w:numPr>
        <w:rPr>
          <w:lang w:val="en-US"/>
        </w:rPr>
      </w:pPr>
      <w:r>
        <w:rPr>
          <w:rtl w:val="0"/>
          <w:lang w:val="en-US"/>
        </w:rPr>
        <w:t xml:space="preserve">M. N. Ghazanfar </w:t>
      </w:r>
      <w:r>
        <w:rPr>
          <w:i w:val="1"/>
          <w:iCs w:val="1"/>
          <w:rtl w:val="0"/>
          <w:lang w:val="en-US"/>
        </w:rPr>
        <w:t>et al.</w:t>
      </w:r>
      <w:r>
        <w:rPr>
          <w:rtl w:val="0"/>
          <w:lang w:val="en-US"/>
        </w:rPr>
        <w:t xml:space="preserve">, </w:t>
      </w:r>
      <w:r>
        <w:rPr>
          <w:rtl w:val="0"/>
          <w:lang w:val="en-US"/>
        </w:rPr>
        <w:t>“</w:t>
      </w:r>
      <w:r>
        <w:rPr>
          <w:rtl w:val="0"/>
          <w:lang w:val="en-US"/>
        </w:rPr>
        <w:t>Effectiveness of a machine learning-enabled skincare recommendation for mild-to-moderate acne vulgaris: 8-week evaluator-blinded randomized controlled trial,</w:t>
      </w:r>
      <w:r>
        <w:rPr>
          <w:rtl w:val="0"/>
          <w:lang w:val="en-US"/>
        </w:rPr>
        <w:t xml:space="preserve">” </w:t>
      </w:r>
      <w:r>
        <w:rPr>
          <w:i w:val="1"/>
          <w:iCs w:val="1"/>
          <w:rtl w:val="0"/>
          <w:lang w:val="en-US"/>
        </w:rPr>
        <w:t>JMIR Dermatol.</w:t>
      </w:r>
      <w:r>
        <w:rPr>
          <w:rtl w:val="0"/>
          <w:lang w:val="en-US"/>
        </w:rPr>
        <w:t>, vol. 8, p. e60883, 2025.</w:t>
      </w:r>
    </w:p>
    <w:p>
      <w:pPr>
        <w:pStyle w:val="References"/>
        <w:numPr>
          <w:ilvl w:val="0"/>
          <w:numId w:val="13"/>
        </w:numPr>
        <w:rPr>
          <w:lang w:val="en-US"/>
        </w:rPr>
      </w:pPr>
      <w:r>
        <w:rPr>
          <w:rtl w:val="0"/>
          <w:lang w:val="en-US"/>
        </w:rPr>
        <w:t xml:space="preserve">A. M. Asmaraloka, Supriyono, and Z. Romadhon, </w:t>
      </w:r>
      <w:r>
        <w:rPr>
          <w:rtl w:val="0"/>
          <w:lang w:val="en-US"/>
        </w:rPr>
        <w:t>“</w:t>
      </w:r>
      <w:r>
        <w:rPr>
          <w:rtl w:val="0"/>
          <w:lang w:val="en-US"/>
        </w:rPr>
        <w:t>Implementation of the Na</w:t>
      </w:r>
      <w:r>
        <w:rPr>
          <w:rtl w:val="0"/>
          <w:lang w:val="en-US"/>
        </w:rPr>
        <w:t>ï</w:t>
      </w:r>
      <w:r>
        <w:rPr>
          <w:rtl w:val="0"/>
          <w:lang w:val="en-US"/>
        </w:rPr>
        <w:t>ve Bayes method for skincare product recommendations according to skin type at Dermakila Clinic,</w:t>
      </w:r>
      <w:r>
        <w:rPr>
          <w:rtl w:val="0"/>
          <w:lang w:val="en-US"/>
        </w:rPr>
        <w:t xml:space="preserve">” </w:t>
      </w:r>
      <w:r>
        <w:rPr>
          <w:i w:val="1"/>
          <w:iCs w:val="1"/>
          <w:rtl w:val="0"/>
          <w:lang w:val="en-US"/>
        </w:rPr>
        <w:t xml:space="preserve">INOVTEK Polbeng </w:t>
      </w:r>
      <w:r>
        <w:rPr>
          <w:i w:val="1"/>
          <w:iCs w:val="1"/>
          <w:rtl w:val="0"/>
          <w:lang w:val="en-US"/>
        </w:rPr>
        <w:t xml:space="preserve">– </w:t>
      </w:r>
      <w:r>
        <w:rPr>
          <w:i w:val="1"/>
          <w:iCs w:val="1"/>
          <w:rtl w:val="0"/>
          <w:lang w:val="en-US"/>
        </w:rPr>
        <w:t>Seri Informatika</w:t>
      </w:r>
      <w:r>
        <w:rPr>
          <w:rtl w:val="0"/>
          <w:lang w:val="en-US"/>
        </w:rPr>
        <w:t>, vol. 11, no. 3, pp. 817</w:t>
      </w:r>
      <w:r>
        <w:rPr>
          <w:rtl w:val="0"/>
          <w:lang w:val="en-US"/>
        </w:rPr>
        <w:t>–</w:t>
      </w:r>
      <w:r>
        <w:rPr>
          <w:rtl w:val="0"/>
          <w:lang w:val="en-US"/>
        </w:rPr>
        <w:t>828, Aug. 2026.</w:t>
      </w:r>
    </w:p>
    <w:p>
      <w:pPr>
        <w:pStyle w:val="References"/>
      </w:pPr>
    </w:p>
    <w:p>
      <w:pPr>
        <w:pStyle w:val="Normal.0"/>
        <w:rPr>
          <w:sz w:val="16"/>
          <w:szCs w:val="16"/>
        </w:rPr>
      </w:pPr>
    </w:p>
    <w:p>
      <w:pPr>
        <w:pStyle w:val="Normal.0"/>
        <w:rPr>
          <w:sz w:val="16"/>
          <w:szCs w:val="16"/>
        </w:rPr>
      </w:pPr>
    </w:p>
    <w:p>
      <w:pPr>
        <w:pStyle w:val="Normal.0"/>
        <w:rPr>
          <w:sz w:val="16"/>
          <w:szCs w:val="16"/>
        </w:rPr>
      </w:pPr>
    </w:p>
    <w:p>
      <w:pPr>
        <w:pStyle w:val="Normal.0"/>
        <w:rPr>
          <w:sz w:val="16"/>
          <w:szCs w:val="16"/>
        </w:rPr>
      </w:pPr>
    </w:p>
    <w:p>
      <w:pPr>
        <w:pStyle w:val="Normal.0"/>
        <w:rPr>
          <w:sz w:val="16"/>
          <w:szCs w:val="16"/>
        </w:rPr>
      </w:pPr>
    </w:p>
    <w:p>
      <w:pPr>
        <w:pStyle w:val="Normal.0"/>
        <w:rPr>
          <w:sz w:val="16"/>
          <w:szCs w:val="16"/>
        </w:rPr>
      </w:pPr>
    </w:p>
    <w:p>
      <w:pPr>
        <w:pStyle w:val="Normal.0"/>
        <w:rPr>
          <w:sz w:val="16"/>
          <w:szCs w:val="16"/>
        </w:rPr>
      </w:pPr>
    </w:p>
    <w:p>
      <w:pPr>
        <w:pStyle w:val="Normal.0"/>
      </w:pPr>
    </w:p>
    <w:p>
      <w:pPr>
        <w:pStyle w:val="References"/>
        <w:numPr>
          <w:ilvl w:val="0"/>
          <w:numId w:val="15"/>
        </w:numPr>
        <w:rPr>
          <w:lang w:val="en-US"/>
        </w:rPr>
      </w:pPr>
      <w:r>
        <w:rPr>
          <w:rtl w:val="0"/>
          <w:lang w:val="en-US"/>
        </w:rPr>
        <w:t xml:space="preserve">J. G. Kreifeldt, </w:t>
      </w:r>
      <w:r>
        <w:rPr>
          <w:rtl w:val="0"/>
          <w:lang w:val="en-US"/>
        </w:rPr>
        <w:t>“</w:t>
      </w:r>
      <w:r>
        <w:rPr>
          <w:rtl w:val="0"/>
          <w:lang w:val="en-US"/>
        </w:rPr>
        <w:t>An analysis of surface-detected EMG as an amplitude-modulated noise,</w:t>
      </w:r>
      <w:r>
        <w:rPr>
          <w:rtl w:val="0"/>
          <w:lang w:val="en-US"/>
        </w:rPr>
        <w:t xml:space="preserve">” </w:t>
      </w:r>
      <w:r>
        <w:rPr>
          <w:rtl w:val="0"/>
          <w:lang w:val="en-US"/>
        </w:rPr>
        <w:t>presented at the 1989 Int. Conf. Medicine and Biological Engineering, Chicago, IL.</w:t>
      </w:r>
    </w:p>
    <w:p>
      <w:pPr>
        <w:pStyle w:val="References"/>
        <w:numPr>
          <w:ilvl w:val="0"/>
          <w:numId w:val="15"/>
        </w:numPr>
        <w:rPr>
          <w:lang w:val="en-US"/>
        </w:rPr>
      </w:pPr>
      <w:r>
        <w:rPr>
          <w:rtl w:val="0"/>
          <w:lang w:val="en-US"/>
        </w:rPr>
        <w:t xml:space="preserve">J. Williams, </w:t>
      </w:r>
      <w:r>
        <w:rPr>
          <w:rtl w:val="0"/>
          <w:lang w:val="en-US"/>
        </w:rPr>
        <w:t>“</w:t>
      </w:r>
      <w:r>
        <w:rPr>
          <w:rtl w:val="0"/>
          <w:lang w:val="en-US"/>
        </w:rPr>
        <w:t>Narrow-band analyzer (Thesis or Dissertation style),</w:t>
      </w:r>
      <w:r>
        <w:rPr>
          <w:rtl w:val="0"/>
          <w:lang w:val="en-US"/>
        </w:rPr>
        <w:t xml:space="preserve">” </w:t>
      </w:r>
      <w:r>
        <w:rPr>
          <w:rtl w:val="0"/>
          <w:lang w:val="en-US"/>
        </w:rPr>
        <w:t xml:space="preserve">Ph.D. dissertation, Dept. Elect. Eng., Harvard Univ., Cambridge, MA, 1993. </w:t>
      </w:r>
    </w:p>
    <w:p>
      <w:pPr>
        <w:pStyle w:val="References"/>
        <w:numPr>
          <w:ilvl w:val="0"/>
          <w:numId w:val="15"/>
        </w:numPr>
        <w:rPr>
          <w:lang w:val="en-US"/>
        </w:rPr>
      </w:pPr>
      <w:r>
        <w:rPr>
          <w:rtl w:val="0"/>
          <w:lang w:val="en-US"/>
        </w:rPr>
        <w:t xml:space="preserve">N. Kawasaki, </w:t>
      </w:r>
      <w:r>
        <w:rPr>
          <w:rtl w:val="0"/>
          <w:lang w:val="en-US"/>
        </w:rPr>
        <w:t>“</w:t>
      </w:r>
      <w:r>
        <w:rPr>
          <w:rtl w:val="0"/>
          <w:lang w:val="en-US"/>
        </w:rPr>
        <w:t>Parametric study of thermal and chemical nonequilibrium nozzle flow,</w:t>
      </w:r>
      <w:r>
        <w:rPr>
          <w:rtl w:val="0"/>
          <w:lang w:val="en-US"/>
        </w:rPr>
        <w:t xml:space="preserve">” </w:t>
      </w:r>
      <w:r>
        <w:rPr>
          <w:rtl w:val="0"/>
          <w:lang w:val="en-US"/>
        </w:rPr>
        <w:t>M.S. thesis, Dept. Electron. Eng., Osaka Univ., Osaka, Japan, 1993.</w:t>
      </w:r>
    </w:p>
    <w:p>
      <w:pPr>
        <w:pStyle w:val="References"/>
        <w:numPr>
          <w:ilvl w:val="0"/>
          <w:numId w:val="15"/>
        </w:numPr>
        <w:rPr>
          <w:lang w:val="en-US"/>
        </w:rPr>
      </w:pPr>
      <w:r>
        <w:rPr>
          <w:rtl w:val="0"/>
          <w:lang w:val="en-US"/>
        </w:rPr>
        <w:t xml:space="preserve">J. P. Wilkinson, </w:t>
      </w:r>
      <w:r>
        <w:rPr>
          <w:rtl w:val="0"/>
          <w:lang w:val="en-US"/>
        </w:rPr>
        <w:t>“</w:t>
      </w:r>
      <w:r>
        <w:rPr>
          <w:rtl w:val="0"/>
          <w:lang w:val="en-US"/>
        </w:rPr>
        <w:t>Nonlinear resonant circuit devices (Patent style),</w:t>
      </w:r>
      <w:r>
        <w:rPr>
          <w:rtl w:val="0"/>
          <w:lang w:val="en-US"/>
        </w:rPr>
        <w:t xml:space="preserve">” </w:t>
      </w:r>
      <w:r>
        <w:rPr>
          <w:rtl w:val="0"/>
          <w:lang w:val="en-US"/>
        </w:rPr>
        <w:t xml:space="preserve">U.S. Patent 3 624 12, July 16, 1990. </w:t>
      </w:r>
      <w:r/>
    </w:p>
    <w:sectPr>
      <w:headerReference w:type="default" r:id="rId4"/>
      <w:footerReference w:type="default" r:id="rId5"/>
      <w:pgSz w:w="12240" w:h="15840" w:orient="portrait"/>
      <w:pgMar w:top="1080" w:right="1080" w:bottom="1080" w:left="1080" w:header="432" w:footer="432"/>
      <w:cols w:space="288"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tl w:val="0"/>
          <w:lang w:val="en-US"/>
        </w:rPr>
        <w:t>*Research</w:t>
      </w:r>
      <w:r>
        <w:rPr>
          <w:rFonts w:ascii="Symbol" w:cs="Symbol" w:hAnsi="Symbol" w:eastAsia="Symbol"/>
          <w:sz w:val="2"/>
          <w:szCs w:val="2"/>
          <w:lang w:val="en-US"/>
        </w:rPr>
        <w:t xml:space="preserve"> </w:t>
      </w:r>
      <w:r>
        <w:rPr>
          <w:rtl w:val="0"/>
          <w:lang w:val="en-US"/>
        </w:rPr>
        <w:t>supported by ABC Foundation.</w:t>
      </w:r>
    </w:p>
    <w:p>
      <w:pPr>
        <w:pStyle w:val="footnote text"/>
      </w:pPr>
      <w:r>
        <w:rPr>
          <w:rtl w:val="0"/>
          <w:lang w:val="en-US"/>
        </w:rPr>
        <w:t xml:space="preserve">F. A. Author is with the National Institute of Standards and Technology, Boulder, CO 80305 USA (corresponding author to provide phone: 303-555-5555; fax: 303-555-5555; e-mail: author@ boulder.nist.gov). </w:t>
      </w:r>
    </w:p>
    <w:p>
      <w:pPr>
        <w:pStyle w:val="footnote text"/>
      </w:pPr>
      <w:r>
        <w:rPr>
          <w:rtl w:val="0"/>
          <w:lang w:val="en-US"/>
        </w:rPr>
        <w:t>S. B. Author, Jr., was with Rice University, Houston, TX 77005 USA. He is now with the Department of Physics, Colorado State University, Fort Collins, CO 80523 USA (e-mail: author@lamar. colostate.edu).</w:t>
      </w:r>
    </w:p>
    <w:p>
      <w:pPr>
        <w:pStyle w:val="footnote text"/>
      </w:pPr>
      <w:r>
        <w:rPr>
          <w:rtl w:val="0"/>
          <w:lang w:val="en-US"/>
        </w:rP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Roman"/>
      <w:suff w:val="nothing"/>
      <w:lvlText w:val="%1."/>
      <w:lvlJc w:val="left"/>
      <w:pPr>
        <w:ind w:left="144" w:hanging="14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nothing"/>
      <w:lvlText w:val="%2."/>
      <w:lvlJc w:val="left"/>
      <w:pPr>
        <w:ind w:left="288" w:hanging="14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288" w:hanging="14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29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01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73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345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417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489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upperRoman"/>
      <w:suff w:val="tab"/>
      <w:lvlText w:val="%1."/>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Lettered"/>
  </w:abstractNum>
  <w:abstractNum w:abstractNumId="5">
    <w:multiLevelType w:val="hybridMultilevel"/>
    <w:styleLink w:val="Lettered"/>
    <w:lvl w:ilvl="0">
      <w:start w:val="1"/>
      <w:numFmt w:val="upperLetter"/>
      <w:suff w:val="tab"/>
      <w:lvlText w:val="%1."/>
      <w:lvlJc w:val="left"/>
      <w:pPr>
        <w:ind w:left="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2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3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4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5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6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7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8263" w:hanging="263"/>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tabs>
          <w:tab w:val="clear" w:pos="648"/>
        </w:tabs>
        <w:ind w:left="64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6"/>
  </w:abstractNum>
  <w:abstractNum w:abstractNumId="9">
    <w:multiLevelType w:val="hybridMultilevel"/>
    <w:styleLink w:val="Imported Style 6"/>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abstractNum w:abstractNumId="10">
    <w:multiLevelType w:val="hybridMultilevel"/>
    <w:numStyleLink w:val="Imported Style 5"/>
  </w:abstractNum>
  <w:abstractNum w:abstractNumId="11">
    <w:multiLevelType w:val="hybridMultilevel"/>
    <w:styleLink w:val="Imported Style 5"/>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num w:numId="1">
    <w:abstractNumId w:val="1"/>
  </w:num>
  <w:num w:numId="2">
    <w:abstractNumId w:val="0"/>
  </w:num>
  <w:num w:numId="3">
    <w:abstractNumId w:val="0"/>
    <w:lvlOverride w:ilvl="1">
      <w:startOverride w:val="2"/>
    </w:lvlOverride>
  </w:num>
  <w:num w:numId="4">
    <w:abstractNumId w:val="0"/>
    <w:lvlOverride w:ilvl="0">
      <w:startOverride w:val="4"/>
    </w:lvlOverride>
  </w:num>
  <w:num w:numId="5">
    <w:abstractNumId w:val="3"/>
  </w:num>
  <w:num w:numId="6">
    <w:abstractNumId w:val="2"/>
  </w:num>
  <w:num w:numId="7">
    <w:abstractNumId w:val="0"/>
    <w:lvlOverride w:ilvl="0">
      <w:startOverride w:val="5"/>
    </w:lvlOverride>
  </w:num>
  <w:num w:numId="8">
    <w:abstractNumId w:val="5"/>
  </w:num>
  <w:num w:numId="9">
    <w:abstractNumId w:val="4"/>
  </w:num>
  <w:num w:numId="10">
    <w:abstractNumId w:val="7"/>
  </w:num>
  <w:num w:numId="11">
    <w:abstractNumId w:val="6"/>
  </w:num>
  <w:num w:numId="12">
    <w:abstractNumId w:val="9"/>
  </w:num>
  <w:num w:numId="13">
    <w:abstractNumId w:val="8"/>
  </w:num>
  <w:num w:numId="14">
    <w:abstractNumId w:val="11"/>
  </w:num>
  <w:num w:numId="15">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202"/>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0"/>
      <w:shd w:val="clear" w:color="auto" w:fill="auto"/>
      <w:suppressAutoHyphens w:val="0"/>
      <w:bidi w:val="0"/>
      <w:spacing w:before="0" w:after="0" w:line="252" w:lineRule="auto"/>
      <w:ind w:left="0" w:right="0" w:firstLine="202"/>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202"/>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Abstract">
    <w:name w:val="Abstract"/>
    <w:next w:val="Normal.0"/>
    <w:pPr>
      <w:keepNext w:val="0"/>
      <w:keepLines w:val="0"/>
      <w:pageBreakBefore w:val="0"/>
      <w:widowControl w:val="1"/>
      <w:shd w:val="clear" w:color="auto" w:fill="auto"/>
      <w:suppressAutoHyphens w:val="0"/>
      <w:bidi w:val="0"/>
      <w:spacing w:before="20" w:after="0" w:line="240" w:lineRule="auto"/>
      <w:ind w:left="0" w:right="0" w:firstLine="202"/>
      <w:jc w:val="both"/>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itle A">
    <w:name w:val="Title A"/>
    <w:next w:val="Normal.0"/>
    <w:pPr>
      <w:keepNext w:val="0"/>
      <w:keepLines w:val="0"/>
      <w:pageBreakBefore w:val="0"/>
      <w:widowControl w:val="1"/>
      <w:shd w:val="clear" w:color="auto" w:fill="auto"/>
      <w:suppressAutoHyphens w:val="0"/>
      <w:bidi w:val="0"/>
      <w:spacing w:before="36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28"/>
      <w:position w:val="0"/>
      <w:sz w:val="32"/>
      <w:szCs w:val="32"/>
      <w:u w:val="none" w:color="000000"/>
      <w:shd w:val="nil" w:color="auto" w:fill="auto"/>
      <w:vertAlign w:val="baseline"/>
      <w:lang w:val="en-US"/>
      <w14:textFill>
        <w14:solidFill>
          <w14:srgbClr w14:val="000000"/>
        </w14:solidFill>
      </w14:textFill>
    </w:rPr>
  </w:style>
  <w:style w:type="paragraph" w:styleId="Authors">
    <w:name w:val="Authors"/>
    <w:next w:val="Normal.0"/>
    <w:pPr>
      <w:keepNext w:val="0"/>
      <w:keepLines w:val="0"/>
      <w:pageBreakBefore w:val="0"/>
      <w:widowControl w:val="1"/>
      <w:shd w:val="clear" w:color="auto" w:fill="auto"/>
      <w:suppressAutoHyphens w:val="0"/>
      <w:bidi w:val="0"/>
      <w:spacing w:before="0" w:after="32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1">
    <w:name w:val="heading 1"/>
    <w:next w:val="Normal.0"/>
    <w:pPr>
      <w:keepNext w:val="1"/>
      <w:keepLines w:val="0"/>
      <w:pageBreakBefore w:val="0"/>
      <w:widowControl w:val="1"/>
      <w:shd w:val="clear" w:color="auto" w:fill="auto"/>
      <w:suppressAutoHyphens w:val="0"/>
      <w:bidi w:val="0"/>
      <w:spacing w:before="24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28"/>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28" w:lineRule="auto"/>
      <w:ind w:left="0" w:right="0" w:firstLine="288"/>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2">
    <w:name w:val="heading 2"/>
    <w:next w:val="Normal.0"/>
    <w:pPr>
      <w:keepNext w:val="1"/>
      <w:keepLines w:val="0"/>
      <w:pageBreakBefore w:val="0"/>
      <w:widowControl w:val="1"/>
      <w:shd w:val="clear" w:color="auto" w:fill="auto"/>
      <w:suppressAutoHyphens w:val="0"/>
      <w:bidi w:val="0"/>
      <w:spacing w:before="12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equation">
    <w:name w:val="equation"/>
    <w:next w:val="equation"/>
    <w:pPr>
      <w:keepNext w:val="0"/>
      <w:keepLines w:val="0"/>
      <w:pageBreakBefore w:val="0"/>
      <w:widowControl w:val="1"/>
      <w:shd w:val="clear" w:color="auto" w:fill="auto"/>
      <w:tabs>
        <w:tab w:val="center" w:pos="2520"/>
        <w:tab w:val="right" w:pos="5040"/>
      </w:tabs>
      <w:suppressAutoHyphens w:val="0"/>
      <w:bidi w:val="0"/>
      <w:spacing w:before="240" w:after="240" w:line="216" w:lineRule="auto"/>
      <w:ind w:left="0" w:right="0" w:firstLine="0"/>
      <w:jc w:val="center"/>
      <w:outlineLvl w:val="9"/>
    </w:pPr>
    <w:rPr>
      <w:rFonts w:ascii="Symbol" w:cs="Symbol" w:hAnsi="Symbol" w:eastAsia="Symbo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able head">
    <w:name w:val="table head"/>
    <w:next w:val="table head"/>
    <w:pPr>
      <w:keepNext w:val="0"/>
      <w:keepLines w:val="0"/>
      <w:pageBreakBefore w:val="0"/>
      <w:widowControl w:val="1"/>
      <w:shd w:val="clear" w:color="auto" w:fill="auto"/>
      <w:tabs>
        <w:tab w:val="left" w:pos="1080"/>
      </w:tabs>
      <w:suppressAutoHyphens w:val="0"/>
      <w:bidi w:val="0"/>
      <w:spacing w:before="240" w:after="120" w:line="216" w:lineRule="auto"/>
      <w:ind w:left="0" w:right="0" w:firstLine="0"/>
      <w:jc w:val="center"/>
      <w:outlineLvl w:val="9"/>
    </w:pPr>
    <w:rPr>
      <w:rFonts w:ascii="Times New Roman" w:cs="Arial Unicode MS" w:hAnsi="Times New Roman" w:eastAsia="Arial Unicode MS"/>
      <w:b w:val="0"/>
      <w:bCs w:val="0"/>
      <w:i w:val="0"/>
      <w:iCs w:val="0"/>
      <w:smallCaps w:val="1"/>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5"/>
      </w:numPr>
    </w:pPr>
  </w:style>
  <w:style w:type="paragraph" w:styleId="table col head">
    <w:name w:val="table col head"/>
    <w:next w:val="table col head"/>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copy">
    <w:name w:val="table copy"/>
    <w:next w:val="table cop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pt-PT"/>
      <w14:textFill>
        <w14:solidFill>
          <w14:srgbClr w14:val="000000"/>
        </w14:solidFill>
      </w14:textFill>
    </w:rPr>
  </w:style>
  <w:style w:type="numbering" w:styleId="Lettered">
    <w:name w:val="Lettered"/>
    <w:pPr>
      <w:numPr>
        <w:numId w:val="8"/>
      </w:numPr>
    </w:pPr>
  </w:style>
  <w:style w:type="paragraph" w:styleId="bullet list">
    <w:name w:val="bullet list"/>
    <w:next w:val="bullet list"/>
    <w:pPr>
      <w:keepNext w:val="0"/>
      <w:keepLines w:val="0"/>
      <w:pageBreakBefore w:val="0"/>
      <w:widowControl w:val="1"/>
      <w:shd w:val="clear" w:color="auto" w:fill="auto"/>
      <w:tabs>
        <w:tab w:val="left" w:pos="648"/>
      </w:tabs>
      <w:suppressAutoHyphens w:val="0"/>
      <w:bidi w:val="0"/>
      <w:spacing w:before="0" w:after="120" w:line="228"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10"/>
      </w:numPr>
    </w:pPr>
  </w:style>
  <w:style w:type="paragraph" w:styleId="Reference Head">
    <w:name w:val="Reference Head"/>
    <w:next w:val="Reference Head"/>
    <w:pPr>
      <w:keepNext w:val="1"/>
      <w:keepLines w:val="0"/>
      <w:pageBreakBefore w:val="0"/>
      <w:widowControl w:val="1"/>
      <w:shd w:val="clear" w:color="auto" w:fill="auto"/>
      <w:suppressAutoHyphens w:val="0"/>
      <w:bidi w:val="0"/>
      <w:spacing w:before="240" w:after="80" w:line="240" w:lineRule="auto"/>
      <w:ind w:left="0" w:right="0" w:firstLine="0"/>
      <w:jc w:val="center"/>
      <w:outlineLvl w:val="0"/>
    </w:pPr>
    <w:rPr>
      <w:rFonts w:ascii="Times New Roman" w:cs="Times New Roman" w:hAnsi="Times New Roman" w:eastAsia="Times New Roman"/>
      <w:b w:val="0"/>
      <w:bCs w:val="0"/>
      <w:i w:val="0"/>
      <w:iCs w:val="0"/>
      <w:smallCaps w:val="1"/>
      <w:strike w:val="0"/>
      <w:dstrike w:val="0"/>
      <w:outline w:val="0"/>
      <w:color w:val="000000"/>
      <w:spacing w:val="0"/>
      <w:kern w:val="28"/>
      <w:position w:val="0"/>
      <w:sz w:val="20"/>
      <w:szCs w:val="20"/>
      <w:u w:val="none" w:color="000000"/>
      <w:shd w:val="nil" w:color="auto" w:fill="auto"/>
      <w:vertAlign w:val="baseline"/>
      <w:lang w:val="en-US"/>
      <w14:textFill>
        <w14:solidFill>
          <w14:srgbClr w14:val="000000"/>
        </w14:solidFill>
      </w14:textFill>
    </w:rPr>
  </w:style>
  <w:style w:type="paragraph" w:styleId="References">
    <w:name w:val="References"/>
    <w:next w:val="References"/>
    <w:pPr>
      <w:keepNext w:val="0"/>
      <w:keepLines w:val="0"/>
      <w:pageBreakBefore w:val="0"/>
      <w:widowControl w:val="1"/>
      <w:shd w:val="clear" w:color="auto" w:fill="auto"/>
      <w:tabs>
        <w:tab w:val="left" w:pos="360"/>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6">
    <w:name w:val="Imported Style 6"/>
    <w:pPr>
      <w:numPr>
        <w:numId w:val="12"/>
      </w:numPr>
    </w:pPr>
  </w:style>
  <w:style w:type="numbering" w:styleId="Imported Style 5">
    <w:name w:val="Imported Style 5"/>
    <w:pPr>
      <w:numPr>
        <w:numId w:val="1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i Office">
  <a:themeElements>
    <a:clrScheme name="Tema di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i Office">
      <a:majorFont>
        <a:latin typeface="Helvetica Neue"/>
        <a:ea typeface="Helvetica Neue"/>
        <a:cs typeface="Helvetica Neue"/>
      </a:majorFont>
      <a:minorFont>
        <a:latin typeface="Helvetica Neue"/>
        <a:ea typeface="Helvetica Neue"/>
        <a:cs typeface="Helvetica Neue"/>
      </a:minorFont>
    </a:fontScheme>
    <a:fmtScheme name="Tema di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