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Family</w:t>
      </w:r>
      <w:r>
        <w:t xml:space="preserve"> </w:t>
      </w:r>
      <w:r>
        <w:t xml:space="preserve">Fortunes:</w:t>
      </w:r>
      <w:r>
        <w:t xml:space="preserve"> </w:t>
      </w:r>
      <w:r>
        <w:t xml:space="preserve">A</w:t>
      </w:r>
      <w:r>
        <w:t xml:space="preserve"> </w:t>
      </w:r>
      <w:r>
        <w:t xml:space="preserve">Quantitative</w:t>
      </w:r>
      <w:r>
        <w:t xml:space="preserve"> </w:t>
      </w:r>
      <w:r>
        <w:t xml:space="preserve">Analysis</w:t>
      </w:r>
      <w:r>
        <w:t xml:space="preserve"> </w:t>
      </w:r>
      <w:r>
        <w:t xml:space="preserve">of</w:t>
      </w:r>
      <w:r>
        <w:t xml:space="preserve"> </w:t>
      </w:r>
      <w:r>
        <w:t xml:space="preserve">the</w:t>
      </w:r>
      <w:r>
        <w:t xml:space="preserve"> </w:t>
      </w:r>
      <w:r>
        <w:t xml:space="preserve">Early</w:t>
      </w:r>
      <w:r>
        <w:t xml:space="preserve"> </w:t>
      </w:r>
      <w:r>
        <w:t xml:space="preserve">Iron</w:t>
      </w:r>
      <w:r>
        <w:t xml:space="preserve"> </w:t>
      </w:r>
      <w:r>
        <w:t xml:space="preserve">Age</w:t>
      </w:r>
      <w:r>
        <w:t xml:space="preserve"> </w:t>
      </w:r>
      <w:r>
        <w:t xml:space="preserve">Cemeteries</w:t>
      </w:r>
      <w:r>
        <w:t xml:space="preserve"> </w:t>
      </w:r>
      <w:r>
        <w:t xml:space="preserve">at</w:t>
      </w:r>
      <w:r>
        <w:t xml:space="preserve"> </w:t>
      </w:r>
      <w:r>
        <w:t xml:space="preserve">Knossos,</w:t>
      </w:r>
      <w:r>
        <w:t xml:space="preserve"> </w:t>
      </w:r>
      <w:r>
        <w:t xml:space="preserve">Crete</w:t>
      </w:r>
    </w:p>
    <w:p>
      <w:pPr>
        <w:pStyle w:val="Author"/>
      </w:pPr>
      <w:r>
        <w:t xml:space="preserve">Dominic</w:t>
      </w:r>
      <w:r>
        <w:t xml:space="preserve"> </w:t>
      </w:r>
      <w:r>
        <w:t xml:space="preserve">Pollard</w:t>
      </w:r>
    </w:p>
    <w:p>
      <w:pPr>
        <w:pStyle w:val="Date"/>
      </w:pPr>
      <w:r>
        <w:t xml:space="preserve">15</w:t>
      </w:r>
      <w:r>
        <w:t xml:space="preserve"> </w:t>
      </w:r>
      <w:r>
        <w:t xml:space="preserve">March,</w:t>
      </w:r>
      <w:r>
        <w:t xml:space="preserve"> </w:t>
      </w:r>
      <w:r>
        <w:t xml:space="preserve">2019</w:t>
      </w:r>
    </w:p>
    <w:p>
      <w:pPr>
        <w:pStyle w:val="Abstract"/>
      </w:pPr>
      <w:r>
        <w:t xml:space="preserve">Text</w:t>
      </w:r>
      <w:r>
        <w:t xml:space="preserve"> </w:t>
      </w:r>
      <w:r>
        <w:t xml:space="preserve">of</w:t>
      </w:r>
      <w:r>
        <w:t xml:space="preserve"> </w:t>
      </w:r>
      <w:r>
        <w:t xml:space="preserve">abstract</w:t>
      </w:r>
    </w:p>
    <w:p>
      <w:pPr>
        <w:pStyle w:val="Heading1"/>
      </w:pPr>
      <w:bookmarkStart w:id="21" w:name="introduction"/>
      <w:bookmarkEnd w:id="21"/>
      <w:r>
        <w:t xml:space="preserve">Introduction</w:t>
      </w:r>
    </w:p>
    <w:p>
      <w:pPr>
        <w:pStyle w:val="FirstParagraph"/>
      </w:pPr>
      <w:r>
        <w:t xml:space="preserve">It may be felt that, of all ancient sites on Crete, Knossos is the last in need of further archaeological attention. The city and</w:t>
      </w:r>
      <w:r>
        <w:t xml:space="preserve"> </w:t>
      </w:r>
      <w:r>
        <w:t xml:space="preserve">‘</w:t>
      </w:r>
      <w:r>
        <w:t xml:space="preserve">palace</w:t>
      </w:r>
      <w:r>
        <w:t xml:space="preserve">’</w:t>
      </w:r>
      <w:r>
        <w:t xml:space="preserve"> </w:t>
      </w:r>
      <w:r>
        <w:t xml:space="preserve">of Knossos, first excavated well over a century ago</w:t>
      </w:r>
      <w:r>
        <w:t xml:space="preserve"> </w:t>
      </w:r>
      <w:r>
        <w:t xml:space="preserve">(Evans 1921; 1928; 1930)</w:t>
      </w:r>
      <w:r>
        <w:t xml:space="preserve">, retain a pre-eminent position in popular and academic accounts the island’s Bronze Age, and few, if any, other Cretan sites have been so thoroughly dug, reconstructed, and contested. However, there are reasons why the present study – a quantitative comparison of the two largest Early Iron Age cemeteries at Knossos – is not only justified, but also timely.</w:t>
      </w:r>
    </w:p>
    <w:p>
      <w:pPr>
        <w:pStyle w:val="BodyText"/>
      </w:pPr>
      <w:r>
        <w:t xml:space="preserve">For one, this is not the Knossos of that illustrous, palatial period, but rather the town as it persisted and evolved during the subsequent Early Iron Age (EIA). Research into this once maligned period on which research has grown apace in the last few decades. The reframing of the the twelth-seventh centuries as the gestational period of the later classical Greek world</w:t>
      </w:r>
      <w:r>
        <w:t xml:space="preserve"> </w:t>
      </w:r>
      <w:r>
        <w:t xml:space="preserve">(first seen in the works of Coldstream 1977; Desborough 1972; Snodgrass 1971)</w:t>
      </w:r>
      <w:r>
        <w:t xml:space="preserve"> </w:t>
      </w:r>
      <w:r>
        <w:t xml:space="preserve">came first, while more recently scholars have refuted the image of a society bereft of its former palatial glory. Certainly, few would any longer defend the appelation or interpretive bagguage of the</w:t>
      </w:r>
      <w:r>
        <w:t xml:space="preserve"> </w:t>
      </w:r>
      <w:r>
        <w:t xml:space="preserve">‘</w:t>
      </w:r>
      <w:r>
        <w:t xml:space="preserve">Dark Ages</w:t>
      </w:r>
      <w:r>
        <w:t xml:space="preserve">’</w:t>
      </w:r>
      <w:r>
        <w:t xml:space="preserve"> </w:t>
      </w:r>
      <w:r>
        <w:t xml:space="preserve">(on the origins of which, see Kotsonas 2016; Morris 1997)</w:t>
      </w:r>
      <w:r>
        <w:t xml:space="preserve">.Nonetheless, our knowledge of many EIA settlements (both new foundations, and those with BA ancestry like Knossos) remains often underdeveloped in comparison with those of the second millennium BC.</w:t>
      </w:r>
    </w:p>
    <w:p>
      <w:pPr>
        <w:pStyle w:val="BodyText"/>
      </w:pPr>
      <w:r>
        <w:t xml:space="preserve">Secondly, and welcome though they are, a number of recent publications on the socio-economic</w:t>
      </w:r>
      <w:r>
        <w:t xml:space="preserve"> </w:t>
      </w:r>
      <w:r>
        <w:t xml:space="preserve">(Wallace 2010)</w:t>
      </w:r>
      <w:r>
        <w:t xml:space="preserve"> </w:t>
      </w:r>
      <w:r>
        <w:t xml:space="preserve">and settlement</w:t>
      </w:r>
      <w:r>
        <w:t xml:space="preserve"> </w:t>
      </w:r>
      <w:r>
        <w:t xml:space="preserve">(Nowicki 2000)</w:t>
      </w:r>
      <w:r>
        <w:t xml:space="preserve"> </w:t>
      </w:r>
      <w:r>
        <w:t xml:space="preserve">changes which accompanied the BA-EIA transition have directed scholarly attention toward a number of elevated, defensible settlements supposedly founded in response to the turbulent contemporary political climate. This has, unfortunately, engendered a certain disregard for continuing occupation at several lowland centres, including Knossos and Phaistos. There remains, therefore, a need for studies addressing the social dynamics at these sites, with a long-term view to comparative appraisal of the divergent trajectories of communities across the island in the EIA</w:t>
      </w:r>
      <w:r>
        <w:t xml:space="preserve"> </w:t>
      </w:r>
      <w:r>
        <w:t xml:space="preserve">(Whitley 2011, 667–668)</w:t>
      </w:r>
      <w:r>
        <w:t xml:space="preserve">.</w:t>
      </w:r>
    </w:p>
    <w:p>
      <w:pPr>
        <w:pStyle w:val="BodyText"/>
      </w:pPr>
      <w:r>
        <w:t xml:space="preserve">Finally, a number of authors, drawing on datasets from Crete and the wider Aegean, have in recent years demonstrated the great potential of quantitative, statistical, spatial, and network analyses to elucidate social dynamics, settlement patterning, and systems of inter-regional communication and exchange. Such work encourages the use of large (and often pre-existing) datasets, and the sharing of both data and methods to facilitate reproducible, collaborative, and innovative research. The cemeteries of Knossos offer an opportunity to introduce such approaches into EIA research, where they have yet to make much of an impact. The Fortesta and North Cemetery complexes are both well-published (Brock 1957; Coldstream and Catling 1996) and have been considered variously in relation to their oriental imports (Antoniadis 2012), antiques (Crowe 2016), and religious context (Coldstream 1984a). But a lack of quantitative analyses, or systematic comparisons between different cemeteries, has left us with many intuited trends, some clearly exceptional tombs, and a general impression of un-patterned multiplicity in mortuary rituals. I suggest that the application of a range of quantitative and statistical methods may provide new insight into the social behaviours underlying the mortuary assemblages.</w:t>
      </w:r>
    </w:p>
    <w:p>
      <w:pPr>
        <w:pStyle w:val="BodyText"/>
      </w:pPr>
      <w:r>
        <w:t xml:space="preserve">A recent paper by Kotsonas (2011) has stressed the importance of quantification in analyses of mortuary material. Drawing on data from the EIA Knossian and Eleuthernian cemeteries, he illustrates the clear potential of quantitative methods for elucidating social behaviours. Taking the lead from the Kotsonas, I here adopt a broader, more comparative, and more quantitative approach to the Knossian material than has previously been employed. With a dataset including information on every find and tomb recorded in the Fortetsa and Knossos North Cemetery publications (Brock 1957; Coldstream and Catling 1996), the following analysis examines both the synchronic and diachronic variations among the tombs of both cemeteries. In doing so, I aim to demonstrate the potential for quantitative methods, firstly, to permit more reliable identification, and more nuanced characterisation, of significant patterning in the archaeological material; secondly, to facilitate a more systematic appraisal of the cemeteries’ largest tombs, and set their development in a richer socio-economic context; and, finally, to offer not just generalities, but evidence by which to consider, in tangible and context-specific ways, the motivations and identities of the burial groups themselves.</w:t>
      </w:r>
    </w:p>
    <w:p>
      <w:pPr>
        <w:pStyle w:val="Heading1"/>
      </w:pPr>
      <w:bookmarkStart w:id="22" w:name="background"/>
      <w:bookmarkEnd w:id="22"/>
      <w:r>
        <w:t xml:space="preserve">Background</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(iris,</w:t>
      </w:r>
      <w:r>
        <w:rPr>
          <w:rStyle w:val="KeywordTok"/>
        </w:rPr>
        <w:t xml:space="preserve">aes</w:t>
      </w:r>
      <w:r>
        <w:rPr>
          <w:rStyle w:val="NormalTok"/>
        </w:rPr>
        <w:t xml:space="preserve">(Sepal.Width,Sepal.Length))</w:t>
      </w:r>
      <w:r>
        <w:rPr>
          <w:rStyle w:val="OperatorTok"/>
        </w:rPr>
        <w:t xml:space="preserve">+</w:t>
      </w:r>
      <w:r>
        <w:rPr>
          <w:rStyle w:val="KeywordTok"/>
        </w:rPr>
        <w:t xml:space="preserve">geom_point</w:t>
      </w:r>
      <w:r>
        <w:rPr>
          <w:rStyle w:val="NormalTok"/>
        </w:rPr>
        <w:t xml:space="preserve">()</w:t>
      </w:r>
    </w:p>
    <w:p>
      <w:pPr>
        <w:pStyle w:val="FigureWithCaption"/>
      </w:pPr>
      <w:r>
        <w:drawing>
          <wp:inline>
            <wp:extent cx="4620126" cy="3696101"/>
            <wp:effectExtent b="0" l="0" r="0" t="0"/>
            <wp:docPr descr="Figure 1 Here are some flower measurements" title="" id="1" name="Picture"/>
            <a:graphic>
              <a:graphicData uri="http://schemas.openxmlformats.org/drawingml/2006/picture">
                <pic:pic>
                  <pic:nvPicPr>
                    <pic:cNvPr descr="../figures/flower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Here are some flower measurements</w:t>
      </w:r>
    </w:p>
    <w:p>
      <w:pPr>
        <w:pStyle w:val="BodyText"/>
      </w:pPr>
      <w:r>
        <w:t xml:space="preserve">The end</w:t>
      </w:r>
      <w:r>
        <w:t xml:space="preserve"> </w:t>
      </w:r>
      <w:r>
        <w:t xml:space="preserve">(</w:t>
      </w:r>
      <w:r>
        <w:rPr>
          <w:b/>
        </w:rPr>
        <w:t xml:space="preserve">???</w:t>
      </w:r>
      <w:r>
        <w:t xml:space="preserve">)</w:t>
      </w:r>
      <w:r>
        <w:t xml:space="preserve">.</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(iris),</w:t>
      </w:r>
      <w:r>
        <w:br w:type="textWrapping"/>
      </w:r>
      <w:r>
        <w:rPr>
          <w:rStyle w:val="NormalTok"/>
        </w:rPr>
        <w:t xml:space="preserve">             </w:t>
      </w:r>
      <w:r>
        <w:rPr>
          <w:rStyle w:val="DataTypeTok"/>
        </w:rPr>
        <w:t xml:space="preserve">caption=</w:t>
      </w:r>
      <w:r>
        <w:rPr>
          <w:rStyle w:val="StringTok"/>
        </w:rPr>
        <w:t xml:space="preserve">"A table of flowers"</w:t>
      </w:r>
      <w:r>
        <w:rPr>
          <w:rStyle w:val="NormalTok"/>
        </w:rPr>
        <w:t xml:space="preserve">)</w:t>
      </w:r>
    </w:p>
    <w:p>
      <w:pPr>
        <w:pStyle w:val="TableCaption"/>
      </w:pPr>
      <w:r>
        <w:t xml:space="preserve">Table 1 A table of flowers</w:t>
      </w:r>
    </w:p>
    <w:tbl>
      <w:tblPr>
        <w:tblStyle w:val="TableNormal"/>
        <w:tblW w:type="pct" w:w="0.0"/>
        <w:tblLook w:firstRow="1"/>
        <w:tblCaption w:val="Table 1 A table of flowers"/>
      </w:tblPr>
      <w:tblGrid/>
      <w:tr>
        <w:trPr>
          <w:cnfStyle w:firstRow="1"/>
        </w:trPr>
        <w:tc>
          <w:tcPr>
            <w:tcBorders>
              <w:bottom w:val="single"/>
            </w:tcBorders>
            <w:vAlign w:val="bottom"/>
          </w:tcPr>
          <w:p>
            <w:pPr>
              <w:pStyle w:val="Compact"/>
              <w:jc w:val="right"/>
            </w:pPr>
            <w:r>
              <w:t xml:space="preserve">Sepal.Length</w:t>
            </w:r>
          </w:p>
        </w:tc>
        <w:tc>
          <w:tcPr>
            <w:tcBorders>
              <w:bottom w:val="single"/>
            </w:tcBorders>
            <w:vAlign w:val="bottom"/>
          </w:tcPr>
          <w:p>
            <w:pPr>
              <w:pStyle w:val="Compact"/>
              <w:jc w:val="right"/>
            </w:pPr>
            <w:r>
              <w:t xml:space="preserve">Sepal.Width</w:t>
            </w:r>
          </w:p>
        </w:tc>
        <w:tc>
          <w:tcPr>
            <w:tcBorders>
              <w:bottom w:val="single"/>
            </w:tcBorders>
            <w:vAlign w:val="bottom"/>
          </w:tcPr>
          <w:p>
            <w:pPr>
              <w:pStyle w:val="Compact"/>
              <w:jc w:val="right"/>
            </w:pPr>
            <w:r>
              <w:t xml:space="preserve">Petal.Length</w:t>
            </w:r>
          </w:p>
        </w:tc>
        <w:tc>
          <w:tcPr>
            <w:tcBorders>
              <w:bottom w:val="single"/>
            </w:tcBorders>
            <w:vAlign w:val="bottom"/>
          </w:tcPr>
          <w:p>
            <w:pPr>
              <w:pStyle w:val="Compact"/>
              <w:jc w:val="right"/>
            </w:pPr>
            <w:r>
              <w:t xml:space="preserve">Petal.Width</w:t>
            </w:r>
          </w:p>
        </w:tc>
        <w:tc>
          <w:tcPr>
            <w:tcBorders>
              <w:bottom w:val="single"/>
            </w:tcBorders>
            <w:vAlign w:val="bottom"/>
          </w:tcPr>
          <w:p>
            <w:pPr>
              <w:pStyle w:val="Compact"/>
              <w:jc w:val="left"/>
            </w:pPr>
            <w:r>
              <w:t xml:space="preserve">Species</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3.0</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4.7</w:t>
            </w:r>
          </w:p>
        </w:tc>
        <w:tc>
          <w:p>
            <w:pPr>
              <w:pStyle w:val="Compact"/>
              <w:jc w:val="right"/>
            </w:pPr>
            <w:r>
              <w:t xml:space="preserve">3.2</w:t>
            </w:r>
          </w:p>
        </w:tc>
        <w:tc>
          <w:p>
            <w:pPr>
              <w:pStyle w:val="Compact"/>
              <w:jc w:val="right"/>
            </w:pPr>
            <w:r>
              <w:t xml:space="preserve">1.3</w:t>
            </w:r>
          </w:p>
        </w:tc>
        <w:tc>
          <w:p>
            <w:pPr>
              <w:pStyle w:val="Compact"/>
              <w:jc w:val="right"/>
            </w:pPr>
            <w:r>
              <w:t xml:space="preserve">0.2</w:t>
            </w:r>
          </w:p>
        </w:tc>
        <w:tc>
          <w:p>
            <w:pPr>
              <w:pStyle w:val="Compact"/>
              <w:jc w:val="left"/>
            </w:pPr>
            <w:r>
              <w:t xml:space="preserve">setosa</w:t>
            </w:r>
          </w:p>
        </w:tc>
      </w:tr>
      <w:tr>
        <w:tc>
          <w:p>
            <w:pPr>
              <w:pStyle w:val="Compact"/>
              <w:jc w:val="right"/>
            </w:pPr>
            <w:r>
              <w:t xml:space="preserve">4.6</w:t>
            </w:r>
          </w:p>
        </w:tc>
        <w:tc>
          <w:p>
            <w:pPr>
              <w:pStyle w:val="Compact"/>
              <w:jc w:val="right"/>
            </w:pPr>
            <w:r>
              <w:t xml:space="preserve">3.1</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5.0</w:t>
            </w:r>
          </w:p>
        </w:tc>
        <w:tc>
          <w:p>
            <w:pPr>
              <w:pStyle w:val="Compact"/>
              <w:jc w:val="right"/>
            </w:pPr>
            <w:r>
              <w:t xml:space="preserve">3.6</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5.4</w:t>
            </w:r>
          </w:p>
        </w:tc>
        <w:tc>
          <w:p>
            <w:pPr>
              <w:pStyle w:val="Compact"/>
              <w:jc w:val="right"/>
            </w:pPr>
            <w:r>
              <w:t xml:space="preserve">3.9</w:t>
            </w:r>
          </w:p>
        </w:tc>
        <w:tc>
          <w:p>
            <w:pPr>
              <w:pStyle w:val="Compact"/>
              <w:jc w:val="right"/>
            </w:pPr>
            <w:r>
              <w:t xml:space="preserve">1.7</w:t>
            </w:r>
          </w:p>
        </w:tc>
        <w:tc>
          <w:p>
            <w:pPr>
              <w:pStyle w:val="Compact"/>
              <w:jc w:val="right"/>
            </w:pPr>
            <w:r>
              <w:t xml:space="preserve">0.4</w:t>
            </w:r>
          </w:p>
        </w:tc>
        <w:tc>
          <w:p>
            <w:pPr>
              <w:pStyle w:val="Compact"/>
              <w:jc w:val="left"/>
            </w:pPr>
            <w:r>
              <w:t xml:space="preserve">setosa</w:t>
            </w:r>
          </w:p>
        </w:tc>
      </w:tr>
    </w:tbl>
    <w:p>
      <w:pPr>
        <w:pStyle w:val="BodyText"/>
      </w:pPr>
      <w:r>
        <w:t xml:space="preserve">We can also make a table (Table</w:t>
      </w:r>
      <w:r>
        <w:t xml:space="preserve"> </w:t>
      </w:r>
      <w:r>
        <w:t xml:space="preserve">1</w:t>
      </w:r>
      <w:r>
        <w:t xml:space="preserve">)</w:t>
      </w:r>
    </w:p>
    <w:p>
      <w:pPr>
        <w:pStyle w:val="Heading1"/>
      </w:pPr>
      <w:bookmarkStart w:id="24" w:name="methods"/>
      <w:bookmarkEnd w:id="24"/>
      <w:r>
        <w:t xml:space="preserve">Methods</w:t>
      </w:r>
    </w:p>
    <w:p>
      <w:pPr>
        <w:pStyle w:val="Heading1"/>
      </w:pPr>
      <w:bookmarkStart w:id="25" w:name="results"/>
      <w:bookmarkEnd w:id="25"/>
      <w:r>
        <w:t xml:space="preserve">Results</w:t>
      </w:r>
    </w:p>
    <w:p>
      <w:pPr>
        <w:pStyle w:val="SourceCode"/>
      </w:pPr>
      <w:r>
        <w:rPr>
          <w:rStyle w:val="CommentTok"/>
        </w:rPr>
        <w:t xml:space="preserve"># Note the path that we need to use to access our data files when rendering this document</w:t>
      </w:r>
      <w:r>
        <w:br w:type="textWrapping"/>
      </w:r>
      <w:r>
        <w:rPr>
          <w:rStyle w:val="NormalTok"/>
        </w:rPr>
        <w:t xml:space="preserve">my_data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'analysis'</w:t>
      </w:r>
      <w:r>
        <w:rPr>
          <w:rStyle w:val="NormalTok"/>
        </w:rPr>
        <w:t xml:space="preserve">, </w:t>
      </w:r>
      <w:r>
        <w:rPr>
          <w:rStyle w:val="StringTok"/>
        </w:rPr>
        <w:t xml:space="preserve">'data'</w:t>
      </w:r>
      <w:r>
        <w:rPr>
          <w:rStyle w:val="NormalTok"/>
        </w:rPr>
        <w:t xml:space="preserve">, </w:t>
      </w:r>
      <w:r>
        <w:rPr>
          <w:rStyle w:val="StringTok"/>
        </w:rPr>
        <w:t xml:space="preserve">'raw_data'</w:t>
      </w:r>
      <w:r>
        <w:rPr>
          <w:rStyle w:val="NormalTok"/>
        </w:rPr>
        <w:t xml:space="preserve">, </w:t>
      </w:r>
      <w:r>
        <w:rPr>
          <w:rStyle w:val="StringTok"/>
        </w:rPr>
        <w:t xml:space="preserve">'my_csv_file.csv'</w:t>
      </w:r>
      <w:r>
        <w:rPr>
          <w:rStyle w:val="NormalTok"/>
        </w:rPr>
        <w:t xml:space="preserve">))</w:t>
      </w:r>
    </w:p>
    <w:p>
      <w:pPr>
        <w:pStyle w:val="Heading1"/>
      </w:pPr>
      <w:bookmarkStart w:id="26" w:name="discussion"/>
      <w:bookmarkEnd w:id="26"/>
      <w:r>
        <w:t xml:space="preserve">Discussion</w:t>
      </w:r>
    </w:p>
    <w:p>
      <w:pPr>
        <w:pStyle w:val="Heading1"/>
      </w:pPr>
      <w:bookmarkStart w:id="27" w:name="conclusion"/>
      <w:bookmarkEnd w:id="27"/>
      <w:r>
        <w:t xml:space="preserve">Conclusion</w:t>
      </w:r>
    </w:p>
    <w:p>
      <w:pPr>
        <w:pStyle w:val="Heading1"/>
      </w:pPr>
      <w:bookmarkStart w:id="28" w:name="acknowledgements"/>
      <w:bookmarkEnd w:id="28"/>
      <w:r>
        <w:t xml:space="preserve">Acknowledgements</w:t>
      </w:r>
    </w:p>
    <w:p>
      <w:pPr>
        <w:pStyle w:val="Heading5"/>
      </w:pPr>
      <w:bookmarkStart w:id="29" w:name="pagebreak"/>
      <w:bookmarkEnd w:id="29"/>
      <w:r>
        <w:t xml:space="preserve">pagebreak</w:t>
      </w:r>
    </w:p>
    <w:p>
      <w:pPr>
        <w:pStyle w:val="Heading1"/>
      </w:pPr>
      <w:bookmarkStart w:id="30" w:name="references"/>
      <w:bookmarkEnd w:id="30"/>
      <w:r>
        <w:t xml:space="preserve">References</w:t>
      </w:r>
    </w:p>
    <w:p>
      <w:pPr>
        <w:pStyle w:val="FirstParagraph"/>
      </w:pPr>
      <w:r>
        <w:t xml:space="preserve">Coldstream, J N. 1977.</w:t>
      </w:r>
      <w:r>
        <w:t xml:space="preserve"> </w:t>
      </w:r>
      <w:r>
        <w:rPr>
          <w:i/>
        </w:rPr>
        <w:t xml:space="preserve">Geometric Greece</w:t>
      </w:r>
      <w:r>
        <w:t xml:space="preserve">. 1st ed. London: Ernest Benn.</w:t>
      </w:r>
    </w:p>
    <w:p>
      <w:pPr>
        <w:pStyle w:val="BodyText"/>
      </w:pPr>
      <w:r>
        <w:t xml:space="preserve">Desborough, Vincent Robin d’Arba. 1972.</w:t>
      </w:r>
      <w:r>
        <w:t xml:space="preserve"> </w:t>
      </w:r>
      <w:r>
        <w:rPr>
          <w:i/>
        </w:rPr>
        <w:t xml:space="preserve">The Greek Dark Ages</w:t>
      </w:r>
      <w:r>
        <w:t xml:space="preserve">. London: Benn.</w:t>
      </w:r>
    </w:p>
    <w:p>
      <w:pPr>
        <w:pStyle w:val="BodyText"/>
      </w:pPr>
      <w:r>
        <w:t xml:space="preserve">Evans, Arthur. 1921.</w:t>
      </w:r>
      <w:r>
        <w:t xml:space="preserve"> </w:t>
      </w:r>
      <w:r>
        <w:rPr>
          <w:i/>
        </w:rPr>
        <w:t xml:space="preserve">The palace of Minos: a comparative account of the successive stages of the early Cretan civilization as illustrated by the discoveries at Knossos I</w:t>
      </w:r>
      <w:r>
        <w:t xml:space="preserve">. London: Macmillan.</w:t>
      </w:r>
    </w:p>
    <w:p>
      <w:pPr>
        <w:pStyle w:val="BodyText"/>
      </w:pPr>
      <w:r>
        <w:t xml:space="preserve">Evans, Arthur. 1928.</w:t>
      </w:r>
      <w:r>
        <w:t xml:space="preserve"> </w:t>
      </w:r>
      <w:r>
        <w:rPr>
          <w:i/>
        </w:rPr>
        <w:t xml:space="preserve">The palace of Minos: a comparative account of the successive stages of the early Cretan civilization as illustrated by the discoveries at Knossos II</w:t>
      </w:r>
      <w:r>
        <w:t xml:space="preserve">. London: Macmillan.</w:t>
      </w:r>
    </w:p>
    <w:p>
      <w:pPr>
        <w:pStyle w:val="BodyText"/>
      </w:pPr>
      <w:r>
        <w:t xml:space="preserve">Evans, Arthur. 1930.</w:t>
      </w:r>
      <w:r>
        <w:t xml:space="preserve"> </w:t>
      </w:r>
      <w:r>
        <w:rPr>
          <w:i/>
        </w:rPr>
        <w:t xml:space="preserve">The palace of Minos: a comparative account of the successive stages of the early Cretan civilization as illustrated by the discoveries at Knossos III</w:t>
      </w:r>
      <w:r>
        <w:t xml:space="preserve">. London: Macmillan.</w:t>
      </w:r>
    </w:p>
    <w:p>
      <w:pPr>
        <w:pStyle w:val="BodyText"/>
      </w:pPr>
      <w:r>
        <w:t xml:space="preserve">Kotsonas, Antonis. 2016. “Politics of Periodization and the Archaeology of Early Greece.”</w:t>
      </w:r>
      <w:r>
        <w:t xml:space="preserve"> </w:t>
      </w:r>
      <w:r>
        <w:rPr>
          <w:i/>
        </w:rPr>
        <w:t xml:space="preserve">American Journal of Archaeology</w:t>
      </w:r>
      <w:r>
        <w:t xml:space="preserve"> </w:t>
      </w:r>
      <w:r>
        <w:t xml:space="preserve">120 (2): 239–270.</w:t>
      </w:r>
    </w:p>
    <w:p>
      <w:pPr>
        <w:pStyle w:val="BodyText"/>
      </w:pPr>
      <w:r>
        <w:t xml:space="preserve">Morris, I. 1997. “Periodization and the Heroes: Inventing a Dark Age.” In</w:t>
      </w:r>
      <w:r>
        <w:t xml:space="preserve"> </w:t>
      </w:r>
      <w:r>
        <w:rPr>
          <w:i/>
        </w:rPr>
        <w:t xml:space="preserve">Inventing Ancient Culture</w:t>
      </w:r>
      <w:r>
        <w:t xml:space="preserve">, edited by Mark Golden and Peter Toohey, 96–131. London: Routledge.</w:t>
      </w:r>
    </w:p>
    <w:p>
      <w:pPr>
        <w:pStyle w:val="BodyText"/>
      </w:pPr>
      <w:r>
        <w:t xml:space="preserve">Nowicki, Krzysztof. 2000.</w:t>
      </w:r>
      <w:r>
        <w:t xml:space="preserve"> </w:t>
      </w:r>
      <w:r>
        <w:rPr>
          <w:i/>
        </w:rPr>
        <w:t xml:space="preserve">Defensible sites in Crete c.1200-800 B.C. : (LM IIIB/IIIC through early Geometric)</w:t>
      </w:r>
      <w:r>
        <w:t xml:space="preserve">. Liège: Université de Liège.</w:t>
      </w:r>
    </w:p>
    <w:p>
      <w:pPr>
        <w:pStyle w:val="BodyText"/>
      </w:pPr>
      <w:r>
        <w:t xml:space="preserve">Snodgrass, Anthony McElrea. 1971.</w:t>
      </w:r>
      <w:r>
        <w:t xml:space="preserve"> </w:t>
      </w:r>
      <w:r>
        <w:rPr>
          <w:i/>
        </w:rPr>
        <w:t xml:space="preserve">The Dark Age of Greece</w:t>
      </w:r>
      <w:r>
        <w:t xml:space="preserve">. Edinburgh: Edinburgh University Press.</w:t>
      </w:r>
    </w:p>
    <w:p>
      <w:pPr>
        <w:pStyle w:val="BodyText"/>
      </w:pPr>
      <w:r>
        <w:t xml:space="preserve">Wallace, Saro. 2010.</w:t>
      </w:r>
      <w:r>
        <w:t xml:space="preserve"> </w:t>
      </w:r>
      <w:r>
        <w:rPr>
          <w:i/>
        </w:rPr>
        <w:t xml:space="preserve">Ancient Crete: From Successful Collapse to Democracy’s Alternatives, Twelth to Fifth Centuries BC</w:t>
      </w:r>
      <w:r>
        <w:t xml:space="preserve">. Cambridge: Cambridge University Press#.</w:t>
      </w:r>
    </w:p>
    <w:p>
      <w:pPr>
        <w:pStyle w:val="BodyText"/>
      </w:pPr>
      <w:r>
        <w:t xml:space="preserve">Whitley, James. 2011. “Saro Wallace. Ancient Crete: From Successful Collapse to Democracy’s Alternatives, Twelfth to Fifth Centuries BC. (review).”</w:t>
      </w:r>
      <w:r>
        <w:t xml:space="preserve"> </w:t>
      </w:r>
      <w:r>
        <w:rPr>
          <w:i/>
        </w:rPr>
        <w:t xml:space="preserve">American Journal of Philology</w:t>
      </w:r>
      <w:r>
        <w:t xml:space="preserve"> </w:t>
      </w:r>
      <w:r>
        <w:t xml:space="preserve">132 (4): 667–670. doi:</w:t>
      </w:r>
      <w:hyperlink r:id="rId31">
        <w:r>
          <w:rPr>
            <w:rStyle w:val="Hyperlink"/>
          </w:rPr>
          <w:t xml:space="preserve">10.1353/ajp.2011.0043</w:t>
        </w:r>
      </w:hyperlink>
      <w:r>
        <w:t xml:space="preserve">.</w:t>
      </w:r>
    </w:p>
    <w:p>
      <w:pPr>
        <w:pStyle w:val="Heading5"/>
      </w:pPr>
      <w:bookmarkStart w:id="32" w:name="pagebreak-1"/>
      <w:bookmarkEnd w:id="32"/>
      <w:r>
        <w:t xml:space="preserve">pagebreak</w:t>
      </w:r>
    </w:p>
    <w:p>
      <w:pPr>
        <w:pStyle w:val="Heading3"/>
      </w:pPr>
      <w:bookmarkStart w:id="33" w:name="colophon"/>
      <w:bookmarkEnd w:id="33"/>
      <w:r>
        <w:t xml:space="preserve">Colophon</w:t>
      </w:r>
    </w:p>
    <w:p>
      <w:pPr>
        <w:pStyle w:val="FirstParagraph"/>
      </w:pPr>
      <w:r>
        <w:t xml:space="preserve">This report was generated on 2019-03-15 16:56:24 using the following computational environment and dependencies:</w:t>
      </w:r>
    </w:p>
    <w:p>
      <w:pPr>
        <w:pStyle w:val="SourceCode"/>
      </w:pPr>
      <w:r>
        <w:rPr>
          <w:rStyle w:val="CommentTok"/>
        </w:rPr>
        <w:t xml:space="preserve"># which R packages and versions?</w:t>
      </w:r>
      <w:r>
        <w:br w:type="textWrapping"/>
      </w:r>
      <w:r>
        <w:rPr>
          <w:rStyle w:val="NormalTok"/>
        </w:rPr>
        <w:t xml:space="preserve">devtools</w:t>
      </w:r>
      <w:r>
        <w:rPr>
          <w:rStyle w:val="OperatorTok"/>
        </w:rPr>
        <w:t xml:space="preserve">::</w:t>
      </w:r>
      <w:r>
        <w:rPr>
          <w:rStyle w:val="KeywordTok"/>
        </w:rPr>
        <w:t xml:space="preserve">session_info</w:t>
      </w:r>
      <w:r>
        <w:rPr>
          <w:rStyle w:val="NormalTok"/>
        </w:rPr>
        <w:t xml:space="preserve">()</w:t>
      </w:r>
      <w:r>
        <w:br w:type="textWrapping"/>
      </w:r>
      <w:r>
        <w:rPr>
          <w:rStyle w:val="CommentTok"/>
        </w:rPr>
        <w:t xml:space="preserve">#&gt; - Session info ----------------------------------------------------------</w:t>
      </w:r>
      <w:r>
        <w:br w:type="textWrapping"/>
      </w:r>
      <w:r>
        <w:rPr>
          <w:rStyle w:val="CommentTok"/>
        </w:rPr>
        <w:t xml:space="preserve">#&gt;  setting  value                       </w:t>
      </w:r>
      <w:r>
        <w:br w:type="textWrapping"/>
      </w:r>
      <w:r>
        <w:rPr>
          <w:rStyle w:val="CommentTok"/>
        </w:rPr>
        <w:t xml:space="preserve">#&gt;  version  R version 3.5.1 (2018-07-02)</w:t>
      </w:r>
      <w:r>
        <w:br w:type="textWrapping"/>
      </w:r>
      <w:r>
        <w:rPr>
          <w:rStyle w:val="CommentTok"/>
        </w:rPr>
        <w:t xml:space="preserve">#&gt;  os       Windows 10 x64              </w:t>
      </w:r>
      <w:r>
        <w:br w:type="textWrapping"/>
      </w:r>
      <w:r>
        <w:rPr>
          <w:rStyle w:val="CommentTok"/>
        </w:rPr>
        <w:t xml:space="preserve">#&gt;  system   x86_64, mingw32             </w:t>
      </w:r>
      <w:r>
        <w:br w:type="textWrapping"/>
      </w:r>
      <w:r>
        <w:rPr>
          <w:rStyle w:val="CommentTok"/>
        </w:rPr>
        <w:t xml:space="preserve">#&gt;  ui       RTerm                       </w:t>
      </w:r>
      <w:r>
        <w:br w:type="textWrapping"/>
      </w:r>
      <w:r>
        <w:rPr>
          <w:rStyle w:val="CommentTok"/>
        </w:rPr>
        <w:t xml:space="preserve">#&gt;  language (EN)                        </w:t>
      </w:r>
      <w:r>
        <w:br w:type="textWrapping"/>
      </w:r>
      <w:r>
        <w:rPr>
          <w:rStyle w:val="CommentTok"/>
        </w:rPr>
        <w:t xml:space="preserve">#&gt;  collate  English_United Kingdom.1252 </w:t>
      </w:r>
      <w:r>
        <w:br w:type="textWrapping"/>
      </w:r>
      <w:r>
        <w:rPr>
          <w:rStyle w:val="CommentTok"/>
        </w:rPr>
        <w:t xml:space="preserve">#&gt;  ctype    English_United Kingdom.1252 </w:t>
      </w:r>
      <w:r>
        <w:br w:type="textWrapping"/>
      </w:r>
      <w:r>
        <w:rPr>
          <w:rStyle w:val="CommentTok"/>
        </w:rPr>
        <w:t xml:space="preserve">#&gt;  tz       Europe/London               </w:t>
      </w:r>
      <w:r>
        <w:br w:type="textWrapping"/>
      </w:r>
      <w:r>
        <w:rPr>
          <w:rStyle w:val="CommentTok"/>
        </w:rPr>
        <w:t xml:space="preserve">#&gt;  date     2019-03-15                  </w:t>
      </w:r>
      <w:r>
        <w:br w:type="textWrapping"/>
      </w:r>
      <w:r>
        <w:rPr>
          <w:rStyle w:val="CommentTok"/>
        </w:rPr>
        <w:t xml:space="preserve">#&gt; </w:t>
      </w:r>
      <w:r>
        <w:br w:type="textWrapping"/>
      </w:r>
      <w:r>
        <w:rPr>
          <w:rStyle w:val="CommentTok"/>
        </w:rPr>
        <w:t xml:space="preserve">#&gt; - Packages --------------------------------------------------------------</w:t>
      </w:r>
      <w:r>
        <w:br w:type="textWrapping"/>
      </w:r>
      <w:r>
        <w:rPr>
          <w:rStyle w:val="CommentTok"/>
        </w:rPr>
        <w:t xml:space="preserve">#&gt;  package     * version date       lib source        </w:t>
      </w:r>
      <w:r>
        <w:br w:type="textWrapping"/>
      </w:r>
      <w:r>
        <w:rPr>
          <w:rStyle w:val="CommentTok"/>
        </w:rPr>
        <w:t xml:space="preserve">#&gt;  assertthat    0.2.0   2017-04-11 [1] CRAN (R 3.5.2)</w:t>
      </w:r>
      <w:r>
        <w:br w:type="textWrapping"/>
      </w:r>
      <w:r>
        <w:rPr>
          <w:rStyle w:val="CommentTok"/>
        </w:rPr>
        <w:t xml:space="preserve">#&gt;  backports     1.1.3   2018-12-14 [1] CRAN (R 3.5.2)</w:t>
      </w:r>
      <w:r>
        <w:br w:type="textWrapping"/>
      </w:r>
      <w:r>
        <w:rPr>
          <w:rStyle w:val="CommentTok"/>
        </w:rPr>
        <w:t xml:space="preserve">#&gt;  bookdown      0.9     2018-12-21 [1] CRAN (R 3.5.2)</w:t>
      </w:r>
      <w:r>
        <w:br w:type="textWrapping"/>
      </w:r>
      <w:r>
        <w:rPr>
          <w:rStyle w:val="CommentTok"/>
        </w:rPr>
        <w:t xml:space="preserve">#&gt;  callr         3.1.1   2018-12-21 [1] CRAN (R 3.5.2)</w:t>
      </w:r>
      <w:r>
        <w:br w:type="textWrapping"/>
      </w:r>
      <w:r>
        <w:rPr>
          <w:rStyle w:val="CommentTok"/>
        </w:rPr>
        <w:t xml:space="preserve">#&gt;  cli           1.0.1   2018-09-25 [1] CRAN (R 3.5.2)</w:t>
      </w:r>
      <w:r>
        <w:br w:type="textWrapping"/>
      </w:r>
      <w:r>
        <w:rPr>
          <w:rStyle w:val="CommentTok"/>
        </w:rPr>
        <w:t xml:space="preserve">#&gt;  colorspace    1.4-0   2019-01-13 [1] CRAN (R 3.5.2)</w:t>
      </w:r>
      <w:r>
        <w:br w:type="textWrapping"/>
      </w:r>
      <w:r>
        <w:rPr>
          <w:rStyle w:val="CommentTok"/>
        </w:rPr>
        <w:t xml:space="preserve">#&gt;  crayon        1.3.4   2017-09-16 [1] CRAN (R 3.5.2)</w:t>
      </w:r>
      <w:r>
        <w:br w:type="textWrapping"/>
      </w:r>
      <w:r>
        <w:rPr>
          <w:rStyle w:val="CommentTok"/>
        </w:rPr>
        <w:t xml:space="preserve">#&gt;  desc          1.2.0   2018-05-01 [1] CRAN (R 3.5.2)</w:t>
      </w:r>
      <w:r>
        <w:br w:type="textWrapping"/>
      </w:r>
      <w:r>
        <w:rPr>
          <w:rStyle w:val="CommentTok"/>
        </w:rPr>
        <w:t xml:space="preserve">#&gt;  devtools      2.0.1   2018-10-26 [1] CRAN (R 3.5.3)</w:t>
      </w:r>
      <w:r>
        <w:br w:type="textWrapping"/>
      </w:r>
      <w:r>
        <w:rPr>
          <w:rStyle w:val="CommentTok"/>
        </w:rPr>
        <w:t xml:space="preserve">#&gt;  digest        0.6.18  2018-10-10 [1] CRAN (R 3.5.2)</w:t>
      </w:r>
      <w:r>
        <w:br w:type="textWrapping"/>
      </w:r>
      <w:r>
        <w:rPr>
          <w:rStyle w:val="CommentTok"/>
        </w:rPr>
        <w:t xml:space="preserve">#&gt;  dplyr         0.8.0.1 2019-02-15 [1] CRAN (R 3.5.2)</w:t>
      </w:r>
      <w:r>
        <w:br w:type="textWrapping"/>
      </w:r>
      <w:r>
        <w:rPr>
          <w:rStyle w:val="CommentTok"/>
        </w:rPr>
        <w:t xml:space="preserve">#&gt;  evaluate      0.13    2019-02-12 [1] CRAN (R 3.5.2)</w:t>
      </w:r>
      <w:r>
        <w:br w:type="textWrapping"/>
      </w:r>
      <w:r>
        <w:rPr>
          <w:rStyle w:val="CommentTok"/>
        </w:rPr>
        <w:t xml:space="preserve">#&gt;  fs            1.2.6   2018-08-23 [1] CRAN (R 3.5.2)</w:t>
      </w:r>
      <w:r>
        <w:br w:type="textWrapping"/>
      </w:r>
      <w:r>
        <w:rPr>
          <w:rStyle w:val="CommentTok"/>
        </w:rPr>
        <w:t xml:space="preserve">#&gt;  ggplot2     * 3.1.0   2018-10-25 [1] CRAN (R 3.5.2)</w:t>
      </w:r>
      <w:r>
        <w:br w:type="textWrapping"/>
      </w:r>
      <w:r>
        <w:rPr>
          <w:rStyle w:val="CommentTok"/>
        </w:rPr>
        <w:t xml:space="preserve">#&gt;  glue          1.3.1   2019-03-12 [1] CRAN (R 3.5.3)</w:t>
      </w:r>
      <w:r>
        <w:br w:type="textWrapping"/>
      </w:r>
      <w:r>
        <w:rPr>
          <w:rStyle w:val="CommentTok"/>
        </w:rPr>
        <w:t xml:space="preserve">#&gt;  gtable        0.2.0   2016-02-26 [1] CRAN (R 3.5.2)</w:t>
      </w:r>
      <w:r>
        <w:br w:type="textWrapping"/>
      </w:r>
      <w:r>
        <w:rPr>
          <w:rStyle w:val="CommentTok"/>
        </w:rPr>
        <w:t xml:space="preserve">#&gt;  highr         0.7     2018-06-09 [1] CRAN (R 3.5.2)</w:t>
      </w:r>
      <w:r>
        <w:br w:type="textWrapping"/>
      </w:r>
      <w:r>
        <w:rPr>
          <w:rStyle w:val="CommentTok"/>
        </w:rPr>
        <w:t xml:space="preserve">#&gt;  htmltools     0.3.6   2017-04-28 [1] CRAN (R 3.5.2)</w:t>
      </w:r>
      <w:r>
        <w:br w:type="textWrapping"/>
      </w:r>
      <w:r>
        <w:rPr>
          <w:rStyle w:val="CommentTok"/>
        </w:rPr>
        <w:t xml:space="preserve">#&gt;  knitr         1.21    2018-12-10 [1] CRAN (R 3.5.2)</w:t>
      </w:r>
      <w:r>
        <w:br w:type="textWrapping"/>
      </w:r>
      <w:r>
        <w:rPr>
          <w:rStyle w:val="CommentTok"/>
        </w:rPr>
        <w:t xml:space="preserve">#&gt;  labeling      0.3     2014-08-23 [1] CRAN (R 3.5.2)</w:t>
      </w:r>
      <w:r>
        <w:br w:type="textWrapping"/>
      </w:r>
      <w:r>
        <w:rPr>
          <w:rStyle w:val="CommentTok"/>
        </w:rPr>
        <w:t xml:space="preserve">#&gt;  lazyeval      0.2.1   2017-10-29 [1] CRAN (R 3.5.2)</w:t>
      </w:r>
      <w:r>
        <w:br w:type="textWrapping"/>
      </w:r>
      <w:r>
        <w:rPr>
          <w:rStyle w:val="CommentTok"/>
        </w:rPr>
        <w:t xml:space="preserve">#&gt;  magrittr      1.5     2014-11-22 [1] CRAN (R 3.5.2)</w:t>
      </w:r>
      <w:r>
        <w:br w:type="textWrapping"/>
      </w:r>
      <w:r>
        <w:rPr>
          <w:rStyle w:val="CommentTok"/>
        </w:rPr>
        <w:t xml:space="preserve">#&gt;  memoise       1.1.0   2017-04-21 [1] CRAN (R 3.5.2)</w:t>
      </w:r>
      <w:r>
        <w:br w:type="textWrapping"/>
      </w:r>
      <w:r>
        <w:rPr>
          <w:rStyle w:val="CommentTok"/>
        </w:rPr>
        <w:t xml:space="preserve">#&gt;  munsell       0.5.0   2018-06-12 [1] CRAN (R 3.5.2)</w:t>
      </w:r>
      <w:r>
        <w:br w:type="textWrapping"/>
      </w:r>
      <w:r>
        <w:rPr>
          <w:rStyle w:val="CommentTok"/>
        </w:rPr>
        <w:t xml:space="preserve">#&gt;  pillar        1.3.1   2018-12-15 [1] CRAN (R 3.5.2)</w:t>
      </w:r>
      <w:r>
        <w:br w:type="textWrapping"/>
      </w:r>
      <w:r>
        <w:rPr>
          <w:rStyle w:val="CommentTok"/>
        </w:rPr>
        <w:t xml:space="preserve">#&gt;  pkgbuild      1.0.2   2018-10-16 [1] CRAN (R 3.5.2)</w:t>
      </w:r>
      <w:r>
        <w:br w:type="textWrapping"/>
      </w:r>
      <w:r>
        <w:rPr>
          <w:rStyle w:val="CommentTok"/>
        </w:rPr>
        <w:t xml:space="preserve">#&gt;  pkgconfig     2.0.2   2018-08-16 [1] CRAN (R 3.5.2)</w:t>
      </w:r>
      <w:r>
        <w:br w:type="textWrapping"/>
      </w:r>
      <w:r>
        <w:rPr>
          <w:rStyle w:val="CommentTok"/>
        </w:rPr>
        <w:t xml:space="preserve">#&gt;  pkgload       1.0.2   2018-10-29 [1] CRAN (R 3.5.2)</w:t>
      </w:r>
      <w:r>
        <w:br w:type="textWrapping"/>
      </w:r>
      <w:r>
        <w:rPr>
          <w:rStyle w:val="CommentTok"/>
        </w:rPr>
        <w:t xml:space="preserve">#&gt;  plyr          1.8.4   2016-06-08 [1] CRAN (R 3.5.2)</w:t>
      </w:r>
      <w:r>
        <w:br w:type="textWrapping"/>
      </w:r>
      <w:r>
        <w:rPr>
          <w:rStyle w:val="CommentTok"/>
        </w:rPr>
        <w:t xml:space="preserve">#&gt;  prettyunits   1.0.2   2015-07-13 [1] CRAN (R 3.5.2)</w:t>
      </w:r>
      <w:r>
        <w:br w:type="textWrapping"/>
      </w:r>
      <w:r>
        <w:rPr>
          <w:rStyle w:val="CommentTok"/>
        </w:rPr>
        <w:t xml:space="preserve">#&gt;  processx      3.2.1   2018-12-05 [1] CRAN (R 3.5.2)</w:t>
      </w:r>
      <w:r>
        <w:br w:type="textWrapping"/>
      </w:r>
      <w:r>
        <w:rPr>
          <w:rStyle w:val="CommentTok"/>
        </w:rPr>
        <w:t xml:space="preserve">#&gt;  ps            1.3.0   2018-12-21 [1] CRAN (R 3.5.2)</w:t>
      </w:r>
      <w:r>
        <w:br w:type="textWrapping"/>
      </w:r>
      <w:r>
        <w:rPr>
          <w:rStyle w:val="CommentTok"/>
        </w:rPr>
        <w:t xml:space="preserve">#&gt;  purrr         0.3.0   2019-01-27 [1] CRAN (R 3.5.2)</w:t>
      </w:r>
      <w:r>
        <w:br w:type="textWrapping"/>
      </w:r>
      <w:r>
        <w:rPr>
          <w:rStyle w:val="CommentTok"/>
        </w:rPr>
        <w:t xml:space="preserve">#&gt;  R6            2.4.0   2019-02-14 [1] CRAN (R 3.5.2)</w:t>
      </w:r>
      <w:r>
        <w:br w:type="textWrapping"/>
      </w:r>
      <w:r>
        <w:rPr>
          <w:rStyle w:val="CommentTok"/>
        </w:rPr>
        <w:t xml:space="preserve">#&gt;  Rcpp          1.0.0   2018-11-07 [1] CRAN (R 3.5.2)</w:t>
      </w:r>
      <w:r>
        <w:br w:type="textWrapping"/>
      </w:r>
      <w:r>
        <w:rPr>
          <w:rStyle w:val="CommentTok"/>
        </w:rPr>
        <w:t xml:space="preserve">#&gt;  remotes       2.0.2   2018-10-30 [1] CRAN (R 3.5.2)</w:t>
      </w:r>
      <w:r>
        <w:br w:type="textWrapping"/>
      </w:r>
      <w:r>
        <w:rPr>
          <w:rStyle w:val="CommentTok"/>
        </w:rPr>
        <w:t xml:space="preserve">#&gt;  rlang         0.3.1   2019-01-08 [1] CRAN (R 3.5.2)</w:t>
      </w:r>
      <w:r>
        <w:br w:type="textWrapping"/>
      </w:r>
      <w:r>
        <w:rPr>
          <w:rStyle w:val="CommentTok"/>
        </w:rPr>
        <w:t xml:space="preserve">#&gt;  rmarkdown     1.11    2018-12-08 [1] CRAN (R 3.5.2)</w:t>
      </w:r>
      <w:r>
        <w:br w:type="textWrapping"/>
      </w:r>
      <w:r>
        <w:rPr>
          <w:rStyle w:val="CommentTok"/>
        </w:rPr>
        <w:t xml:space="preserve">#&gt;  rprojroot     1.3-2   2018-01-03 [1] CRAN (R 3.5.2)</w:t>
      </w:r>
      <w:r>
        <w:br w:type="textWrapping"/>
      </w:r>
      <w:r>
        <w:rPr>
          <w:rStyle w:val="CommentTok"/>
        </w:rPr>
        <w:t xml:space="preserve">#&gt;  scales        1.0.0   2018-08-09 [1] CRAN (R 3.5.2)</w:t>
      </w:r>
      <w:r>
        <w:br w:type="textWrapping"/>
      </w:r>
      <w:r>
        <w:rPr>
          <w:rStyle w:val="CommentTok"/>
        </w:rPr>
        <w:t xml:space="preserve">#&gt;  sessioninfo   1.1.1   2018-11-05 [1] CRAN (R 3.5.2)</w:t>
      </w:r>
      <w:r>
        <w:br w:type="textWrapping"/>
      </w:r>
      <w:r>
        <w:rPr>
          <w:rStyle w:val="CommentTok"/>
        </w:rPr>
        <w:t xml:space="preserve">#&gt;  stringi       1.3.1   2019-02-13 [1] CRAN (R 3.5.2)</w:t>
      </w:r>
      <w:r>
        <w:br w:type="textWrapping"/>
      </w:r>
      <w:r>
        <w:rPr>
          <w:rStyle w:val="CommentTok"/>
        </w:rPr>
        <w:t xml:space="preserve">#&gt;  stringr       1.4.0   2019-02-10 [1] CRAN (R 3.5.2)</w:t>
      </w:r>
      <w:r>
        <w:br w:type="textWrapping"/>
      </w:r>
      <w:r>
        <w:rPr>
          <w:rStyle w:val="CommentTok"/>
        </w:rPr>
        <w:t xml:space="preserve">#&gt;  tibble        2.0.1   2019-01-12 [1] CRAN (R 3.5.2)</w:t>
      </w:r>
      <w:r>
        <w:br w:type="textWrapping"/>
      </w:r>
      <w:r>
        <w:rPr>
          <w:rStyle w:val="CommentTok"/>
        </w:rPr>
        <w:t xml:space="preserve">#&gt;  tidyselect    0.2.5   2018-10-11 [1] CRAN (R 3.5.2)</w:t>
      </w:r>
      <w:r>
        <w:br w:type="textWrapping"/>
      </w:r>
      <w:r>
        <w:rPr>
          <w:rStyle w:val="CommentTok"/>
        </w:rPr>
        <w:t xml:space="preserve">#&gt;  usethis       1.4.0   2018-08-14 [1] CRAN (R 3.5.2)</w:t>
      </w:r>
      <w:r>
        <w:br w:type="textWrapping"/>
      </w:r>
      <w:r>
        <w:rPr>
          <w:rStyle w:val="CommentTok"/>
        </w:rPr>
        <w:t xml:space="preserve">#&gt;  withr         2.1.2   2018-03-15 [1] CRAN (R 3.5.2)</w:t>
      </w:r>
      <w:r>
        <w:br w:type="textWrapping"/>
      </w:r>
      <w:r>
        <w:rPr>
          <w:rStyle w:val="CommentTok"/>
        </w:rPr>
        <w:t xml:space="preserve">#&gt;  xfun          0.5     2019-02-20 [1] CRAN (R 3.5.2)</w:t>
      </w:r>
      <w:r>
        <w:br w:type="textWrapping"/>
      </w:r>
      <w:r>
        <w:rPr>
          <w:rStyle w:val="CommentTok"/>
        </w:rPr>
        <w:t xml:space="preserve">#&gt;  yaml          2.2.0   2018-07-25 [1] CRAN (R 3.5.2)</w:t>
      </w:r>
      <w:r>
        <w:br w:type="textWrapping"/>
      </w:r>
      <w:r>
        <w:rPr>
          <w:rStyle w:val="CommentTok"/>
        </w:rPr>
        <w:t xml:space="preserve">#&gt; </w:t>
      </w:r>
      <w:r>
        <w:br w:type="textWrapping"/>
      </w:r>
      <w:r>
        <w:rPr>
          <w:rStyle w:val="CommentTok"/>
        </w:rPr>
        <w:t xml:space="preserve">#&gt; [1] C:/Users/dcpol/R/win-library/3.5</w:t>
      </w:r>
      <w:r>
        <w:br w:type="textWrapping"/>
      </w:r>
      <w:r>
        <w:rPr>
          <w:rStyle w:val="CommentTok"/>
        </w:rPr>
        <w:t xml:space="preserve">#&gt; [2] C:/Program Files/R/R-3.5.1/library</w:t>
      </w:r>
    </w:p>
    <w:p>
      <w:pPr>
        <w:pStyle w:val="FirstParagraph"/>
      </w:pPr>
      <w:r>
        <w:t xml:space="preserve">The current Git commit details are:</w:t>
      </w:r>
    </w:p>
    <w:p>
      <w:pPr>
        <w:pStyle w:val="SourceCode"/>
      </w:pPr>
      <w:r>
        <w:rPr>
          <w:rStyle w:val="CommentTok"/>
        </w:rPr>
        <w:t xml:space="preserve"># what commit is this file at? </w:t>
      </w:r>
      <w:r>
        <w:br w:type="textWrapping"/>
      </w:r>
      <w:r>
        <w:rPr>
          <w:rStyle w:val="NormalTok"/>
        </w:rPr>
        <w:t xml:space="preserve">git2r</w:t>
      </w:r>
      <w:r>
        <w:rPr>
          <w:rStyle w:val="OperatorTok"/>
        </w:rPr>
        <w:t xml:space="preserve">::</w:t>
      </w:r>
      <w:r>
        <w:rPr>
          <w:rStyle w:val="KeywordTok"/>
        </w:rPr>
        <w:t xml:space="preserve">repository</w:t>
      </w:r>
      <w:r>
        <w:rPr>
          <w:rStyle w:val="NormalTok"/>
        </w:rPr>
        <w:t xml:space="preserve">(here</w:t>
      </w:r>
      <w:r>
        <w:rPr>
          <w:rStyle w:val="OperatorTok"/>
        </w:rPr>
        <w:t xml:space="preserve">::</w:t>
      </w:r>
      <w:r>
        <w:rPr>
          <w:rStyle w:val="KeywordTok"/>
        </w:rPr>
        <w:t xml:space="preserve">here</w:t>
      </w:r>
      <w:r>
        <w:rPr>
          <w:rStyle w:val="NormalTok"/>
        </w:rPr>
        <w:t xml:space="preserve">())</w:t>
      </w:r>
      <w:r>
        <w:br w:type="textWrapping"/>
      </w:r>
      <w:r>
        <w:rPr>
          <w:rStyle w:val="CommentTok"/>
        </w:rPr>
        <w:t xml:space="preserve">#&gt; Local:    master C:/Users/dcpol/domproject</w:t>
      </w:r>
      <w:r>
        <w:br w:type="textWrapping"/>
      </w:r>
      <w:r>
        <w:rPr>
          <w:rStyle w:val="CommentTok"/>
        </w:rPr>
        <w:t xml:space="preserve">#&gt; Remote:   master @ origin (https://github.com/DCPollard94/domproject.git)</w:t>
      </w:r>
      <w:r>
        <w:br w:type="textWrapping"/>
      </w:r>
      <w:r>
        <w:rPr>
          <w:rStyle w:val="CommentTok"/>
        </w:rPr>
        <w:t xml:space="preserve">#&gt; Head:     [991c449] 2019-03-15: updated references</w:t>
      </w:r>
    </w:p>
    <w:sectPr w:rsidR="00E3619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9831563"/>
    <w:multiLevelType w:val="multilevel"/>
    <w:tmpl w:val="6D2EF2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9324C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665654A4"/>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3BC2E19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3E12CD3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1B2E3D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1B9EDFB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25381FFA"/>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D5E426F6"/>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80085770"/>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3A7CFF9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B06F5D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E4FFDBA"/>
    <w:multiLevelType w:val="multilevel"/>
    <w:tmpl w:val="A71666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B67397E"/>
    <w:multiLevelType w:val="multilevel"/>
    <w:tmpl w:val="96BC4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76e34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13"/>
  </w:num>
  <w:num w:numId="3">
    <w:abstractNumId w:val="0"/>
  </w:num>
  <w:num w:numId="4">
    <w:abstractNumId w:val="11"/>
  </w:num>
  <w:num w:numId="5">
    <w:abstractNumId w:val="9"/>
  </w:num>
  <w:num w:numId="6">
    <w:abstractNumId w:val="8"/>
  </w:num>
  <w:num w:numId="7">
    <w:abstractNumId w:val="7"/>
  </w:num>
  <w:num w:numId="8">
    <w:abstractNumId w:val="6"/>
  </w:num>
  <w:num w:numId="9">
    <w:abstractNumId w:val="10"/>
  </w:num>
  <w:num w:numId="10">
    <w:abstractNumId w:val="5"/>
  </w:num>
  <w:num w:numId="11">
    <w:abstractNumId w:val="4"/>
  </w:num>
  <w:num w:numId="12">
    <w:abstractNumId w:val="3"/>
  </w:num>
  <w:num w:numId="13">
    <w:abstractNumId w:val="2"/>
  </w:num>
  <w:num w:numId="14">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AC5486"/>
    <w:pPr>
      <w:keepNext/>
      <w:keepLines/>
      <w:spacing w:before="480" w:after="0"/>
      <w:outlineLvl w:val="0"/>
    </w:pPr>
    <w:rPr>
      <w:rFonts w:ascii="Book Antiqua" w:eastAsiaTheme="majorEastAsia" w:hAnsi="Book Antiqua" w:cstheme="majorBidi"/>
      <w:b/>
      <w:bCs/>
      <w:szCs w:val="32"/>
    </w:rPr>
  </w:style>
  <w:style w:type="paragraph" w:styleId="Heading2">
    <w:name w:val="heading 2"/>
    <w:basedOn w:val="Normal"/>
    <w:next w:val="BodyText"/>
    <w:uiPriority w:val="9"/>
    <w:unhideWhenUsed/>
    <w:qFormat/>
    <w:rsid w:val="00AC5486"/>
    <w:pPr>
      <w:keepNext/>
      <w:keepLines/>
      <w:spacing w:before="200" w:after="0"/>
      <w:outlineLvl w:val="1"/>
    </w:pPr>
    <w:rPr>
      <w:rFonts w:ascii="Book Antiqua" w:eastAsiaTheme="majorEastAsia" w:hAnsi="Book Antiqua" w:cstheme="majorBidi"/>
      <w:bCs/>
      <w:i/>
      <w:szCs w:val="32"/>
    </w:rPr>
  </w:style>
  <w:style w:type="paragraph" w:styleId="Heading3">
    <w:name w:val="heading 3"/>
    <w:basedOn w:val="Normal"/>
    <w:next w:val="BodyText"/>
    <w:uiPriority w:val="9"/>
    <w:unhideWhenUsed/>
    <w:qFormat/>
    <w:rsid w:val="00AC5486"/>
    <w:pPr>
      <w:keepNext/>
      <w:keepLines/>
      <w:spacing w:before="200" w:after="0"/>
      <w:outlineLvl w:val="2"/>
    </w:pPr>
    <w:rPr>
      <w:rFonts w:ascii="Book Antiqua" w:eastAsiaTheme="majorEastAsia" w:hAnsi="Book Antiqua" w:cstheme="majorBidi"/>
      <w:bCs/>
      <w:szCs w:val="28"/>
      <w:u w:val="single"/>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AC5486"/>
    <w:pPr>
      <w:keepNext/>
      <w:keepLines/>
      <w:pageBreakBefore/>
      <w:spacing w:after="0" w:line="20" w:lineRule="exact"/>
      <w:outlineLvl w:val="4"/>
    </w:pPr>
    <w:rPr>
      <w:rFonts w:ascii="Book Antiqua" w:eastAsiaTheme="majorEastAsia" w:hAnsi="Book Antiqua" w:cstheme="majorBid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C5486"/>
    <w:pPr>
      <w:spacing w:before="180" w:after="180"/>
    </w:pPr>
    <w:rPr>
      <w:rFonts w:ascii="Book Antiqua" w:hAnsi="Book Antiqua"/>
      <w:sz w:val="22"/>
    </w:rPr>
  </w:style>
  <w:style w:type="paragraph" w:customStyle="1" w:styleId="FirstParagraph">
    <w:name w:val="First Paragraph"/>
    <w:basedOn w:val="BodyText"/>
    <w:next w:val="BodyText"/>
    <w:qFormat/>
    <w:rsid w:val="00AC5486"/>
  </w:style>
  <w:style w:type="paragraph" w:customStyle="1" w:styleId="Compact">
    <w:name w:val="Compact"/>
    <w:basedOn w:val="BodyText"/>
    <w:qFormat/>
    <w:pPr>
      <w:spacing w:before="36" w:after="36"/>
    </w:pPr>
  </w:style>
  <w:style w:type="paragraph" w:styleId="Title">
    <w:name w:val="Title"/>
    <w:basedOn w:val="Normal"/>
    <w:next w:val="BodyText"/>
    <w:qFormat/>
    <w:rsid w:val="00AC5486"/>
    <w:pPr>
      <w:keepNext/>
      <w:keepLines/>
      <w:spacing w:before="480" w:after="240"/>
      <w:jc w:val="center"/>
    </w:pPr>
    <w:rPr>
      <w:rFonts w:ascii="Book Antiqua" w:eastAsiaTheme="majorEastAsia" w:hAnsi="Book Antiqu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AC5486"/>
    <w:pPr>
      <w:keepNext/>
      <w:keepLines/>
      <w:jc w:val="center"/>
    </w:pPr>
    <w:rPr>
      <w:rFonts w:ascii="Book Antiqua" w:hAnsi="Book Antiqua"/>
    </w:rPr>
  </w:style>
  <w:style w:type="paragraph" w:styleId="Date">
    <w:name w:val="Date"/>
    <w:next w:val="BodyText"/>
    <w:qFormat/>
    <w:rsid w:val="00AC5486"/>
    <w:pPr>
      <w:keepNext/>
      <w:keepLines/>
      <w:jc w:val="center"/>
    </w:pPr>
    <w:rPr>
      <w:rFonts w:ascii="Book Antiqua" w:hAnsi="Book Antiqua"/>
    </w:rPr>
  </w:style>
  <w:style w:type="paragraph" w:customStyle="1" w:styleId="Abstract">
    <w:name w:val="Abstract"/>
    <w:basedOn w:val="Normal"/>
    <w:next w:val="BodyText"/>
    <w:qFormat/>
    <w:rsid w:val="00AC5486"/>
    <w:pPr>
      <w:keepNext/>
      <w:keepLines/>
      <w:spacing w:before="300" w:after="300"/>
    </w:pPr>
    <w:rPr>
      <w:rFonts w:ascii="Book Antiqua" w:hAnsi="Book Antiqua"/>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9046F"/>
    <w:pPr>
      <w:keepNext/>
    </w:pPr>
    <w:rPr>
      <w:rFonts w:ascii="Book Antiqua" w:hAnsi="Book Antiqua"/>
      <w:sz w:val="22"/>
    </w:rPr>
  </w:style>
  <w:style w:type="paragraph" w:customStyle="1" w:styleId="ImageCaption">
    <w:name w:val="Image Caption"/>
    <w:basedOn w:val="Caption"/>
    <w:rsid w:val="00A9046F"/>
    <w:rPr>
      <w:rFonts w:ascii="Book Antiqua" w:hAnsi="Book Antiqua"/>
      <w:sz w:val="22"/>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C5486"/>
    <w:rPr>
      <w:rFonts w:ascii="Book Antiqua" w:hAnsi="Book Antiqu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hyperlink" Id="rId31" Target="https://doi.org/10.1353/ajp.2011.0043" TargetMode="External" /></Relationships>
</file>

<file path=word/_rels/footnotes.xml.rels><?xml version="1.0" encoding="UTF-8"?>
<Relationships xmlns="http://schemas.openxmlformats.org/package/2006/relationships"><Relationship Type="http://schemas.openxmlformats.org/officeDocument/2006/relationships/hyperlink" Id="rId31" Target="https://doi.org/10.1353/ajp.2011.004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Family Fortunes: A Quantitative Analysis of the Early Iron Age Cemeteries at Knossos, Crete</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Fortunes: A Quantitative Analysis of the Early Iron Age Cemeteries at Knossos, Crete</dc:title>
  <dc:creator>Dominic Pollard</dc:creator>
  <dcterms:created xsi:type="dcterms:W3CDTF">2019-03-15T16:56:28Z</dcterms:created>
  <dcterms:modified xsi:type="dcterms:W3CDTF">2019-03-15T16:56:28Z</dcterms:modified>
</cp:coreProperties>
</file>