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35.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29</w:t>
      </w:r>
      <w:r>
        <w:t xml:space="preserve"> </w:t>
      </w:r>
      <w:r>
        <w:t xml:space="preserve">March,</w:t>
      </w:r>
      <w:r>
        <w:t xml:space="preserve"> </w:t>
      </w:r>
      <w:r>
        <w:t xml:space="preserve">2019</w:t>
      </w:r>
    </w:p>
    <w:p>
      <w:pPr>
        <w:pStyle w:val="Abstract"/>
      </w:pPr>
      <w:r>
        <w:t xml:space="preserve">Three</w:t>
      </w:r>
      <w:r>
        <w:t xml:space="preserve"> </w:t>
      </w:r>
      <w:r>
        <w:t xml:space="preserve">principal</w:t>
      </w:r>
      <w:r>
        <w:t xml:space="preserve"> </w:t>
      </w:r>
      <w:r>
        <w:t xml:space="preserve">interests</w:t>
      </w:r>
      <w:r>
        <w:t xml:space="preserve"> </w:t>
      </w:r>
      <w:r>
        <w:t xml:space="preserve">converge</w:t>
      </w:r>
      <w:r>
        <w:t xml:space="preserve"> </w:t>
      </w:r>
      <w:r>
        <w:t xml:space="preserve">in</w:t>
      </w:r>
      <w:r>
        <w:t xml:space="preserve"> </w:t>
      </w:r>
      <w:r>
        <w:t xml:space="preserve">this</w:t>
      </w:r>
      <w:r>
        <w:t xml:space="preserve"> </w:t>
      </w:r>
      <w:r>
        <w:t xml:space="preserve">paper:</w:t>
      </w:r>
      <w:r>
        <w:t xml:space="preserve"> </w:t>
      </w:r>
      <w:r>
        <w:t xml:space="preserve">reorienting</w:t>
      </w:r>
      <w:r>
        <w:t xml:space="preserve"> </w:t>
      </w:r>
      <w:r>
        <w:t xml:space="preserve">the</w:t>
      </w:r>
      <w:r>
        <w:t xml:space="preserve"> </w:t>
      </w:r>
      <w:r>
        <w:t xml:space="preserve">focus</w:t>
      </w:r>
      <w:r>
        <w:t xml:space="preserve"> </w:t>
      </w:r>
      <w:r>
        <w:t xml:space="preserve">of</w:t>
      </w:r>
      <w:r>
        <w:t xml:space="preserve"> </w:t>
      </w:r>
      <w:r>
        <w:t xml:space="preserve">Early</w:t>
      </w:r>
      <w:r>
        <w:t xml:space="preserve"> </w:t>
      </w:r>
      <w:r>
        <w:t xml:space="preserve">Iron</w:t>
      </w:r>
      <w:r>
        <w:t xml:space="preserve"> </w:t>
      </w:r>
      <w:r>
        <w:t xml:space="preserve">Age</w:t>
      </w:r>
      <w:r>
        <w:t xml:space="preserve"> </w:t>
      </w:r>
      <w:r>
        <w:t xml:space="preserve">Cretan</w:t>
      </w:r>
      <w:r>
        <w:t xml:space="preserve"> </w:t>
      </w:r>
      <w:r>
        <w:t xml:space="preserve">archaeology;</w:t>
      </w:r>
      <w:r>
        <w:t xml:space="preserve"> </w:t>
      </w:r>
      <w:r>
        <w:t xml:space="preserve">the</w:t>
      </w:r>
      <w:r>
        <w:t xml:space="preserve"> </w:t>
      </w:r>
      <w:r>
        <w:t xml:space="preserve">application</w:t>
      </w:r>
      <w:r>
        <w:t xml:space="preserve"> </w:t>
      </w:r>
      <w:r>
        <w:t xml:space="preserve">of</w:t>
      </w:r>
      <w:r>
        <w:t xml:space="preserve"> </w:t>
      </w:r>
      <w:r>
        <w:t xml:space="preserve">computational,</w:t>
      </w:r>
      <w:r>
        <w:t xml:space="preserve"> </w:t>
      </w:r>
      <w:r>
        <w:t xml:space="preserve">and</w:t>
      </w:r>
      <w:r>
        <w:t xml:space="preserve"> </w:t>
      </w:r>
      <w:r>
        <w:t xml:space="preserve">quantitative</w:t>
      </w:r>
      <w:r>
        <w:t xml:space="preserve"> </w:t>
      </w:r>
      <w:r>
        <w:t xml:space="preserve">methods</w:t>
      </w:r>
      <w:r>
        <w:t xml:space="preserve"> </w:t>
      </w:r>
      <w:r>
        <w:t xml:space="preserve">to</w:t>
      </w:r>
      <w:r>
        <w:t xml:space="preserve"> </w:t>
      </w:r>
      <w:r>
        <w:t xml:space="preserve">supplement</w:t>
      </w:r>
      <w:r>
        <w:t xml:space="preserve"> </w:t>
      </w:r>
      <w:r>
        <w:t xml:space="preserve">traditional</w:t>
      </w:r>
      <w:r>
        <w:t xml:space="preserve"> </w:t>
      </w:r>
      <w:r>
        <w:t xml:space="preserve">modes</w:t>
      </w:r>
      <w:r>
        <w:t xml:space="preserve"> </w:t>
      </w:r>
      <w:r>
        <w:t xml:space="preserve">of</w:t>
      </w:r>
      <w:r>
        <w:t xml:space="preserve"> </w:t>
      </w:r>
      <w:r>
        <w:t xml:space="preserve">inference;</w:t>
      </w:r>
      <w:r>
        <w:t xml:space="preserve"> </w:t>
      </w:r>
      <w:r>
        <w:t xml:space="preserve">and</w:t>
      </w:r>
      <w:r>
        <w:t xml:space="preserve"> </w:t>
      </w:r>
      <w:r>
        <w:t xml:space="preserve">open-access</w:t>
      </w:r>
      <w:r>
        <w:t xml:space="preserve"> </w:t>
      </w:r>
      <w:r>
        <w:t xml:space="preserve">data</w:t>
      </w:r>
      <w:r>
        <w:t xml:space="preserve"> </w:t>
      </w:r>
      <w:r>
        <w:t xml:space="preserve">and</w:t>
      </w:r>
      <w:r>
        <w:t xml:space="preserve"> </w:t>
      </w:r>
      <w:r>
        <w:t xml:space="preserve">reproducible</w:t>
      </w:r>
      <w:r>
        <w:t xml:space="preserve"> </w:t>
      </w:r>
      <w:r>
        <w:t xml:space="preserve">research.</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paper</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and</w:t>
      </w:r>
      <w:r>
        <w:t xml:space="preserve"> </w:t>
      </w:r>
      <w:r>
        <w:t xml:space="preserve">further</w:t>
      </w:r>
      <w:r>
        <w:t xml:space="preserve"> </w:t>
      </w:r>
      <w:r>
        <w:t xml:space="preserve">considers</w:t>
      </w:r>
      <w:r>
        <w:t xml:space="preserve"> </w:t>
      </w:r>
      <w:r>
        <w:t xml:space="preserve">their</w:t>
      </w:r>
      <w:r>
        <w:t xml:space="preserve"> </w:t>
      </w:r>
      <w:r>
        <w:t xml:space="preserve">characteristics.</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w:t>
      </w:r>
      <w:r>
        <w:t xml:space="preserve"> </w:t>
      </w:r>
      <w:r>
        <w:t xml:space="preserve">demonstration</w:t>
      </w:r>
      <w:r>
        <w:t xml:space="preserve"> </w:t>
      </w:r>
      <w:r>
        <w:t xml:space="preserve">of</w:t>
      </w:r>
      <w:r>
        <w:t xml:space="preserve"> </w:t>
      </w:r>
      <w:r>
        <w:t xml:space="preserve">maximal</w:t>
      </w:r>
      <w:r>
        <w:t xml:space="preserve"> </w:t>
      </w:r>
      <w:r>
        <w:t xml:space="preserve">research</w:t>
      </w:r>
      <w:r>
        <w:t xml:space="preserve"> </w:t>
      </w:r>
      <w:r>
        <w:t xml:space="preserve">reproducibility,</w:t>
      </w:r>
      <w:r>
        <w:t xml:space="preserve"> </w:t>
      </w:r>
      <w:r>
        <w:t xml:space="preserve">with</w:t>
      </w:r>
      <w:r>
        <w:t xml:space="preserve"> </w:t>
      </w:r>
      <w:r>
        <w:t xml:space="preserve">the</w:t>
      </w:r>
      <w:r>
        <w:t xml:space="preserve"> </w:t>
      </w:r>
      <w:r>
        <w:t xml:space="preserve">full</w:t>
      </w:r>
      <w:r>
        <w:t xml:space="preserve"> </w:t>
      </w:r>
      <w:r>
        <w:t xml:space="preserve">datasets</w:t>
      </w:r>
      <w:r>
        <w:t xml:space="preserve"> </w:t>
      </w:r>
      <w:r>
        <w:t xml:space="preserve">and</w:t>
      </w:r>
      <w:r>
        <w:t xml:space="preserve"> </w:t>
      </w:r>
      <w:r>
        <w:t xml:space="preserve">code</w:t>
      </w:r>
      <w:r>
        <w:t xml:space="preserve"> </w:t>
      </w:r>
      <w:r>
        <w:t xml:space="preserve">underpinning</w:t>
      </w:r>
      <w:r>
        <w:t xml:space="preserve"> </w:t>
      </w:r>
      <w:r>
        <w:t xml:space="preserve">the</w:t>
      </w:r>
      <w:r>
        <w:t xml:space="preserve"> </w:t>
      </w:r>
      <w:r>
        <w:t xml:space="preserve">analysis</w:t>
      </w:r>
      <w:r>
        <w:t xml:space="preserve"> </w:t>
      </w:r>
      <w:r>
        <w:t xml:space="preserve">made</w:t>
      </w:r>
      <w:r>
        <w:t xml:space="preserve"> </w:t>
      </w:r>
      <w:r>
        <w:t xml:space="preserve">freely</w:t>
      </w:r>
      <w:r>
        <w:t xml:space="preserve"> </w:t>
      </w:r>
      <w:r>
        <w:t xml:space="preserve">available</w:t>
      </w:r>
      <w:r>
        <w:t xml:space="preserve"> </w:t>
      </w:r>
      <w:r>
        <w:t xml:space="preserve">to</w:t>
      </w:r>
      <w:r>
        <w:t xml:space="preserve"> </w:t>
      </w:r>
      <w:r>
        <w:t xml:space="preserve">download</w:t>
      </w:r>
      <w:r>
        <w:t xml:space="preserve"> </w:t>
      </w:r>
      <w:r>
        <w:t xml:space="preserve">and</w:t>
      </w:r>
      <w:r>
        <w:t xml:space="preserve"> </w:t>
      </w:r>
      <w:r>
        <w:t xml:space="preserve">use.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about which much less is known. Research into this once maligned period has grown apace in the last few decades. What began as a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has culimated in the complete rejection by many scholars of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r>
        <w:t xml:space="preserve">.</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w:t>
      </w:r>
      <w:r>
        <w:t xml:space="preserve"> </w:t>
      </w:r>
      <w:r>
        <w:t xml:space="preserve">(see Kotsonas 2011)</w:t>
      </w:r>
      <w:r>
        <w:t xml:space="preserve">. The Fortesta and North Cemetery complexes are both well-published</w:t>
      </w:r>
      <w:r>
        <w:t xml:space="preserve"> </w:t>
      </w:r>
      <w:r>
        <w:t xml:space="preserve">(Brock 1957; Coldstream and Catling 1996)</w:t>
      </w:r>
      <w:r>
        <w:t xml:space="preserve"> </w:t>
      </w:r>
      <w:r>
        <w:t xml:space="preserve">and have been considered variously in relation to their</w:t>
      </w:r>
      <w:r>
        <w:t xml:space="preserve"> </w:t>
      </w:r>
      <w:r>
        <w:t xml:space="preserve">“</w:t>
      </w:r>
      <w:r>
        <w:t xml:space="preserve">oriental</w:t>
      </w:r>
      <w:r>
        <w:t xml:space="preserve">”</w:t>
      </w:r>
      <w:r>
        <w:t xml:space="preserve">"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but a general impression of un-patterned multiplicity.</w:t>
      </w:r>
    </w:p>
    <w:p>
      <w:pPr>
        <w:pStyle w:val="BodyText"/>
      </w:pPr>
      <w:r>
        <w:t xml:space="preserve">I suggest that the application of a range of quantitative and statistical methods may provide new insight into the social behaviours underlying the mortuary assemblages. With a dataset including information on every find and tomb recorded in the Fortetsa and Knossos North Cemetery publications</w:t>
      </w:r>
      <w:r>
        <w:t xml:space="preserve"> </w:t>
      </w:r>
      <w:r>
        <w:t xml:space="preserve">(Brock 1957; 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indeed the necessity, of making available not just the data underpinning their professional output, but the full methodologies by which their analyses were conducted, and in formats which facilitate reproducibilty and further investigation. It is felt that, with the opportunities afforded by current technologies (digital databases, statistical software packages, online repositories etc.), there remain ever fewer obstacles - and excuses - preventing the full and free sharing of both data and workflows. In Marwick’s words</w:t>
      </w:r>
      <w:r>
        <w:t xml:space="preserve"> </w:t>
      </w:r>
      <w:r>
        <w:t xml:space="preserve">(2017, 445)</w:t>
      </w:r>
      <w:r>
        <w:t xml:space="preserve">,</w:t>
      </w:r>
      <w:r>
        <w:t xml:space="preserve"> </w:t>
      </w:r>
      <w:r>
        <w:t xml:space="preserve">“</w:t>
      </w:r>
      <w:r>
        <w:t xml:space="preserve">[t]he technical problems are largely solved; the challenge now is to change the norms of the discipline to make high reproducibility a canonical attribute of high-quality scholarly work</w:t>
      </w:r>
      <w:r>
        <w:t xml:space="preserve">”</w:t>
      </w:r>
      <w:r>
        <w:t xml:space="preserve">.</w:t>
      </w:r>
    </w:p>
    <w:p>
      <w:pPr>
        <w:pStyle w:val="BodyText"/>
      </w:pPr>
      <w:r>
        <w:t xml:space="preserve">This is not the place for a detailed investigation into the lack of reproducible research in archaeology (for this, see …). Suffice it to say the problem exists, though, granted, gradual progress is being spearheaded by some. This article is, among other things, an attempt to bring these principles of maximal reproducibility to the archaeology of Early Iron Age Crete. Within this field, catalogues and excavation reports abound and, though many of these may be forgiven based on their dates of publication, the lack of readily utilisable digital data from a number of recent articles and monographs, indeed, the failure to even present the data such that they could be manually digitsed, is less pardonable. Preparation of databases such as those of the present study can (and did) involve prolongued trawling of printed tables (often without consistent formatting, coding or presentation which would enable easy digitisation), cross-referencing artefacts listed inconsistently in different contexts, or else grappling with catalogues which, through their unexplained lack of certain critical information (e.g. coordinates in site catalogues), offer little research potential beyond their descriptive face-value.</w:t>
      </w:r>
    </w:p>
    <w:p>
      <w:pPr>
        <w:pStyle w:val="BodyText"/>
      </w:pPr>
      <w:r>
        <w:t xml:space="preserve">There are, of course, complications to the sharing of data and methods. There are real and valid reservations around issues of copyright, the protection of sites from looting, the possibility of being scooped with one’s own data, or simply the significant investment of time demanded by the preparation of open-access research. But I would argue that the potential gains outweigh these concerns, and that research on the EIA would benefit greatly from the greater accessability of datasets and workflows.</w:t>
      </w:r>
    </w:p>
    <w:p>
      <w:pPr>
        <w:pStyle w:val="BodyText"/>
      </w:pPr>
      <w:r>
        <w:t xml:space="preserve">In this vein, the present article has been composed making use of Ben Marwick’s</w:t>
      </w:r>
      <w:r>
        <w:t xml:space="preserve"> </w:t>
      </w:r>
      <w:r>
        <w:t xml:space="preserve">“</w:t>
      </w:r>
      <w:r>
        <w:t xml:space="preserve">rrtools</w:t>
      </w:r>
      <w:r>
        <w:t xml:space="preserve">”</w:t>
      </w:r>
      <w:r>
        <w:t xml:space="preserve">, an open-source package for the statistical software R Studio, which provides the author with the tools to create a self-contained</w:t>
      </w:r>
      <w:r>
        <w:t xml:space="preserve"> </w:t>
      </w:r>
      <w:r>
        <w:t xml:space="preserve">“</w:t>
      </w:r>
      <w:r>
        <w:t xml:space="preserve">compendium</w:t>
      </w:r>
      <w:r>
        <w:t xml:space="preserve">”</w:t>
      </w:r>
      <w:r>
        <w:t xml:space="preserve">, which can be freely downloaded, and from which anyone can accurately reproduce the entire workflow of the present analysis. This analysis was conducted in R, and the full code, as well as the raw and derived datasets, complete bibliography (in BibTex format, for export to any major reference manager), figures, and article as originally submitted to this journal are included in the package. It can be downloaded as a repository from GitHub, at the following address:</w:t>
      </w:r>
      <w:r>
        <w:t xml:space="preserve"> </w:t>
      </w:r>
      <w:hyperlink r:id="rId33">
        <w:r>
          <w:rPr>
            <w:rStyle w:val="Hyperlink"/>
          </w:rPr>
          <w:t xml:space="preserve">https://github.com/DCPollard94/knossoscemeteries</w:t>
        </w:r>
      </w:hyperlink>
      <w:r>
        <w:t xml:space="preserve">, and the raw datasets have been stored with the online repository Figshare, here:</w:t>
      </w:r>
    </w:p>
    <w:p>
      <w:pPr>
        <w:pStyle w:val="BodyText"/>
      </w:pPr>
      <w:r>
        <w:t xml:space="preserve">Though not visible in the present paper, every figure and table herein was produced directly, through written code, from the raw data using R. The full code can be viewed and followed by downloading the repository from GitHub, and all the data are made available through an MIT license, which permits unlimited use, ammendation, and dissemination thereof, yet frees the present author from any responsibilty for that use, or for any perceived errors or inaccuracies in the data. It is sincerely hoped that others may find interest in, and themselves further explore and expand upon the research presented here, by downloading this compedium.</w:t>
      </w:r>
    </w:p>
    <w:p>
      <w:pPr>
        <w:pStyle w:val="Heading2"/>
      </w:pPr>
      <w:bookmarkStart w:id="34" w:name="estimating-interments"/>
      <w:bookmarkEnd w:id="34"/>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w:t>
      </w:r>
    </w:p>
    <w:p>
      <w:pPr>
        <w:pStyle w:val="SourceCode"/>
      </w:pPr>
      <w:r>
        <w:rPr>
          <w:rStyle w:val="VerbatimChar"/>
        </w:rPr>
        <w:t xml:space="preserve">#&gt; Importing fonts may take a few minutes, depending on the number of fonts and the speed of the system.</w:t>
      </w:r>
      <w:r>
        <w:br w:type="textWrapping"/>
      </w:r>
      <w:r>
        <w:rPr>
          <w:rStyle w:val="VerbatimChar"/>
        </w:rPr>
        <w:t xml:space="preserve">#&gt; Continue? [y/n]</w:t>
      </w:r>
    </w:p>
    <w:p>
      <w:pPr>
        <w:pStyle w:val="FigureWithCaption"/>
      </w:pPr>
      <w:r>
        <w:drawing>
          <wp:inline>
            <wp:extent cx="4595937" cy="3676749"/>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5"/>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BodyText"/>
      </w:pPr>
      <w:r>
        <w:t xml:space="preserve">For analysis at the level of individual finds, however, pithoi alone were taken as the best proxy, as they correlated most closely with the mean estimate, producing a pearson correlation coefficient of 0.978565 (Figure</w:t>
      </w:r>
      <w:r>
        <w:t xml:space="preserve"> </w:t>
      </w:r>
      <w:r>
        <w:t xml:space="preserve">1</w:t>
      </w:r>
      <w:r>
        <w:t xml:space="preserve">). For the bulk of the analyses, any tombs lacking identified remains or a single vessel suitable for use as an urn were not considered, thus excluding the most heavily damaged and looted tombs.</w:t>
      </w:r>
    </w:p>
    <w:p>
      <w:pPr>
        <w:pStyle w:val="BodyText"/>
      </w:pPr>
      <w:r>
        <w:drawing>
          <wp:inline>
            <wp:extent cx="4595937" cy="3676749"/>
            <wp:effectExtent b="0" l="0" r="0" t="0"/>
            <wp:docPr descr="" title="" id="1" name="Picture"/>
            <a:graphic>
              <a:graphicData uri="http://schemas.openxmlformats.org/drawingml/2006/picture">
                <pic:pic>
                  <pic:nvPicPr>
                    <pic:cNvPr descr="../figures/aorist_all_cems-1.png" id="0" name="Picture"/>
                    <pic:cNvPicPr>
                      <a:picLocks noChangeArrowheads="1" noChangeAspect="1"/>
                    </pic:cNvPicPr>
                  </pic:nvPicPr>
                  <pic:blipFill>
                    <a:blip r:embed="rId36"/>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5943600" cy="3396342"/>
            <wp:effectExtent b="0" l="0" r="0" t="0"/>
            <wp:docPr descr="" title="" id="1" name="Picture"/>
            <a:graphic>
              <a:graphicData uri="http://schemas.openxmlformats.org/drawingml/2006/picture">
                <pic:pic>
                  <pic:nvPicPr>
                    <pic:cNvPr descr="../figures/aorist_uncertainty-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figures/aorist_uncertainty-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figures/aorist_uncertainty-3.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figures/aorist_uncertainty-4.png" id="0"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figures/aorist_uncertainty-5.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figures/aorist_uncertainty-6.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t xml:space="preserve">We can also make a table (Table</w:t>
      </w:r>
      <w:r>
        <w:t xml:space="preserve"> </w:t>
      </w:r>
      <w:r>
        <w:t xml:space="preserve">??</w:t>
      </w:r>
      <w:r>
        <w:t xml:space="preserve">)</w:t>
      </w:r>
    </w:p>
    <w:p>
      <w:pPr>
        <w:pStyle w:val="BodyText"/>
      </w:pPr>
      <w:r>
        <w:drawing>
          <wp:inline>
            <wp:extent cx="4595937" cy="3676749"/>
            <wp:effectExtent b="0" l="0" r="0" t="0"/>
            <wp:docPr descr="" title="" id="1" name="Picture"/>
            <a:graphic>
              <a:graphicData uri="http://schemas.openxmlformats.org/drawingml/2006/picture">
                <pic:pic>
                  <pic:nvPicPr>
                    <pic:cNvPr descr="../figures/aoristknc-1.png" id="0" name="Picture"/>
                    <pic:cNvPicPr>
                      <a:picLocks noChangeArrowheads="1" noChangeAspect="1"/>
                    </pic:cNvPicPr>
                  </pic:nvPicPr>
                  <pic:blipFill>
                    <a:blip r:embed="rId43"/>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burials-1.png" id="0" name="Picture"/>
                    <pic:cNvPicPr>
                      <a:picLocks noChangeArrowheads="1" noChangeAspect="1"/>
                    </pic:cNvPicPr>
                  </pic:nvPicPr>
                  <pic:blipFill>
                    <a:blip r:embed="rId44"/>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aorist_tomb_adjust-1.png" id="0" name="Picture"/>
                    <pic:cNvPicPr>
                      <a:picLocks noChangeArrowheads="1" noChangeAspect="1"/>
                    </pic:cNvPicPr>
                  </pic:nvPicPr>
                  <pic:blipFill>
                    <a:blip r:embed="rId45"/>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2.png" id="0" name="Picture"/>
                    <pic:cNvPicPr>
                      <a:picLocks noChangeArrowheads="1" noChangeAspect="1"/>
                    </pic:cNvPicPr>
                  </pic:nvPicPr>
                  <pic:blipFill>
                    <a:blip r:embed="rId46"/>
                    <a:stretch>
                      <a:fillRect/>
                    </a:stretch>
                  </pic:blipFill>
                  <pic:spPr bwMode="auto">
                    <a:xfrm>
                      <a:off x="0" y="0"/>
                      <a:ext cx="4595937" cy="3676749"/>
                    </a:xfrm>
                    <a:prstGeom prst="rect">
                      <a:avLst/>
                    </a:prstGeom>
                    <a:noFill/>
                    <a:ln w="9525">
                      <a:noFill/>
                      <a:headEnd/>
                      <a:tailEnd/>
                    </a:ln>
                  </pic:spPr>
                </pic:pic>
              </a:graphicData>
            </a:graphic>
          </wp:inline>
        </w:drawing>
      </w:r>
    </w:p>
    <w:p>
      <w:pPr>
        <w:pStyle w:val="SourceCode"/>
      </w:pPr>
      <w:r>
        <w:rPr>
          <w:rStyle w:val="VerbatimChar"/>
        </w:rPr>
        <w:t xml:space="preserve">#&gt;   [1] "tomb"                   "cemetery"              </w:t>
      </w:r>
      <w:r>
        <w:br w:type="textWrapping"/>
      </w:r>
      <w:r>
        <w:rPr>
          <w:rStyle w:val="VerbatimChar"/>
        </w:rPr>
        <w:t xml:space="preserve">#&gt;   [3] "cem_condensed"          "Tomb.Type"             </w:t>
      </w:r>
      <w:r>
        <w:br w:type="textWrapping"/>
      </w:r>
      <w:r>
        <w:rPr>
          <w:rStyle w:val="VerbatimChar"/>
        </w:rPr>
        <w:t xml:space="preserve">#&gt;   [5] "SM"                     "EPG"                   </w:t>
      </w:r>
      <w:r>
        <w:br w:type="textWrapping"/>
      </w:r>
      <w:r>
        <w:rPr>
          <w:rStyle w:val="VerbatimChar"/>
        </w:rPr>
        <w:t xml:space="preserve">#&gt;   [7] "MPG"                    "LPG"                   </w:t>
      </w:r>
      <w:r>
        <w:br w:type="textWrapping"/>
      </w:r>
      <w:r>
        <w:rPr>
          <w:rStyle w:val="VerbatimChar"/>
        </w:rPr>
        <w:t xml:space="preserve">#&gt;   [9] "PGB"                    "EG"                    </w:t>
      </w:r>
      <w:r>
        <w:br w:type="textWrapping"/>
      </w:r>
      <w:r>
        <w:rPr>
          <w:rStyle w:val="VerbatimChar"/>
        </w:rPr>
        <w:t xml:space="preserve">#&gt;  [11] "MG"                     "LG"                    </w:t>
      </w:r>
      <w:r>
        <w:br w:type="textWrapping"/>
      </w:r>
      <w:r>
        <w:rPr>
          <w:rStyle w:val="VerbatimChar"/>
        </w:rPr>
        <w:t xml:space="preserve">#&gt;  [13] "EO"                     "LO"                    </w:t>
      </w:r>
      <w:r>
        <w:br w:type="textWrapping"/>
      </w:r>
      <w:r>
        <w:rPr>
          <w:rStyle w:val="VerbatimChar"/>
        </w:rPr>
        <w:t xml:space="preserve">#&gt;  [15] "start_period"           "periods_used"          </w:t>
      </w:r>
      <w:r>
        <w:br w:type="textWrapping"/>
      </w:r>
      <w:r>
        <w:rPr>
          <w:rStyle w:val="VerbatimChar"/>
        </w:rPr>
        <w:t xml:space="preserve">#&gt;  [17] "start_date"             "end_date"              </w:t>
      </w:r>
      <w:r>
        <w:br w:type="textWrapping"/>
      </w:r>
      <w:r>
        <w:rPr>
          <w:rStyle w:val="VerbatimChar"/>
        </w:rPr>
        <w:t xml:space="preserve">#&gt;  [19] "time_used"              "century_built"         </w:t>
      </w:r>
      <w:r>
        <w:br w:type="textWrapping"/>
      </w:r>
      <w:r>
        <w:rPr>
          <w:rStyle w:val="VerbatimChar"/>
        </w:rPr>
        <w:t xml:space="preserve">#&gt;  [21] "chamber_diameter"       "chamber_width"         </w:t>
      </w:r>
      <w:r>
        <w:br w:type="textWrapping"/>
      </w:r>
      <w:r>
        <w:rPr>
          <w:rStyle w:val="VerbatimChar"/>
        </w:rPr>
        <w:t xml:space="preserve">#&gt;  [23] "chamber_depth"          "chamber_area"          </w:t>
      </w:r>
      <w:r>
        <w:br w:type="textWrapping"/>
      </w:r>
      <w:r>
        <w:rPr>
          <w:rStyle w:val="VerbatimChar"/>
        </w:rPr>
        <w:t xml:space="preserve">#&gt;  [25] "stomion_width"          "stomion_depth"         </w:t>
      </w:r>
      <w:r>
        <w:br w:type="textWrapping"/>
      </w:r>
      <w:r>
        <w:rPr>
          <w:rStyle w:val="VerbatimChar"/>
        </w:rPr>
        <w:t xml:space="preserve">#&gt;  [27] "dromos_length"          "dromos_width"          </w:t>
      </w:r>
      <w:r>
        <w:br w:type="textWrapping"/>
      </w:r>
      <w:r>
        <w:rPr>
          <w:rStyle w:val="VerbatimChar"/>
        </w:rPr>
        <w:t xml:space="preserve">#&gt;  [29] "chamber_burials"        "dromos_burials"        </w:t>
      </w:r>
      <w:r>
        <w:br w:type="textWrapping"/>
      </w:r>
      <w:r>
        <w:rPr>
          <w:rStyle w:val="VerbatimChar"/>
        </w:rPr>
        <w:t xml:space="preserve">#&gt;  [31] "total_burials"          "pithoi"                </w:t>
      </w:r>
      <w:r>
        <w:br w:type="textWrapping"/>
      </w:r>
      <w:r>
        <w:rPr>
          <w:rStyle w:val="VerbatimChar"/>
        </w:rPr>
        <w:t xml:space="preserve">#&gt;  [33] "all_urns"               "est_burials"           </w:t>
      </w:r>
      <w:r>
        <w:br w:type="textWrapping"/>
      </w:r>
      <w:r>
        <w:rPr>
          <w:rStyle w:val="VerbatimChar"/>
        </w:rPr>
        <w:t xml:space="preserve">#&gt;  [35] "gold"                   "iron"                  </w:t>
      </w:r>
      <w:r>
        <w:br w:type="textWrapping"/>
      </w:r>
      <w:r>
        <w:rPr>
          <w:rStyle w:val="VerbatimChar"/>
        </w:rPr>
        <w:t xml:space="preserve">#&gt;  [37] "bronze"                 "silver"                </w:t>
      </w:r>
      <w:r>
        <w:br w:type="textWrapping"/>
      </w:r>
      <w:r>
        <w:rPr>
          <w:rStyle w:val="VerbatimChar"/>
        </w:rPr>
        <w:t xml:space="preserve">#&gt;  [39] "lead"                   "electrum"              </w:t>
      </w:r>
      <w:r>
        <w:br w:type="textWrapping"/>
      </w:r>
      <w:r>
        <w:rPr>
          <w:rStyle w:val="VerbatimChar"/>
        </w:rPr>
        <w:t xml:space="preserve">#&gt;  [41] "other_metal"            "total_metal"           </w:t>
      </w:r>
      <w:r>
        <w:br w:type="textWrapping"/>
      </w:r>
      <w:r>
        <w:rPr>
          <w:rStyle w:val="VerbatimChar"/>
        </w:rPr>
        <w:t xml:space="preserve">#&gt;  [43] "bone_ivory"             "faience_blue"          </w:t>
      </w:r>
      <w:r>
        <w:br w:type="textWrapping"/>
      </w:r>
      <w:r>
        <w:rPr>
          <w:rStyle w:val="VerbatimChar"/>
        </w:rPr>
        <w:t xml:space="preserve">#&gt;  [45] "amber"                  "organics"              </w:t>
      </w:r>
      <w:r>
        <w:br w:type="textWrapping"/>
      </w:r>
      <w:r>
        <w:rPr>
          <w:rStyle w:val="VerbatimChar"/>
        </w:rPr>
        <w:t xml:space="preserve">#&gt;  [47] "stone"                  "glass_paste"           </w:t>
      </w:r>
      <w:r>
        <w:br w:type="textWrapping"/>
      </w:r>
      <w:r>
        <w:rPr>
          <w:rStyle w:val="VerbatimChar"/>
        </w:rPr>
        <w:t xml:space="preserve">#&gt;  [49] "clay"                   "unknown_mat"           </w:t>
      </w:r>
      <w:r>
        <w:br w:type="textWrapping"/>
      </w:r>
      <w:r>
        <w:rPr>
          <w:rStyle w:val="VerbatimChar"/>
        </w:rPr>
        <w:t xml:space="preserve">#&gt;  [51] "total_object"           "adornment"             </w:t>
      </w:r>
      <w:r>
        <w:br w:type="textWrapping"/>
      </w:r>
      <w:r>
        <w:rPr>
          <w:rStyle w:val="VerbatimChar"/>
        </w:rPr>
        <w:t xml:space="preserve">#&gt;  [53] "tool"                   "weapon"                </w:t>
      </w:r>
      <w:r>
        <w:br w:type="textWrapping"/>
      </w:r>
      <w:r>
        <w:rPr>
          <w:rStyle w:val="VerbatimChar"/>
        </w:rPr>
        <w:t xml:space="preserve">#&gt;  [55] "model"                  "jewellery"             </w:t>
      </w:r>
      <w:r>
        <w:br w:type="textWrapping"/>
      </w:r>
      <w:r>
        <w:rPr>
          <w:rStyle w:val="VerbatimChar"/>
        </w:rPr>
        <w:t xml:space="preserve">#&gt;  [57] "strip"                  "sheet"                 </w:t>
      </w:r>
      <w:r>
        <w:br w:type="textWrapping"/>
      </w:r>
      <w:r>
        <w:rPr>
          <w:rStyle w:val="VerbatimChar"/>
        </w:rPr>
        <w:t xml:space="preserve">#&gt;  [59] "cooking"                "loom"                  </w:t>
      </w:r>
      <w:r>
        <w:br w:type="textWrapping"/>
      </w:r>
      <w:r>
        <w:rPr>
          <w:rStyle w:val="VerbatimChar"/>
        </w:rPr>
        <w:t xml:space="preserve">#&gt;  [61] "clothing_armour"        "scarab"                </w:t>
      </w:r>
      <w:r>
        <w:br w:type="textWrapping"/>
      </w:r>
      <w:r>
        <w:rPr>
          <w:rStyle w:val="VerbatimChar"/>
        </w:rPr>
        <w:t xml:space="preserve">#&gt;  [63] "coin"                   "component"             </w:t>
      </w:r>
      <w:r>
        <w:br w:type="textWrapping"/>
      </w:r>
      <w:r>
        <w:rPr>
          <w:rStyle w:val="VerbatimChar"/>
        </w:rPr>
        <w:t xml:space="preserve">#&gt;  [65] "seal"                   "ornament"              </w:t>
      </w:r>
      <w:r>
        <w:br w:type="textWrapping"/>
      </w:r>
      <w:r>
        <w:rPr>
          <w:rStyle w:val="VerbatimChar"/>
        </w:rPr>
        <w:t xml:space="preserve">#&gt;  [67] "fitting"                "vessel"                </w:t>
      </w:r>
      <w:r>
        <w:br w:type="textWrapping"/>
      </w:r>
      <w:r>
        <w:rPr>
          <w:rStyle w:val="VerbatimChar"/>
        </w:rPr>
        <w:t xml:space="preserve">#&gt;  [69] "unidentified_use"       "other_use"             </w:t>
      </w:r>
      <w:r>
        <w:br w:type="textWrapping"/>
      </w:r>
      <w:r>
        <w:rPr>
          <w:rStyle w:val="VerbatimChar"/>
        </w:rPr>
        <w:t xml:space="preserve">#&gt;  [71] "stirrup_jar"            "jar"                   </w:t>
      </w:r>
      <w:r>
        <w:br w:type="textWrapping"/>
      </w:r>
      <w:r>
        <w:rPr>
          <w:rStyle w:val="VerbatimChar"/>
        </w:rPr>
        <w:t xml:space="preserve">#&gt;  [73] "flask"                  "oinochoai"             </w:t>
      </w:r>
      <w:r>
        <w:br w:type="textWrapping"/>
      </w:r>
      <w:r>
        <w:rPr>
          <w:rStyle w:val="VerbatimChar"/>
        </w:rPr>
        <w:t xml:space="preserve">#&gt;  [75] "amphora"                "thelastron"            </w:t>
      </w:r>
      <w:r>
        <w:br w:type="textWrapping"/>
      </w:r>
      <w:r>
        <w:rPr>
          <w:rStyle w:val="VerbatimChar"/>
        </w:rPr>
        <w:t xml:space="preserve">#&gt;  [77] "amphoriskos"            "hydria"                </w:t>
      </w:r>
      <w:r>
        <w:br w:type="textWrapping"/>
      </w:r>
      <w:r>
        <w:rPr>
          <w:rStyle w:val="VerbatimChar"/>
        </w:rPr>
        <w:t xml:space="preserve">#&gt;  [79] "pithos"                 "jug_let"               </w:t>
      </w:r>
      <w:r>
        <w:br w:type="textWrapping"/>
      </w:r>
      <w:r>
        <w:rPr>
          <w:rStyle w:val="VerbatimChar"/>
        </w:rPr>
        <w:t xml:space="preserve">#&gt;  [81] "olpe"                   "alabastron"            </w:t>
      </w:r>
      <w:r>
        <w:br w:type="textWrapping"/>
      </w:r>
      <w:r>
        <w:rPr>
          <w:rStyle w:val="VerbatimChar"/>
        </w:rPr>
        <w:t xml:space="preserve">#&gt;  [83] "lentoid_flask"          "lekythos"              </w:t>
      </w:r>
      <w:r>
        <w:br w:type="textWrapping"/>
      </w:r>
      <w:r>
        <w:rPr>
          <w:rStyle w:val="VerbatimChar"/>
        </w:rPr>
        <w:t xml:space="preserve">#&gt;  [85] "alabastron_aryballos"   "aryballos"             </w:t>
      </w:r>
      <w:r>
        <w:br w:type="textWrapping"/>
      </w:r>
      <w:r>
        <w:rPr>
          <w:rStyle w:val="VerbatimChar"/>
        </w:rPr>
        <w:t xml:space="preserve">#&gt;  [87] "bottle"                 "bird_askos"            </w:t>
      </w:r>
      <w:r>
        <w:br w:type="textWrapping"/>
      </w:r>
      <w:r>
        <w:rPr>
          <w:rStyle w:val="VerbatimChar"/>
        </w:rPr>
        <w:t xml:space="preserve">#&gt;  [89] "pyxis"                  "dinos"                 </w:t>
      </w:r>
      <w:r>
        <w:br w:type="textWrapping"/>
      </w:r>
      <w:r>
        <w:rPr>
          <w:rStyle w:val="VerbatimChar"/>
        </w:rPr>
        <w:t xml:space="preserve">#&gt;  [91] "krater"                 "krateriskos"           </w:t>
      </w:r>
      <w:r>
        <w:br w:type="textWrapping"/>
      </w:r>
      <w:r>
        <w:rPr>
          <w:rStyle w:val="VerbatimChar"/>
        </w:rPr>
        <w:t xml:space="preserve">#&gt;  [93] "lekanis"                "skyphos"               </w:t>
      </w:r>
      <w:r>
        <w:br w:type="textWrapping"/>
      </w:r>
      <w:r>
        <w:rPr>
          <w:rStyle w:val="VerbatimChar"/>
        </w:rPr>
        <w:t xml:space="preserve">#&gt;  [95] "bowl"                   "cup"                   </w:t>
      </w:r>
      <w:r>
        <w:br w:type="textWrapping"/>
      </w:r>
      <w:r>
        <w:rPr>
          <w:rStyle w:val="VerbatimChar"/>
        </w:rPr>
        <w:t xml:space="preserve">#&gt;  [97] "kantharos"              "plate_tray"            </w:t>
      </w:r>
      <w:r>
        <w:br w:type="textWrapping"/>
      </w:r>
      <w:r>
        <w:rPr>
          <w:rStyle w:val="VerbatimChar"/>
        </w:rPr>
        <w:t xml:space="preserve">#&gt;  [99] "kotyle"                 "kalathos"              </w:t>
      </w:r>
      <w:r>
        <w:br w:type="textWrapping"/>
      </w:r>
      <w:r>
        <w:rPr>
          <w:rStyle w:val="VerbatimChar"/>
        </w:rPr>
        <w:t xml:space="preserve">#&gt; [101] "lid"                    "larnax"                </w:t>
      </w:r>
      <w:r>
        <w:br w:type="textWrapping"/>
      </w:r>
      <w:r>
        <w:rPr>
          <w:rStyle w:val="VerbatimChar"/>
        </w:rPr>
        <w:t xml:space="preserve">#&gt; [103] "stand"                  "house_model"           </w:t>
      </w:r>
      <w:r>
        <w:br w:type="textWrapping"/>
      </w:r>
      <w:r>
        <w:rPr>
          <w:rStyle w:val="VerbatimChar"/>
        </w:rPr>
        <w:t xml:space="preserve">#&gt; [105] "kernos"                 "other_vessel"          </w:t>
      </w:r>
      <w:r>
        <w:br w:type="textWrapping"/>
      </w:r>
      <w:r>
        <w:rPr>
          <w:rStyle w:val="VerbatimChar"/>
        </w:rPr>
        <w:t xml:space="preserve">#&gt; [107] "unidentified_vessel"    "total_open_vessel"     </w:t>
      </w:r>
      <w:r>
        <w:br w:type="textWrapping"/>
      </w:r>
      <w:r>
        <w:rPr>
          <w:rStyle w:val="VerbatimChar"/>
        </w:rPr>
        <w:t xml:space="preserve">#&gt; [109] "total_closed_vessel"    "total_other_vessel"    </w:t>
      </w:r>
      <w:r>
        <w:br w:type="textWrapping"/>
      </w:r>
      <w:r>
        <w:rPr>
          <w:rStyle w:val="VerbatimChar"/>
        </w:rPr>
        <w:t xml:space="preserve">#&gt; [111] "total_pottery"          "total_finds"           </w:t>
      </w:r>
      <w:r>
        <w:br w:type="textWrapping"/>
      </w:r>
      <w:r>
        <w:rPr>
          <w:rStyle w:val="VerbatimChar"/>
        </w:rPr>
        <w:t xml:space="preserve">#&gt; [113] "total_import"           "total_import_imitation"</w:t>
      </w:r>
      <w:r>
        <w:br w:type="textWrapping"/>
      </w:r>
      <w:r>
        <w:rPr>
          <w:rStyle w:val="VerbatimChar"/>
        </w:rPr>
        <w:t xml:space="preserve">#&gt; [115] "total_imitation"        "antique"               </w:t>
      </w:r>
      <w:r>
        <w:br w:type="textWrapping"/>
      </w:r>
      <w:r>
        <w:rPr>
          <w:rStyle w:val="VerbatimChar"/>
        </w:rPr>
        <w:t xml:space="preserve">#&gt; [117] "pithoi1100.1050"        "pithoi1050.1000"       </w:t>
      </w:r>
      <w:r>
        <w:br w:type="textWrapping"/>
      </w:r>
      <w:r>
        <w:rPr>
          <w:rStyle w:val="VerbatimChar"/>
        </w:rPr>
        <w:t xml:space="preserve">#&gt; [119] "pithoi1000.950"         "pithoi950.900"         </w:t>
      </w:r>
      <w:r>
        <w:br w:type="textWrapping"/>
      </w:r>
      <w:r>
        <w:rPr>
          <w:rStyle w:val="VerbatimChar"/>
        </w:rPr>
        <w:t xml:space="preserve">#&gt; [121] "pithoi900.850"          "pithoi850.800"         </w:t>
      </w:r>
      <w:r>
        <w:br w:type="textWrapping"/>
      </w:r>
      <w:r>
        <w:rPr>
          <w:rStyle w:val="VerbatimChar"/>
        </w:rPr>
        <w:t xml:space="preserve">#&gt; [123] "pithoi800.750"          "pithoi750.700"         </w:t>
      </w:r>
      <w:r>
        <w:br w:type="textWrapping"/>
      </w:r>
      <w:r>
        <w:rPr>
          <w:rStyle w:val="VerbatimChar"/>
        </w:rPr>
        <w:t xml:space="preserve">#&gt; [125] "pithoi700.650"          "pithoi650.600"         </w:t>
      </w:r>
      <w:r>
        <w:br w:type="textWrapping"/>
      </w:r>
      <w:r>
        <w:rPr>
          <w:rStyle w:val="VerbatimChar"/>
        </w:rPr>
        <w:t xml:space="preserve">#&gt; [127] "pots1100.1050"          "pots1050.1000"         </w:t>
      </w:r>
      <w:r>
        <w:br w:type="textWrapping"/>
      </w:r>
      <w:r>
        <w:rPr>
          <w:rStyle w:val="VerbatimChar"/>
        </w:rPr>
        <w:t xml:space="preserve">#&gt; [129] "pots1000.950"           "pots950.900"           </w:t>
      </w:r>
      <w:r>
        <w:br w:type="textWrapping"/>
      </w:r>
      <w:r>
        <w:rPr>
          <w:rStyle w:val="VerbatimChar"/>
        </w:rPr>
        <w:t xml:space="preserve">#&gt; [131] "pots900.850"            "pots850.800"           </w:t>
      </w:r>
      <w:r>
        <w:br w:type="textWrapping"/>
      </w:r>
      <w:r>
        <w:rPr>
          <w:rStyle w:val="VerbatimChar"/>
        </w:rPr>
        <w:t xml:space="preserve">#&gt; [133] "pots800.750"            "pots750.700"           </w:t>
      </w:r>
      <w:r>
        <w:br w:type="textWrapping"/>
      </w:r>
      <w:r>
        <w:rPr>
          <w:rStyle w:val="VerbatimChar"/>
        </w:rPr>
        <w:t xml:space="preserve">#&gt; [135] "pots700.650"            "pots650.600"           </w:t>
      </w:r>
      <w:r>
        <w:br w:type="textWrapping"/>
      </w:r>
      <w:r>
        <w:rPr>
          <w:rStyle w:val="VerbatimChar"/>
        </w:rPr>
        <w:t xml:space="preserve">#&gt; [137] "SMpithoi"               "EPGpithoi"             </w:t>
      </w:r>
      <w:r>
        <w:br w:type="textWrapping"/>
      </w:r>
      <w:r>
        <w:rPr>
          <w:rStyle w:val="VerbatimChar"/>
        </w:rPr>
        <w:t xml:space="preserve">#&gt; [139] "MPGpithoi"              "LPGpithoi"             </w:t>
      </w:r>
      <w:r>
        <w:br w:type="textWrapping"/>
      </w:r>
      <w:r>
        <w:rPr>
          <w:rStyle w:val="VerbatimChar"/>
        </w:rPr>
        <w:t xml:space="preserve">#&gt; [141] "PGBpithoi"              "EGpithoi"              </w:t>
      </w:r>
      <w:r>
        <w:br w:type="textWrapping"/>
      </w:r>
      <w:r>
        <w:rPr>
          <w:rStyle w:val="VerbatimChar"/>
        </w:rPr>
        <w:t xml:space="preserve">#&gt; [143] "MGpithoi"               "LGpithoi"              </w:t>
      </w:r>
      <w:r>
        <w:br w:type="textWrapping"/>
      </w:r>
      <w:r>
        <w:rPr>
          <w:rStyle w:val="VerbatimChar"/>
        </w:rPr>
        <w:t xml:space="preserve">#&gt; [145] "EOpithoi"               "LOpithoi"              </w:t>
      </w:r>
      <w:r>
        <w:br w:type="textWrapping"/>
      </w:r>
      <w:r>
        <w:rPr>
          <w:rStyle w:val="VerbatimChar"/>
        </w:rPr>
        <w:t xml:space="preserve">#&gt; [147] "SMpots"                 "EPGpots"               </w:t>
      </w:r>
      <w:r>
        <w:br w:type="textWrapping"/>
      </w:r>
      <w:r>
        <w:rPr>
          <w:rStyle w:val="VerbatimChar"/>
        </w:rPr>
        <w:t xml:space="preserve">#&gt; [149] "MPGpots"                "LPGpots"               </w:t>
      </w:r>
      <w:r>
        <w:br w:type="textWrapping"/>
      </w:r>
      <w:r>
        <w:rPr>
          <w:rStyle w:val="VerbatimChar"/>
        </w:rPr>
        <w:t xml:space="preserve">#&gt; [151] "PGBpots"                "EGpots"                </w:t>
      </w:r>
      <w:r>
        <w:br w:type="textWrapping"/>
      </w:r>
      <w:r>
        <w:rPr>
          <w:rStyle w:val="VerbatimChar"/>
        </w:rPr>
        <w:t xml:space="preserve">#&gt; [153] "MGpots"                 "LGpots"                </w:t>
      </w:r>
      <w:r>
        <w:br w:type="textWrapping"/>
      </w:r>
      <w:r>
        <w:rPr>
          <w:rStyle w:val="VerbatimChar"/>
        </w:rPr>
        <w:t xml:space="preserve">#&gt; [155] "EOpots"                 "LOpots"                </w:t>
      </w:r>
      <w:r>
        <w:br w:type="textWrapping"/>
      </w:r>
      <w:r>
        <w:rPr>
          <w:rStyle w:val="VerbatimChar"/>
        </w:rPr>
        <w:t xml:space="preserve">#&gt; [157] "X1100"                  "X1090"                 </w:t>
      </w:r>
      <w:r>
        <w:br w:type="textWrapping"/>
      </w:r>
      <w:r>
        <w:rPr>
          <w:rStyle w:val="VerbatimChar"/>
        </w:rPr>
        <w:t xml:space="preserve">#&gt; [159] "X1080"                  "X1070"                 </w:t>
      </w:r>
      <w:r>
        <w:br w:type="textWrapping"/>
      </w:r>
      <w:r>
        <w:rPr>
          <w:rStyle w:val="VerbatimChar"/>
        </w:rPr>
        <w:t xml:space="preserve">#&gt; [161] "X1060"                  "X1050"                 </w:t>
      </w:r>
      <w:r>
        <w:br w:type="textWrapping"/>
      </w:r>
      <w:r>
        <w:rPr>
          <w:rStyle w:val="VerbatimChar"/>
        </w:rPr>
        <w:t xml:space="preserve">#&gt; [163] "X1040"                  "X1030"                 </w:t>
      </w:r>
      <w:r>
        <w:br w:type="textWrapping"/>
      </w:r>
      <w:r>
        <w:rPr>
          <w:rStyle w:val="VerbatimChar"/>
        </w:rPr>
        <w:t xml:space="preserve">#&gt; [165] "X1020"                  "X1010"                 </w:t>
      </w:r>
      <w:r>
        <w:br w:type="textWrapping"/>
      </w:r>
      <w:r>
        <w:rPr>
          <w:rStyle w:val="VerbatimChar"/>
        </w:rPr>
        <w:t xml:space="preserve">#&gt; [167] "X1000"                  "X990"                  </w:t>
      </w:r>
      <w:r>
        <w:br w:type="textWrapping"/>
      </w:r>
      <w:r>
        <w:rPr>
          <w:rStyle w:val="VerbatimChar"/>
        </w:rPr>
        <w:t xml:space="preserve">#&gt; [169] "X980"                   "X970"                  </w:t>
      </w:r>
      <w:r>
        <w:br w:type="textWrapping"/>
      </w:r>
      <w:r>
        <w:rPr>
          <w:rStyle w:val="VerbatimChar"/>
        </w:rPr>
        <w:t xml:space="preserve">#&gt; [171] "X960"                   "X950"                  </w:t>
      </w:r>
      <w:r>
        <w:br w:type="textWrapping"/>
      </w:r>
      <w:r>
        <w:rPr>
          <w:rStyle w:val="VerbatimChar"/>
        </w:rPr>
        <w:t xml:space="preserve">#&gt; [173] "X940"                   "X930"                  </w:t>
      </w:r>
      <w:r>
        <w:br w:type="textWrapping"/>
      </w:r>
      <w:r>
        <w:rPr>
          <w:rStyle w:val="VerbatimChar"/>
        </w:rPr>
        <w:t xml:space="preserve">#&gt; [175] "X920"                   "X910"                  </w:t>
      </w:r>
      <w:r>
        <w:br w:type="textWrapping"/>
      </w:r>
      <w:r>
        <w:rPr>
          <w:rStyle w:val="VerbatimChar"/>
        </w:rPr>
        <w:t xml:space="preserve">#&gt; [177] "X900"                   "X890"                  </w:t>
      </w:r>
      <w:r>
        <w:br w:type="textWrapping"/>
      </w:r>
      <w:r>
        <w:rPr>
          <w:rStyle w:val="VerbatimChar"/>
        </w:rPr>
        <w:t xml:space="preserve">#&gt; [179] "X880"                   "X870"                  </w:t>
      </w:r>
      <w:r>
        <w:br w:type="textWrapping"/>
      </w:r>
      <w:r>
        <w:rPr>
          <w:rStyle w:val="VerbatimChar"/>
        </w:rPr>
        <w:t xml:space="preserve">#&gt; [181] "X860"                   "X850"                  </w:t>
      </w:r>
      <w:r>
        <w:br w:type="textWrapping"/>
      </w:r>
      <w:r>
        <w:rPr>
          <w:rStyle w:val="VerbatimChar"/>
        </w:rPr>
        <w:t xml:space="preserve">#&gt; [183] "X840"                   "X830"                  </w:t>
      </w:r>
      <w:r>
        <w:br w:type="textWrapping"/>
      </w:r>
      <w:r>
        <w:rPr>
          <w:rStyle w:val="VerbatimChar"/>
        </w:rPr>
        <w:t xml:space="preserve">#&gt; [185] "X820"                   "X810"                  </w:t>
      </w:r>
      <w:r>
        <w:br w:type="textWrapping"/>
      </w:r>
      <w:r>
        <w:rPr>
          <w:rStyle w:val="VerbatimChar"/>
        </w:rPr>
        <w:t xml:space="preserve">#&gt; [187] "X800"                   "X790"                  </w:t>
      </w:r>
      <w:r>
        <w:br w:type="textWrapping"/>
      </w:r>
      <w:r>
        <w:rPr>
          <w:rStyle w:val="VerbatimChar"/>
        </w:rPr>
        <w:t xml:space="preserve">#&gt; [189] "X780"                   "X770"                  </w:t>
      </w:r>
      <w:r>
        <w:br w:type="textWrapping"/>
      </w:r>
      <w:r>
        <w:rPr>
          <w:rStyle w:val="VerbatimChar"/>
        </w:rPr>
        <w:t xml:space="preserve">#&gt; [191] "X760"                   "X750"                  </w:t>
      </w:r>
      <w:r>
        <w:br w:type="textWrapping"/>
      </w:r>
      <w:r>
        <w:rPr>
          <w:rStyle w:val="VerbatimChar"/>
        </w:rPr>
        <w:t xml:space="preserve">#&gt; [193] "X740"                   "X730"                  </w:t>
      </w:r>
      <w:r>
        <w:br w:type="textWrapping"/>
      </w:r>
      <w:r>
        <w:rPr>
          <w:rStyle w:val="VerbatimChar"/>
        </w:rPr>
        <w:t xml:space="preserve">#&gt; [195] "X720"                   "X710"                  </w:t>
      </w:r>
      <w:r>
        <w:br w:type="textWrapping"/>
      </w:r>
      <w:r>
        <w:rPr>
          <w:rStyle w:val="VerbatimChar"/>
        </w:rPr>
        <w:t xml:space="preserve">#&gt; [197] "X700"                   "X690"                  </w:t>
      </w:r>
      <w:r>
        <w:br w:type="textWrapping"/>
      </w:r>
      <w:r>
        <w:rPr>
          <w:rStyle w:val="VerbatimChar"/>
        </w:rPr>
        <w:t xml:space="preserve">#&gt; [199] "X680"                   "X670"                  </w:t>
      </w:r>
      <w:r>
        <w:br w:type="textWrapping"/>
      </w:r>
      <w:r>
        <w:rPr>
          <w:rStyle w:val="VerbatimChar"/>
        </w:rPr>
        <w:t xml:space="preserve">#&gt; [201] "X660"                   "X650"                  </w:t>
      </w:r>
      <w:r>
        <w:br w:type="textWrapping"/>
      </w:r>
      <w:r>
        <w:rPr>
          <w:rStyle w:val="VerbatimChar"/>
        </w:rPr>
        <w:t xml:space="preserve">#&gt; [203] "X640"                   "X630"                  </w:t>
      </w:r>
      <w:r>
        <w:br w:type="textWrapping"/>
      </w:r>
      <w:r>
        <w:rPr>
          <w:rStyle w:val="VerbatimChar"/>
        </w:rPr>
        <w:t xml:space="preserve">#&gt; [205] "X620"                   "X610"</w:t>
      </w:r>
    </w:p>
    <w:p>
      <w:pPr>
        <w:pStyle w:val="FirstParagraph"/>
      </w:pPr>
      <w:r>
        <w:drawing>
          <wp:inline>
            <wp:extent cx="4595937" cy="3676749"/>
            <wp:effectExtent b="0" l="0" r="0" t="0"/>
            <wp:docPr descr="" title="" id="1" name="Picture"/>
            <a:graphic>
              <a:graphicData uri="http://schemas.openxmlformats.org/drawingml/2006/picture">
                <pic:pic>
                  <pic:nvPicPr>
                    <pic:cNvPr descr="../figures/aorist_tomb_adjust-3.png" id="0" name="Picture"/>
                    <pic:cNvPicPr>
                      <a:picLocks noChangeArrowheads="1" noChangeAspect="1"/>
                    </pic:cNvPicPr>
                  </pic:nvPicPr>
                  <pic:blipFill>
                    <a:blip r:embed="rId47"/>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4.png" id="0" name="Picture"/>
                    <pic:cNvPicPr>
                      <a:picLocks noChangeArrowheads="1" noChangeAspect="1"/>
                    </pic:cNvPicPr>
                  </pic:nvPicPr>
                  <pic:blipFill>
                    <a:blip r:embed="rId48"/>
                    <a:stretch>
                      <a:fillRect/>
                    </a:stretch>
                  </pic:blipFill>
                  <pic:spPr bwMode="auto">
                    <a:xfrm>
                      <a:off x="0" y="0"/>
                      <a:ext cx="4595937" cy="3676749"/>
                    </a:xfrm>
                    <a:prstGeom prst="rect">
                      <a:avLst/>
                    </a:prstGeom>
                    <a:noFill/>
                    <a:ln w="9525">
                      <a:noFill/>
                      <a:headEnd/>
                      <a:tailEnd/>
                    </a:ln>
                  </pic:spPr>
                </pic:pic>
              </a:graphicData>
            </a:graphic>
          </wp:inline>
        </w:drawing>
      </w:r>
      <w:r>
        <w:drawing>
          <wp:inline>
            <wp:extent cx="4595937" cy="3676749"/>
            <wp:effectExtent b="0" l="0" r="0" t="0"/>
            <wp:docPr descr="" title="" id="1" name="Picture"/>
            <a:graphic>
              <a:graphicData uri="http://schemas.openxmlformats.org/drawingml/2006/picture">
                <pic:pic>
                  <pic:nvPicPr>
                    <pic:cNvPr descr="../figures/aorist_tomb_adjust-5.png" id="0" name="Picture"/>
                    <pic:cNvPicPr>
                      <a:picLocks noChangeArrowheads="1" noChangeAspect="1"/>
                    </pic:cNvPicPr>
                  </pic:nvPicPr>
                  <pic:blipFill>
                    <a:blip r:embed="rId49"/>
                    <a:stretch>
                      <a:fillRect/>
                    </a:stretch>
                  </pic:blipFill>
                  <pic:spPr bwMode="auto">
                    <a:xfrm>
                      <a:off x="0" y="0"/>
                      <a:ext cx="4595937" cy="3676749"/>
                    </a:xfrm>
                    <a:prstGeom prst="rect">
                      <a:avLst/>
                    </a:prstGeom>
                    <a:noFill/>
                    <a:ln w="9525">
                      <a:noFill/>
                      <a:headEnd/>
                      <a:tailEnd/>
                    </a:ln>
                  </pic:spPr>
                </pic:pic>
              </a:graphicData>
            </a:graphic>
          </wp:inline>
        </w:drawing>
      </w:r>
    </w:p>
    <w:p>
      <w:pPr>
        <w:pStyle w:val="BodyText"/>
      </w:pPr>
      <w:r>
        <w:drawing>
          <wp:inline>
            <wp:extent cx="4595937" cy="3676749"/>
            <wp:effectExtent b="0" l="0" r="0" t="0"/>
            <wp:docPr descr="" title="" id="1" name="Picture"/>
            <a:graphic>
              <a:graphicData uri="http://schemas.openxmlformats.org/drawingml/2006/picture">
                <pic:pic>
                  <pic:nvPicPr>
                    <pic:cNvPr descr="../figures/rates%20of%20burials-1.png" id="0" name="Picture"/>
                    <pic:cNvPicPr>
                      <a:picLocks noChangeArrowheads="1" noChangeAspect="1"/>
                    </pic:cNvPicPr>
                  </pic:nvPicPr>
                  <pic:blipFill>
                    <a:blip r:embed="rId50"/>
                    <a:stretch>
                      <a:fillRect/>
                    </a:stretch>
                  </pic:blipFill>
                  <pic:spPr bwMode="auto">
                    <a:xfrm>
                      <a:off x="0" y="0"/>
                      <a:ext cx="4595937" cy="3676749"/>
                    </a:xfrm>
                    <a:prstGeom prst="rect">
                      <a:avLst/>
                    </a:prstGeom>
                    <a:noFill/>
                    <a:ln w="9525">
                      <a:noFill/>
                      <a:headEnd/>
                      <a:tailEnd/>
                    </a:ln>
                  </pic:spPr>
                </pic:pic>
              </a:graphicData>
            </a:graphic>
          </wp:inline>
        </w:drawing>
      </w:r>
    </w:p>
    <w:p>
      <w:pPr>
        <w:pStyle w:val="Heading1"/>
      </w:pPr>
      <w:bookmarkStart w:id="51" w:name="results"/>
      <w:bookmarkEnd w:id="51"/>
      <w:r>
        <w:t xml:space="preserve">Results</w:t>
      </w:r>
    </w:p>
    <w:p>
      <w:pPr>
        <w:pStyle w:val="Heading1"/>
      </w:pPr>
      <w:bookmarkStart w:id="52" w:name="discussion"/>
      <w:bookmarkEnd w:id="52"/>
      <w:r>
        <w:t xml:space="preserve">Discussion</w:t>
      </w:r>
    </w:p>
    <w:p>
      <w:pPr>
        <w:pStyle w:val="Heading1"/>
      </w:pPr>
      <w:bookmarkStart w:id="53" w:name="conclusion"/>
      <w:bookmarkEnd w:id="53"/>
      <w:r>
        <w:t xml:space="preserve">Conclusion</w:t>
      </w:r>
    </w:p>
    <w:p>
      <w:pPr>
        <w:pStyle w:val="Heading1"/>
      </w:pPr>
      <w:bookmarkStart w:id="54" w:name="acknowledgements"/>
      <w:bookmarkEnd w:id="54"/>
      <w:r>
        <w:t xml:space="preserve">Acknowledgements</w:t>
      </w:r>
    </w:p>
    <w:p>
      <w:pPr>
        <w:pStyle w:val="Heading5"/>
      </w:pPr>
      <w:bookmarkStart w:id="55" w:name="pagebreak"/>
      <w:bookmarkEnd w:id="55"/>
      <w:r>
        <w:t xml:space="preserve">pagebreak</w:t>
      </w:r>
    </w:p>
    <w:p>
      <w:pPr>
        <w:pStyle w:val="Heading1"/>
      </w:pPr>
      <w:bookmarkStart w:id="56" w:name="references"/>
      <w:bookmarkEnd w:id="56"/>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57">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58">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59">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Marwick, Ben.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Springer US: 424–450. doi:</w:t>
      </w:r>
      <w:hyperlink r:id="rId60">
        <w:r>
          <w:rPr>
            <w:rStyle w:val="Hyperlink"/>
          </w:rPr>
          <w:t xml:space="preserve">10.1007/s10816-015-9272-9</w:t>
        </w:r>
      </w:hyperlink>
      <w:r>
        <w:t xml:space="preserve">.</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61">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62" w:name="pagebreak-1"/>
      <w:bookmarkEnd w:id="62"/>
      <w:r>
        <w:t xml:space="preserve">pagebreak</w:t>
      </w:r>
    </w:p>
    <w:p>
      <w:pPr>
        <w:pStyle w:val="Heading3"/>
      </w:pPr>
      <w:bookmarkStart w:id="63" w:name="colophon"/>
      <w:bookmarkEnd w:id="63"/>
      <w:r>
        <w:t xml:space="preserve">Colophon</w:t>
      </w:r>
    </w:p>
    <w:p>
      <w:pPr>
        <w:pStyle w:val="FirstParagraph"/>
      </w:pPr>
      <w:r>
        <w:t xml:space="preserve">This report was generated on 2019-03-29 17:14:56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2019-03-29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crayon         1.3.4   2017-09-16 [1] CRAN (R 3.5.2)</w:t>
      </w:r>
      <w:r>
        <w:br w:type="textWrapping"/>
      </w:r>
      <w:r>
        <w:rPr>
          <w:rStyle w:val="VerbatimChar"/>
        </w:rPr>
        <w:t xml:space="preserve">#&gt;  data.table   * 1.12.0  2019-01-13 [1] CRAN (R 3.5.3)</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ggrepel      * 0.8.0   2018-05-09 [1] CRAN (R 3.5.3)</w:t>
      </w:r>
      <w:r>
        <w:br w:type="textWrapping"/>
      </w:r>
      <w:r>
        <w:rPr>
          <w:rStyle w:val="VerbatimChar"/>
        </w:rPr>
        <w:t xml:space="preserve">#&gt;  glue           1.3.1   2019-03-12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ineq         * 0.2-13  2014-07-21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reshape      * 0.8.8   2018-10-23 [1] CRAN (R 3.5.3)</w:t>
      </w:r>
      <w:r>
        <w:br w:type="textWrapping"/>
      </w:r>
      <w:r>
        <w:rPr>
          <w:rStyle w:val="VerbatimChar"/>
        </w:rPr>
        <w:t xml:space="preserve">#&gt;  reshape2       1.4.3   2017-12-11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[74a4639] 2019-03-29: gini estimates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739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hyperlink" Id="rId58" Target="http://www.tdx.cat/handle/10803/85060" TargetMode="External" /><Relationship Type="http://schemas.openxmlformats.org/officeDocument/2006/relationships/hyperlink" Id="rId60" Target="https://doi.org/10.1007/s10816-015-9272-9" TargetMode="External" /><Relationship Type="http://schemas.openxmlformats.org/officeDocument/2006/relationships/hyperlink" Id="rId61" Target="https://doi.org/10.1353/ajp.2011.0043" TargetMode="External" /><Relationship Type="http://schemas.openxmlformats.org/officeDocument/2006/relationships/hyperlink" Id="rId57" Target="https://doi.org/10.2307/506436" TargetMode="External" /><Relationship Type="http://schemas.openxmlformats.org/officeDocument/2006/relationships/hyperlink" Id="rId59"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58" Target="http://www.tdx.cat/handle/10803/85060" TargetMode="External" /><Relationship Type="http://schemas.openxmlformats.org/officeDocument/2006/relationships/hyperlink" Id="rId60" Target="https://doi.org/10.1007/s10816-015-9272-9" TargetMode="External" /><Relationship Type="http://schemas.openxmlformats.org/officeDocument/2006/relationships/hyperlink" Id="rId61" Target="https://doi.org/10.1353/ajp.2011.0043" TargetMode="External" /><Relationship Type="http://schemas.openxmlformats.org/officeDocument/2006/relationships/hyperlink" Id="rId57" Target="https://doi.org/10.2307/506436" TargetMode="External" /><Relationship Type="http://schemas.openxmlformats.org/officeDocument/2006/relationships/hyperlink" Id="rId59" Target="https://doi.org/10.2307/631220" TargetMode="External" /><Relationship Type="http://schemas.openxmlformats.org/officeDocument/2006/relationships/hyperlink" Id="rId33" Target="https://github.com/DCPollard94/knossoscemeteries"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2019-03-29T17:15:03Z</dcterms:created>
  <dcterms:modified xsi:type="dcterms:W3CDTF">2019-03-29T17:15:03Z</dcterms:modified>
</cp:coreProperties>
</file>