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5.png" ContentType="image/png"/>
  <Override PartName="/word/media/rId38.png" ContentType="image/png"/>
  <Override PartName="/word/media/rId43.png" ContentType="image/png"/>
  <Override PartName="/word/media/rId44.png" ContentType="image/png"/>
  <Override PartName="/word/media/rId46.png" ContentType="image/png"/>
  <Override PartName="/word/media/rId35.png" ContentType="image/png"/>
  <Override PartName="/word/media/rId58.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01</w:t>
      </w:r>
      <w:r>
        <w:t xml:space="preserve"> </w:t>
      </w:r>
      <w:r>
        <w:t xml:space="preserve">April,</w:t>
      </w:r>
      <w:r>
        <w:t xml:space="preserve"> </w:t>
      </w:r>
      <w:r>
        <w:t xml:space="preserve">2019</w:t>
      </w:r>
    </w:p>
    <w:p>
      <w:pPr>
        <w:pStyle w:val="Abstract"/>
      </w:pPr>
      <w:r>
        <w:t xml:space="preserve">Three</w:t>
      </w:r>
      <w:r>
        <w:t xml:space="preserve"> </w:t>
      </w:r>
      <w:r>
        <w:t xml:space="preserve">principal</w:t>
      </w:r>
      <w:r>
        <w:t xml:space="preserve"> </w:t>
      </w:r>
      <w:r>
        <w:t xml:space="preserve">interests</w:t>
      </w:r>
      <w:r>
        <w:t xml:space="preserve"> </w:t>
      </w:r>
      <w:r>
        <w:t xml:space="preserve">converge</w:t>
      </w:r>
      <w:r>
        <w:t xml:space="preserve"> </w:t>
      </w:r>
      <w:r>
        <w:t xml:space="preserve">in</w:t>
      </w:r>
      <w:r>
        <w:t xml:space="preserve"> </w:t>
      </w:r>
      <w:r>
        <w:t xml:space="preserve">this</w:t>
      </w:r>
      <w:r>
        <w:t xml:space="preserve"> </w:t>
      </w:r>
      <w:r>
        <w:t xml:space="preserve">paper:</w:t>
      </w:r>
      <w:r>
        <w:t xml:space="preserve"> </w:t>
      </w:r>
      <w:r>
        <w:t xml:space="preserve">reorienting</w:t>
      </w:r>
      <w:r>
        <w:t xml:space="preserve"> </w:t>
      </w:r>
      <w:r>
        <w:t xml:space="preserve">the</w:t>
      </w:r>
      <w:r>
        <w:t xml:space="preserve"> </w:t>
      </w:r>
      <w:r>
        <w:t xml:space="preserve">focus</w:t>
      </w:r>
      <w:r>
        <w:t xml:space="preserve"> </w:t>
      </w:r>
      <w:r>
        <w:t xml:space="preserve">of</w:t>
      </w:r>
      <w:r>
        <w:t xml:space="preserve"> </w:t>
      </w:r>
      <w:r>
        <w:t xml:space="preserve">Early</w:t>
      </w:r>
      <w:r>
        <w:t xml:space="preserve"> </w:t>
      </w:r>
      <w:r>
        <w:t xml:space="preserve">Iron</w:t>
      </w:r>
      <w:r>
        <w:t xml:space="preserve"> </w:t>
      </w:r>
      <w:r>
        <w:t xml:space="preserve">Age</w:t>
      </w:r>
      <w:r>
        <w:t xml:space="preserve"> </w:t>
      </w:r>
      <w:r>
        <w:t xml:space="preserve">Cretan</w:t>
      </w:r>
      <w:r>
        <w:t xml:space="preserve"> </w:t>
      </w:r>
      <w:r>
        <w:t xml:space="preserve">archaeology;</w:t>
      </w:r>
      <w:r>
        <w:t xml:space="preserve"> </w:t>
      </w:r>
      <w:r>
        <w:t xml:space="preserve">the</w:t>
      </w:r>
      <w:r>
        <w:t xml:space="preserve"> </w:t>
      </w:r>
      <w:r>
        <w:t xml:space="preserve">application</w:t>
      </w:r>
      <w:r>
        <w:t xml:space="preserve"> </w:t>
      </w:r>
      <w:r>
        <w:t xml:space="preserve">of</w:t>
      </w:r>
      <w:r>
        <w:t xml:space="preserve"> </w:t>
      </w:r>
      <w:r>
        <w:t xml:space="preserve">computational,</w:t>
      </w:r>
      <w:r>
        <w:t xml:space="preserve"> </w:t>
      </w:r>
      <w:r>
        <w:t xml:space="preserve">and</w:t>
      </w:r>
      <w:r>
        <w:t xml:space="preserve"> </w:t>
      </w:r>
      <w:r>
        <w:t xml:space="preserve">quantitative</w:t>
      </w:r>
      <w:r>
        <w:t xml:space="preserve"> </w:t>
      </w:r>
      <w:r>
        <w:t xml:space="preserve">methods</w:t>
      </w:r>
      <w:r>
        <w:t xml:space="preserve"> </w:t>
      </w:r>
      <w:r>
        <w:t xml:space="preserve">to</w:t>
      </w:r>
      <w:r>
        <w:t xml:space="preserve"> </w:t>
      </w:r>
      <w:r>
        <w:t xml:space="preserve">supplement</w:t>
      </w:r>
      <w:r>
        <w:t xml:space="preserve"> </w:t>
      </w:r>
      <w:r>
        <w:t xml:space="preserve">traditional</w:t>
      </w:r>
      <w:r>
        <w:t xml:space="preserve"> </w:t>
      </w:r>
      <w:r>
        <w:t xml:space="preserve">modes</w:t>
      </w:r>
      <w:r>
        <w:t xml:space="preserve"> </w:t>
      </w:r>
      <w:r>
        <w:t xml:space="preserve">of</w:t>
      </w:r>
      <w:r>
        <w:t xml:space="preserve"> </w:t>
      </w:r>
      <w:r>
        <w:t xml:space="preserve">inference;</w:t>
      </w:r>
      <w:r>
        <w:t xml:space="preserve"> </w:t>
      </w:r>
      <w:r>
        <w:t xml:space="preserve">and</w:t>
      </w:r>
      <w:r>
        <w:t xml:space="preserve"> </w:t>
      </w:r>
      <w:r>
        <w:t xml:space="preserve">open-access</w:t>
      </w:r>
      <w:r>
        <w:t xml:space="preserve"> </w:t>
      </w:r>
      <w:r>
        <w:t xml:space="preserve">data</w:t>
      </w:r>
      <w:r>
        <w:t xml:space="preserve"> </w:t>
      </w:r>
      <w:r>
        <w:t xml:space="preserve">and</w:t>
      </w:r>
      <w:r>
        <w:t xml:space="preserve"> </w:t>
      </w:r>
      <w:r>
        <w:t xml:space="preserve">reproducible</w:t>
      </w:r>
      <w:r>
        <w:t xml:space="preserve"> </w:t>
      </w:r>
      <w:r>
        <w:t xml:space="preserve">research.</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paper</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and</w:t>
      </w:r>
      <w:r>
        <w:t xml:space="preserve"> </w:t>
      </w:r>
      <w:r>
        <w:t xml:space="preserve">further</w:t>
      </w:r>
      <w:r>
        <w:t xml:space="preserve"> </w:t>
      </w:r>
      <w:r>
        <w:t xml:space="preserve">considers</w:t>
      </w:r>
      <w:r>
        <w:t xml:space="preserve"> </w:t>
      </w:r>
      <w:r>
        <w:t xml:space="preserve">their</w:t>
      </w:r>
      <w:r>
        <w:t xml:space="preserve"> </w:t>
      </w:r>
      <w:r>
        <w:t xml:space="preserve">characteristics.</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w:t>
      </w:r>
      <w:r>
        <w:t xml:space="preserve"> </w:t>
      </w:r>
      <w:r>
        <w:t xml:space="preserve">demonstration</w:t>
      </w:r>
      <w:r>
        <w:t xml:space="preserve"> </w:t>
      </w:r>
      <w:r>
        <w:t xml:space="preserve">of</w:t>
      </w:r>
      <w:r>
        <w:t xml:space="preserve"> </w:t>
      </w:r>
      <w:r>
        <w:t xml:space="preserve">maximal</w:t>
      </w:r>
      <w:r>
        <w:t xml:space="preserve"> </w:t>
      </w:r>
      <w:r>
        <w:t xml:space="preserve">research</w:t>
      </w:r>
      <w:r>
        <w:t xml:space="preserve"> </w:t>
      </w:r>
      <w:r>
        <w:t xml:space="preserve">reproducibility,</w:t>
      </w:r>
      <w:r>
        <w:t xml:space="preserve"> </w:t>
      </w:r>
      <w:r>
        <w:t xml:space="preserve">with</w:t>
      </w:r>
      <w:r>
        <w:t xml:space="preserve"> </w:t>
      </w:r>
      <w:r>
        <w:t xml:space="preserve">the</w:t>
      </w:r>
      <w:r>
        <w:t xml:space="preserve"> </w:t>
      </w:r>
      <w:r>
        <w:t xml:space="preserve">full</w:t>
      </w:r>
      <w:r>
        <w:t xml:space="preserve"> </w:t>
      </w:r>
      <w:r>
        <w:t xml:space="preserve">datasets</w:t>
      </w:r>
      <w:r>
        <w:t xml:space="preserve"> </w:t>
      </w:r>
      <w:r>
        <w:t xml:space="preserve">and</w:t>
      </w:r>
      <w:r>
        <w:t xml:space="preserve"> </w:t>
      </w:r>
      <w:r>
        <w:t xml:space="preserve">code</w:t>
      </w:r>
      <w:r>
        <w:t xml:space="preserve"> </w:t>
      </w:r>
      <w:r>
        <w:t xml:space="preserve">underpinning</w:t>
      </w:r>
      <w:r>
        <w:t xml:space="preserve"> </w:t>
      </w:r>
      <w:r>
        <w:t xml:space="preserve">the</w:t>
      </w:r>
      <w:r>
        <w:t xml:space="preserve"> </w:t>
      </w:r>
      <w:r>
        <w:t xml:space="preserve">analysis</w:t>
      </w:r>
      <w:r>
        <w:t xml:space="preserve"> </w:t>
      </w:r>
      <w:r>
        <w:t xml:space="preserve">made</w:t>
      </w:r>
      <w:r>
        <w:t xml:space="preserve"> </w:t>
      </w:r>
      <w:r>
        <w:t xml:space="preserve">freely</w:t>
      </w:r>
      <w:r>
        <w:t xml:space="preserve"> </w:t>
      </w:r>
      <w:r>
        <w:t xml:space="preserve">available</w:t>
      </w:r>
      <w:r>
        <w:t xml:space="preserve"> </w:t>
      </w:r>
      <w:r>
        <w:t xml:space="preserve">to</w:t>
      </w:r>
      <w:r>
        <w:t xml:space="preserve"> </w:t>
      </w:r>
      <w:r>
        <w:t xml:space="preserve">download</w:t>
      </w:r>
      <w:r>
        <w:t xml:space="preserve"> </w:t>
      </w:r>
      <w:r>
        <w:t xml:space="preserve">and</w:t>
      </w:r>
      <w:r>
        <w:t xml:space="preserve"> </w:t>
      </w:r>
      <w:r>
        <w:t xml:space="preserve">use.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about which much less is known. Research into this once maligned period has grown apace in the last few decades. What began as a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has culimated in the complete rejection by many scholars of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w:t>
      </w:r>
      <w:r>
        <w:t xml:space="preserve"> </w:t>
      </w:r>
      <w:r>
        <w:t xml:space="preserve">(see Kotsonas 2011)</w:t>
      </w:r>
      <w:r>
        <w:t xml:space="preserve">. The Fortesta and North Cemetery complexes are both well-published</w:t>
      </w:r>
      <w:r>
        <w:t xml:space="preserve"> </w:t>
      </w:r>
      <w:r>
        <w:t xml:space="preserve">(Brock 1957; Coldstream and Catling 1996)</w:t>
      </w:r>
      <w:r>
        <w:t xml:space="preserve"> </w:t>
      </w:r>
      <w:r>
        <w:t xml:space="preserve">and have been considered variously in relation to their</w:t>
      </w:r>
      <w:r>
        <w:t xml:space="preserve"> </w:t>
      </w:r>
      <w:r>
        <w:t xml:space="preserve">“</w:t>
      </w:r>
      <w:r>
        <w:t xml:space="preserve">oriental</w:t>
      </w:r>
      <w:r>
        <w:t xml:space="preserve">”</w:t>
      </w:r>
      <w:r>
        <w:t xml:space="preserve">"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but a general impression of un-patterned multiplicity.</w:t>
      </w:r>
    </w:p>
    <w:p>
      <w:pPr>
        <w:pStyle w:val="BodyText"/>
      </w:pPr>
      <w:r>
        <w:t xml:space="preserve">I suggest that the application of a range of quantitative and statistical methods may provide new insight into the social behaviours underlying the mortuary assemblages.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indeed the necessity, of making available not just the data underpinning their professional output, but the full methodologies by which their analyses were conducted, and in formats which facilitate reproducibilty and further investigation. It is felt that, with the opportunities afforded by current technologies (digital databases, statistical software packages, online repositories etc.), there remain ever fewer obstacles - and excuses - preventing the full and free sharing of both data and workflows. In Marwick’s words</w:t>
      </w:r>
      <w:r>
        <w:t xml:space="preserve"> </w:t>
      </w:r>
      <w:r>
        <w:t xml:space="preserve">(2017, 445)</w:t>
      </w:r>
      <w:r>
        <w:t xml:space="preserve">,</w:t>
      </w:r>
      <w:r>
        <w:t xml:space="preserve"> </w:t>
      </w:r>
      <w:r>
        <w:t xml:space="preserve">“</w:t>
      </w:r>
      <w:r>
        <w:t xml:space="preserve">[t]he technical problems are largely solved; the challenge now is to change the norms of the discipline to make high reproducibility a canonical attribute of high-quality scholarly work</w:t>
      </w:r>
      <w:r>
        <w:t xml:space="preserve">”</w:t>
      </w:r>
      <w:r>
        <w:t xml:space="preserve">.</w:t>
      </w:r>
    </w:p>
    <w:p>
      <w:pPr>
        <w:pStyle w:val="BodyText"/>
      </w:pPr>
      <w:r>
        <w:t xml:space="preserve">This is not the place for a detailed investigation into the lack of reproducible research in archaeology (for this, see …). Suffice it to say the problem exists, though, granted, gradual progress is being spearheaded by some. This article is, among other things, an attempt to bring these principles of maximal reproducibility to the archaeology of Early Iron Age Crete. Within this field, catalogues and excavation reports abound and, though many of these may be forgiven based on their dates of publication, the lack of readily utilisable digital data from a number of recent articles and monographs, indeed, the failure to even present the data such that they could be manually digitsed, is less pardonable. Preparation of databases such as those of the present study can (and did) involve prolongued trawling of printed tables (often without consistent formatting, coding or presentation which would enable easy digitisation), cross-referencing artefacts listed inconsistently in different contexts, or else grappling with catalogues which, through their unexplained lack of certain critical information (e.g. coordinates in site catalogues), offer little research potential beyond their descriptive face-value.</w:t>
      </w:r>
    </w:p>
    <w:p>
      <w:pPr>
        <w:pStyle w:val="BodyText"/>
      </w:pPr>
      <w:r>
        <w:t xml:space="preserve">There are, of course, complications to the sharing of data and methods. There are real and valid reservations around issues of copyright, the protection of sites from looting, the possibility of being scooped with one’s own data, or simply the significant investment of time demanded by the preparation of open-access research. But I would argue that the potential gains outweigh these concerns, and that research on the EIA would benefit greatly from the greater accessability of datasets and workflows.</w:t>
      </w:r>
    </w:p>
    <w:p>
      <w:pPr>
        <w:pStyle w:val="BodyText"/>
      </w:pPr>
      <w:r>
        <w:t xml:space="preserve">In this vein, the present article has been composed making use of Ben Marwick’s</w:t>
      </w:r>
      <w:r>
        <w:t xml:space="preserve"> </w:t>
      </w:r>
      <w:r>
        <w:t xml:space="preserve">“</w:t>
      </w:r>
      <w:r>
        <w:t xml:space="preserve">rrtools</w:t>
      </w:r>
      <w:r>
        <w:t xml:space="preserve">”</w:t>
      </w:r>
      <w:r>
        <w:t xml:space="preserve">, an open-source package for the statistical software R Studio, which provides the author with the tools to create a self-contained</w:t>
      </w:r>
      <w:r>
        <w:t xml:space="preserve"> </w:t>
      </w:r>
      <w:r>
        <w:t xml:space="preserve">“</w:t>
      </w:r>
      <w:r>
        <w:t xml:space="preserve">compendium</w:t>
      </w:r>
      <w:r>
        <w:t xml:space="preserve">”</w:t>
      </w:r>
      <w:r>
        <w:t xml:space="preserve">, which can be freely downloaded, and from which anyone can accurately reproduce the entire workflow of the present analysis. This analysis was conducted in R, and the full code, as well as the raw and derived datasets, complete bibliography (in BibTex format, for export to any major reference manager), figures, and article as originally submitted to this journal are included in the package. It can be downloaded as a repository from GitHub, at the following address:</w:t>
      </w:r>
      <w:r>
        <w:t xml:space="preserve"> </w:t>
      </w:r>
      <w:hyperlink r:id="rId33">
        <w:r>
          <w:rPr>
            <w:rStyle w:val="Hyperlink"/>
          </w:rPr>
          <w:t xml:space="preserve">https://github.com/DCPollard94/knossoscemeteries</w:t>
        </w:r>
      </w:hyperlink>
      <w:r>
        <w:t xml:space="preserve">, and the raw datasets have been stored with the online repository Figshare, here:</w:t>
      </w:r>
    </w:p>
    <w:p>
      <w:pPr>
        <w:pStyle w:val="BodyText"/>
      </w:pPr>
      <w:r>
        <w:t xml:space="preserve">Though not visible in the present paper, every figure and table herein was produced directly, through written code, from the raw data using R. The full code can be viewed and followed by downloading the repository from GitHub, and all the data are made available through an MIT license, which permits unlimited use, ammendation, and dissemination thereof, yet frees the present author from any responsibilty for that use, or for any perceived errors or inaccuracies in the data. It is sincerely hoped that others may find interest in, and themselves further explore and expand upon the research presented here, by downloading this compedium.</w:t>
      </w:r>
    </w:p>
    <w:p>
      <w:pPr>
        <w:pStyle w:val="Heading2"/>
      </w:pPr>
      <w:bookmarkStart w:id="34" w:name="estimating-interments"/>
      <w:bookmarkEnd w:id="34"/>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(Figure</w:t>
      </w:r>
      <w:r>
        <w:t xml:space="preserve"> </w:t>
      </w:r>
      <w:r>
        <w:t xml:space="preserve">1</w:t>
      </w:r>
      <w:r>
        <w:t xml:space="preserve">).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w:t>
      </w:r>
    </w:p>
    <w:p>
      <w:pPr>
        <w:pStyle w:val="SourceCode"/>
      </w:pPr>
      <w:r>
        <w:rPr>
          <w:rStyle w:val="VerbatimChar"/>
        </w:rPr>
        <w:t xml:space="preserve">#&gt; Importing fonts may take a few minutes, depending on the number of fonts and the speed of the system.</w:t>
      </w:r>
      <w:r>
        <w:br w:type="textWrapping"/>
      </w:r>
      <w:r>
        <w:rPr>
          <w:rStyle w:val="VerbatimChar"/>
        </w:rPr>
        <w:t xml:space="preserve">#&gt; Continue? [y/n]</w:t>
      </w:r>
    </w:p>
    <w:p>
      <w:pPr>
        <w:pStyle w:val="FigureWithCaption"/>
      </w:pPr>
      <w:r>
        <w:drawing>
          <wp:inline>
            <wp:extent cx="4595937" cy="3676749"/>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5"/>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BodyText"/>
      </w:pPr>
      <w:r>
        <w:t xml:space="preserve">For most diachronic analyses, however, pithoi alone were taken as the best proxy for burial numbers, as they correlated most closely with the mean estimate, (Pearson’s</w:t>
      </w:r>
      <w:r>
        <w:t xml:space="preserve"> </w:t>
      </w:r>
      <w:r>
        <w:rPr>
          <w:i/>
        </w:rPr>
        <w:t xml:space="preserve">r</w:t>
      </w:r>
      <w:r>
        <w:t xml:space="preserve"> </w:t>
      </w:r>
      <w:r>
        <w:t xml:space="preserve">= 0.978565). In most cases, and often simply by virute of the methods employed, any tombs lacking identified remains or a single vessel suitable for use as an urn were not considered, thus excluding what are presumably among the most heavily damaged and looted tombs.</w:t>
      </w:r>
    </w:p>
    <w:p>
      <w:pPr>
        <w:pStyle w:val="Heading2"/>
      </w:pPr>
      <w:bookmarkStart w:id="36" w:name="aoristic-approaches-to-dating"/>
      <w:bookmarkEnd w:id="36"/>
      <w:r>
        <w:t xml:space="preserve">Aoristic approaches to dating</w:t>
      </w:r>
    </w:p>
    <w:p>
      <w:pPr>
        <w:pStyle w:val="FirstParagraph"/>
      </w:pPr>
      <w:r>
        <w:t xml:space="preserve">A central concern of the present study was how to deal with the temporal uncertainty implicit within the assigning of individual vessels to stylistically-defined periods. A vessel dated to the Protogeometric B period could, on our best estimates of absolute chronology, date to any point between 840 and 810 BC. This situation results in major challenges to the visualisation and analysis of such data through mean which normally rely on event- and not range-based data inputs. A simple, if unsatisfying, solution is to use the midpoint of the range asigned to each vessel (i.e. 825 for our PGB example). This method is used in a couple of instances in the present paper when the course-grained sorting of the data (into 50 year periods) renders the innacuracies of such a method less significant.</w:t>
      </w:r>
    </w:p>
    <w:p>
      <w:pPr>
        <w:pStyle w:val="FigureWithCaption"/>
      </w:pPr>
      <w:r>
        <w:drawing>
          <wp:inline>
            <wp:extent cx="4595937" cy="3676749"/>
            <wp:effectExtent b="0" l="0" r="0" t="0"/>
            <wp:docPr descr="Figure 2 Counts of pithoi across both cemeteries through time. Vessel dates have here been based on the midpoint of the absolute date range accompanying their respective ceramic periods." title="" id="1" name="Picture"/>
            <a:graphic>
              <a:graphicData uri="http://schemas.openxmlformats.org/drawingml/2006/picture">
                <pic:pic>
                  <pic:nvPicPr>
                    <pic:cNvPr descr="../figures/allpithoi-1.png" id="0" name="Picture"/>
                    <pic:cNvPicPr>
                      <a:picLocks noChangeArrowheads="1" noChangeAspect="1"/>
                    </pic:cNvPicPr>
                  </pic:nvPicPr>
                  <pic:blipFill>
                    <a:blip r:embed="rId37"/>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2 Counts of pithoi across both cemeteries through time. Vessel dates have here been based on the midpoint of the absolute date range accompanying their respective ceramic periods.</w:t>
      </w:r>
    </w:p>
    <w:p>
      <w:pPr>
        <w:pStyle w:val="BodyText"/>
      </w:pPr>
      <w:r>
        <w:t xml:space="preserve">But the artificial clustering this technique engenders around select absolute dates proves misleading when, for instance, the total number of pithoi deposited by date are plotted via a histogram (Figure</w:t>
      </w:r>
      <w:r>
        <w:t xml:space="preserve"> </w:t>
      </w:r>
      <w:r>
        <w:t xml:space="preserve">2</w:t>
      </w:r>
      <w:r>
        <w:t xml:space="preserve">); the apparent cessation of burial activity for 30 years in the 8th century, followed by the most intense episode of deposition yet seen, is simply a fiction generated by the processing of the data.</w:t>
      </w:r>
    </w:p>
    <w:p>
      <w:pPr>
        <w:pStyle w:val="BodyText"/>
      </w:pPr>
      <w:r>
        <w:t xml:space="preserve">A alternative way of dealing with temporal uncertainty, and the method employed extensively in this paper, is the use of so-called</w:t>
      </w:r>
      <w:r>
        <w:t xml:space="preserve"> </w:t>
      </w:r>
      <w:r>
        <w:t xml:space="preserve">“</w:t>
      </w:r>
      <w:r>
        <w:t xml:space="preserve">aoristic analysis</w:t>
      </w:r>
      <w:r>
        <w:t xml:space="preserve">”</w:t>
      </w:r>
      <w:r>
        <w:t xml:space="preserve">. Here, rather than assign a pot a single date, the entire timespan under investigation is divided into equal chunks (in this case, decades), and probability values summing to 1 are then assigned for each vessel, per chunk of time, based on its accordant date range. So, our PGB vessel, dateable between 840 and 810 BC would register a value of 0.33 for each of the three decades within which we it could theoretically have been produced. These values for individual vessels can can then simply be summed to produce tomb- or cemetery-level signatures. The greatest contribution of this method is that it incorporates temporal uncertainty into the size of the resulting values, that is,</w:t>
      </w:r>
      <w:r>
        <w:t xml:space="preserve"> </w:t>
      </w:r>
      <w:r>
        <w:t xml:space="preserve">“</w:t>
      </w:r>
      <w:r>
        <w:t xml:space="preserve">events with tight temporal definition contribute more to the total probability over their range than do loosely defined events</w:t>
      </w:r>
      <w:r>
        <w:t xml:space="preserve">”</w:t>
      </w:r>
      <w:r>
        <w:t xml:space="preserve"> </w:t>
      </w:r>
      <w:r>
        <w:t xml:space="preserve">(JOHNSON 2003 p2).</w:t>
      </w:r>
    </w:p>
    <w:p>
      <w:pPr>
        <w:pStyle w:val="FigureWithCaption"/>
      </w:pPr>
      <w:r>
        <w:drawing>
          <wp:inline>
            <wp:extent cx="4595937" cy="3676749"/>
            <wp:effectExtent b="0" l="0" r="0" t="0"/>
            <wp:docPr descr="Figure 3 Aoristic sums of all vessels across both cemeteries. This represents a probabilistically weighted visualisation of depositional activity through time." title="" id="1" name="Picture"/>
            <a:graphic>
              <a:graphicData uri="http://schemas.openxmlformats.org/drawingml/2006/picture">
                <pic:pic>
                  <pic:nvPicPr>
                    <pic:cNvPr descr="../figures/aoristallcems-1.png" id="0" name="Picture"/>
                    <pic:cNvPicPr>
                      <a:picLocks noChangeArrowheads="1" noChangeAspect="1"/>
                    </pic:cNvPicPr>
                  </pic:nvPicPr>
                  <pic:blipFill>
                    <a:blip r:embed="rId38"/>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3 Aoristic sums of all vessels across both cemeteries. This represents a probabilistically weighted visualisation of depositional activity through time.</w:t>
      </w:r>
    </w:p>
    <w:p>
      <w:pPr>
        <w:pStyle w:val="BodyText"/>
      </w:pPr>
      <w:r>
        <w:t xml:space="preserve">As seen in Figure</w:t>
      </w:r>
      <w:r>
        <w:t xml:space="preserve"> </w:t>
      </w:r>
      <w:r>
        <w:t xml:space="preserve">3</w:t>
      </w:r>
      <w:r>
        <w:t xml:space="preserve">, the artifical peaks and troughs of the simple averaging method are avoided, and different patterns become visible. Though these methods present their own limitations, which will be explored in the following sections, they are considered a more robust and productive approach to the temporal uncertainty of ceramic dating and, as such, are used for much of the present analysis.</w:t>
      </w:r>
    </w:p>
    <w:p>
      <w:pPr>
        <w:pStyle w:val="Heading2"/>
      </w:pPr>
      <w:bookmarkStart w:id="39" w:name="theory-and-method"/>
      <w:bookmarkEnd w:id="39"/>
      <w:r>
        <w:t xml:space="preserve">Theory and method</w:t>
      </w:r>
    </w:p>
    <w:p>
      <w:pPr>
        <w:pStyle w:val="FirstParagraph"/>
      </w:pPr>
      <w:r>
        <w:t xml:space="preserve">Before proceeding to the main discussion, it should be stressed that, though I hope to demonstrate the power of quantitative and statistical approaches to the mortuary record, data-points cannot replace description, and theory must not be absent in the use of such methods. Quantifications and statistical analyses should, ideally, be employed as tools for the development and exploration of theoretically-informed models of social practice. Throughout the following analysis, I aim to link the observed patterning in the material back to possible forms of human behaviour, which in turn guides the focus of subsequent analyses, and so on. It is hoped that the value of such an approach will become clear.</w:t>
      </w:r>
    </w:p>
    <w:p>
      <w:pPr>
        <w:pStyle w:val="Heading1"/>
      </w:pPr>
      <w:bookmarkStart w:id="40" w:name="analysis"/>
      <w:bookmarkEnd w:id="40"/>
      <w:r>
        <w:t xml:space="preserve">Analysis</w:t>
      </w:r>
    </w:p>
    <w:p>
      <w:pPr>
        <w:pStyle w:val="Heading2"/>
      </w:pPr>
      <w:bookmarkStart w:id="41" w:name="introduction-1"/>
      <w:bookmarkEnd w:id="41"/>
      <w:r>
        <w:t xml:space="preserve">Introduction</w:t>
      </w:r>
    </w:p>
    <w:p>
      <w:pPr>
        <w:pStyle w:val="FirstParagraph"/>
      </w:pPr>
      <w:r>
        <w:t xml:space="preserve">The great advantage of the large, quantitative dataset compiled for the present analysis is that it permits investigation of several nested levels of potentially significant patterning. From individual burials, to collective tombs, to the cemeteries as a whole, and between cemeteries in the landscape, we have the opportunity to study and compare both the chronological and contemporary variation across these various levels. The following analysis is divided broadly into these two distinct, though complementary, perspectives. I consider, firstly, how temporal variations in the material may relate to broader social dynamics and, secondly, how the form and content of the tombs and their assemblages can enrich the schematic picture derived from the chronological patterns. Taken together, these two approaches enable us to develop a nuanced account of the changing social landscape of EIA Knossos, drawing together issues of group identity, external relations, and the communication of wealth and status through funerary practice.</w:t>
      </w:r>
    </w:p>
    <w:p>
      <w:pPr>
        <w:pStyle w:val="Heading2"/>
      </w:pPr>
      <w:bookmarkStart w:id="42" w:name="temporal-variation-in-the-knossian-cemeteries"/>
      <w:bookmarkEnd w:id="42"/>
      <w:r>
        <w:t xml:space="preserve">Temporal variation in the Knossian Cemeteries</w:t>
      </w:r>
    </w:p>
    <w:p>
      <w:pPr>
        <w:pStyle w:val="FirstParagraph"/>
      </w:pPr>
      <w:r>
        <w:t xml:space="preserve">An obvious place to begin is with the chronology of the burials themselves. The rate and number of burials being made through time provides the background against which to consider all other developments.</w:t>
      </w:r>
    </w:p>
    <w:p>
      <w:pPr>
        <w:pStyle w:val="FigureWithCaption"/>
      </w:pPr>
      <w:r>
        <w:drawing>
          <wp:inline>
            <wp:extent cx="5943600" cy="2971800"/>
            <wp:effectExtent b="0" l="0" r="0" t="0"/>
            <wp:docPr descr="Figure 4 Aorist sums of pithoi (left) as a proxy for cremation burials, and all vessels (right). The sums are colour coded to show the values of the two cemeteries, and the total values." title="" id="1" name="Picture"/>
            <a:graphic>
              <a:graphicData uri="http://schemas.openxmlformats.org/drawingml/2006/picture">
                <pic:pic>
                  <pic:nvPicPr>
                    <pic:cNvPr descr="../figures/aoristbycem-1.png"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Aorist sums of pithoi (left) as a proxy for cremation burials, and all vessels (right). The sums are colour coded to show the values of the two cemeteries, and the total values.</w:t>
      </w:r>
    </w:p>
    <w:p>
      <w:pPr>
        <w:pStyle w:val="BodyText"/>
      </w:pPr>
      <w:r>
        <w:t xml:space="preserve">Figure</w:t>
      </w:r>
      <w:r>
        <w:t xml:space="preserve"> </w:t>
      </w:r>
      <w:r>
        <w:t xml:space="preserve">4</w:t>
      </w:r>
      <w:r>
        <w:t xml:space="preserve"> </w:t>
      </w:r>
      <w:r>
        <w:t xml:space="preserve">depicts the aoristic sums of pithoi (as a proxy for burials) and of all vessels, colour-coded by cemetery. Immediately apparent are the broad correspondences between both cemeteries. Despite differences in scale and timing, we can see the Fortetsa and Knossos North Cemeteries underwent similar chronological developments in the volume of burials and, to a lesser degree, grave goods. In both cemeteries, the rate of burial began rising around the end of the 9th century, plateaued slightly in the early 8th, and then rose again to a peak in the late 8th and early 7th centuries. For associated vessels, the developments are more volatile, but again there is clear growth beginning in the later 10th century - reaching an especially marked peak in the KNC by the end of the 9th - then a slight decline and levelling into the 8th century, before a final early 7th century apogee.</w:t>
      </w:r>
    </w:p>
    <w:p>
      <w:pPr>
        <w:pStyle w:val="BodyText"/>
      </w:pPr>
      <w:r>
        <w:t xml:space="preserve">The near total absence of pithoi from the 11th and early 10th centuries reflects the delayed onset of cremation burial, with inhumations representing a significant proportion of earlier interments. Nonetheless, the clear inference would appear to be that, at both cemeteries, the late 8th and early 7th centuries witnessed an unprecedented level of burial activity, something which makes the sudden and total drop of chamber-tomb burials around 630 BC even more remarkable.</w:t>
      </w:r>
    </w:p>
    <w:p>
      <w:pPr>
        <w:pStyle w:val="BodyText"/>
      </w:pPr>
      <w:r>
        <w:drawing>
          <wp:inline>
            <wp:extent cx="4595937" cy="3676749"/>
            <wp:effectExtent b="0" l="0" r="0" t="0"/>
            <wp:docPr descr="" title="" id="1" name="Picture"/>
            <a:graphic>
              <a:graphicData uri="http://schemas.openxmlformats.org/drawingml/2006/picture">
                <pic:pic>
                  <pic:nvPicPr>
                    <pic:cNvPr descr="../figures/aoristknc-1.png" id="0" name="Picture"/>
                    <pic:cNvPicPr>
                      <a:picLocks noChangeArrowheads="1" noChangeAspect="1"/>
                    </pic:cNvPicPr>
                  </pic:nvPicPr>
                  <pic:blipFill>
                    <a:blip r:embed="rId44"/>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figures/aorist_uncertainty-1.png" id="0"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medianadjust-1.png" id="0" name="Picture"/>
                    <pic:cNvPicPr>
                      <a:picLocks noChangeArrowheads="1" noChangeAspect="1"/>
                    </pic:cNvPicPr>
                  </pic:nvPicPr>
                  <pic:blipFill>
                    <a:blip r:embed="rId46"/>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47"/>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1-2.png" id="0" name="Picture"/>
                    <pic:cNvPicPr>
                      <a:picLocks noChangeArrowheads="1" noChangeAspect="1"/>
                    </pic:cNvPicPr>
                  </pic:nvPicPr>
                  <pic:blipFill>
                    <a:blip r:embed="rId48"/>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49"/>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2-2.png" id="0" name="Picture"/>
                    <pic:cNvPicPr>
                      <a:picLocks noChangeArrowheads="1" noChangeAspect="1"/>
                    </pic:cNvPicPr>
                  </pic:nvPicPr>
                  <pic:blipFill>
                    <a:blip r:embed="rId50"/>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2-3.png" id="0" name="Picture"/>
                    <pic:cNvPicPr>
                      <a:picLocks noChangeArrowheads="1" noChangeAspect="1"/>
                    </pic:cNvPicPr>
                  </pic:nvPicPr>
                  <pic:blipFill>
                    <a:blip r:embed="rId51"/>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t xml:space="preserve">We can also make a table (Table</w:t>
      </w:r>
      <w:r>
        <w:t xml:space="preserve"> </w:t>
      </w:r>
      <w:r>
        <w:t xml:space="preserve">??</w:t>
      </w:r>
      <w:r>
        <w:t xml:space="preserve">)</w:t>
      </w:r>
    </w:p>
    <w:p>
      <w:pPr>
        <w:pStyle w:val="BodyText"/>
      </w:pPr>
      <w:r>
        <w:drawing>
          <wp:inline>
            <wp:extent cx="4595937" cy="3676749"/>
            <wp:effectExtent b="0" l="0" r="0" t="0"/>
            <wp:docPr descr="" title="" id="1" name="Picture"/>
            <a:graphic>
              <a:graphicData uri="http://schemas.openxmlformats.org/drawingml/2006/picture">
                <pic:pic>
                  <pic:nvPicPr>
                    <pic:cNvPr descr="../figures/aorist_burials-1.png" id="0" name="Picture"/>
                    <pic:cNvPicPr>
                      <a:picLocks noChangeArrowheads="1" noChangeAspect="1"/>
                    </pic:cNvPicPr>
                  </pic:nvPicPr>
                  <pic:blipFill>
                    <a:blip r:embed="rId52"/>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tomb_adjust-1.png" id="0" name="Picture"/>
                    <pic:cNvPicPr>
                      <a:picLocks noChangeArrowheads="1" noChangeAspect="1"/>
                    </pic:cNvPicPr>
                  </pic:nvPicPr>
                  <pic:blipFill>
                    <a:blip r:embed="rId53"/>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2.png" id="0" name="Picture"/>
                    <pic:cNvPicPr>
                      <a:picLocks noChangeArrowheads="1" noChangeAspect="1"/>
                    </pic:cNvPicPr>
                  </pic:nvPicPr>
                  <pic:blipFill>
                    <a:blip r:embed="rId54"/>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[1] "tomb"                   "cemetery"              </w:t>
      </w:r>
      <w:r>
        <w:br w:type="textWrapping"/>
      </w:r>
      <w:r>
        <w:rPr>
          <w:rStyle w:val="VerbatimChar"/>
        </w:rPr>
        <w:t xml:space="preserve">#&gt;   [3] "cem_condensed"          "Tomb.Type"             </w:t>
      </w:r>
      <w:r>
        <w:br w:type="textWrapping"/>
      </w:r>
      <w:r>
        <w:rPr>
          <w:rStyle w:val="VerbatimChar"/>
        </w:rPr>
        <w:t xml:space="preserve">#&gt;   [5] "SM"                     "EPG"                   </w:t>
      </w:r>
      <w:r>
        <w:br w:type="textWrapping"/>
      </w:r>
      <w:r>
        <w:rPr>
          <w:rStyle w:val="VerbatimChar"/>
        </w:rPr>
        <w:t xml:space="preserve">#&gt;   [7] "MPG"                    "LPG"                   </w:t>
      </w:r>
      <w:r>
        <w:br w:type="textWrapping"/>
      </w:r>
      <w:r>
        <w:rPr>
          <w:rStyle w:val="VerbatimChar"/>
        </w:rPr>
        <w:t xml:space="preserve">#&gt;   [9] "PGB"                    "EG"                    </w:t>
      </w:r>
      <w:r>
        <w:br w:type="textWrapping"/>
      </w:r>
      <w:r>
        <w:rPr>
          <w:rStyle w:val="VerbatimChar"/>
        </w:rPr>
        <w:t xml:space="preserve">#&gt;  [11] "MG"                     "LG"                    </w:t>
      </w:r>
      <w:r>
        <w:br w:type="textWrapping"/>
      </w:r>
      <w:r>
        <w:rPr>
          <w:rStyle w:val="VerbatimChar"/>
        </w:rPr>
        <w:t xml:space="preserve">#&gt;  [13] "EO"                     "LO"                    </w:t>
      </w:r>
      <w:r>
        <w:br w:type="textWrapping"/>
      </w:r>
      <w:r>
        <w:rPr>
          <w:rStyle w:val="VerbatimChar"/>
        </w:rPr>
        <w:t xml:space="preserve">#&gt;  [15] "start_period"           "periods_used"          </w:t>
      </w:r>
      <w:r>
        <w:br w:type="textWrapping"/>
      </w:r>
      <w:r>
        <w:rPr>
          <w:rStyle w:val="VerbatimChar"/>
        </w:rPr>
        <w:t xml:space="preserve">#&gt;  [17] "start_date"             "end_date"              </w:t>
      </w:r>
      <w:r>
        <w:br w:type="textWrapping"/>
      </w:r>
      <w:r>
        <w:rPr>
          <w:rStyle w:val="VerbatimChar"/>
        </w:rPr>
        <w:t xml:space="preserve">#&gt;  [19] "time_used"              "century_built"         </w:t>
      </w:r>
      <w:r>
        <w:br w:type="textWrapping"/>
      </w:r>
      <w:r>
        <w:rPr>
          <w:rStyle w:val="VerbatimChar"/>
        </w:rPr>
        <w:t xml:space="preserve">#&gt;  [21] "chamber_diameter"       "chamber_width"         </w:t>
      </w:r>
      <w:r>
        <w:br w:type="textWrapping"/>
      </w:r>
      <w:r>
        <w:rPr>
          <w:rStyle w:val="VerbatimChar"/>
        </w:rPr>
        <w:t xml:space="preserve">#&gt;  [23] "chamber_depth"          "chamber_area"          </w:t>
      </w:r>
      <w:r>
        <w:br w:type="textWrapping"/>
      </w:r>
      <w:r>
        <w:rPr>
          <w:rStyle w:val="VerbatimChar"/>
        </w:rPr>
        <w:t xml:space="preserve">#&gt;  [25] "stomion_width"          "stomion_depth"         </w:t>
      </w:r>
      <w:r>
        <w:br w:type="textWrapping"/>
      </w:r>
      <w:r>
        <w:rPr>
          <w:rStyle w:val="VerbatimChar"/>
        </w:rPr>
        <w:t xml:space="preserve">#&gt;  [27] "dromos_length"          "dromos_width"          </w:t>
      </w:r>
      <w:r>
        <w:br w:type="textWrapping"/>
      </w:r>
      <w:r>
        <w:rPr>
          <w:rStyle w:val="VerbatimChar"/>
        </w:rPr>
        <w:t xml:space="preserve">#&gt;  [29] "chamber_burials"        "dromos_burials"        </w:t>
      </w:r>
      <w:r>
        <w:br w:type="textWrapping"/>
      </w:r>
      <w:r>
        <w:rPr>
          <w:rStyle w:val="VerbatimChar"/>
        </w:rPr>
        <w:t xml:space="preserve">#&gt;  [31] "total_burials"          "pithoi"                </w:t>
      </w:r>
      <w:r>
        <w:br w:type="textWrapping"/>
      </w:r>
      <w:r>
        <w:rPr>
          <w:rStyle w:val="VerbatimChar"/>
        </w:rPr>
        <w:t xml:space="preserve">#&gt;  [33] "all_urns"               "est_burials"           </w:t>
      </w:r>
      <w:r>
        <w:br w:type="textWrapping"/>
      </w:r>
      <w:r>
        <w:rPr>
          <w:rStyle w:val="VerbatimChar"/>
        </w:rPr>
        <w:t xml:space="preserve">#&gt;  [35] "gold"                   "iron"                  </w:t>
      </w:r>
      <w:r>
        <w:br w:type="textWrapping"/>
      </w:r>
      <w:r>
        <w:rPr>
          <w:rStyle w:val="VerbatimChar"/>
        </w:rPr>
        <w:t xml:space="preserve">#&gt;  [37] "bronze"                 "silver"                </w:t>
      </w:r>
      <w:r>
        <w:br w:type="textWrapping"/>
      </w:r>
      <w:r>
        <w:rPr>
          <w:rStyle w:val="VerbatimChar"/>
        </w:rPr>
        <w:t xml:space="preserve">#&gt;  [39] "lead"                   "electrum"              </w:t>
      </w:r>
      <w:r>
        <w:br w:type="textWrapping"/>
      </w:r>
      <w:r>
        <w:rPr>
          <w:rStyle w:val="VerbatimChar"/>
        </w:rPr>
        <w:t xml:space="preserve">#&gt;  [41] "other_metal"            "total_metal"           </w:t>
      </w:r>
      <w:r>
        <w:br w:type="textWrapping"/>
      </w:r>
      <w:r>
        <w:rPr>
          <w:rStyle w:val="VerbatimChar"/>
        </w:rPr>
        <w:t xml:space="preserve">#&gt;  [43] "bone_ivory"             "faience_blue"          </w:t>
      </w:r>
      <w:r>
        <w:br w:type="textWrapping"/>
      </w:r>
      <w:r>
        <w:rPr>
          <w:rStyle w:val="VerbatimChar"/>
        </w:rPr>
        <w:t xml:space="preserve">#&gt;  [45] "amber"                  "organics"              </w:t>
      </w:r>
      <w:r>
        <w:br w:type="textWrapping"/>
      </w:r>
      <w:r>
        <w:rPr>
          <w:rStyle w:val="VerbatimChar"/>
        </w:rPr>
        <w:t xml:space="preserve">#&gt;  [47] "stone"                  "glass_paste"           </w:t>
      </w:r>
      <w:r>
        <w:br w:type="textWrapping"/>
      </w:r>
      <w:r>
        <w:rPr>
          <w:rStyle w:val="VerbatimChar"/>
        </w:rPr>
        <w:t xml:space="preserve">#&gt;  [49] "clay"                   "unknown_mat"           </w:t>
      </w:r>
      <w:r>
        <w:br w:type="textWrapping"/>
      </w:r>
      <w:r>
        <w:rPr>
          <w:rStyle w:val="VerbatimChar"/>
        </w:rPr>
        <w:t xml:space="preserve">#&gt;  [51] "total_object"           "adornment"             </w:t>
      </w:r>
      <w:r>
        <w:br w:type="textWrapping"/>
      </w:r>
      <w:r>
        <w:rPr>
          <w:rStyle w:val="VerbatimChar"/>
        </w:rPr>
        <w:t xml:space="preserve">#&gt;  [53] "tool"                   "weapon"                </w:t>
      </w:r>
      <w:r>
        <w:br w:type="textWrapping"/>
      </w:r>
      <w:r>
        <w:rPr>
          <w:rStyle w:val="VerbatimChar"/>
        </w:rPr>
        <w:t xml:space="preserve">#&gt;  [55] "model"                  "jewellery"             </w:t>
      </w:r>
      <w:r>
        <w:br w:type="textWrapping"/>
      </w:r>
      <w:r>
        <w:rPr>
          <w:rStyle w:val="VerbatimChar"/>
        </w:rPr>
        <w:t xml:space="preserve">#&gt;  [57] "strip"                  "sheet"                 </w:t>
      </w:r>
      <w:r>
        <w:br w:type="textWrapping"/>
      </w:r>
      <w:r>
        <w:rPr>
          <w:rStyle w:val="VerbatimChar"/>
        </w:rPr>
        <w:t xml:space="preserve">#&gt;  [59] "cooking"                "loom"                  </w:t>
      </w:r>
      <w:r>
        <w:br w:type="textWrapping"/>
      </w:r>
      <w:r>
        <w:rPr>
          <w:rStyle w:val="VerbatimChar"/>
        </w:rPr>
        <w:t xml:space="preserve">#&gt;  [61] "clothing_armour"        "scarab"                </w:t>
      </w:r>
      <w:r>
        <w:br w:type="textWrapping"/>
      </w:r>
      <w:r>
        <w:rPr>
          <w:rStyle w:val="VerbatimChar"/>
        </w:rPr>
        <w:t xml:space="preserve">#&gt;  [63] "coin"                   "component"             </w:t>
      </w:r>
      <w:r>
        <w:br w:type="textWrapping"/>
      </w:r>
      <w:r>
        <w:rPr>
          <w:rStyle w:val="VerbatimChar"/>
        </w:rPr>
        <w:t xml:space="preserve">#&gt;  [65] "seal"                   "ornament"              </w:t>
      </w:r>
      <w:r>
        <w:br w:type="textWrapping"/>
      </w:r>
      <w:r>
        <w:rPr>
          <w:rStyle w:val="VerbatimChar"/>
        </w:rPr>
        <w:t xml:space="preserve">#&gt;  [67] "fitting"                "vessel"                </w:t>
      </w:r>
      <w:r>
        <w:br w:type="textWrapping"/>
      </w:r>
      <w:r>
        <w:rPr>
          <w:rStyle w:val="VerbatimChar"/>
        </w:rPr>
        <w:t xml:space="preserve">#&gt;  [69] "unidentified_use"       "other_use"             </w:t>
      </w:r>
      <w:r>
        <w:br w:type="textWrapping"/>
      </w:r>
      <w:r>
        <w:rPr>
          <w:rStyle w:val="VerbatimChar"/>
        </w:rPr>
        <w:t xml:space="preserve">#&gt;  [71] "stirrup_jar"            "jar"                   </w:t>
      </w:r>
      <w:r>
        <w:br w:type="textWrapping"/>
      </w:r>
      <w:r>
        <w:rPr>
          <w:rStyle w:val="VerbatimChar"/>
        </w:rPr>
        <w:t xml:space="preserve">#&gt;  [73] "flask"                  "oinochoai"             </w:t>
      </w:r>
      <w:r>
        <w:br w:type="textWrapping"/>
      </w:r>
      <w:r>
        <w:rPr>
          <w:rStyle w:val="VerbatimChar"/>
        </w:rPr>
        <w:t xml:space="preserve">#&gt;  [75] "amphora"                "thelastron"            </w:t>
      </w:r>
      <w:r>
        <w:br w:type="textWrapping"/>
      </w:r>
      <w:r>
        <w:rPr>
          <w:rStyle w:val="VerbatimChar"/>
        </w:rPr>
        <w:t xml:space="preserve">#&gt;  [77] "amphoriskos"            "hydria"                </w:t>
      </w:r>
      <w:r>
        <w:br w:type="textWrapping"/>
      </w:r>
      <w:r>
        <w:rPr>
          <w:rStyle w:val="VerbatimChar"/>
        </w:rPr>
        <w:t xml:space="preserve">#&gt;  [79] "pithos"                 "jug_let"               </w:t>
      </w:r>
      <w:r>
        <w:br w:type="textWrapping"/>
      </w:r>
      <w:r>
        <w:rPr>
          <w:rStyle w:val="VerbatimChar"/>
        </w:rPr>
        <w:t xml:space="preserve">#&gt;  [81] "olpe"                   "alabastron"            </w:t>
      </w:r>
      <w:r>
        <w:br w:type="textWrapping"/>
      </w:r>
      <w:r>
        <w:rPr>
          <w:rStyle w:val="VerbatimChar"/>
        </w:rPr>
        <w:t xml:space="preserve">#&gt;  [83] "lentoid_flask"          "lekythos"              </w:t>
      </w:r>
      <w:r>
        <w:br w:type="textWrapping"/>
      </w:r>
      <w:r>
        <w:rPr>
          <w:rStyle w:val="VerbatimChar"/>
        </w:rPr>
        <w:t xml:space="preserve">#&gt;  [85] "alabastron_aryballos"   "aryballos"             </w:t>
      </w:r>
      <w:r>
        <w:br w:type="textWrapping"/>
      </w:r>
      <w:r>
        <w:rPr>
          <w:rStyle w:val="VerbatimChar"/>
        </w:rPr>
        <w:t xml:space="preserve">#&gt;  [87] "bottle"                 "bird_askos"            </w:t>
      </w:r>
      <w:r>
        <w:br w:type="textWrapping"/>
      </w:r>
      <w:r>
        <w:rPr>
          <w:rStyle w:val="VerbatimChar"/>
        </w:rPr>
        <w:t xml:space="preserve">#&gt;  [89] "pyxis"                  "dinos"                 </w:t>
      </w:r>
      <w:r>
        <w:br w:type="textWrapping"/>
      </w:r>
      <w:r>
        <w:rPr>
          <w:rStyle w:val="VerbatimChar"/>
        </w:rPr>
        <w:t xml:space="preserve">#&gt;  [91] "krater"                 "krateriskos"           </w:t>
      </w:r>
      <w:r>
        <w:br w:type="textWrapping"/>
      </w:r>
      <w:r>
        <w:rPr>
          <w:rStyle w:val="VerbatimChar"/>
        </w:rPr>
        <w:t xml:space="preserve">#&gt;  [93] "lekanis"                "skyphos"               </w:t>
      </w:r>
      <w:r>
        <w:br w:type="textWrapping"/>
      </w:r>
      <w:r>
        <w:rPr>
          <w:rStyle w:val="VerbatimChar"/>
        </w:rPr>
        <w:t xml:space="preserve">#&gt;  [95] "bowl"                   "cup"                   </w:t>
      </w:r>
      <w:r>
        <w:br w:type="textWrapping"/>
      </w:r>
      <w:r>
        <w:rPr>
          <w:rStyle w:val="VerbatimChar"/>
        </w:rPr>
        <w:t xml:space="preserve">#&gt;  [97] "kantharos"              "plate_tray"            </w:t>
      </w:r>
      <w:r>
        <w:br w:type="textWrapping"/>
      </w:r>
      <w:r>
        <w:rPr>
          <w:rStyle w:val="VerbatimChar"/>
        </w:rPr>
        <w:t xml:space="preserve">#&gt;  [99] "kotyle"                 "kalathos"              </w:t>
      </w:r>
      <w:r>
        <w:br w:type="textWrapping"/>
      </w:r>
      <w:r>
        <w:rPr>
          <w:rStyle w:val="VerbatimChar"/>
        </w:rPr>
        <w:t xml:space="preserve">#&gt; [101] "lid"                    "larnax"                </w:t>
      </w:r>
      <w:r>
        <w:br w:type="textWrapping"/>
      </w:r>
      <w:r>
        <w:rPr>
          <w:rStyle w:val="VerbatimChar"/>
        </w:rPr>
        <w:t xml:space="preserve">#&gt; [103] "stand"                  "house_model"           </w:t>
      </w:r>
      <w:r>
        <w:br w:type="textWrapping"/>
      </w:r>
      <w:r>
        <w:rPr>
          <w:rStyle w:val="VerbatimChar"/>
        </w:rPr>
        <w:t xml:space="preserve">#&gt; [105] "kernos"                 "other_vessel"          </w:t>
      </w:r>
      <w:r>
        <w:br w:type="textWrapping"/>
      </w:r>
      <w:r>
        <w:rPr>
          <w:rStyle w:val="VerbatimChar"/>
        </w:rPr>
        <w:t xml:space="preserve">#&gt; [107] "unidentified_vessel"    "total_open_vessel"     </w:t>
      </w:r>
      <w:r>
        <w:br w:type="textWrapping"/>
      </w:r>
      <w:r>
        <w:rPr>
          <w:rStyle w:val="VerbatimChar"/>
        </w:rPr>
        <w:t xml:space="preserve">#&gt; [109] "total_closed_vessel"    "total_other_vessel"    </w:t>
      </w:r>
      <w:r>
        <w:br w:type="textWrapping"/>
      </w:r>
      <w:r>
        <w:rPr>
          <w:rStyle w:val="VerbatimChar"/>
        </w:rPr>
        <w:t xml:space="preserve">#&gt; [111] "total_pottery"          "total_finds"           </w:t>
      </w:r>
      <w:r>
        <w:br w:type="textWrapping"/>
      </w:r>
      <w:r>
        <w:rPr>
          <w:rStyle w:val="VerbatimChar"/>
        </w:rPr>
        <w:t xml:space="preserve">#&gt; [113] "total_import"           "total_import_imitation"</w:t>
      </w:r>
      <w:r>
        <w:br w:type="textWrapping"/>
      </w:r>
      <w:r>
        <w:rPr>
          <w:rStyle w:val="VerbatimChar"/>
        </w:rPr>
        <w:t xml:space="preserve">#&gt; [115] "total_imitation"        "antique"               </w:t>
      </w:r>
      <w:r>
        <w:br w:type="textWrapping"/>
      </w:r>
      <w:r>
        <w:rPr>
          <w:rStyle w:val="VerbatimChar"/>
        </w:rPr>
        <w:t xml:space="preserve">#&gt; [117] "pithoi1100.1050"        "pithoi1050.1000"       </w:t>
      </w:r>
      <w:r>
        <w:br w:type="textWrapping"/>
      </w:r>
      <w:r>
        <w:rPr>
          <w:rStyle w:val="VerbatimChar"/>
        </w:rPr>
        <w:t xml:space="preserve">#&gt; [119] "pithoi1000.950"         "pithoi950.900"         </w:t>
      </w:r>
      <w:r>
        <w:br w:type="textWrapping"/>
      </w:r>
      <w:r>
        <w:rPr>
          <w:rStyle w:val="VerbatimChar"/>
        </w:rPr>
        <w:t xml:space="preserve">#&gt; [121] "pithoi900.850"          "pithoi850.800"         </w:t>
      </w:r>
      <w:r>
        <w:br w:type="textWrapping"/>
      </w:r>
      <w:r>
        <w:rPr>
          <w:rStyle w:val="VerbatimChar"/>
        </w:rPr>
        <w:t xml:space="preserve">#&gt; [123] "pithoi800.750"          "pithoi750.700"         </w:t>
      </w:r>
      <w:r>
        <w:br w:type="textWrapping"/>
      </w:r>
      <w:r>
        <w:rPr>
          <w:rStyle w:val="VerbatimChar"/>
        </w:rPr>
        <w:t xml:space="preserve">#&gt; [125] "pithoi700.650"          "pithoi650.600"         </w:t>
      </w:r>
      <w:r>
        <w:br w:type="textWrapping"/>
      </w:r>
      <w:r>
        <w:rPr>
          <w:rStyle w:val="VerbatimChar"/>
        </w:rPr>
        <w:t xml:space="preserve">#&gt; [127] "pots1100.1050"          "pots1050.1000"         </w:t>
      </w:r>
      <w:r>
        <w:br w:type="textWrapping"/>
      </w:r>
      <w:r>
        <w:rPr>
          <w:rStyle w:val="VerbatimChar"/>
        </w:rPr>
        <w:t xml:space="preserve">#&gt; [129] "pots1000.950"           "pots950.900"           </w:t>
      </w:r>
      <w:r>
        <w:br w:type="textWrapping"/>
      </w:r>
      <w:r>
        <w:rPr>
          <w:rStyle w:val="VerbatimChar"/>
        </w:rPr>
        <w:t xml:space="preserve">#&gt; [131] "pots900.850"            "pots850.800"           </w:t>
      </w:r>
      <w:r>
        <w:br w:type="textWrapping"/>
      </w:r>
      <w:r>
        <w:rPr>
          <w:rStyle w:val="VerbatimChar"/>
        </w:rPr>
        <w:t xml:space="preserve">#&gt; [133] "pots800.750"            "pots750.700"           </w:t>
      </w:r>
      <w:r>
        <w:br w:type="textWrapping"/>
      </w:r>
      <w:r>
        <w:rPr>
          <w:rStyle w:val="VerbatimChar"/>
        </w:rPr>
        <w:t xml:space="preserve">#&gt; [135] "pots700.650"            "pots650.600"           </w:t>
      </w:r>
      <w:r>
        <w:br w:type="textWrapping"/>
      </w:r>
      <w:r>
        <w:rPr>
          <w:rStyle w:val="VerbatimChar"/>
        </w:rPr>
        <w:t xml:space="preserve">#&gt; [137] "SMpithoi"               "EPGpithoi"             </w:t>
      </w:r>
      <w:r>
        <w:br w:type="textWrapping"/>
      </w:r>
      <w:r>
        <w:rPr>
          <w:rStyle w:val="VerbatimChar"/>
        </w:rPr>
        <w:t xml:space="preserve">#&gt; [139] "MPGpithoi"              "LPGpithoi"             </w:t>
      </w:r>
      <w:r>
        <w:br w:type="textWrapping"/>
      </w:r>
      <w:r>
        <w:rPr>
          <w:rStyle w:val="VerbatimChar"/>
        </w:rPr>
        <w:t xml:space="preserve">#&gt; [141] "PGBpithoi"              "EGpithoi"              </w:t>
      </w:r>
      <w:r>
        <w:br w:type="textWrapping"/>
      </w:r>
      <w:r>
        <w:rPr>
          <w:rStyle w:val="VerbatimChar"/>
        </w:rPr>
        <w:t xml:space="preserve">#&gt; [143] "MGpithoi"               "LGpithoi"              </w:t>
      </w:r>
      <w:r>
        <w:br w:type="textWrapping"/>
      </w:r>
      <w:r>
        <w:rPr>
          <w:rStyle w:val="VerbatimChar"/>
        </w:rPr>
        <w:t xml:space="preserve">#&gt; [145] "EOpithoi"               "LOpithoi"              </w:t>
      </w:r>
      <w:r>
        <w:br w:type="textWrapping"/>
      </w:r>
      <w:r>
        <w:rPr>
          <w:rStyle w:val="VerbatimChar"/>
        </w:rPr>
        <w:t xml:space="preserve">#&gt; [147] "SMpots"                 "EPGpots"               </w:t>
      </w:r>
      <w:r>
        <w:br w:type="textWrapping"/>
      </w:r>
      <w:r>
        <w:rPr>
          <w:rStyle w:val="VerbatimChar"/>
        </w:rPr>
        <w:t xml:space="preserve">#&gt; [149] "MPGpots"                "LPGpots"               </w:t>
      </w:r>
      <w:r>
        <w:br w:type="textWrapping"/>
      </w:r>
      <w:r>
        <w:rPr>
          <w:rStyle w:val="VerbatimChar"/>
        </w:rPr>
        <w:t xml:space="preserve">#&gt; [151] "PGBpots"                "EGpots"                </w:t>
      </w:r>
      <w:r>
        <w:br w:type="textWrapping"/>
      </w:r>
      <w:r>
        <w:rPr>
          <w:rStyle w:val="VerbatimChar"/>
        </w:rPr>
        <w:t xml:space="preserve">#&gt; [153] "MGpots"                 "LGpots"                </w:t>
      </w:r>
      <w:r>
        <w:br w:type="textWrapping"/>
      </w:r>
      <w:r>
        <w:rPr>
          <w:rStyle w:val="VerbatimChar"/>
        </w:rPr>
        <w:t xml:space="preserve">#&gt; [155] "EOpots"                 "LOpots"                </w:t>
      </w:r>
      <w:r>
        <w:br w:type="textWrapping"/>
      </w:r>
      <w:r>
        <w:rPr>
          <w:rStyle w:val="VerbatimChar"/>
        </w:rPr>
        <w:t xml:space="preserve">#&gt; [157] "X1100"                  "X1090"                 </w:t>
      </w:r>
      <w:r>
        <w:br w:type="textWrapping"/>
      </w:r>
      <w:r>
        <w:rPr>
          <w:rStyle w:val="VerbatimChar"/>
        </w:rPr>
        <w:t xml:space="preserve">#&gt; [159] "X1080"                  "X1070"                 </w:t>
      </w:r>
      <w:r>
        <w:br w:type="textWrapping"/>
      </w:r>
      <w:r>
        <w:rPr>
          <w:rStyle w:val="VerbatimChar"/>
        </w:rPr>
        <w:t xml:space="preserve">#&gt; [161] "X1060"                  "X1050"                 </w:t>
      </w:r>
      <w:r>
        <w:br w:type="textWrapping"/>
      </w:r>
      <w:r>
        <w:rPr>
          <w:rStyle w:val="VerbatimChar"/>
        </w:rPr>
        <w:t xml:space="preserve">#&gt; [163] "X1040"                  "X1030"                 </w:t>
      </w:r>
      <w:r>
        <w:br w:type="textWrapping"/>
      </w:r>
      <w:r>
        <w:rPr>
          <w:rStyle w:val="VerbatimChar"/>
        </w:rPr>
        <w:t xml:space="preserve">#&gt; [165] "X1020"                  "X1010"                 </w:t>
      </w:r>
      <w:r>
        <w:br w:type="textWrapping"/>
      </w:r>
      <w:r>
        <w:rPr>
          <w:rStyle w:val="VerbatimChar"/>
        </w:rPr>
        <w:t xml:space="preserve">#&gt; [167] "X1000"                  "X990"                  </w:t>
      </w:r>
      <w:r>
        <w:br w:type="textWrapping"/>
      </w:r>
      <w:r>
        <w:rPr>
          <w:rStyle w:val="VerbatimChar"/>
        </w:rPr>
        <w:t xml:space="preserve">#&gt; [169] "X980"                   "X970"                  </w:t>
      </w:r>
      <w:r>
        <w:br w:type="textWrapping"/>
      </w:r>
      <w:r>
        <w:rPr>
          <w:rStyle w:val="VerbatimChar"/>
        </w:rPr>
        <w:t xml:space="preserve">#&gt; [171] "X960"                   "X950"                  </w:t>
      </w:r>
      <w:r>
        <w:br w:type="textWrapping"/>
      </w:r>
      <w:r>
        <w:rPr>
          <w:rStyle w:val="VerbatimChar"/>
        </w:rPr>
        <w:t xml:space="preserve">#&gt; [173] "X940"                   "X930"                  </w:t>
      </w:r>
      <w:r>
        <w:br w:type="textWrapping"/>
      </w:r>
      <w:r>
        <w:rPr>
          <w:rStyle w:val="VerbatimChar"/>
        </w:rPr>
        <w:t xml:space="preserve">#&gt; [175] "X920"                   "X910"                  </w:t>
      </w:r>
      <w:r>
        <w:br w:type="textWrapping"/>
      </w:r>
      <w:r>
        <w:rPr>
          <w:rStyle w:val="VerbatimChar"/>
        </w:rPr>
        <w:t xml:space="preserve">#&gt; [177] "X900"                   "X890"                  </w:t>
      </w:r>
      <w:r>
        <w:br w:type="textWrapping"/>
      </w:r>
      <w:r>
        <w:rPr>
          <w:rStyle w:val="VerbatimChar"/>
        </w:rPr>
        <w:t xml:space="preserve">#&gt; [179] "X880"                   "X870"                  </w:t>
      </w:r>
      <w:r>
        <w:br w:type="textWrapping"/>
      </w:r>
      <w:r>
        <w:rPr>
          <w:rStyle w:val="VerbatimChar"/>
        </w:rPr>
        <w:t xml:space="preserve">#&gt; [181] "X860"                   "X850"                  </w:t>
      </w:r>
      <w:r>
        <w:br w:type="textWrapping"/>
      </w:r>
      <w:r>
        <w:rPr>
          <w:rStyle w:val="VerbatimChar"/>
        </w:rPr>
        <w:t xml:space="preserve">#&gt; [183] "X840"                   "X830"                  </w:t>
      </w:r>
      <w:r>
        <w:br w:type="textWrapping"/>
      </w:r>
      <w:r>
        <w:rPr>
          <w:rStyle w:val="VerbatimChar"/>
        </w:rPr>
        <w:t xml:space="preserve">#&gt; [185] "X820"                   "X810"                  </w:t>
      </w:r>
      <w:r>
        <w:br w:type="textWrapping"/>
      </w:r>
      <w:r>
        <w:rPr>
          <w:rStyle w:val="VerbatimChar"/>
        </w:rPr>
        <w:t xml:space="preserve">#&gt; [187] "X800"                   "X790"                  </w:t>
      </w:r>
      <w:r>
        <w:br w:type="textWrapping"/>
      </w:r>
      <w:r>
        <w:rPr>
          <w:rStyle w:val="VerbatimChar"/>
        </w:rPr>
        <w:t xml:space="preserve">#&gt; [189] "X780"                   "X770"                  </w:t>
      </w:r>
      <w:r>
        <w:br w:type="textWrapping"/>
      </w:r>
      <w:r>
        <w:rPr>
          <w:rStyle w:val="VerbatimChar"/>
        </w:rPr>
        <w:t xml:space="preserve">#&gt; [191] "X760"                   "X750"                  </w:t>
      </w:r>
      <w:r>
        <w:br w:type="textWrapping"/>
      </w:r>
      <w:r>
        <w:rPr>
          <w:rStyle w:val="VerbatimChar"/>
        </w:rPr>
        <w:t xml:space="preserve">#&gt; [193] "X740"                   "X730"                  </w:t>
      </w:r>
      <w:r>
        <w:br w:type="textWrapping"/>
      </w:r>
      <w:r>
        <w:rPr>
          <w:rStyle w:val="VerbatimChar"/>
        </w:rPr>
        <w:t xml:space="preserve">#&gt; [195] "X720"                   "X710"                  </w:t>
      </w:r>
      <w:r>
        <w:br w:type="textWrapping"/>
      </w:r>
      <w:r>
        <w:rPr>
          <w:rStyle w:val="VerbatimChar"/>
        </w:rPr>
        <w:t xml:space="preserve">#&gt; [197] "X700"                   "X690"                  </w:t>
      </w:r>
      <w:r>
        <w:br w:type="textWrapping"/>
      </w:r>
      <w:r>
        <w:rPr>
          <w:rStyle w:val="VerbatimChar"/>
        </w:rPr>
        <w:t xml:space="preserve">#&gt; [199] "X680"                   "X670"                  </w:t>
      </w:r>
      <w:r>
        <w:br w:type="textWrapping"/>
      </w:r>
      <w:r>
        <w:rPr>
          <w:rStyle w:val="VerbatimChar"/>
        </w:rPr>
        <w:t xml:space="preserve">#&gt; [201] "X660"                   "X650"                  </w:t>
      </w:r>
      <w:r>
        <w:br w:type="textWrapping"/>
      </w:r>
      <w:r>
        <w:rPr>
          <w:rStyle w:val="VerbatimChar"/>
        </w:rPr>
        <w:t xml:space="preserve">#&gt; [203] "X640"                   "X630"                  </w:t>
      </w:r>
      <w:r>
        <w:br w:type="textWrapping"/>
      </w:r>
      <w:r>
        <w:rPr>
          <w:rStyle w:val="VerbatimChar"/>
        </w:rPr>
        <w:t xml:space="preserve">#&gt; [205] "X620"                   "X610"                  </w:t>
      </w:r>
      <w:r>
        <w:br w:type="textWrapping"/>
      </w:r>
      <w:r>
        <w:rPr>
          <w:rStyle w:val="VerbatimChar"/>
        </w:rPr>
        <w:t xml:space="preserve">#&gt; [207] "pithoi1100"             "pithoi1090"            </w:t>
      </w:r>
      <w:r>
        <w:br w:type="textWrapping"/>
      </w:r>
      <w:r>
        <w:rPr>
          <w:rStyle w:val="VerbatimChar"/>
        </w:rPr>
        <w:t xml:space="preserve">#&gt; [209] "pithoi1080"             "pithoi1070"            </w:t>
      </w:r>
      <w:r>
        <w:br w:type="textWrapping"/>
      </w:r>
      <w:r>
        <w:rPr>
          <w:rStyle w:val="VerbatimChar"/>
        </w:rPr>
        <w:t xml:space="preserve">#&gt; [211] "pithoi1060"             "pithoi1050"            </w:t>
      </w:r>
      <w:r>
        <w:br w:type="textWrapping"/>
      </w:r>
      <w:r>
        <w:rPr>
          <w:rStyle w:val="VerbatimChar"/>
        </w:rPr>
        <w:t xml:space="preserve">#&gt; [213] "pithoi1040"             "pithoi1030"            </w:t>
      </w:r>
      <w:r>
        <w:br w:type="textWrapping"/>
      </w:r>
      <w:r>
        <w:rPr>
          <w:rStyle w:val="VerbatimChar"/>
        </w:rPr>
        <w:t xml:space="preserve">#&gt; [215] "pithoi1020"             "pithoi1010"            </w:t>
      </w:r>
      <w:r>
        <w:br w:type="textWrapping"/>
      </w:r>
      <w:r>
        <w:rPr>
          <w:rStyle w:val="VerbatimChar"/>
        </w:rPr>
        <w:t xml:space="preserve">#&gt; [217] "pithoi1000"             "pithoi990"             </w:t>
      </w:r>
      <w:r>
        <w:br w:type="textWrapping"/>
      </w:r>
      <w:r>
        <w:rPr>
          <w:rStyle w:val="VerbatimChar"/>
        </w:rPr>
        <w:t xml:space="preserve">#&gt; [219] "pithoi980"              "pithoi970"             </w:t>
      </w:r>
      <w:r>
        <w:br w:type="textWrapping"/>
      </w:r>
      <w:r>
        <w:rPr>
          <w:rStyle w:val="VerbatimChar"/>
        </w:rPr>
        <w:t xml:space="preserve">#&gt; [221] "pithoi960"              "pithoi950"             </w:t>
      </w:r>
      <w:r>
        <w:br w:type="textWrapping"/>
      </w:r>
      <w:r>
        <w:rPr>
          <w:rStyle w:val="VerbatimChar"/>
        </w:rPr>
        <w:t xml:space="preserve">#&gt; [223] "pithoi940"              "pithoi930"             </w:t>
      </w:r>
      <w:r>
        <w:br w:type="textWrapping"/>
      </w:r>
      <w:r>
        <w:rPr>
          <w:rStyle w:val="VerbatimChar"/>
        </w:rPr>
        <w:t xml:space="preserve">#&gt; [225] "pithoi920"              "pithoi910"             </w:t>
      </w:r>
      <w:r>
        <w:br w:type="textWrapping"/>
      </w:r>
      <w:r>
        <w:rPr>
          <w:rStyle w:val="VerbatimChar"/>
        </w:rPr>
        <w:t xml:space="preserve">#&gt; [227] "pithoi900"              "pithoi890"             </w:t>
      </w:r>
      <w:r>
        <w:br w:type="textWrapping"/>
      </w:r>
      <w:r>
        <w:rPr>
          <w:rStyle w:val="VerbatimChar"/>
        </w:rPr>
        <w:t xml:space="preserve">#&gt; [229] "pithoi880"              "pithoi870"             </w:t>
      </w:r>
      <w:r>
        <w:br w:type="textWrapping"/>
      </w:r>
      <w:r>
        <w:rPr>
          <w:rStyle w:val="VerbatimChar"/>
        </w:rPr>
        <w:t xml:space="preserve">#&gt; [231] "pithoi860"              "pithoi850"             </w:t>
      </w:r>
      <w:r>
        <w:br w:type="textWrapping"/>
      </w:r>
      <w:r>
        <w:rPr>
          <w:rStyle w:val="VerbatimChar"/>
        </w:rPr>
        <w:t xml:space="preserve">#&gt; [233] "pithoi840"              "pithoi830"             </w:t>
      </w:r>
      <w:r>
        <w:br w:type="textWrapping"/>
      </w:r>
      <w:r>
        <w:rPr>
          <w:rStyle w:val="VerbatimChar"/>
        </w:rPr>
        <w:t xml:space="preserve">#&gt; [235] "pithoi820"              "pithoi810"             </w:t>
      </w:r>
      <w:r>
        <w:br w:type="textWrapping"/>
      </w:r>
      <w:r>
        <w:rPr>
          <w:rStyle w:val="VerbatimChar"/>
        </w:rPr>
        <w:t xml:space="preserve">#&gt; [237] "pithoi800"              "pithoi790"             </w:t>
      </w:r>
      <w:r>
        <w:br w:type="textWrapping"/>
      </w:r>
      <w:r>
        <w:rPr>
          <w:rStyle w:val="VerbatimChar"/>
        </w:rPr>
        <w:t xml:space="preserve">#&gt; [239] "pithoi780"              "pithoi770"             </w:t>
      </w:r>
      <w:r>
        <w:br w:type="textWrapping"/>
      </w:r>
      <w:r>
        <w:rPr>
          <w:rStyle w:val="VerbatimChar"/>
        </w:rPr>
        <w:t xml:space="preserve">#&gt; [241] "pithoi760"              "pithoi750"             </w:t>
      </w:r>
      <w:r>
        <w:br w:type="textWrapping"/>
      </w:r>
      <w:r>
        <w:rPr>
          <w:rStyle w:val="VerbatimChar"/>
        </w:rPr>
        <w:t xml:space="preserve">#&gt; [243] "pithoi740"              "pithoi730"             </w:t>
      </w:r>
      <w:r>
        <w:br w:type="textWrapping"/>
      </w:r>
      <w:r>
        <w:rPr>
          <w:rStyle w:val="VerbatimChar"/>
        </w:rPr>
        <w:t xml:space="preserve">#&gt; [245] "pithoi720"              "pithoi710"             </w:t>
      </w:r>
      <w:r>
        <w:br w:type="textWrapping"/>
      </w:r>
      <w:r>
        <w:rPr>
          <w:rStyle w:val="VerbatimChar"/>
        </w:rPr>
        <w:t xml:space="preserve">#&gt; [247] "pithoi700"              "pithoi690"             </w:t>
      </w:r>
      <w:r>
        <w:br w:type="textWrapping"/>
      </w:r>
      <w:r>
        <w:rPr>
          <w:rStyle w:val="VerbatimChar"/>
        </w:rPr>
        <w:t xml:space="preserve">#&gt; [249] "pithoi680"              "pithoi670"             </w:t>
      </w:r>
      <w:r>
        <w:br w:type="textWrapping"/>
      </w:r>
      <w:r>
        <w:rPr>
          <w:rStyle w:val="VerbatimChar"/>
        </w:rPr>
        <w:t xml:space="preserve">#&gt; [251] "pithoi660"              "pithoi650"             </w:t>
      </w:r>
      <w:r>
        <w:br w:type="textWrapping"/>
      </w:r>
      <w:r>
        <w:rPr>
          <w:rStyle w:val="VerbatimChar"/>
        </w:rPr>
        <w:t xml:space="preserve">#&gt; [253] "pithoi640"              "pithoi630"             </w:t>
      </w:r>
      <w:r>
        <w:br w:type="textWrapping"/>
      </w:r>
      <w:r>
        <w:rPr>
          <w:rStyle w:val="VerbatimChar"/>
        </w:rPr>
        <w:t xml:space="preserve">#&gt; [255] "pithoi620"              "pithoi610"</w:t>
      </w:r>
    </w:p>
    <w:p>
      <w:pPr>
        <w:pStyle w:val="FirstParagraph"/>
      </w:pPr>
      <w:r>
        <w:drawing>
          <wp:inline>
            <wp:extent cx="4595937" cy="3676749"/>
            <wp:effectExtent b="0" l="0" r="0" t="0"/>
            <wp:docPr descr="" title="" id="1" name="Picture"/>
            <a:graphic>
              <a:graphicData uri="http://schemas.openxmlformats.org/drawingml/2006/picture">
                <pic:pic>
                  <pic:nvPicPr>
                    <pic:cNvPr descr="../figures/aorist_tomb_adjust-3.png" id="0" name="Picture"/>
                    <pic:cNvPicPr>
                      <a:picLocks noChangeArrowheads="1" noChangeAspect="1"/>
                    </pic:cNvPicPr>
                  </pic:nvPicPr>
                  <pic:blipFill>
                    <a:blip r:embed="rId55"/>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4.png" id="0" name="Picture"/>
                    <pic:cNvPicPr>
                      <a:picLocks noChangeArrowheads="1" noChangeAspect="1"/>
                    </pic:cNvPicPr>
                  </pic:nvPicPr>
                  <pic:blipFill>
                    <a:blip r:embed="rId56"/>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5.png" id="0" name="Picture"/>
                    <pic:cNvPicPr>
                      <a:picLocks noChangeArrowheads="1" noChangeAspect="1"/>
                    </pic:cNvPicPr>
                  </pic:nvPicPr>
                  <pic:blipFill>
                    <a:blip r:embed="rId57"/>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rates%20of%20burials-1.png" id="0" name="Picture"/>
                    <pic:cNvPicPr>
                      <a:picLocks noChangeArrowheads="1" noChangeAspect="1"/>
                    </pic:cNvPicPr>
                  </pic:nvPicPr>
                  <pic:blipFill>
                    <a:blip r:embed="rId58"/>
                    <a:stretch>
                      <a:fillRect/>
                    </a:stretch>
                  </pic:blipFill>
                  <pic:spPr bwMode="auto">
                    <a:xfrm>
                      <a:off x="0" y="0"/>
                      <a:ext cx="4595937" cy="3676749"/>
                    </a:xfrm>
                    <a:prstGeom prst="rect">
                      <a:avLst/>
                    </a:prstGeom>
                    <a:noFill/>
                    <a:ln w="9525">
                      <a:noFill/>
                      <a:headEnd/>
                      <a:tailEnd/>
                    </a:ln>
                  </pic:spPr>
                </pic:pic>
              </a:graphicData>
            </a:graphic>
          </wp:inline>
        </w:drawing>
      </w:r>
    </w:p>
    <w:p>
      <w:pPr>
        <w:pStyle w:val="Heading1"/>
      </w:pPr>
      <w:bookmarkStart w:id="59" w:name="results"/>
      <w:bookmarkEnd w:id="59"/>
      <w:r>
        <w:t xml:space="preserve">Results</w:t>
      </w:r>
    </w:p>
    <w:p>
      <w:pPr>
        <w:pStyle w:val="Heading1"/>
      </w:pPr>
      <w:bookmarkStart w:id="60" w:name="discussion"/>
      <w:bookmarkEnd w:id="60"/>
      <w:r>
        <w:t xml:space="preserve">Discussion</w:t>
      </w:r>
    </w:p>
    <w:p>
      <w:pPr>
        <w:pStyle w:val="Heading1"/>
      </w:pPr>
      <w:bookmarkStart w:id="61" w:name="conclusion"/>
      <w:bookmarkEnd w:id="61"/>
      <w:r>
        <w:t xml:space="preserve">Conclusion</w:t>
      </w:r>
    </w:p>
    <w:p>
      <w:pPr>
        <w:pStyle w:val="Heading1"/>
      </w:pPr>
      <w:bookmarkStart w:id="62" w:name="acknowledgements"/>
      <w:bookmarkEnd w:id="62"/>
      <w:r>
        <w:t xml:space="preserve">Acknowledgements</w:t>
      </w:r>
    </w:p>
    <w:p>
      <w:pPr>
        <w:pStyle w:val="Heading5"/>
      </w:pPr>
      <w:bookmarkStart w:id="63" w:name="pagebreak"/>
      <w:bookmarkEnd w:id="63"/>
      <w:r>
        <w:t xml:space="preserve">pagebreak</w:t>
      </w:r>
    </w:p>
    <w:p>
      <w:pPr>
        <w:pStyle w:val="Heading1"/>
      </w:pPr>
      <w:bookmarkStart w:id="64" w:name="references"/>
      <w:bookmarkEnd w:id="64"/>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65">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66">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67">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Marwick, Ben.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Springer US: 424–450. doi:</w:t>
      </w:r>
      <w:hyperlink r:id="rId68">
        <w:r>
          <w:rPr>
            <w:rStyle w:val="Hyperlink"/>
          </w:rPr>
          <w:t xml:space="preserve">10.1007/s10816-015-9272-9</w:t>
        </w:r>
      </w:hyperlink>
      <w:r>
        <w:t xml:space="preserve">.</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69">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70" w:name="pagebreak-1"/>
      <w:bookmarkEnd w:id="70"/>
      <w:r>
        <w:t xml:space="preserve">pagebreak</w:t>
      </w:r>
    </w:p>
    <w:p>
      <w:pPr>
        <w:pStyle w:val="Heading3"/>
      </w:pPr>
      <w:bookmarkStart w:id="71" w:name="colophon"/>
      <w:bookmarkEnd w:id="71"/>
      <w:r>
        <w:t xml:space="preserve">Colophon</w:t>
      </w:r>
    </w:p>
    <w:p>
      <w:pPr>
        <w:pStyle w:val="FirstParagraph"/>
      </w:pPr>
      <w:r>
        <w:t xml:space="preserve">This report was generated on 2019-04-01 17:33:31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2019-04-01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cowplot      * 0.9.4   2019-01-08 [1] CRAN (R 3.5.3)</w:t>
      </w:r>
      <w:r>
        <w:br w:type="textWrapping"/>
      </w:r>
      <w:r>
        <w:rPr>
          <w:rStyle w:val="VerbatimChar"/>
        </w:rPr>
        <w:t xml:space="preserve">#&gt;  crayon         1.3.4   2017-09-16 [1] CRAN (R 3.5.2)</w:t>
      </w:r>
      <w:r>
        <w:br w:type="textWrapping"/>
      </w:r>
      <w:r>
        <w:rPr>
          <w:rStyle w:val="VerbatimChar"/>
        </w:rPr>
        <w:t xml:space="preserve">#&gt;  data.table   * 1.12.0  2019-01-13 [1] CRAN (R 3.5.3)</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ggpubr       * 0.2     2018-11-15 [1] CRAN (R 3.5.2)</w:t>
      </w:r>
      <w:r>
        <w:br w:type="textWrapping"/>
      </w:r>
      <w:r>
        <w:rPr>
          <w:rStyle w:val="VerbatimChar"/>
        </w:rPr>
        <w:t xml:space="preserve">#&gt;  ggrepel      * 0.8.0   2018-05-09 [1] CRAN (R 3.5.3)</w:t>
      </w:r>
      <w:r>
        <w:br w:type="textWrapping"/>
      </w:r>
      <w:r>
        <w:rPr>
          <w:rStyle w:val="VerbatimChar"/>
        </w:rPr>
        <w:t xml:space="preserve">#&gt;  glue           1.3.1   2019-03-12 [1] CRAN (R 3.5.3)</w:t>
      </w:r>
      <w:r>
        <w:br w:type="textWrapping"/>
      </w:r>
      <w:r>
        <w:rPr>
          <w:rStyle w:val="VerbatimChar"/>
        </w:rPr>
        <w:t xml:space="preserve">#&gt;  gridExtra    * 2.3     2017-09-09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ineq         * 0.2-13  2014-07-21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reshape      * 0.8.8   2018-10-23 [1] CRAN (R 3.5.3)</w:t>
      </w:r>
      <w:r>
        <w:br w:type="textWrapping"/>
      </w:r>
      <w:r>
        <w:rPr>
          <w:rStyle w:val="VerbatimChar"/>
        </w:rPr>
        <w:t xml:space="preserve">#&gt;  reshape2       1.4.3   2017-12-11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[e4badcf] 2019-03-29: image edits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47e3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66" Target="http://www.tdx.cat/handle/10803/85060" TargetMode="External" /><Relationship Type="http://schemas.openxmlformats.org/officeDocument/2006/relationships/hyperlink" Id="rId68" Target="https://doi.org/10.1007/s10816-015-9272-9" TargetMode="External" /><Relationship Type="http://schemas.openxmlformats.org/officeDocument/2006/relationships/hyperlink" Id="rId69" Target="https://doi.org/10.1353/ajp.2011.0043" TargetMode="External" /><Relationship Type="http://schemas.openxmlformats.org/officeDocument/2006/relationships/hyperlink" Id="rId65" Target="https://doi.org/10.2307/506436" TargetMode="External" /><Relationship Type="http://schemas.openxmlformats.org/officeDocument/2006/relationships/hyperlink" Id="rId67"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66" Target="http://www.tdx.cat/handle/10803/85060" TargetMode="External" /><Relationship Type="http://schemas.openxmlformats.org/officeDocument/2006/relationships/hyperlink" Id="rId68" Target="https://doi.org/10.1007/s10816-015-9272-9" TargetMode="External" /><Relationship Type="http://schemas.openxmlformats.org/officeDocument/2006/relationships/hyperlink" Id="rId69" Target="https://doi.org/10.1353/ajp.2011.0043" TargetMode="External" /><Relationship Type="http://schemas.openxmlformats.org/officeDocument/2006/relationships/hyperlink" Id="rId65" Target="https://doi.org/10.2307/506436" TargetMode="External" /><Relationship Type="http://schemas.openxmlformats.org/officeDocument/2006/relationships/hyperlink" Id="rId67"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2019-04-01T16:33:40Z</dcterms:created>
  <dcterms:modified xsi:type="dcterms:W3CDTF">2019-04-01T16:33:40Z</dcterms:modified>
</cp:coreProperties>
</file>