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8.png" ContentType="image/png"/>
  <Override PartName="/word/media/rId43.png" ContentType="image/png"/>
  <Override PartName="/word/media/rId48.png" ContentType="image/png"/>
  <Override PartName="/word/media/rId35.png" ContentType="image/png"/>
  <Override PartName="/word/media/rId47.png" ContentType="image/png"/>
  <Override PartName="/word/media/rId58.png" ContentType="image/png"/>
  <Override PartName="/word/media/rId44.png" ContentType="image/png"/>
  <Override PartName="/word/media/rId45.png" ContentType="image/png"/>
  <Override PartName="/word/media/rId46.png" ContentType="image/png"/>
  <Override PartName="/word/media/rId59.png" ContentType="image/png"/>
  <Override PartName="/word/media/rId49.png" ContentType="image/png"/>
  <Override PartName="/word/media/rId50.png" ContentType="image/png"/>
  <Override PartName="/word/media/rId51.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14</w:t>
      </w:r>
      <w:r>
        <w:t xml:space="preserve"> </w:t>
      </w:r>
      <w:r>
        <w:t xml:space="preserve">May,</w:t>
      </w:r>
      <w:r>
        <w:t xml:space="preserve"> </w:t>
      </w:r>
      <w:r>
        <w:t xml:space="preserve">2019</w:t>
      </w:r>
    </w:p>
    <w:p>
      <w:pPr>
        <w:pStyle w:val="Abstract"/>
      </w:pPr>
      <w:r>
        <w:t xml:space="preserve">Three</w:t>
      </w:r>
      <w:r>
        <w:t xml:space="preserve"> </w:t>
      </w:r>
      <w:r>
        <w:t xml:space="preserve">principal</w:t>
      </w:r>
      <w:r>
        <w:t xml:space="preserve"> </w:t>
      </w:r>
      <w:r>
        <w:t xml:space="preserve">interests</w:t>
      </w:r>
      <w:r>
        <w:t xml:space="preserve"> </w:t>
      </w:r>
      <w:r>
        <w:t xml:space="preserve">converge</w:t>
      </w:r>
      <w:r>
        <w:t xml:space="preserve"> </w:t>
      </w:r>
      <w:r>
        <w:t xml:space="preserve">in</w:t>
      </w:r>
      <w:r>
        <w:t xml:space="preserve"> </w:t>
      </w:r>
      <w:r>
        <w:t xml:space="preserve">this</w:t>
      </w:r>
      <w:r>
        <w:t xml:space="preserve"> </w:t>
      </w:r>
      <w:r>
        <w:t xml:space="preserve">paper:</w:t>
      </w:r>
      <w:r>
        <w:t xml:space="preserve"> </w:t>
      </w:r>
      <w:r>
        <w:t xml:space="preserve">reorienting</w:t>
      </w:r>
      <w:r>
        <w:t xml:space="preserve"> </w:t>
      </w:r>
      <w:r>
        <w:t xml:space="preserve">the</w:t>
      </w:r>
      <w:r>
        <w:t xml:space="preserve"> </w:t>
      </w:r>
      <w:r>
        <w:t xml:space="preserve">focus</w:t>
      </w:r>
      <w:r>
        <w:t xml:space="preserve"> </w:t>
      </w:r>
      <w:r>
        <w:t xml:space="preserve">of</w:t>
      </w:r>
      <w:r>
        <w:t xml:space="preserve"> </w:t>
      </w:r>
      <w:r>
        <w:t xml:space="preserve">Early</w:t>
      </w:r>
      <w:r>
        <w:t xml:space="preserve"> </w:t>
      </w:r>
      <w:r>
        <w:t xml:space="preserve">Iron</w:t>
      </w:r>
      <w:r>
        <w:t xml:space="preserve"> </w:t>
      </w:r>
      <w:r>
        <w:t xml:space="preserve">Age</w:t>
      </w:r>
      <w:r>
        <w:t xml:space="preserve"> </w:t>
      </w:r>
      <w:r>
        <w:t xml:space="preserve">Cretan</w:t>
      </w:r>
      <w:r>
        <w:t xml:space="preserve"> </w:t>
      </w:r>
      <w:r>
        <w:t xml:space="preserve">archaeology;</w:t>
      </w:r>
      <w:r>
        <w:t xml:space="preserve"> </w:t>
      </w:r>
      <w:r>
        <w:t xml:space="preserve">the</w:t>
      </w:r>
      <w:r>
        <w:t xml:space="preserve"> </w:t>
      </w:r>
      <w:r>
        <w:t xml:space="preserve">application</w:t>
      </w:r>
      <w:r>
        <w:t xml:space="preserve"> </w:t>
      </w:r>
      <w:r>
        <w:t xml:space="preserve">of</w:t>
      </w:r>
      <w:r>
        <w:t xml:space="preserve"> </w:t>
      </w:r>
      <w:r>
        <w:t xml:space="preserve">computational,</w:t>
      </w:r>
      <w:r>
        <w:t xml:space="preserve"> </w:t>
      </w:r>
      <w:r>
        <w:t xml:space="preserve">and</w:t>
      </w:r>
      <w:r>
        <w:t xml:space="preserve"> </w:t>
      </w:r>
      <w:r>
        <w:t xml:space="preserve">quantitative</w:t>
      </w:r>
      <w:r>
        <w:t xml:space="preserve"> </w:t>
      </w:r>
      <w:r>
        <w:t xml:space="preserve">methods</w:t>
      </w:r>
      <w:r>
        <w:t xml:space="preserve"> </w:t>
      </w:r>
      <w:r>
        <w:t xml:space="preserve">to</w:t>
      </w:r>
      <w:r>
        <w:t xml:space="preserve"> </w:t>
      </w:r>
      <w:r>
        <w:t xml:space="preserve">supplement</w:t>
      </w:r>
      <w:r>
        <w:t xml:space="preserve"> </w:t>
      </w:r>
      <w:r>
        <w:t xml:space="preserve">traditional</w:t>
      </w:r>
      <w:r>
        <w:t xml:space="preserve"> </w:t>
      </w:r>
      <w:r>
        <w:t xml:space="preserve">modes</w:t>
      </w:r>
      <w:r>
        <w:t xml:space="preserve"> </w:t>
      </w:r>
      <w:r>
        <w:t xml:space="preserve">of</w:t>
      </w:r>
      <w:r>
        <w:t xml:space="preserve"> </w:t>
      </w:r>
      <w:r>
        <w:t xml:space="preserve">inference;</w:t>
      </w:r>
      <w:r>
        <w:t xml:space="preserve"> </w:t>
      </w:r>
      <w:r>
        <w:t xml:space="preserve">and</w:t>
      </w:r>
      <w:r>
        <w:t xml:space="preserve"> </w:t>
      </w:r>
      <w:r>
        <w:t xml:space="preserve">open-access</w:t>
      </w:r>
      <w:r>
        <w:t xml:space="preserve"> </w:t>
      </w:r>
      <w:r>
        <w:t xml:space="preserve">data</w:t>
      </w:r>
      <w:r>
        <w:t xml:space="preserve"> </w:t>
      </w:r>
      <w:r>
        <w:t xml:space="preserve">and</w:t>
      </w:r>
      <w:r>
        <w:t xml:space="preserve"> </w:t>
      </w:r>
      <w:r>
        <w:t xml:space="preserve">reproducible</w:t>
      </w:r>
      <w:r>
        <w:t xml:space="preserve"> </w:t>
      </w:r>
      <w:r>
        <w:t xml:space="preserve">research.</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for</w:t>
      </w:r>
      <w:r>
        <w:t xml:space="preserve"> </w:t>
      </w:r>
      <w:r>
        <w:t xml:space="preserve">the</w:t>
      </w:r>
      <w:r>
        <w:t xml:space="preserve"> </w:t>
      </w:r>
      <w:r>
        <w:t xml:space="preserve">whole</w:t>
      </w:r>
      <w:r>
        <w:t xml:space="preserve"> </w:t>
      </w:r>
      <w:r>
        <w:t xml:space="preserve">period</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the</w:t>
      </w:r>
      <w:r>
        <w:t xml:space="preserve"> </w:t>
      </w:r>
      <w:r>
        <w:t xml:space="preserve">Fortetsa</w:t>
      </w:r>
      <w:r>
        <w:t xml:space="preserve"> </w:t>
      </w:r>
      <w:r>
        <w:t xml:space="preserve">and</w:t>
      </w:r>
      <w:r>
        <w:t xml:space="preserve"> </w:t>
      </w:r>
      <w:r>
        <w:t xml:space="preserve">Knossos</w:t>
      </w:r>
      <w:r>
        <w:t xml:space="preserve"> </w:t>
      </w:r>
      <w:r>
        <w:t xml:space="preserve">North</w:t>
      </w:r>
      <w:r>
        <w:t xml:space="preserve"> </w:t>
      </w:r>
      <w:r>
        <w:t xml:space="preserve">cemeteries,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w:t>
      </w:r>
      <w:r>
        <w:t xml:space="preserve"> </w:t>
      </w:r>
      <w:r>
        <w:t xml:space="preserve">classes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of</w:t>
      </w:r>
      <w:r>
        <w:t xml:space="preserve"> </w:t>
      </w:r>
      <w:r>
        <w:t xml:space="preserve">these</w:t>
      </w:r>
      <w:r>
        <w:t xml:space="preserve"> </w:t>
      </w:r>
      <w:r>
        <w:t xml:space="preserve">two</w:t>
      </w:r>
      <w:r>
        <w:t xml:space="preserve"> </w:t>
      </w:r>
      <w:r>
        <w:t xml:space="preserve">cemeteries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provides</w:t>
      </w:r>
      <w:r>
        <w:t xml:space="preserve"> </w:t>
      </w:r>
      <w:r>
        <w:t xml:space="preserve">such</w:t>
      </w:r>
      <w:r>
        <w:t xml:space="preserve"> </w:t>
      </w:r>
      <w:r>
        <w:t xml:space="preserve">an</w:t>
      </w:r>
      <w:r>
        <w:t xml:space="preserve"> </w:t>
      </w:r>
      <w:r>
        <w:t xml:space="preserve">analysis,</w:t>
      </w:r>
      <w:r>
        <w:t xml:space="preserve"> </w:t>
      </w:r>
      <w:r>
        <w:t xml:space="preserve">examining</w:t>
      </w:r>
      <w:r>
        <w:t xml:space="preserve"> </w:t>
      </w:r>
      <w:r>
        <w:t xml:space="preserve">both</w:t>
      </w:r>
      <w:r>
        <w:t xml:space="preserve"> </w:t>
      </w:r>
      <w:r>
        <w:t xml:space="preserve">the</w:t>
      </w:r>
      <w:r>
        <w:t xml:space="preserve"> </w:t>
      </w:r>
      <w:r>
        <w:t xml:space="preserve">synchronic</w:t>
      </w:r>
      <w:r>
        <w:t xml:space="preserve"> </w:t>
      </w:r>
      <w:r>
        <w:t xml:space="preserve">and</w:t>
      </w:r>
      <w:r>
        <w:t xml:space="preserve"> </w:t>
      </w:r>
      <w:r>
        <w:t xml:space="preserve">diachronic</w:t>
      </w:r>
      <w:r>
        <w:t xml:space="preserve"> </w:t>
      </w:r>
      <w:r>
        <w:t xml:space="preserve">variation</w:t>
      </w:r>
      <w:r>
        <w:t xml:space="preserve"> </w:t>
      </w:r>
      <w:r>
        <w:t xml:space="preserve">among</w:t>
      </w:r>
      <w:r>
        <w:t xml:space="preserve"> </w:t>
      </w:r>
      <w:r>
        <w:t xml:space="preserve">the</w:t>
      </w:r>
      <w:r>
        <w:t xml:space="preserve"> </w:t>
      </w:r>
      <w:r>
        <w:t xml:space="preserve">tombs</w:t>
      </w:r>
      <w:r>
        <w:t xml:space="preserve"> </w:t>
      </w:r>
      <w:r>
        <w:t xml:space="preserve">in</w:t>
      </w:r>
      <w:r>
        <w:t xml:space="preserve"> </w:t>
      </w:r>
      <w:r>
        <w:t xml:space="preserve">these</w:t>
      </w:r>
      <w:r>
        <w:t xml:space="preserve"> </w:t>
      </w:r>
      <w:r>
        <w:t xml:space="preserve">two</w:t>
      </w:r>
      <w:r>
        <w:t xml:space="preserve"> </w:t>
      </w:r>
      <w:r>
        <w:t xml:space="preserve">cemeteries.</w:t>
      </w:r>
      <w:r>
        <w:t xml:space="preserve"> </w:t>
      </w:r>
      <w:r>
        <w:t xml:space="preserve">Through</w:t>
      </w:r>
      <w:r>
        <w:t xml:space="preserve"> </w:t>
      </w:r>
      <w:r>
        <w:t xml:space="preserve">the</w:t>
      </w:r>
      <w:r>
        <w:t xml:space="preserve"> </w:t>
      </w:r>
      <w:r>
        <w:t xml:space="preserve">application</w:t>
      </w:r>
      <w:r>
        <w:t xml:space="preserve"> </w:t>
      </w:r>
      <w:r>
        <w:t xml:space="preserve">of</w:t>
      </w:r>
      <w:r>
        <w:t xml:space="preserve"> </w:t>
      </w:r>
      <w:r>
        <w:t xml:space="preserve">a</w:t>
      </w:r>
      <w:r>
        <w:t xml:space="preserve"> </w:t>
      </w:r>
      <w:r>
        <w:t xml:space="preserve">range</w:t>
      </w:r>
      <w:r>
        <w:t xml:space="preserve"> </w:t>
      </w:r>
      <w:r>
        <w:t xml:space="preserve">of</w:t>
      </w:r>
      <w:r>
        <w:t xml:space="preserve"> </w:t>
      </w:r>
      <w:r>
        <w:t xml:space="preserve">quantitative</w:t>
      </w:r>
      <w:r>
        <w:t xml:space="preserve"> </w:t>
      </w:r>
      <w:r>
        <w:t xml:space="preserve">techniques,</w:t>
      </w:r>
      <w:r>
        <w:t xml:space="preserve"> </w:t>
      </w:r>
      <w:r>
        <w:t xml:space="preserve">this</w:t>
      </w:r>
      <w:r>
        <w:t xml:space="preserve"> </w:t>
      </w:r>
      <w:r>
        <w:t xml:space="preserve">study</w:t>
      </w:r>
      <w:r>
        <w:t xml:space="preserve"> </w:t>
      </w:r>
      <w:r>
        <w:t xml:space="preserve">isolates</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rates</w:t>
      </w:r>
      <w:r>
        <w:t xml:space="preserve"> </w:t>
      </w:r>
      <w:r>
        <w:t xml:space="preserve">of</w:t>
      </w:r>
      <w:r>
        <w:t xml:space="preserve"> </w:t>
      </w:r>
      <w:r>
        <w:t xml:space="preserve">burial</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and</w:t>
      </w:r>
      <w:r>
        <w:t xml:space="preserve"> </w:t>
      </w:r>
      <w:r>
        <w:t xml:space="preserve">further</w:t>
      </w:r>
      <w:r>
        <w:t xml:space="preserve"> </w:t>
      </w:r>
      <w:r>
        <w:t xml:space="preserve">considers</w:t>
      </w:r>
      <w:r>
        <w:t xml:space="preserve"> </w:t>
      </w:r>
      <w:r>
        <w:t xml:space="preserve">their</w:t>
      </w:r>
      <w:r>
        <w:t xml:space="preserve"> </w:t>
      </w:r>
      <w:r>
        <w:t xml:space="preserve">characteristics.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It may be felt that, of all ancient sites on Crete, Knossos is the last in need of further archaeological attention. The city and</w:t>
      </w:r>
      <w:r>
        <w:t xml:space="preserve"> </w:t>
      </w:r>
      <w:r>
        <w:t xml:space="preserve">‘</w:t>
      </w:r>
      <w:r>
        <w:t xml:space="preserve">palace</w:t>
      </w:r>
      <w:r>
        <w:t xml:space="preserve">’</w:t>
      </w:r>
      <w:r>
        <w:t xml:space="preserve"> </w:t>
      </w:r>
      <w:r>
        <w:t xml:space="preserve">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pPr>
        <w:pStyle w:val="BodyText"/>
      </w:pPr>
      <w:r>
        <w:t xml:space="preserve">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w:t>
      </w:r>
      <w:r>
        <w:t xml:space="preserve"> </w:t>
      </w:r>
      <w:r>
        <w:t xml:space="preserve">(first seen in the works of Coldstream 1977; Desborough 1972; Snodgrass 1971)</w:t>
      </w:r>
      <w:r>
        <w:t xml:space="preserve"> </w:t>
      </w:r>
      <w:r>
        <w:t xml:space="preserve">has culimated in the complete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(both new foundations, and those with BA ancestry like Knossos) remains often underdeveloped in comparison with those of the second millennium BC.</w:t>
      </w:r>
    </w:p>
    <w:p>
      <w:pPr>
        <w:pStyle w:val="BodyText"/>
      </w:pPr>
      <w:r>
        <w:t xml:space="preserve">Secondly,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w:t>
      </w:r>
      <w:r>
        <w:t xml:space="preserve"> </w:t>
      </w:r>
      <w:r>
        <w:t xml:space="preserve">(Whitley 2011, 667–668)</w:t>
      </w:r>
      <w:r>
        <w:t xml:space="preserve">.</w:t>
      </w:r>
    </w:p>
    <w:p>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w:t>
      </w:r>
      <w:r>
        <w:t xml:space="preserve"> </w:t>
      </w:r>
      <w:r>
        <w:t xml:space="preserve">(see Kotsonas 2011)</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imports</w:t>
      </w:r>
      <w:r>
        <w:t xml:space="preserve"> </w:t>
      </w:r>
      <w:r>
        <w:t xml:space="preserve">(Antoniadis 2012)</w:t>
      </w:r>
      <w:r>
        <w:t xml:space="preserve">, antiques</w:t>
      </w:r>
      <w:r>
        <w:t xml:space="preserve"> </w:t>
      </w:r>
      <w:r>
        <w:t xml:space="preserve">(Crowe 2016)</w:t>
      </w:r>
      <w:r>
        <w:t xml:space="preserve">, and religious context</w:t>
      </w:r>
      <w:r>
        <w:t xml:space="preserve"> </w:t>
      </w:r>
      <w:r>
        <w:t xml:space="preserve">(J.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 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by the time of Hood and Smyth’s</w:t>
      </w:r>
      <w:r>
        <w:t xml:space="preserve"> </w:t>
      </w:r>
      <w:r>
        <w:t xml:space="preserve">(1981)</w:t>
      </w:r>
      <w:r>
        <w:t xml:space="preserve"> </w:t>
      </w:r>
      <w:r>
        <w:t xml:space="preserve">survey-cum-synthesis of prior excavations, a concentration of activity slightly to the west of the old palace presented a good case for continuing, nucleated settlement, something strongly advocated by Coldstream</w:t>
      </w:r>
      <w:r>
        <w:t xml:space="preserve"> </w:t>
      </w:r>
      <w:r>
        <w:t xml:space="preserve">(1984b; 2000)</w:t>
      </w:r>
      <w:r>
        <w:t xml:space="preserve">. More recently, the findings of the Knossos Urban Landscape Project suggest a PG settlement of up to 40ha, extending from the Kairatos River to the western slope of the Acropolis, and from the northern slope of Gypsades to between the Minoan palace and the Kephala hill</w:t>
      </w:r>
      <w:r>
        <w:t xml:space="preserve"> </w:t>
      </w:r>
      <w:r>
        <w:t xml:space="preserve">(Kotsonas et al. 2011, 5–8)</w:t>
      </w:r>
      <w:r>
        <w:t xml:space="preserve">.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pPr>
        <w:pStyle w:val="Heading2"/>
      </w:pPr>
      <w:bookmarkStart w:id="25" w:name="the-early-iron-age-cemeteries"/>
      <w:bookmarkEnd w:id="25"/>
      <w:r>
        <w:t xml:space="preserve">The Early Iron Age Cemeteries</w:t>
      </w:r>
    </w:p>
    <w:p>
      <w:pPr>
        <w:pStyle w:val="FirstParagraph"/>
      </w:pPr>
      <w:r>
        <w:t xml:space="preserve">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w:t>
      </w:r>
      <w:r>
        <w:t xml:space="preserve"> </w:t>
      </w:r>
      <w:r>
        <w:t xml:space="preserve">(Coldstream 1963, 38; Hogarth 1899, 82–85)</w:t>
      </w:r>
      <w:r>
        <w:t xml:space="preserve">, the modern suburbs of Ayios Ioannis and Atsalenio</w:t>
      </w:r>
      <w:r>
        <w:t xml:space="preserve"> </w:t>
      </w:r>
      <w:r>
        <w:t xml:space="preserve">(Boardman 1960; Davaras 1968, 133–146)</w:t>
      </w:r>
      <w:r>
        <w:t xml:space="preserve">, the cave of Mavro Spelio</w:t>
      </w:r>
      <w:r>
        <w:t xml:space="preserve"> </w:t>
      </w:r>
      <w:r>
        <w:t xml:space="preserve">(Antoniadis 2012, 58–59)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 1–2)</w:t>
      </w:r>
      <w:r>
        <w:t xml:space="preserve"> </w:t>
      </w:r>
      <w:r>
        <w:t xml:space="preserve">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w:t>
      </w:r>
      <w:r>
        <w:t xml:space="preserve"> </w:t>
      </w:r>
      <w:r>
        <w:t xml:space="preserve">‘</w:t>
      </w:r>
      <w:r>
        <w:t xml:space="preserve">Medical Faculty</w:t>
      </w:r>
      <w:r>
        <w:t xml:space="preserve">’</w:t>
      </w:r>
      <w:r>
        <w:t xml:space="preserve"> </w:t>
      </w:r>
      <w:r>
        <w:t xml:space="preserve">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 53–55)</w:t>
      </w:r>
      <w:r>
        <w:t xml:space="preserve">.</w:t>
      </w:r>
    </w:p>
    <w:p>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w:t>
      </w:r>
      <w:r>
        <w:t xml:space="preserve"> </w:t>
      </w:r>
      <w:r>
        <w:t xml:space="preserve">(Coldstream 1994, 106–108)</w:t>
      </w:r>
      <w:r>
        <w:t xml:space="preserve">. The tombs fall into three main types, the chamber tomb, shaft grave, and pit cave or tomb; the latter two are largely Subminoam phenomena, with the former by far the most abundant. The chamber tomb comprises a descending ramp or passage, the</w:t>
      </w:r>
      <w:r>
        <w:t xml:space="preserve"> </w:t>
      </w:r>
      <w:r>
        <w:rPr>
          <w:i/>
        </w:rPr>
        <w:t xml:space="preserve">dromos</w:t>
      </w:r>
      <w:r>
        <w:t xml:space="preserve">, leading to the chamber itself, cut into the 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a combination of both</w:t>
      </w:r>
      <w:r>
        <w:t xml:space="preserve"> </w:t>
      </w:r>
      <w:r>
        <w:t xml:space="preserve">(Antoniadis 2012, 47–48)</w:t>
      </w:r>
      <w:r>
        <w:t xml:space="preserve">. It is not uncommon for dromoi to have niches cut into them, to house later burials that could not fit in the chamber (e.g. T. II), or even, in some cases, cinerary urns removed from the chamber so that new interments could be fitted in (e.g. T. TFT;</w:t>
      </w:r>
      <w:r>
        <w:t xml:space="preserve"> </w:t>
      </w:r>
      <w:r>
        <w:t xml:space="preserve">Brock (1957)</w:t>
      </w:r>
      <w:r>
        <w:t xml:space="preserve">, 3-4).</w:t>
      </w:r>
    </w:p>
    <w:p>
      <w:pPr>
        <w:pStyle w:val="BodyText"/>
      </w:pPr>
      <w:r>
        <w:t xml:space="preserve">The majority of burials in these two cemeteries are cremations, a rite that appears at Knossos in the Subminoan period, in the Tomb 200+ complex (Ts. 200, 201 and 202 are three chambers of a single pit tomb) in the KNC</w:t>
      </w:r>
      <w:r>
        <w:t xml:space="preserve"> </w:t>
      </w:r>
      <w:r>
        <w:t xml:space="preserve">(Coldstream 1994, 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 69)</w:t>
      </w:r>
      <w:r>
        <w:t xml:space="preserve">.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pPr>
        <w:pStyle w:val="Heading2"/>
      </w:pPr>
      <w:bookmarkStart w:id="27" w:name="chronological-developments-in-the-cemeteries"/>
      <w:bookmarkEnd w:id="27"/>
      <w:r>
        <w:t xml:space="preserve">Chronological developments in the cemeteries</w:t>
      </w:r>
    </w:p>
    <w:p>
      <w:pPr>
        <w:pStyle w:val="FirstParagraph"/>
      </w:pPr>
      <w:r>
        <w:t xml:space="preserve">The chronological sequence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but there is a strong possibility that this is a classificatory artefact</w:t>
      </w:r>
      <w:r>
        <w:t xml:space="preserve"> </w:t>
      </w:r>
      <w:r>
        <w:t xml:space="preserve">(Hallager 2010)</w:t>
      </w:r>
      <w:r>
        <w:t xml:space="preserve">.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w:t>
      </w:r>
      <w:r>
        <w:t xml:space="preserve"> </w:t>
      </w:r>
      <w:r>
        <w:t xml:space="preserve">(1996)</w:t>
      </w:r>
      <w:r>
        <w:t xml:space="preserve">, for one, could not rule out the possibility of some KNC tombs being of BA date based on his cluster analysis, but other evidence would suggest this is unlikely.</w:t>
      </w:r>
    </w:p>
    <w:p>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 Coldstream (1984a)</w:t>
      </w:r>
      <w:r>
        <w:t xml:space="preserve">;</w:t>
      </w:r>
      <w:r>
        <w:t xml:space="preserve"> </w:t>
      </w:r>
      <w:r>
        <w:t xml:space="preserve">Coldstream (1994)</w:t>
      </w:r>
      <w:r>
        <w:t xml:space="preserve">, 112–3). Whether simply nostalgia</w:t>
      </w:r>
      <w:r>
        <w:t xml:space="preserve"> </w:t>
      </w:r>
      <w:r>
        <w:t xml:space="preserve">(Coldstream 1998, 60)</w:t>
      </w:r>
      <w:r>
        <w:t xml:space="preserve">, or a more tactical strategy by newly emerging elite groups</w:t>
      </w:r>
      <w:r>
        <w:t xml:space="preserve"> </w:t>
      </w:r>
      <w:r>
        <w:t xml:space="preserve">(Coldstream 1994, 114–115)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Huxley, and Webb 1999, 301–302; Huxley 1994, 126; Kotsonas 2002, 41–44)</w:t>
      </w:r>
      <w:r>
        <w:t xml:space="preserve">, it seems there are now strong reasons to doubt the settlement was truly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In Aegean archaeology, these ideas proved attractive because of their resonance with the Homeric motif of gift-giving accompanied by accounts of an object’s illustrious heritage</w:t>
      </w:r>
      <w:r>
        <w:t xml:space="preserve"> </w:t>
      </w:r>
      <w:r>
        <w:t xml:space="preserve">(Whitley 2002, 220–221)</w:t>
      </w:r>
      <w:r>
        <w:t xml:space="preserve">. It is hardly suprising that, when direct parallels for such objects have appeared archaeologically – such as the boar’s tusk helmet from Tomb 200+ and that given to Odysseus by Meriones (</w:t>
      </w:r>
      <w:r>
        <w:rPr>
          <w:i/>
        </w:rPr>
        <w:t xml:space="preserve">Iliad</w:t>
      </w:r>
      <w:r>
        <w:t xml:space="preserve"> </w:t>
      </w:r>
      <w:r>
        <w:t xml:space="preserve">10.260-271) – a particular interpretive lens, melding Homeric and anthropological ideas, has been applied to certain elaborate burials.</w:t>
      </w:r>
    </w:p>
    <w:p>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probably of Cypriot origin, and pieces of the aforementioned BA-style boar’s tusk helmet</w:t>
      </w:r>
      <w:r>
        <w:t xml:space="preserve"> </w:t>
      </w:r>
      <w:r>
        <w:t xml:space="preserve">(Catling 1995, 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with precious artefacts and stories of distant lands –</w:t>
      </w:r>
      <w:r>
        <w:t xml:space="preserve"> </w:t>
      </w:r>
      <w:r>
        <w:t xml:space="preserve">‘</w:t>
      </w:r>
      <w:r>
        <w:t xml:space="preserve">heroes returned</w:t>
      </w:r>
      <w:r>
        <w:t xml:space="preserve">’</w:t>
      </w:r>
      <w:r>
        <w:t xml:space="preserve"> </w:t>
      </w:r>
      <w:r>
        <w:t xml:space="preserve">in Catling’s phrase – would have been accorded exceptional treatment in death</w:t>
      </w:r>
      <w:r>
        <w:t xml:space="preserve"> </w:t>
      </w:r>
      <w:r>
        <w:t xml:space="preserve">(Catling 1995)</w:t>
      </w:r>
      <w:r>
        <w:t xml:space="preserve">, 127–8].</w:t>
      </w:r>
    </w:p>
    <w:p>
      <w:pPr>
        <w:pStyle w:val="BodyText"/>
      </w:pPr>
      <w:r>
        <w:t xml:space="preserve">Complementing the theme of heroes abroad has been a similar degree of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w:t>
      </w:r>
      <w:r>
        <w:t xml:space="preserve"> </w:t>
      </w:r>
      <w:r>
        <w:t xml:space="preserve">(2006, 155–159)</w:t>
      </w:r>
      <w:r>
        <w:t xml:space="preserve">. While certainty in such individual cases may be moot, it seems unlikely that traders or craftsmen of non-Cretan heritage never visited or resided at Knossos during the EIA</w:t>
      </w:r>
      <w:r>
        <w:t xml:space="preserve"> </w:t>
      </w:r>
      <w:r>
        <w:t xml:space="preserve">(Hoffman 1997, 176–185; Schreiber 2003, 293–306)</w:t>
      </w:r>
      <w:r>
        <w:t xml:space="preserve">.</w:t>
      </w:r>
    </w:p>
    <w:p>
      <w:pPr>
        <w:pStyle w:val="BodyText"/>
      </w:pPr>
      <w:r>
        <w:t xml:space="preserve">Finally, a recurrent interest has been in the</w:t>
      </w:r>
      <w:r>
        <w:t xml:space="preserve"> </w:t>
      </w:r>
      <w:r>
        <w:t xml:space="preserve">‘</w:t>
      </w:r>
      <w:r>
        <w:t xml:space="preserve">presence of the past</w:t>
      </w:r>
      <w:r>
        <w:t xml:space="preserve">’</w:t>
      </w:r>
      <w:r>
        <w:t xml:space="preserve"> </w:t>
      </w:r>
      <w:r>
        <w:t xml:space="preserve">in these tombs. The practice of hero or ancestor cult, much discussed on the mainland (see</w:t>
      </w:r>
      <w:r>
        <w:t xml:space="preserve"> </w:t>
      </w:r>
      <w:r>
        <w:t xml:space="preserve">Antonaccio (1994)</w:t>
      </w:r>
      <w:r>
        <w:t xml:space="preserve">;</w:t>
      </w:r>
      <w:r>
        <w:t xml:space="preserve"> </w:t>
      </w:r>
      <w:r>
        <w:t xml:space="preserve">Coldstream (1976)</w:t>
      </w:r>
      <w:r>
        <w:t xml:space="preserve">), is not common here. Instead, we see several Late Minoan larnakes (and a few other vessels) redeposited in tombs and pits in the KNC and Fortetsa from the PGB period onward. A thorough analysis of these artefacts has been provided by Crowe</w:t>
      </w:r>
      <w:r>
        <w:t xml:space="preserve"> </w:t>
      </w:r>
      <w:r>
        <w:t xml:space="preserve">(2016)</w:t>
      </w:r>
      <w:r>
        <w:t xml:space="preserve">,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w:t>
      </w:r>
      <w:r>
        <w:t xml:space="preserve"> </w:t>
      </w:r>
      <w:r>
        <w:t xml:space="preserve">(J. Coldstream 1984a, 94–101)</w:t>
      </w:r>
      <w:r>
        <w:t xml:space="preserve">. The magpie-like amalgamation of these styles and motifs seem to exemplify the particular cultural openness, fluidity and competition suggested to characterise the PGB period. Artefacts such as this hint towards an intimate discourse of (re)discovery; a painter, struck by the strangeness, or perhaps the uncanny familiarity, of centuries-old images, incorporated them into his own work.</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w:t>
      </w:r>
      <w:r>
        <w:t xml:space="preserve"> </w:t>
      </w:r>
      <w:r>
        <w:t xml:space="preserve">(2012, 172–176)</w:t>
      </w:r>
      <w:r>
        <w:t xml:space="preserve">,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w:t>
      </w:r>
      <w:r>
        <w:t xml:space="preserve"> </w:t>
      </w:r>
      <w:r>
        <w:t xml:space="preserve">‘</w:t>
      </w:r>
      <w:r>
        <w:t xml:space="preserve">wealth</w:t>
      </w:r>
      <w:r>
        <w:t xml:space="preserve">’</w:t>
      </w:r>
      <w:r>
        <w:t xml:space="preserve"> </w:t>
      </w:r>
      <w:r>
        <w:t xml:space="preserve">is examined critically in the present work, and may prove more complex than Antoniadis implies.</w:t>
      </w:r>
    </w:p>
    <w:p>
      <w:pPr>
        <w:pStyle w:val="BodyText"/>
      </w:pPr>
      <w:r>
        <w:t xml:space="preserve">Cluster analyses have been employed by both Cavanagh</w:t>
      </w:r>
      <w:r>
        <w:t xml:space="preserve"> </w:t>
      </w:r>
      <w:r>
        <w:t xml:space="preserve">(1996, 653–657)</w:t>
      </w:r>
      <w:r>
        <w:t xml:space="preserve"> </w:t>
      </w:r>
      <w:r>
        <w:t xml:space="preserve">and Antoniadis</w:t>
      </w:r>
      <w:r>
        <w:t xml:space="preserve"> </w:t>
      </w:r>
      <w:r>
        <w:t xml:space="preserve">(2012, 193–197)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database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pPr>
        <w:pStyle w:val="BodyText"/>
      </w:pPr>
      <w:r>
        <w:t xml:space="preserve">The second database is similar, but with each entry corresponding to a find other than a ceramic vessel. The categories remained the same as in the pottery database, but with the addition of a</w:t>
      </w:r>
      <w:r>
        <w:t xml:space="preserve"> </w:t>
      </w:r>
      <w:r>
        <w:t xml:space="preserve">‘</w:t>
      </w:r>
      <w:r>
        <w:t xml:space="preserve">material</w:t>
      </w:r>
      <w:r>
        <w:t xml:space="preserve">’</w:t>
      </w:r>
      <w:r>
        <w:t xml:space="preserve"> </w:t>
      </w:r>
      <w:r>
        <w:t xml:space="preserve">variable, as of course these finds were not all made of the same substance. This database included some 1620 individual artefacts.</w:t>
      </w:r>
      <w:r>
        <w:t xml:space="preserve"> </w:t>
      </w:r>
      <w:r>
        <w:t xml:space="preserve">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(2017, 445)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submitted to this journal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for this estimation broadly follows that of Cavanagh</w:t>
      </w:r>
      <w:r>
        <w:t xml:space="preserve"> </w:t>
      </w:r>
      <w:r>
        <w:t xml:space="preserve">(1996, 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1</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1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2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2</w:t>
      </w:r>
      <w:r>
        <w:t xml:space="preserve">); the apparent cessation of burial activity for 30 years in the 8th century, followed by the most intense episode of deposition yet seen,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Bevan, and Lake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w:t>
      </w:r>
      <w:r>
        <w:t xml:space="preserve"> </w:t>
      </w:r>
      <w:r>
        <w:t xml:space="preserve">Crema, Bevan, and Lake (2010)</w:t>
      </w:r>
      <w:r>
        <w:t xml:space="preserve">, 1123-1124)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 450)</w:t>
      </w:r>
      <w:r>
        <w:t xml:space="preserve">.</w:t>
      </w:r>
    </w:p>
    <w:p>
      <w:pPr>
        <w:pStyle w:val="FigureWithCaption"/>
      </w:pPr>
      <w:r>
        <w:drawing>
          <wp:inline>
            <wp:extent cx="5943600" cy="3396342"/>
            <wp:effectExtent b="0" l="0" r="0" t="0"/>
            <wp:docPr descr="Figure 3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3</w:t>
      </w:r>
      <w:r>
        <w:t xml:space="preserve">,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pPr>
        <w:pStyle w:val="Heading2"/>
      </w:pPr>
      <w:bookmarkStart w:id="39" w:name="theory-and-method"/>
      <w:bookmarkEnd w:id="39"/>
      <w:r>
        <w:t xml:space="preserve">Theory and method</w:t>
      </w:r>
    </w:p>
    <w:p>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forms of human behaviour, which in turn guides the focus of subsequent analyses, and so on. It is hoped that the value of such an approach will become clear.</w:t>
      </w:r>
    </w:p>
    <w:p>
      <w:pPr>
        <w:pStyle w:val="Heading1"/>
      </w:pPr>
      <w:bookmarkStart w:id="40" w:name="analysis"/>
      <w:bookmarkEnd w:id="40"/>
      <w:r>
        <w:t xml:space="preserve">Analysis</w:t>
      </w:r>
    </w:p>
    <w:p>
      <w:pPr>
        <w:pStyle w:val="Heading2"/>
      </w:pPr>
      <w:bookmarkStart w:id="41" w:name="introduction-1"/>
      <w:bookmarkEnd w:id="41"/>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pPr>
        <w:pStyle w:val="Heading2"/>
      </w:pPr>
      <w:bookmarkStart w:id="42" w:name="temporal-variation-in-the-knossian-cemeteries"/>
      <w:bookmarkEnd w:id="42"/>
      <w:r>
        <w:t xml:space="preserve">Temporal variation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4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4</w:t>
      </w:r>
      <w:r>
        <w:t xml:space="preserve"> </w:t>
      </w:r>
      <w:r>
        <w:t xml:space="preserve">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2971800"/>
            <wp:effectExtent b="0" l="0" r="0" t="0"/>
            <wp:docPr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5</w:t>
      </w:r>
      <w:r>
        <w:t xml:space="preserve"> </w:t>
      </w:r>
      <w:r>
        <w:t xml:space="preserve">presents two ways of dating the construction of the tombs. On the left, counts are presented,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activity suggested by both counts of artefacts, and estimates of the number of tombs in use in each period.</w:t>
      </w:r>
    </w:p>
    <w:p>
      <w:pPr>
        <w:pStyle w:val="FigureWithCaption"/>
      </w:pPr>
      <w:r>
        <w:drawing>
          <wp:inline>
            <wp:extent cx="5943600" cy="3396342"/>
            <wp:effectExtent b="0" l="0" r="0" t="0"/>
            <wp:docPr descr="Figure 6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Estimates of the number of tombs in use during each of the ceramic phases attested in both cemetaries.</w:t>
      </w:r>
    </w:p>
    <w:p>
      <w:pPr>
        <w:pStyle w:val="BodyText"/>
      </w:pPr>
      <w:r>
        <w:t xml:space="preserve">Figure</w:t>
      </w:r>
      <w:r>
        <w:t xml:space="preserve"> </w:t>
      </w:r>
      <w:r>
        <w:t xml:space="preserve">6</w:t>
      </w:r>
      <w:r>
        <w:t xml:space="preserve"> </w:t>
      </w:r>
      <w:r>
        <w:t xml:space="preserve">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pPr>
        <w:pStyle w:val="FigureWithCaption"/>
      </w:pPr>
      <w:r>
        <w:drawing>
          <wp:inline>
            <wp:extent cx="5943600" cy="3396342"/>
            <wp:effectExtent b="0" l="0" r="0" t="0"/>
            <wp:docPr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7</w:t>
      </w:r>
      <w:r>
        <w:t xml:space="preserve"> </w:t>
      </w:r>
      <w:r>
        <w:t xml:space="preserve">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pPr>
        <w:pStyle w:val="FigureWithCaption"/>
      </w:pPr>
      <w:r>
        <w:drawing>
          <wp:inline>
            <wp:extent cx="5943600" cy="2971800"/>
            <wp:effectExtent b="0" l="0" r="0" t="0"/>
            <wp:docPr descr="Figure 8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8</w:t>
      </w:r>
      <w:r>
        <w:t xml:space="preserve"> </w:t>
      </w:r>
      <w:r>
        <w:t xml:space="preserve">shows, firstly, the number of vessels dating to each century across both cemeteries, based on their assigned ceramic period, essentially a simplified version of the trend illustrated in Figure</w:t>
      </w:r>
      <w:r>
        <w:t xml:space="preserve"> </w:t>
      </w:r>
      <w:r>
        <w:t xml:space="preserve">3</w:t>
      </w:r>
      <w:r>
        <w:t xml:space="preserve">. But, on the right, Figure</w:t>
      </w:r>
      <w:r>
        <w:t xml:space="preserve"> </w:t>
      </w:r>
      <w:r>
        <w:t xml:space="preserve">8</w:t>
      </w:r>
      <w:r>
        <w:t xml:space="preserve"> </w:t>
      </w:r>
      <w:r>
        <w:t xml:space="preserve">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w:t>
      </w:r>
      <w:r>
        <w:t xml:space="preserve"> </w:t>
      </w:r>
      <w:r>
        <w:t xml:space="preserve">7</w:t>
      </w:r>
      <w:r>
        <w:t xml:space="preserve">, we see that the number of 9th and 10th century tombs in use by the late 8th and early 7th centuries were declining.</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r>
        <w:tc>
          <w:p>
            <w:pPr>
              <w:pStyle w:val="Compact"/>
            </w:pPr>
          </w:p>
        </w:tc>
        <w:tc>
          <w:p>
            <w:pPr>
              <w:pStyle w:val="Compact"/>
              <w:jc w:val="left"/>
            </w:pPr>
            <w:r>
              <w:t xml:space="preserve">9th century</w:t>
            </w:r>
          </w:p>
        </w:tc>
        <w:tc>
          <w:p>
            <w:pPr>
              <w:pStyle w:val="Compact"/>
              <w:jc w:val="left"/>
            </w:pPr>
            <w:r>
              <w:t xml:space="preserve">33</w:t>
            </w:r>
          </w:p>
        </w:tc>
        <w:tc>
          <w:p>
            <w:pPr>
              <w:pStyle w:val="Compact"/>
              <w:jc w:val="left"/>
            </w:pPr>
            <w:r>
              <w:t xml:space="preserve">13</w:t>
            </w:r>
          </w:p>
        </w:tc>
        <w:tc>
          <w:p>
            <w:pPr>
              <w:pStyle w:val="Compact"/>
              <w:jc w:val="left"/>
            </w:pPr>
            <w:r>
              <w:t xml:space="preserve">2.54</w:t>
            </w: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9</w:t>
            </w:r>
          </w:p>
        </w:tc>
        <w:tc>
          <w:p>
            <w:pPr>
              <w:pStyle w:val="Compact"/>
              <w:jc w:val="left"/>
            </w:pPr>
            <w:r>
              <w:t xml:space="preserve">3.78</w:t>
            </w:r>
          </w:p>
        </w:tc>
      </w:tr>
      <w:tr>
        <w:tc>
          <w:p>
            <w:pPr>
              <w:pStyle w:val="Compact"/>
            </w:pPr>
          </w:p>
        </w:tc>
        <w:tc>
          <w:p>
            <w:pPr>
              <w:pStyle w:val="Compact"/>
              <w:jc w:val="left"/>
            </w:pPr>
            <w:r>
              <w:t xml:space="preserve">7th century</w:t>
            </w:r>
          </w:p>
        </w:tc>
        <w:tc>
          <w:p>
            <w:pPr>
              <w:pStyle w:val="Compact"/>
              <w:jc w:val="left"/>
            </w:pPr>
            <w:r>
              <w:t xml:space="preserve">25</w:t>
            </w:r>
          </w:p>
        </w:tc>
        <w:tc>
          <w:p>
            <w:pPr>
              <w:pStyle w:val="Compact"/>
              <w:jc w:val="left"/>
            </w:pPr>
            <w:r>
              <w:t xml:space="preserve">6</w:t>
            </w:r>
          </w:p>
        </w:tc>
        <w:tc>
          <w:p>
            <w:pPr>
              <w:pStyle w:val="Compact"/>
              <w:jc w:val="left"/>
            </w:pPr>
            <w:r>
              <w:t xml:space="preserve">4.17</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49</w:t>
            </w:r>
          </w:p>
        </w:tc>
        <w:tc>
          <w:p>
            <w:pPr>
              <w:pStyle w:val="Compact"/>
              <w:jc w:val="left"/>
            </w:pPr>
            <w:r>
              <w:t xml:space="preserve">15</w:t>
            </w:r>
          </w:p>
        </w:tc>
        <w:tc>
          <w:p>
            <w:pPr>
              <w:pStyle w:val="Compact"/>
              <w:jc w:val="left"/>
            </w:pPr>
            <w:r>
              <w:t xml:space="preserve">3.27</w:t>
            </w:r>
          </w:p>
        </w:tc>
      </w:tr>
      <w:tr>
        <w:tc>
          <w:p>
            <w:pPr>
              <w:pStyle w:val="Compact"/>
            </w:pPr>
          </w:p>
        </w:tc>
        <w:tc>
          <w:p>
            <w:pPr>
              <w:pStyle w:val="Compact"/>
              <w:jc w:val="left"/>
            </w:pPr>
            <w:r>
              <w:t xml:space="preserve">8th century</w:t>
            </w:r>
          </w:p>
        </w:tc>
        <w:tc>
          <w:p>
            <w:pPr>
              <w:pStyle w:val="Compact"/>
              <w:jc w:val="left"/>
            </w:pPr>
            <w:r>
              <w:t xml:space="preserve">161</w:t>
            </w:r>
          </w:p>
        </w:tc>
        <w:tc>
          <w:p>
            <w:pPr>
              <w:pStyle w:val="Compact"/>
              <w:jc w:val="left"/>
            </w:pPr>
            <w:r>
              <w:t xml:space="preserve">23</w:t>
            </w:r>
          </w:p>
        </w:tc>
        <w:tc>
          <w:p>
            <w:pPr>
              <w:pStyle w:val="Compact"/>
              <w:jc w:val="left"/>
            </w:pPr>
            <w:r>
              <w:t xml:space="preserve">7</w:t>
            </w:r>
          </w:p>
        </w:tc>
      </w:tr>
      <w:tr>
        <w:tc>
          <w:p>
            <w:pPr>
              <w:pStyle w:val="Compact"/>
            </w:pPr>
          </w:p>
        </w:tc>
        <w:tc>
          <w:p>
            <w:pPr>
              <w:pStyle w:val="Compact"/>
              <w:jc w:val="left"/>
            </w:pPr>
            <w:r>
              <w:t xml:space="preserve">7th century</w:t>
            </w:r>
          </w:p>
        </w:tc>
        <w:tc>
          <w:p>
            <w:pPr>
              <w:pStyle w:val="Compact"/>
              <w:jc w:val="left"/>
            </w:pPr>
            <w:r>
              <w:t xml:space="preserve">162</w:t>
            </w:r>
          </w:p>
        </w:tc>
        <w:tc>
          <w:p>
            <w:pPr>
              <w:pStyle w:val="Compact"/>
              <w:jc w:val="left"/>
            </w:pPr>
            <w:r>
              <w:t xml:space="preserve">13</w:t>
            </w:r>
          </w:p>
        </w:tc>
        <w:tc>
          <w:p>
            <w:pPr>
              <w:pStyle w:val="Compact"/>
              <w:jc w:val="left"/>
            </w:pPr>
            <w:r>
              <w:t xml:space="preserve">12.46</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14</w:t>
            </w:r>
          </w:p>
        </w:tc>
        <w:tc>
          <w:p>
            <w:pPr>
              <w:pStyle w:val="Compact"/>
              <w:jc w:val="left"/>
            </w:pPr>
            <w:r>
              <w:t xml:space="preserve">2.43</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Taking the number of pithoi present in each tomb as a proxy for burials, we can estimate the changing rates of burial through the centuries. And while for most of the cemeteries’ lives the burial rate remained around three per tomb per century, in the 8th and 7th centuries tombs founded in the 9th century saw a rapid rise in the rate of burial, peaking at around 12 per tomb per century. Though these estimates are no doubt very rough, the marked nature of this divergence between the 9th century tombs and the rest suggests it is not simply an artefact of imperfect data.</w:t>
      </w:r>
    </w:p>
    <w:p>
      <w:pPr>
        <w:pStyle w:val="BodyText"/>
      </w:pPr>
      <w:r>
        <w:drawing>
          <wp:inline>
            <wp:extent cx="5943600" cy="3302000"/>
            <wp:effectExtent b="0" l="0" r="0" t="0"/>
            <wp:docPr descr="" title="" id="1" name="Picture"/>
            <a:graphic>
              <a:graphicData uri="http://schemas.openxmlformats.org/drawingml/2006/picture">
                <pic:pic>
                  <pic:nvPicPr>
                    <pic:cNvPr descr="../figures/boxplot-1.png" id="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BodyText"/>
      </w:pPr>
      <w:r>
        <w:drawing>
          <wp:inline>
            <wp:extent cx="4579632" cy="3663706"/>
            <wp:effectExtent b="0" l="0" r="0" t="0"/>
            <wp:docPr descr="" title="" id="1" name="Picture"/>
            <a:graphic>
              <a:graphicData uri="http://schemas.openxmlformats.org/drawingml/2006/picture">
                <pic:pic>
                  <pic:nvPicPr>
                    <pic:cNvPr descr="../figures/unnamed-chunk-2-1.png" id="0" name="Picture"/>
                    <pic:cNvPicPr>
                      <a:picLocks noChangeArrowheads="1" noChangeAspect="1"/>
                    </pic:cNvPicPr>
                  </pic:nvPicPr>
                  <pic:blipFill>
                    <a:blip r:embed="rId4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figures/unnamed-chunk-2-2.png" id="0" name="Picture"/>
                    <pic:cNvPicPr>
                      <a:picLocks noChangeArrowheads="1" noChangeAspect="1"/>
                    </pic:cNvPicPr>
                  </pic:nvPicPr>
                  <pic:blipFill>
                    <a:blip r:embed="rId5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figures/unnamed-chunk-2-3.png" id="0" name="Picture"/>
                    <pic:cNvPicPr>
                      <a:picLocks noChangeArrowheads="1" noChangeAspect="1"/>
                    </pic:cNvPicPr>
                  </pic:nvPicPr>
                  <pic:blipFill>
                    <a:blip r:embed="rId51"/>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aorist_burials-1.png" id="0" name="Picture"/>
                    <pic:cNvPicPr>
                      <a:picLocks noChangeArrowheads="1" noChangeAspect="1"/>
                    </pic:cNvPicPr>
                  </pic:nvPicPr>
                  <pic:blipFill>
                    <a:blip r:embed="rId52"/>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aorist_tomb_adjust-1.png" id="0" name="Picture"/>
                    <pic:cNvPicPr>
                      <a:picLocks noChangeArrowheads="1" noChangeAspect="1"/>
                    </pic:cNvPicPr>
                  </pic:nvPicPr>
                  <pic:blipFill>
                    <a:blip r:embed="rId53"/>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2.png" id="0" name="Picture"/>
                    <pic:cNvPicPr>
                      <a:picLocks noChangeArrowheads="1" noChangeAspect="1"/>
                    </pic:cNvPicPr>
                  </pic:nvPicPr>
                  <pic:blipFill>
                    <a:blip r:embed="rId54"/>
                    <a:stretch>
                      <a:fillRect/>
                    </a:stretch>
                  </pic:blipFill>
                  <pic:spPr bwMode="auto">
                    <a:xfrm>
                      <a:off x="0" y="0"/>
                      <a:ext cx="4595937" cy="3676749"/>
                    </a:xfrm>
                    <a:prstGeom prst="rect">
                      <a:avLst/>
                    </a:prstGeom>
                    <a:noFill/>
                    <a:ln w="9525">
                      <a:noFill/>
                      <a:headEnd/>
                      <a:tailEnd/>
                    </a:ln>
                  </pic:spPr>
                </pic:pic>
              </a:graphicData>
            </a:graphic>
          </wp:inline>
        </w:drawing>
      </w:r>
    </w:p>
    <w:p>
      <w:pPr>
        <w:pStyle w:val="SourceCode"/>
      </w:pPr>
      <w:r>
        <w:rPr>
          <w:rStyle w:val="VerbatimChar"/>
        </w:rPr>
        <w:t xml:space="preserve">#&gt;   [1] "tomb"                   "cemetery"              </w:t>
      </w:r>
      <w:r>
        <w:br w:type="textWrapping"/>
      </w:r>
      <w:r>
        <w:rPr>
          <w:rStyle w:val="VerbatimChar"/>
        </w:rPr>
        <w:t xml:space="preserve">#&gt;   [3] "cem_condensed"          "tomb_type"             </w:t>
      </w:r>
      <w:r>
        <w:br w:type="textWrapping"/>
      </w:r>
      <w:r>
        <w:rPr>
          <w:rStyle w:val="VerbatimChar"/>
        </w:rPr>
        <w:t xml:space="preserve">#&gt;   [5] "tomb_type_condensed"    "SM"                    </w:t>
      </w:r>
      <w:r>
        <w:br w:type="textWrapping"/>
      </w:r>
      <w:r>
        <w:rPr>
          <w:rStyle w:val="VerbatimChar"/>
        </w:rPr>
        <w:t xml:space="preserve">#&gt;   [7] "EPG"                    "MPG"                   </w:t>
      </w:r>
      <w:r>
        <w:br w:type="textWrapping"/>
      </w:r>
      <w:r>
        <w:rPr>
          <w:rStyle w:val="VerbatimChar"/>
        </w:rPr>
        <w:t xml:space="preserve">#&gt;   [9] "LPG"                    "PGB"                   </w:t>
      </w:r>
      <w:r>
        <w:br w:type="textWrapping"/>
      </w:r>
      <w:r>
        <w:rPr>
          <w:rStyle w:val="VerbatimChar"/>
        </w:rPr>
        <w:t xml:space="preserve">#&gt;  [11] "EG"                     "MG"                    </w:t>
      </w:r>
      <w:r>
        <w:br w:type="textWrapping"/>
      </w:r>
      <w:r>
        <w:rPr>
          <w:rStyle w:val="VerbatimChar"/>
        </w:rPr>
        <w:t xml:space="preserve">#&gt;  [13] "LG"                     "EO"                    </w:t>
      </w:r>
      <w:r>
        <w:br w:type="textWrapping"/>
      </w:r>
      <w:r>
        <w:rPr>
          <w:rStyle w:val="VerbatimChar"/>
        </w:rPr>
        <w:t xml:space="preserve">#&gt;  [15] "LO"                     "start_period"          </w:t>
      </w:r>
      <w:r>
        <w:br w:type="textWrapping"/>
      </w:r>
      <w:r>
        <w:rPr>
          <w:rStyle w:val="VerbatimChar"/>
        </w:rPr>
        <w:t xml:space="preserve">#&gt;  [17] "period_use"             "start_date"            </w:t>
      </w:r>
      <w:r>
        <w:br w:type="textWrapping"/>
      </w:r>
      <w:r>
        <w:rPr>
          <w:rStyle w:val="VerbatimChar"/>
        </w:rPr>
        <w:t xml:space="preserve">#&gt;  [19] "end_date"               "time_in_use"           </w:t>
      </w:r>
      <w:r>
        <w:br w:type="textWrapping"/>
      </w:r>
      <w:r>
        <w:rPr>
          <w:rStyle w:val="VerbatimChar"/>
        </w:rPr>
        <w:t xml:space="preserve">#&gt;  [21] "century_built"          "chamber_diameter"      </w:t>
      </w:r>
      <w:r>
        <w:br w:type="textWrapping"/>
      </w:r>
      <w:r>
        <w:rPr>
          <w:rStyle w:val="VerbatimChar"/>
        </w:rPr>
        <w:t xml:space="preserve">#&gt;  [23] "chamber_width"          "chamber_depth"         </w:t>
      </w:r>
      <w:r>
        <w:br w:type="textWrapping"/>
      </w:r>
      <w:r>
        <w:rPr>
          <w:rStyle w:val="VerbatimChar"/>
        </w:rPr>
        <w:t xml:space="preserve">#&gt;  [25] "chamber_area"           "stomion_width"         </w:t>
      </w:r>
      <w:r>
        <w:br w:type="textWrapping"/>
      </w:r>
      <w:r>
        <w:rPr>
          <w:rStyle w:val="VerbatimChar"/>
        </w:rPr>
        <w:t xml:space="preserve">#&gt;  [27] "stomion_depth"          "dromos_length"         </w:t>
      </w:r>
      <w:r>
        <w:br w:type="textWrapping"/>
      </w:r>
      <w:r>
        <w:rPr>
          <w:rStyle w:val="VerbatimChar"/>
        </w:rPr>
        <w:t xml:space="preserve">#&gt;  [29] "dromos_width"           "chamber_burials"       </w:t>
      </w:r>
      <w:r>
        <w:br w:type="textWrapping"/>
      </w:r>
      <w:r>
        <w:rPr>
          <w:rStyle w:val="VerbatimChar"/>
        </w:rPr>
        <w:t xml:space="preserve">#&gt;  [31] "dromos_burials"         "total_burials"         </w:t>
      </w:r>
      <w:r>
        <w:br w:type="textWrapping"/>
      </w:r>
      <w:r>
        <w:rPr>
          <w:rStyle w:val="VerbatimChar"/>
        </w:rPr>
        <w:t xml:space="preserve">#&gt;  [33] "pithoi"                 "all_urns"              </w:t>
      </w:r>
      <w:r>
        <w:br w:type="textWrapping"/>
      </w:r>
      <w:r>
        <w:rPr>
          <w:rStyle w:val="VerbatimChar"/>
        </w:rPr>
        <w:t xml:space="preserve">#&gt;  [35] "est_burials"            "gold"                  </w:t>
      </w:r>
      <w:r>
        <w:br w:type="textWrapping"/>
      </w:r>
      <w:r>
        <w:rPr>
          <w:rStyle w:val="VerbatimChar"/>
        </w:rPr>
        <w:t xml:space="preserve">#&gt;  [37] "iron"                   "bronze"                </w:t>
      </w:r>
      <w:r>
        <w:br w:type="textWrapping"/>
      </w:r>
      <w:r>
        <w:rPr>
          <w:rStyle w:val="VerbatimChar"/>
        </w:rPr>
        <w:t xml:space="preserve">#&gt;  [39] "silver"                 "lead"                  </w:t>
      </w:r>
      <w:r>
        <w:br w:type="textWrapping"/>
      </w:r>
      <w:r>
        <w:rPr>
          <w:rStyle w:val="VerbatimChar"/>
        </w:rPr>
        <w:t xml:space="preserve">#&gt;  [41] "electrum"               "other_metal"           </w:t>
      </w:r>
      <w:r>
        <w:br w:type="textWrapping"/>
      </w:r>
      <w:r>
        <w:rPr>
          <w:rStyle w:val="VerbatimChar"/>
        </w:rPr>
        <w:t xml:space="preserve">#&gt;  [43] "total_metal"            "bone_ivory"            </w:t>
      </w:r>
      <w:r>
        <w:br w:type="textWrapping"/>
      </w:r>
      <w:r>
        <w:rPr>
          <w:rStyle w:val="VerbatimChar"/>
        </w:rPr>
        <w:t xml:space="preserve">#&gt;  [45] "faience_blue"           "amber"                 </w:t>
      </w:r>
      <w:r>
        <w:br w:type="textWrapping"/>
      </w:r>
      <w:r>
        <w:rPr>
          <w:rStyle w:val="VerbatimChar"/>
        </w:rPr>
        <w:t xml:space="preserve">#&gt;  [47] "organics"               "stone"                 </w:t>
      </w:r>
      <w:r>
        <w:br w:type="textWrapping"/>
      </w:r>
      <w:r>
        <w:rPr>
          <w:rStyle w:val="VerbatimChar"/>
        </w:rPr>
        <w:t xml:space="preserve">#&gt;  [49] "glass_paste"            "clay"                  </w:t>
      </w:r>
      <w:r>
        <w:br w:type="textWrapping"/>
      </w:r>
      <w:r>
        <w:rPr>
          <w:rStyle w:val="VerbatimChar"/>
        </w:rPr>
        <w:t xml:space="preserve">#&gt;  [51] "unknown_mat"            "total_object"          </w:t>
      </w:r>
      <w:r>
        <w:br w:type="textWrapping"/>
      </w:r>
      <w:r>
        <w:rPr>
          <w:rStyle w:val="VerbatimChar"/>
        </w:rPr>
        <w:t xml:space="preserve">#&gt;  [53] "adornment"              "tool"                  </w:t>
      </w:r>
      <w:r>
        <w:br w:type="textWrapping"/>
      </w:r>
      <w:r>
        <w:rPr>
          <w:rStyle w:val="VerbatimChar"/>
        </w:rPr>
        <w:t xml:space="preserve">#&gt;  [55] "weapon"                 "model"                 </w:t>
      </w:r>
      <w:r>
        <w:br w:type="textWrapping"/>
      </w:r>
      <w:r>
        <w:rPr>
          <w:rStyle w:val="VerbatimChar"/>
        </w:rPr>
        <w:t xml:space="preserve">#&gt;  [57] "jewellery"              "strip"                 </w:t>
      </w:r>
      <w:r>
        <w:br w:type="textWrapping"/>
      </w:r>
      <w:r>
        <w:rPr>
          <w:rStyle w:val="VerbatimChar"/>
        </w:rPr>
        <w:t xml:space="preserve">#&gt;  [59] "sheet"                  "cooking"               </w:t>
      </w:r>
      <w:r>
        <w:br w:type="textWrapping"/>
      </w:r>
      <w:r>
        <w:rPr>
          <w:rStyle w:val="VerbatimChar"/>
        </w:rPr>
        <w:t xml:space="preserve">#&gt;  [61] "loom"                   "clothing_armour"       </w:t>
      </w:r>
      <w:r>
        <w:br w:type="textWrapping"/>
      </w:r>
      <w:r>
        <w:rPr>
          <w:rStyle w:val="VerbatimChar"/>
        </w:rPr>
        <w:t xml:space="preserve">#&gt;  [63] "scarab"                 "coin"                  </w:t>
      </w:r>
      <w:r>
        <w:br w:type="textWrapping"/>
      </w:r>
      <w:r>
        <w:rPr>
          <w:rStyle w:val="VerbatimChar"/>
        </w:rPr>
        <w:t xml:space="preserve">#&gt;  [65] "component"              "seal"                  </w:t>
      </w:r>
      <w:r>
        <w:br w:type="textWrapping"/>
      </w:r>
      <w:r>
        <w:rPr>
          <w:rStyle w:val="VerbatimChar"/>
        </w:rPr>
        <w:t xml:space="preserve">#&gt;  [67] "ornament"               "fitting"               </w:t>
      </w:r>
      <w:r>
        <w:br w:type="textWrapping"/>
      </w:r>
      <w:r>
        <w:rPr>
          <w:rStyle w:val="VerbatimChar"/>
        </w:rPr>
        <w:t xml:space="preserve">#&gt;  [69] "vessel"                 "unidentified_use"      </w:t>
      </w:r>
      <w:r>
        <w:br w:type="textWrapping"/>
      </w:r>
      <w:r>
        <w:rPr>
          <w:rStyle w:val="VerbatimChar"/>
        </w:rPr>
        <w:t xml:space="preserve">#&gt;  [71] "other_use"              "stirrup_jar"           </w:t>
      </w:r>
      <w:r>
        <w:br w:type="textWrapping"/>
      </w:r>
      <w:r>
        <w:rPr>
          <w:rStyle w:val="VerbatimChar"/>
        </w:rPr>
        <w:t xml:space="preserve">#&gt;  [73] "jar"                    "flask"                 </w:t>
      </w:r>
      <w:r>
        <w:br w:type="textWrapping"/>
      </w:r>
      <w:r>
        <w:rPr>
          <w:rStyle w:val="VerbatimChar"/>
        </w:rPr>
        <w:t xml:space="preserve">#&gt;  [75] "oinochoai"              "amphora"               </w:t>
      </w:r>
      <w:r>
        <w:br w:type="textWrapping"/>
      </w:r>
      <w:r>
        <w:rPr>
          <w:rStyle w:val="VerbatimChar"/>
        </w:rPr>
        <w:t xml:space="preserve">#&gt;  [77] "thelastron"             "amphoriskos"           </w:t>
      </w:r>
      <w:r>
        <w:br w:type="textWrapping"/>
      </w:r>
      <w:r>
        <w:rPr>
          <w:rStyle w:val="VerbatimChar"/>
        </w:rPr>
        <w:t xml:space="preserve">#&gt;  [79] "hydria"                 "pithos"                </w:t>
      </w:r>
      <w:r>
        <w:br w:type="textWrapping"/>
      </w:r>
      <w:r>
        <w:rPr>
          <w:rStyle w:val="VerbatimChar"/>
        </w:rPr>
        <w:t xml:space="preserve">#&gt;  [81] "jug_let"                "olpe"                  </w:t>
      </w:r>
      <w:r>
        <w:br w:type="textWrapping"/>
      </w:r>
      <w:r>
        <w:rPr>
          <w:rStyle w:val="VerbatimChar"/>
        </w:rPr>
        <w:t xml:space="preserve">#&gt;  [83] "alabastron"             "lentoid_flask"         </w:t>
      </w:r>
      <w:r>
        <w:br w:type="textWrapping"/>
      </w:r>
      <w:r>
        <w:rPr>
          <w:rStyle w:val="VerbatimChar"/>
        </w:rPr>
        <w:t xml:space="preserve">#&gt;  [85] "lekythos"               "alabastron_aryballos"  </w:t>
      </w:r>
      <w:r>
        <w:br w:type="textWrapping"/>
      </w:r>
      <w:r>
        <w:rPr>
          <w:rStyle w:val="VerbatimChar"/>
        </w:rPr>
        <w:t xml:space="preserve">#&gt;  [87] "aryballos"              "bottle"                </w:t>
      </w:r>
      <w:r>
        <w:br w:type="textWrapping"/>
      </w:r>
      <w:r>
        <w:rPr>
          <w:rStyle w:val="VerbatimChar"/>
        </w:rPr>
        <w:t xml:space="preserve">#&gt;  [89] "bird_askos"             "pyxis"                 </w:t>
      </w:r>
      <w:r>
        <w:br w:type="textWrapping"/>
      </w:r>
      <w:r>
        <w:rPr>
          <w:rStyle w:val="VerbatimChar"/>
        </w:rPr>
        <w:t xml:space="preserve">#&gt;  [91] "dinos"                  "krater"                </w:t>
      </w:r>
      <w:r>
        <w:br w:type="textWrapping"/>
      </w:r>
      <w:r>
        <w:rPr>
          <w:rStyle w:val="VerbatimChar"/>
        </w:rPr>
        <w:t xml:space="preserve">#&gt;  [93] "krateriskos"            "lekanis"               </w:t>
      </w:r>
      <w:r>
        <w:br w:type="textWrapping"/>
      </w:r>
      <w:r>
        <w:rPr>
          <w:rStyle w:val="VerbatimChar"/>
        </w:rPr>
        <w:t xml:space="preserve">#&gt;  [95] "skyphos"                "bowl"                  </w:t>
      </w:r>
      <w:r>
        <w:br w:type="textWrapping"/>
      </w:r>
      <w:r>
        <w:rPr>
          <w:rStyle w:val="VerbatimChar"/>
        </w:rPr>
        <w:t xml:space="preserve">#&gt;  [97] "cup"                    "kantharos"             </w:t>
      </w:r>
      <w:r>
        <w:br w:type="textWrapping"/>
      </w:r>
      <w:r>
        <w:rPr>
          <w:rStyle w:val="VerbatimChar"/>
        </w:rPr>
        <w:t xml:space="preserve">#&gt;  [99] "plate_tray"             "kotyle"                </w:t>
      </w:r>
      <w:r>
        <w:br w:type="textWrapping"/>
      </w:r>
      <w:r>
        <w:rPr>
          <w:rStyle w:val="VerbatimChar"/>
        </w:rPr>
        <w:t xml:space="preserve">#&gt; [101] "kalathos"               "lid"                   </w:t>
      </w:r>
      <w:r>
        <w:br w:type="textWrapping"/>
      </w:r>
      <w:r>
        <w:rPr>
          <w:rStyle w:val="VerbatimChar"/>
        </w:rPr>
        <w:t xml:space="preserve">#&gt; [103] "larnax"                 "stand"                 </w:t>
      </w:r>
      <w:r>
        <w:br w:type="textWrapping"/>
      </w:r>
      <w:r>
        <w:rPr>
          <w:rStyle w:val="VerbatimChar"/>
        </w:rPr>
        <w:t xml:space="preserve">#&gt; [105] "house_model"            "kernos"                </w:t>
      </w:r>
      <w:r>
        <w:br w:type="textWrapping"/>
      </w:r>
      <w:r>
        <w:rPr>
          <w:rStyle w:val="VerbatimChar"/>
        </w:rPr>
        <w:t xml:space="preserve">#&gt; [107] "other_vessel"           "unidentified_vessel"   </w:t>
      </w:r>
      <w:r>
        <w:br w:type="textWrapping"/>
      </w:r>
      <w:r>
        <w:rPr>
          <w:rStyle w:val="VerbatimChar"/>
        </w:rPr>
        <w:t xml:space="preserve">#&gt; [109] "total_open_vessel"      "total_closed_vessel"   </w:t>
      </w:r>
      <w:r>
        <w:br w:type="textWrapping"/>
      </w:r>
      <w:r>
        <w:rPr>
          <w:rStyle w:val="VerbatimChar"/>
        </w:rPr>
        <w:t xml:space="preserve">#&gt; [111] "total_other_vessel"     "total_pottery"         </w:t>
      </w:r>
      <w:r>
        <w:br w:type="textWrapping"/>
      </w:r>
      <w:r>
        <w:rPr>
          <w:rStyle w:val="VerbatimChar"/>
        </w:rPr>
        <w:t xml:space="preserve">#&gt; [113] "total_finds"            "total_import"          </w:t>
      </w:r>
      <w:r>
        <w:br w:type="textWrapping"/>
      </w:r>
      <w:r>
        <w:rPr>
          <w:rStyle w:val="VerbatimChar"/>
        </w:rPr>
        <w:t xml:space="preserve">#&gt; [115] "total_import_imitation" "total_imitation"       </w:t>
      </w:r>
      <w:r>
        <w:br w:type="textWrapping"/>
      </w:r>
      <w:r>
        <w:rPr>
          <w:rStyle w:val="VerbatimChar"/>
        </w:rPr>
        <w:t xml:space="preserve">#&gt; [117] "antique"                "pithoi1100.1050"       </w:t>
      </w:r>
      <w:r>
        <w:br w:type="textWrapping"/>
      </w:r>
      <w:r>
        <w:rPr>
          <w:rStyle w:val="VerbatimChar"/>
        </w:rPr>
        <w:t xml:space="preserve">#&gt; [119] "pithoi1050.1000"        "pithoi1000.950"        </w:t>
      </w:r>
      <w:r>
        <w:br w:type="textWrapping"/>
      </w:r>
      <w:r>
        <w:rPr>
          <w:rStyle w:val="VerbatimChar"/>
        </w:rPr>
        <w:t xml:space="preserve">#&gt; [121] "pithoi950.900"          "pithoi900.850"         </w:t>
      </w:r>
      <w:r>
        <w:br w:type="textWrapping"/>
      </w:r>
      <w:r>
        <w:rPr>
          <w:rStyle w:val="VerbatimChar"/>
        </w:rPr>
        <w:t xml:space="preserve">#&gt; [123] "pithoi850.800"          "pithoi800.750"         </w:t>
      </w:r>
      <w:r>
        <w:br w:type="textWrapping"/>
      </w:r>
      <w:r>
        <w:rPr>
          <w:rStyle w:val="VerbatimChar"/>
        </w:rPr>
        <w:t xml:space="preserve">#&gt; [125] "pithoi750.700"          "pithoi700.650"         </w:t>
      </w:r>
      <w:r>
        <w:br w:type="textWrapping"/>
      </w:r>
      <w:r>
        <w:rPr>
          <w:rStyle w:val="VerbatimChar"/>
        </w:rPr>
        <w:t xml:space="preserve">#&gt; [127] "pithoi650.600"          "pots1100.1050"         </w:t>
      </w:r>
      <w:r>
        <w:br w:type="textWrapping"/>
      </w:r>
      <w:r>
        <w:rPr>
          <w:rStyle w:val="VerbatimChar"/>
        </w:rPr>
        <w:t xml:space="preserve">#&gt; [129] "pots1050.1000"          "pots1000.950"          </w:t>
      </w:r>
      <w:r>
        <w:br w:type="textWrapping"/>
      </w:r>
      <w:r>
        <w:rPr>
          <w:rStyle w:val="VerbatimChar"/>
        </w:rPr>
        <w:t xml:space="preserve">#&gt; [131] "pots950.900"            "pots900.850"           </w:t>
      </w:r>
      <w:r>
        <w:br w:type="textWrapping"/>
      </w:r>
      <w:r>
        <w:rPr>
          <w:rStyle w:val="VerbatimChar"/>
        </w:rPr>
        <w:t xml:space="preserve">#&gt; [133] "pots850.800"            "pots800.750"           </w:t>
      </w:r>
      <w:r>
        <w:br w:type="textWrapping"/>
      </w:r>
      <w:r>
        <w:rPr>
          <w:rStyle w:val="VerbatimChar"/>
        </w:rPr>
        <w:t xml:space="preserve">#&gt; [135] "pots750.700"            "pots700.650"           </w:t>
      </w:r>
      <w:r>
        <w:br w:type="textWrapping"/>
      </w:r>
      <w:r>
        <w:rPr>
          <w:rStyle w:val="VerbatimChar"/>
        </w:rPr>
        <w:t xml:space="preserve">#&gt; [137] "pots650.600"            "SMpithoi"              </w:t>
      </w:r>
      <w:r>
        <w:br w:type="textWrapping"/>
      </w:r>
      <w:r>
        <w:rPr>
          <w:rStyle w:val="VerbatimChar"/>
        </w:rPr>
        <w:t xml:space="preserve">#&gt; [139] "EPGpithoi"              "MPGpithoi"             </w:t>
      </w:r>
      <w:r>
        <w:br w:type="textWrapping"/>
      </w:r>
      <w:r>
        <w:rPr>
          <w:rStyle w:val="VerbatimChar"/>
        </w:rPr>
        <w:t xml:space="preserve">#&gt; [141] "LPGpithoi"              "PGBpithoi"             </w:t>
      </w:r>
      <w:r>
        <w:br w:type="textWrapping"/>
      </w:r>
      <w:r>
        <w:rPr>
          <w:rStyle w:val="VerbatimChar"/>
        </w:rPr>
        <w:t xml:space="preserve">#&gt; [143] "EGpithoi"               "MGpithoi"              </w:t>
      </w:r>
      <w:r>
        <w:br w:type="textWrapping"/>
      </w:r>
      <w:r>
        <w:rPr>
          <w:rStyle w:val="VerbatimChar"/>
        </w:rPr>
        <w:t xml:space="preserve">#&gt; [145] "LGpithoi"               "EOpithoi"              </w:t>
      </w:r>
      <w:r>
        <w:br w:type="textWrapping"/>
      </w:r>
      <w:r>
        <w:rPr>
          <w:rStyle w:val="VerbatimChar"/>
        </w:rPr>
        <w:t xml:space="preserve">#&gt; [147] "LOpithoi"               "SMpots"                </w:t>
      </w:r>
      <w:r>
        <w:br w:type="textWrapping"/>
      </w:r>
      <w:r>
        <w:rPr>
          <w:rStyle w:val="VerbatimChar"/>
        </w:rPr>
        <w:t xml:space="preserve">#&gt; [149] "EPGpots"                "MPGpots"               </w:t>
      </w:r>
      <w:r>
        <w:br w:type="textWrapping"/>
      </w:r>
      <w:r>
        <w:rPr>
          <w:rStyle w:val="VerbatimChar"/>
        </w:rPr>
        <w:t xml:space="preserve">#&gt; [151] "LPGpots"                "PGBpots"               </w:t>
      </w:r>
      <w:r>
        <w:br w:type="textWrapping"/>
      </w:r>
      <w:r>
        <w:rPr>
          <w:rStyle w:val="VerbatimChar"/>
        </w:rPr>
        <w:t xml:space="preserve">#&gt; [153] "EGpots"                 "MGpots"                </w:t>
      </w:r>
      <w:r>
        <w:br w:type="textWrapping"/>
      </w:r>
      <w:r>
        <w:rPr>
          <w:rStyle w:val="VerbatimChar"/>
        </w:rPr>
        <w:t xml:space="preserve">#&gt; [155] "LGpots"                 "EOpots"                </w:t>
      </w:r>
      <w:r>
        <w:br w:type="textWrapping"/>
      </w:r>
      <w:r>
        <w:rPr>
          <w:rStyle w:val="VerbatimChar"/>
        </w:rPr>
        <w:t xml:space="preserve">#&gt; [157] "LOpots"                 "X1100"                 </w:t>
      </w:r>
      <w:r>
        <w:br w:type="textWrapping"/>
      </w:r>
      <w:r>
        <w:rPr>
          <w:rStyle w:val="VerbatimChar"/>
        </w:rPr>
        <w:t xml:space="preserve">#&gt; [159] "X1090"                  "X1080"                 </w:t>
      </w:r>
      <w:r>
        <w:br w:type="textWrapping"/>
      </w:r>
      <w:r>
        <w:rPr>
          <w:rStyle w:val="VerbatimChar"/>
        </w:rPr>
        <w:t xml:space="preserve">#&gt; [161] "X1070"                  "X1060"                 </w:t>
      </w:r>
      <w:r>
        <w:br w:type="textWrapping"/>
      </w:r>
      <w:r>
        <w:rPr>
          <w:rStyle w:val="VerbatimChar"/>
        </w:rPr>
        <w:t xml:space="preserve">#&gt; [163] "X1050"                  "X1040"                 </w:t>
      </w:r>
      <w:r>
        <w:br w:type="textWrapping"/>
      </w:r>
      <w:r>
        <w:rPr>
          <w:rStyle w:val="VerbatimChar"/>
        </w:rPr>
        <w:t xml:space="preserve">#&gt; [165] "X1030"                  "X1020"                 </w:t>
      </w:r>
      <w:r>
        <w:br w:type="textWrapping"/>
      </w:r>
      <w:r>
        <w:rPr>
          <w:rStyle w:val="VerbatimChar"/>
        </w:rPr>
        <w:t xml:space="preserve">#&gt; [167] "X1010"                  "X1000"                 </w:t>
      </w:r>
      <w:r>
        <w:br w:type="textWrapping"/>
      </w:r>
      <w:r>
        <w:rPr>
          <w:rStyle w:val="VerbatimChar"/>
        </w:rPr>
        <w:t xml:space="preserve">#&gt; [169] "X990"                   "X980"                  </w:t>
      </w:r>
      <w:r>
        <w:br w:type="textWrapping"/>
      </w:r>
      <w:r>
        <w:rPr>
          <w:rStyle w:val="VerbatimChar"/>
        </w:rPr>
        <w:t xml:space="preserve">#&gt; [171] "X970"                   "X960"                  </w:t>
      </w:r>
      <w:r>
        <w:br w:type="textWrapping"/>
      </w:r>
      <w:r>
        <w:rPr>
          <w:rStyle w:val="VerbatimChar"/>
        </w:rPr>
        <w:t xml:space="preserve">#&gt; [173] "X950"                   "X940"                  </w:t>
      </w:r>
      <w:r>
        <w:br w:type="textWrapping"/>
      </w:r>
      <w:r>
        <w:rPr>
          <w:rStyle w:val="VerbatimChar"/>
        </w:rPr>
        <w:t xml:space="preserve">#&gt; [175] "X930"                   "X920"                  </w:t>
      </w:r>
      <w:r>
        <w:br w:type="textWrapping"/>
      </w:r>
      <w:r>
        <w:rPr>
          <w:rStyle w:val="VerbatimChar"/>
        </w:rPr>
        <w:t xml:space="preserve">#&gt; [177] "X910"                   "X900"                  </w:t>
      </w:r>
      <w:r>
        <w:br w:type="textWrapping"/>
      </w:r>
      <w:r>
        <w:rPr>
          <w:rStyle w:val="VerbatimChar"/>
        </w:rPr>
        <w:t xml:space="preserve">#&gt; [179] "X890"                   "X880"                  </w:t>
      </w:r>
      <w:r>
        <w:br w:type="textWrapping"/>
      </w:r>
      <w:r>
        <w:rPr>
          <w:rStyle w:val="VerbatimChar"/>
        </w:rPr>
        <w:t xml:space="preserve">#&gt; [181] "X870"                   "X860"                  </w:t>
      </w:r>
      <w:r>
        <w:br w:type="textWrapping"/>
      </w:r>
      <w:r>
        <w:rPr>
          <w:rStyle w:val="VerbatimChar"/>
        </w:rPr>
        <w:t xml:space="preserve">#&gt; [183] "X850"                   "X840"                  </w:t>
      </w:r>
      <w:r>
        <w:br w:type="textWrapping"/>
      </w:r>
      <w:r>
        <w:rPr>
          <w:rStyle w:val="VerbatimChar"/>
        </w:rPr>
        <w:t xml:space="preserve">#&gt; [185] "X830"                   "X820"                  </w:t>
      </w:r>
      <w:r>
        <w:br w:type="textWrapping"/>
      </w:r>
      <w:r>
        <w:rPr>
          <w:rStyle w:val="VerbatimChar"/>
        </w:rPr>
        <w:t xml:space="preserve">#&gt; [187] "X810"                   "X800"                  </w:t>
      </w:r>
      <w:r>
        <w:br w:type="textWrapping"/>
      </w:r>
      <w:r>
        <w:rPr>
          <w:rStyle w:val="VerbatimChar"/>
        </w:rPr>
        <w:t xml:space="preserve">#&gt; [189] "X790"                   "X780"                  </w:t>
      </w:r>
      <w:r>
        <w:br w:type="textWrapping"/>
      </w:r>
      <w:r>
        <w:rPr>
          <w:rStyle w:val="VerbatimChar"/>
        </w:rPr>
        <w:t xml:space="preserve">#&gt; [191] "X770"                   "X760"                  </w:t>
      </w:r>
      <w:r>
        <w:br w:type="textWrapping"/>
      </w:r>
      <w:r>
        <w:rPr>
          <w:rStyle w:val="VerbatimChar"/>
        </w:rPr>
        <w:t xml:space="preserve">#&gt; [193] "X750"                   "X740"                  </w:t>
      </w:r>
      <w:r>
        <w:br w:type="textWrapping"/>
      </w:r>
      <w:r>
        <w:rPr>
          <w:rStyle w:val="VerbatimChar"/>
        </w:rPr>
        <w:t xml:space="preserve">#&gt; [195] "X730"                   "X720"                  </w:t>
      </w:r>
      <w:r>
        <w:br w:type="textWrapping"/>
      </w:r>
      <w:r>
        <w:rPr>
          <w:rStyle w:val="VerbatimChar"/>
        </w:rPr>
        <w:t xml:space="preserve">#&gt; [197] "X710"                   "X700"                  </w:t>
      </w:r>
      <w:r>
        <w:br w:type="textWrapping"/>
      </w:r>
      <w:r>
        <w:rPr>
          <w:rStyle w:val="VerbatimChar"/>
        </w:rPr>
        <w:t xml:space="preserve">#&gt; [199] "X690"                   "X680"                  </w:t>
      </w:r>
      <w:r>
        <w:br w:type="textWrapping"/>
      </w:r>
      <w:r>
        <w:rPr>
          <w:rStyle w:val="VerbatimChar"/>
        </w:rPr>
        <w:t xml:space="preserve">#&gt; [201] "X670"                   "X660"                  </w:t>
      </w:r>
      <w:r>
        <w:br w:type="textWrapping"/>
      </w:r>
      <w:r>
        <w:rPr>
          <w:rStyle w:val="VerbatimChar"/>
        </w:rPr>
        <w:t xml:space="preserve">#&gt; [203] "X650"                   "X640"                  </w:t>
      </w:r>
      <w:r>
        <w:br w:type="textWrapping"/>
      </w:r>
      <w:r>
        <w:rPr>
          <w:rStyle w:val="VerbatimChar"/>
        </w:rPr>
        <w:t xml:space="preserve">#&gt; [205] "X630"                   "X620"                  </w:t>
      </w:r>
      <w:r>
        <w:br w:type="textWrapping"/>
      </w:r>
      <w:r>
        <w:rPr>
          <w:rStyle w:val="VerbatimChar"/>
        </w:rPr>
        <w:t xml:space="preserve">#&gt; [207] "X610"                   "pithoi1100"            </w:t>
      </w:r>
      <w:r>
        <w:br w:type="textWrapping"/>
      </w:r>
      <w:r>
        <w:rPr>
          <w:rStyle w:val="VerbatimChar"/>
        </w:rPr>
        <w:t xml:space="preserve">#&gt; [209] "pithoi1090"             "pithoi1080"            </w:t>
      </w:r>
      <w:r>
        <w:br w:type="textWrapping"/>
      </w:r>
      <w:r>
        <w:rPr>
          <w:rStyle w:val="VerbatimChar"/>
        </w:rPr>
        <w:t xml:space="preserve">#&gt; [211] "pithoi1070"             "pithoi1060"            </w:t>
      </w:r>
      <w:r>
        <w:br w:type="textWrapping"/>
      </w:r>
      <w:r>
        <w:rPr>
          <w:rStyle w:val="VerbatimChar"/>
        </w:rPr>
        <w:t xml:space="preserve">#&gt; [213] "pithoi1050"             "pithoi1040"            </w:t>
      </w:r>
      <w:r>
        <w:br w:type="textWrapping"/>
      </w:r>
      <w:r>
        <w:rPr>
          <w:rStyle w:val="VerbatimChar"/>
        </w:rPr>
        <w:t xml:space="preserve">#&gt; [215] "pithoi1030"             "pithoi1020"            </w:t>
      </w:r>
      <w:r>
        <w:br w:type="textWrapping"/>
      </w:r>
      <w:r>
        <w:rPr>
          <w:rStyle w:val="VerbatimChar"/>
        </w:rPr>
        <w:t xml:space="preserve">#&gt; [217] "pithoi1010"             "pithoi1000"            </w:t>
      </w:r>
      <w:r>
        <w:br w:type="textWrapping"/>
      </w:r>
      <w:r>
        <w:rPr>
          <w:rStyle w:val="VerbatimChar"/>
        </w:rPr>
        <w:t xml:space="preserve">#&gt; [219] "pithoi990"              "pithoi980"             </w:t>
      </w:r>
      <w:r>
        <w:br w:type="textWrapping"/>
      </w:r>
      <w:r>
        <w:rPr>
          <w:rStyle w:val="VerbatimChar"/>
        </w:rPr>
        <w:t xml:space="preserve">#&gt; [221] "pithoi970"              "pithoi960"             </w:t>
      </w:r>
      <w:r>
        <w:br w:type="textWrapping"/>
      </w:r>
      <w:r>
        <w:rPr>
          <w:rStyle w:val="VerbatimChar"/>
        </w:rPr>
        <w:t xml:space="preserve">#&gt; [223] "pithoi950"              "pithoi940"             </w:t>
      </w:r>
      <w:r>
        <w:br w:type="textWrapping"/>
      </w:r>
      <w:r>
        <w:rPr>
          <w:rStyle w:val="VerbatimChar"/>
        </w:rPr>
        <w:t xml:space="preserve">#&gt; [225] "pithoi930"              "pithoi920"             </w:t>
      </w:r>
      <w:r>
        <w:br w:type="textWrapping"/>
      </w:r>
      <w:r>
        <w:rPr>
          <w:rStyle w:val="VerbatimChar"/>
        </w:rPr>
        <w:t xml:space="preserve">#&gt; [227] "pithoi910"              "pithoi900"             </w:t>
      </w:r>
      <w:r>
        <w:br w:type="textWrapping"/>
      </w:r>
      <w:r>
        <w:rPr>
          <w:rStyle w:val="VerbatimChar"/>
        </w:rPr>
        <w:t xml:space="preserve">#&gt; [229] "pithoi890"              "pithoi880"             </w:t>
      </w:r>
      <w:r>
        <w:br w:type="textWrapping"/>
      </w:r>
      <w:r>
        <w:rPr>
          <w:rStyle w:val="VerbatimChar"/>
        </w:rPr>
        <w:t xml:space="preserve">#&gt; [231] "pithoi870"              "pithoi860"             </w:t>
      </w:r>
      <w:r>
        <w:br w:type="textWrapping"/>
      </w:r>
      <w:r>
        <w:rPr>
          <w:rStyle w:val="VerbatimChar"/>
        </w:rPr>
        <w:t xml:space="preserve">#&gt; [233] "pithoi850"              "pithoi840"             </w:t>
      </w:r>
      <w:r>
        <w:br w:type="textWrapping"/>
      </w:r>
      <w:r>
        <w:rPr>
          <w:rStyle w:val="VerbatimChar"/>
        </w:rPr>
        <w:t xml:space="preserve">#&gt; [235] "pithoi830"              "pithoi820"             </w:t>
      </w:r>
      <w:r>
        <w:br w:type="textWrapping"/>
      </w:r>
      <w:r>
        <w:rPr>
          <w:rStyle w:val="VerbatimChar"/>
        </w:rPr>
        <w:t xml:space="preserve">#&gt; [237] "pithoi810"              "pithoi800"             </w:t>
      </w:r>
      <w:r>
        <w:br w:type="textWrapping"/>
      </w:r>
      <w:r>
        <w:rPr>
          <w:rStyle w:val="VerbatimChar"/>
        </w:rPr>
        <w:t xml:space="preserve">#&gt; [239] "pithoi790"              "pithoi780"             </w:t>
      </w:r>
      <w:r>
        <w:br w:type="textWrapping"/>
      </w:r>
      <w:r>
        <w:rPr>
          <w:rStyle w:val="VerbatimChar"/>
        </w:rPr>
        <w:t xml:space="preserve">#&gt; [241] "pithoi770"              "pithoi760"             </w:t>
      </w:r>
      <w:r>
        <w:br w:type="textWrapping"/>
      </w:r>
      <w:r>
        <w:rPr>
          <w:rStyle w:val="VerbatimChar"/>
        </w:rPr>
        <w:t xml:space="preserve">#&gt; [243] "pithoi750"              "pithoi740"             </w:t>
      </w:r>
      <w:r>
        <w:br w:type="textWrapping"/>
      </w:r>
      <w:r>
        <w:rPr>
          <w:rStyle w:val="VerbatimChar"/>
        </w:rPr>
        <w:t xml:space="preserve">#&gt; [245] "pithoi730"              "pithoi720"             </w:t>
      </w:r>
      <w:r>
        <w:br w:type="textWrapping"/>
      </w:r>
      <w:r>
        <w:rPr>
          <w:rStyle w:val="VerbatimChar"/>
        </w:rPr>
        <w:t xml:space="preserve">#&gt; [247] "pithoi710"              "pithoi700"             </w:t>
      </w:r>
      <w:r>
        <w:br w:type="textWrapping"/>
      </w:r>
      <w:r>
        <w:rPr>
          <w:rStyle w:val="VerbatimChar"/>
        </w:rPr>
        <w:t xml:space="preserve">#&gt; [249] "pithoi690"              "pithoi680"             </w:t>
      </w:r>
      <w:r>
        <w:br w:type="textWrapping"/>
      </w:r>
      <w:r>
        <w:rPr>
          <w:rStyle w:val="VerbatimChar"/>
        </w:rPr>
        <w:t xml:space="preserve">#&gt; [251] "pithoi670"              "pithoi660"             </w:t>
      </w:r>
      <w:r>
        <w:br w:type="textWrapping"/>
      </w:r>
      <w:r>
        <w:rPr>
          <w:rStyle w:val="VerbatimChar"/>
        </w:rPr>
        <w:t xml:space="preserve">#&gt; [253] "pithoi650"              "pithoi640"             </w:t>
      </w:r>
      <w:r>
        <w:br w:type="textWrapping"/>
      </w:r>
      <w:r>
        <w:rPr>
          <w:rStyle w:val="VerbatimChar"/>
        </w:rPr>
        <w:t xml:space="preserve">#&gt; [255] "pithoi630"              "pithoi620"             </w:t>
      </w:r>
      <w:r>
        <w:br w:type="textWrapping"/>
      </w:r>
      <w:r>
        <w:rPr>
          <w:rStyle w:val="VerbatimChar"/>
        </w:rPr>
        <w:t xml:space="preserve">#&gt; [257] "pithoi610"</w:t>
      </w:r>
    </w:p>
    <w:p>
      <w:pPr>
        <w:pStyle w:val="FirstParagraph"/>
      </w:pPr>
      <w:r>
        <w:drawing>
          <wp:inline>
            <wp:extent cx="4595937" cy="3676749"/>
            <wp:effectExtent b="0" l="0" r="0" t="0"/>
            <wp:docPr descr="" title="" id="1" name="Picture"/>
            <a:graphic>
              <a:graphicData uri="http://schemas.openxmlformats.org/drawingml/2006/picture">
                <pic:pic>
                  <pic:nvPicPr>
                    <pic:cNvPr descr="../figures/aorist_tomb_adjust-3.png" id="0" name="Picture"/>
                    <pic:cNvPicPr>
                      <a:picLocks noChangeArrowheads="1" noChangeAspect="1"/>
                    </pic:cNvPicPr>
                  </pic:nvPicPr>
                  <pic:blipFill>
                    <a:blip r:embed="rId55"/>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4.png" id="0" name="Picture"/>
                    <pic:cNvPicPr>
                      <a:picLocks noChangeArrowheads="1" noChangeAspect="1"/>
                    </pic:cNvPicPr>
                  </pic:nvPicPr>
                  <pic:blipFill>
                    <a:blip r:embed="rId56"/>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5.png" id="0" name="Picture"/>
                    <pic:cNvPicPr>
                      <a:picLocks noChangeArrowheads="1" noChangeAspect="1"/>
                    </pic:cNvPicPr>
                  </pic:nvPicPr>
                  <pic:blipFill>
                    <a:blip r:embed="rId57"/>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rates%20of%20burials-1.png" id="0" name="Picture"/>
                    <pic:cNvPicPr>
                      <a:picLocks noChangeArrowheads="1" noChangeAspect="1"/>
                    </pic:cNvPicPr>
                  </pic:nvPicPr>
                  <pic:blipFill>
                    <a:blip r:embed="rId58"/>
                    <a:stretch>
                      <a:fillRect/>
                    </a:stretch>
                  </pic:blipFill>
                  <pic:spPr bwMode="auto">
                    <a:xfrm>
                      <a:off x="0" y="0"/>
                      <a:ext cx="4595937" cy="3676749"/>
                    </a:xfrm>
                    <a:prstGeom prst="rect">
                      <a:avLst/>
                    </a:prstGeom>
                    <a:noFill/>
                    <a:ln w="9525">
                      <a:noFill/>
                      <a:headEnd/>
                      <a:tailEnd/>
                    </a:ln>
                  </pic:spPr>
                </pic:pic>
              </a:graphicData>
            </a:graphic>
          </wp:inline>
        </w:drawing>
      </w:r>
    </w:p>
    <w:p>
      <w:pPr>
        <w:pStyle w:val="SourceCode"/>
      </w:pPr>
      <w:r>
        <w:rPr>
          <w:rStyle w:val="VerbatimChar"/>
        </w:rPr>
        <w:t xml:space="preserve">#&gt; 'data.frame':    600 obs. of  3 variables:</w:t>
      </w:r>
      <w:r>
        <w:br w:type="textWrapping"/>
      </w:r>
      <w:r>
        <w:rPr>
          <w:rStyle w:val="VerbatimChar"/>
        </w:rPr>
        <w:t xml:space="preserve">#&gt;  $ tomb    : Factor w/ 154 levels "1","100","103",..: 143 61 79 7 58 127 153 122 44 4 ...</w:t>
      </w:r>
      <w:r>
        <w:br w:type="textWrapping"/>
      </w:r>
      <w:r>
        <w:rPr>
          <w:rStyle w:val="VerbatimChar"/>
        </w:rPr>
        <w:t xml:space="preserve">#&gt;  $ variable: Factor w/ 50 levels "1100","1090",..: 1 1 1 1 1 1 1 1 1 1 ...</w:t>
      </w:r>
      <w:r>
        <w:br w:type="textWrapping"/>
      </w:r>
      <w:r>
        <w:rPr>
          <w:rStyle w:val="VerbatimChar"/>
        </w:rPr>
        <w:t xml:space="preserve">#&gt;  $ value   : num  0 0 0 0 0.0556 ...</w:t>
      </w:r>
    </w:p>
    <w:p>
      <w:pPr>
        <w:pStyle w:val="FirstParagraph"/>
      </w:pPr>
      <w:r>
        <w:drawing>
          <wp:inline>
            <wp:extent cx="5943600" cy="4245428"/>
            <wp:effectExtent b="0" l="0" r="0" t="0"/>
            <wp:docPr descr="" title="" id="1" name="Picture"/>
            <a:graphic>
              <a:graphicData uri="http://schemas.openxmlformats.org/drawingml/2006/picture">
                <pic:pic>
                  <pic:nvPicPr>
                    <pic:cNvPr descr="../figures/top_tombs-1.png" id="0"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1"/>
      </w:pPr>
      <w:bookmarkStart w:id="60" w:name="results"/>
      <w:bookmarkEnd w:id="60"/>
      <w:r>
        <w:t xml:space="preserve">Results</w:t>
      </w:r>
    </w:p>
    <w:p>
      <w:pPr>
        <w:pStyle w:val="Heading1"/>
      </w:pPr>
      <w:bookmarkStart w:id="61" w:name="discussion"/>
      <w:bookmarkEnd w:id="61"/>
      <w:r>
        <w:t xml:space="preserve">Discussion</w:t>
      </w:r>
    </w:p>
    <w:p>
      <w:pPr>
        <w:pStyle w:val="Heading1"/>
      </w:pPr>
      <w:bookmarkStart w:id="62" w:name="conclusion"/>
      <w:bookmarkEnd w:id="62"/>
      <w:r>
        <w:t xml:space="preserve">Conclusion</w:t>
      </w:r>
    </w:p>
    <w:p>
      <w:pPr>
        <w:pStyle w:val="Heading1"/>
      </w:pPr>
      <w:bookmarkStart w:id="63" w:name="acknowledgements"/>
      <w:bookmarkEnd w:id="63"/>
      <w:r>
        <w:t xml:space="preserve">Acknowledgements</w:t>
      </w:r>
    </w:p>
    <w:p>
      <w:pPr>
        <w:pStyle w:val="Heading5"/>
      </w:pPr>
      <w:bookmarkStart w:id="64" w:name="pagebreak"/>
      <w:bookmarkEnd w:id="64"/>
      <w:r>
        <w:t xml:space="preserve">pagebreak</w:t>
      </w:r>
    </w:p>
    <w:p>
      <w:pPr>
        <w:pStyle w:val="Heading1"/>
      </w:pPr>
      <w:bookmarkStart w:id="65" w:name="references"/>
      <w:bookmarkEnd w:id="65"/>
      <w:r>
        <w:t xml:space="preserve">References</w:t>
      </w:r>
    </w:p>
    <w:p>
      <w:pPr>
        <w:pStyle w:val="FirstParagraph"/>
      </w:pPr>
      <w:r>
        <w:t xml:space="preserve">Antonaccio, Carla M. 1994. “Contesting the Past : Hero Cult, Tomb Cult, and Epic in Early Greece.”</w:t>
      </w:r>
      <w:r>
        <w:t xml:space="preserve"> </w:t>
      </w:r>
      <w:r>
        <w:rPr>
          <w:i/>
        </w:rPr>
        <w:t xml:space="preserve">American Journal of Archaeology</w:t>
      </w:r>
      <w:r>
        <w:t xml:space="preserve"> </w:t>
      </w:r>
      <w:r>
        <w:t xml:space="preserve">98 (3): 389–410. doi:</w:t>
      </w:r>
      <w:hyperlink r:id="rId66">
        <w:r>
          <w:rPr>
            <w:rStyle w:val="Hyperlink"/>
          </w:rPr>
          <w:t xml:space="preserve">10.2307/506436</w:t>
        </w:r>
      </w:hyperlink>
      <w:r>
        <w:t xml:space="preserve">.</w:t>
      </w:r>
    </w:p>
    <w:p>
      <w:pPr>
        <w:pStyle w:val="BodyText"/>
      </w:pPr>
      <w:r>
        <w:t xml:space="preserve">Antoniadis, Vyron. 2012. “Early Iron Age Cementeries at Knossos: The Appreciation of Oriental Imports and their Imitations by Knossian Society.” PhD thesis, Universitat Pompeu Fabra.</w:t>
      </w:r>
      <w:r>
        <w:t xml:space="preserve"> </w:t>
      </w:r>
      <w:hyperlink r:id="rId67">
        <w:r>
          <w:rPr>
            <w:rStyle w:val="Hyperlink"/>
          </w:rPr>
          <w:t xml:space="preserve">http://www.tdx.cat/handle/10803/85060</w:t>
        </w:r>
      </w:hyperlink>
      <w:r>
        <w:t xml:space="preserve">.</w:t>
      </w:r>
    </w:p>
    <w:p>
      <w:pPr>
        <w:pStyle w:val="BodyText"/>
      </w:pPr>
      <w:r>
        <w:t xml:space="preserve">Appadurai, Arjun. 1986.</w:t>
      </w:r>
      <w:r>
        <w:t xml:space="preserve"> </w:t>
      </w:r>
      <w:r>
        <w:rPr>
          <w:i/>
        </w:rPr>
        <w:t xml:space="preserve">The Social Life of Things : commodities in cultural perspective</w:t>
      </w:r>
      <w:r>
        <w:t xml:space="preserve">. Cambridge: Cambridge University Press.</w:t>
      </w:r>
    </w:p>
    <w:p>
      <w:pPr>
        <w:pStyle w:val="BodyText"/>
      </w:pPr>
      <w:r>
        <w:t xml:space="preserve">Boardman, John. 1960. “Protogeometric Graves at Agios Ioannis near Knossos (Knossos Survey 3).”</w:t>
      </w:r>
      <w:r>
        <w:t xml:space="preserve"> </w:t>
      </w:r>
      <w:r>
        <w:rPr>
          <w:i/>
        </w:rPr>
        <w:t xml:space="preserve">The Annual of the British School at Athens</w:t>
      </w:r>
      <w:r>
        <w:t xml:space="preserve"> </w:t>
      </w:r>
      <w:r>
        <w:t xml:space="preserve">55: 128–148.</w:t>
      </w:r>
    </w:p>
    <w:p>
      <w:pPr>
        <w:pStyle w:val="BodyText"/>
      </w:pPr>
      <w:r>
        <w:t xml:space="preserve">Boardman, John. 1967. “The Khaniale Tekke Tombs, II.”</w:t>
      </w:r>
      <w:r>
        <w:t xml:space="preserve"> </w:t>
      </w:r>
      <w:r>
        <w:rPr>
          <w:i/>
        </w:rPr>
        <w:t xml:space="preserve">BSA</w:t>
      </w:r>
      <w:r>
        <w:t xml:space="preserve"> </w:t>
      </w:r>
      <w:r>
        <w:t xml:space="preserve">62: 57–75.</w:t>
      </w:r>
    </w:p>
    <w:p>
      <w:pPr>
        <w:pStyle w:val="BodyText"/>
      </w:pPr>
      <w:r>
        <w:t xml:space="preserve">Brock, J.K. 1957.</w:t>
      </w:r>
      <w:r>
        <w:t xml:space="preserve"> </w:t>
      </w:r>
      <w:r>
        <w:rPr>
          <w:i/>
        </w:rPr>
        <w:t xml:space="preserve">Fortetsa: Early Greek Tombs Near Knossos</w:t>
      </w:r>
      <w:r>
        <w:t xml:space="preserve">. Cambridge: Cambridge University Press.</w:t>
      </w:r>
    </w:p>
    <w:p>
      <w:pPr>
        <w:pStyle w:val="BodyText"/>
      </w:pPr>
      <w:r>
        <w:t xml:space="preserve">Catling, H W. 1995. “Heroes Returned? Subminoan Burials from Crete.” In</w:t>
      </w:r>
      <w:r>
        <w:t xml:space="preserve"> </w:t>
      </w:r>
      <w:r>
        <w:rPr>
          <w:i/>
        </w:rPr>
        <w:t xml:space="preserve">The Ages of Homer: A Tribute to Emily Townsend Vermeule</w:t>
      </w:r>
      <w:r>
        <w:t xml:space="preserve">, edited by Jane B Carter and Sarah P Morris, 123–136. Austin: University of Texas Press.</w:t>
      </w:r>
    </w:p>
    <w:p>
      <w:pPr>
        <w:pStyle w:val="BodyText"/>
      </w:pPr>
      <w:r>
        <w:t xml:space="preserve">Cavanagh, W.G. 1996. “The Burial Customs.” In</w:t>
      </w:r>
      <w:r>
        <w:t xml:space="preserve"> </w:t>
      </w:r>
      <w:r>
        <w:rPr>
          <w:i/>
        </w:rPr>
        <w:t xml:space="preserve">Knossos North Cemetery: Early Greek Tombs</w:t>
      </w:r>
      <w:r>
        <w:t xml:space="preserve">, edited by J.N. Coldstream and H W Catling, 651–675. London: The British School at Athens Supplement 28. Vol.II.</w:t>
      </w:r>
    </w:p>
    <w:p>
      <w:pPr>
        <w:pStyle w:val="BodyText"/>
      </w:pPr>
      <w:r>
        <w:t xml:space="preserve">Coldstream, J N. 1976. “Hero-cults in the age of Homer.”</w:t>
      </w:r>
      <w:r>
        <w:t xml:space="preserve"> </w:t>
      </w:r>
      <w:r>
        <w:rPr>
          <w:i/>
        </w:rPr>
        <w:t xml:space="preserve">The Journal of Hellenic Studies</w:t>
      </w:r>
      <w:r>
        <w:t xml:space="preserve"> </w:t>
      </w:r>
      <w:r>
        <w:t xml:space="preserve">96 (1976): 8–17. doi:</w:t>
      </w:r>
      <w:hyperlink r:id="rId68">
        <w:r>
          <w:rPr>
            <w:rStyle w:val="Hyperlink"/>
          </w:rPr>
          <w:t xml:space="preserve">10.2307/631220</w:t>
        </w:r>
      </w:hyperlink>
      <w:r>
        <w:t xml:space="preserve">.</w:t>
      </w:r>
    </w:p>
    <w:p>
      <w:pPr>
        <w:pStyle w:val="BodyText"/>
      </w:pPr>
      <w:r>
        <w:t xml:space="preserve">Coldstream, J N. 1977.</w:t>
      </w:r>
      <w:r>
        <w:t xml:space="preserve"> </w:t>
      </w:r>
      <w:r>
        <w:rPr>
          <w:i/>
        </w:rPr>
        <w:t xml:space="preserve">Geometric Greece</w:t>
      </w:r>
      <w:r>
        <w:t xml:space="preserve">. 1st ed. London: Ernest Benn.</w:t>
      </w:r>
    </w:p>
    <w:p>
      <w:pPr>
        <w:pStyle w:val="BodyText"/>
      </w:pPr>
      <w:r>
        <w:t xml:space="preserve">Coldstream, J N. 1994. “Urns with Lids: The Visible Face of the Knossian ’Dark Age’.” In</w:t>
      </w:r>
      <w:r>
        <w:t xml:space="preserve"> </w:t>
      </w:r>
      <w:r>
        <w:rPr>
          <w:i/>
        </w:rPr>
        <w:t xml:space="preserve">Knossos: A Labyrinth of History. Papers Presented in Honour of Sinclair Hood</w:t>
      </w:r>
      <w:r>
        <w:t xml:space="preserve">, edited by Don Evely, Helen Hughes-Brock, and Nicoletta Momigliano, 105–122. Oxford: The British School at Athens.</w:t>
      </w:r>
    </w:p>
    <w:p>
      <w:pPr>
        <w:pStyle w:val="BodyText"/>
      </w:pPr>
      <w:r>
        <w:t xml:space="preserve">Coldstream, J N. 1998. “Minos Redivivus: some nostalgic Knossians of the ninth century BC (a summary).”</w:t>
      </w:r>
      <w:r>
        <w:t xml:space="preserve"> </w:t>
      </w:r>
      <w:r>
        <w:rPr>
          <w:i/>
        </w:rPr>
        <w:t xml:space="preserve">Brtish School at Athens Studies</w:t>
      </w:r>
      <w:r>
        <w:t xml:space="preserve"> </w:t>
      </w:r>
      <w:r>
        <w:t xml:space="preserve">2 (POST-MINOAN CRETE: Proceedings of the First Colloquium on Post-Minoan Crete held by the British School at Athens and the Institute of Archaeology, University College London, 10-11 November 1995): 58–61.</w:t>
      </w:r>
    </w:p>
    <w:p>
      <w:pPr>
        <w:pStyle w:val="BodyText"/>
      </w:pPr>
      <w:r>
        <w:t xml:space="preserve">Coldstream, J N, and H W Catling. 1996.</w:t>
      </w:r>
      <w:r>
        <w:t xml:space="preserve"> </w:t>
      </w:r>
      <w:r>
        <w:rPr>
          <w:i/>
        </w:rPr>
        <w:t xml:space="preserve">Knossos North Cemetery: Early Greek Tombs</w:t>
      </w:r>
      <w:r>
        <w:t xml:space="preserve">. Edited by J N Coldstream and H W Catling. London: The British School at Athens Supplement 28. Vol.I-IV.</w:t>
      </w:r>
    </w:p>
    <w:p>
      <w:pPr>
        <w:pStyle w:val="BodyText"/>
      </w:pPr>
      <w:r>
        <w:t xml:space="preserve">Coldstream, J. N. 1963. “Five Tombs at Knossos.”</w:t>
      </w:r>
      <w:r>
        <w:t xml:space="preserve"> </w:t>
      </w:r>
      <w:r>
        <w:rPr>
          <w:i/>
        </w:rPr>
        <w:t xml:space="preserve">The Annual of the British School at Athens</w:t>
      </w:r>
      <w:r>
        <w:t xml:space="preserve"> </w:t>
      </w:r>
      <w:r>
        <w:t xml:space="preserve">58: 30–43.</w:t>
      </w:r>
    </w:p>
    <w:p>
      <w:pPr>
        <w:pStyle w:val="BodyText"/>
      </w:pPr>
      <w:r>
        <w:t xml:space="preserve">Coldstream, J. N., G. L. Huxley, and V. E. S. Webb. 1999. “Knossos: The Archaic Gap.”</w:t>
      </w:r>
      <w:r>
        <w:t xml:space="preserve"> </w:t>
      </w:r>
      <w:r>
        <w:rPr>
          <w:i/>
        </w:rPr>
        <w:t xml:space="preserve">The Annual of the British School at Athens</w:t>
      </w:r>
      <w:r>
        <w:t xml:space="preserve"> </w:t>
      </w:r>
      <w:r>
        <w:t xml:space="preserve">94: 289–307.</w:t>
      </w:r>
    </w:p>
    <w:p>
      <w:pPr>
        <w:pStyle w:val="BodyText"/>
      </w:pPr>
      <w:r>
        <w:t xml:space="preserve">Coldstream, J.N. 1984a. “A Protogeometric Nature Goddess from Knossos.”</w:t>
      </w:r>
      <w:r>
        <w:t xml:space="preserve"> </w:t>
      </w:r>
      <w:r>
        <w:rPr>
          <w:i/>
        </w:rPr>
        <w:t xml:space="preserve">Bulletin of the Institute of Classical Studies</w:t>
      </w:r>
      <w:r>
        <w:t xml:space="preserve"> </w:t>
      </w:r>
      <w:r>
        <w:t xml:space="preserve">31: 93–104.</w:t>
      </w:r>
    </w:p>
    <w:p>
      <w:pPr>
        <w:pStyle w:val="BodyText"/>
      </w:pPr>
      <w:r>
        <w:t xml:space="preserve">Coldstream, J.N. 1984b. “Dorian Knossos and Aristotle’s Villages.” In</w:t>
      </w:r>
      <w:r>
        <w:t xml:space="preserve"> </w:t>
      </w:r>
      <w:r>
        <w:rPr>
          <w:i/>
        </w:rPr>
        <w:t xml:space="preserve">Aux Origines de L’Hellénisme: La Crète et La Grèce. Hommage à Henri van Effenterre.</w:t>
      </w:r>
      <w:r>
        <w:t xml:space="preserve">, edited by Centre Gustave Glotz, 311–322. Paris: Université de Paris-I.</w:t>
      </w:r>
    </w:p>
    <w:p>
      <w:pPr>
        <w:pStyle w:val="BodyText"/>
      </w:pPr>
      <w:r>
        <w:t xml:space="preserve">Coldstream, J.N. 1991. “Knossos: An Urban Nucleus in the Dark Age.” In</w:t>
      </w:r>
      <w:r>
        <w:t xml:space="preserve"> </w:t>
      </w:r>
      <w:r>
        <w:rPr>
          <w:i/>
        </w:rPr>
        <w:t xml:space="preserve">La Transizione Dal Miceneo All’Alto Arcaismo: Dal Palazzo Alla Città. Atti Del Convegno Internazionale, Roma, 14–19 Marzo 1988.</w:t>
      </w:r>
      <w:r>
        <w:t xml:space="preserve">, edited by Domenico Musti, 287–299. Roma: Consiglio nazionale delle ricerche.</w:t>
      </w:r>
    </w:p>
    <w:p>
      <w:pPr>
        <w:pStyle w:val="BodyText"/>
      </w:pPr>
      <w:r>
        <w:t xml:space="preserve">Coldstream, J.N. 2000. “Evans’ Greek Finds: The Early Greek Town of Knossos, and its Encroachment on the Borders of the Minoan Palace.”</w:t>
      </w:r>
      <w:r>
        <w:t xml:space="preserve"> </w:t>
      </w:r>
      <w:r>
        <w:rPr>
          <w:i/>
        </w:rPr>
        <w:t xml:space="preserve">BSA</w:t>
      </w:r>
      <w:r>
        <w:t xml:space="preserve"> </w:t>
      </w:r>
      <w:r>
        <w:t xml:space="preserve">95: 260–299.</w:t>
      </w:r>
    </w:p>
    <w:p>
      <w:pPr>
        <w:pStyle w:val="BodyText"/>
      </w:pPr>
      <w:r>
        <w:t xml:space="preserve">Coldstream, J.N. 2006. “Knossos in Early Greek Times.” In</w:t>
      </w:r>
      <w:r>
        <w:t xml:space="preserve"> </w:t>
      </w:r>
      <w:r>
        <w:rPr>
          <w:i/>
        </w:rPr>
        <w:t xml:space="preserve">Ancient Greece: From the Mycenaean Palaces to the Age of Homer</w:t>
      </w:r>
      <w:r>
        <w:t xml:space="preserve">, edited by Sigrid Deger-Jalkotzy and Irene S Lemos, 581–596. Edinburgh: Edinburgh University Press.</w:t>
      </w:r>
    </w:p>
    <w:p>
      <w:pPr>
        <w:pStyle w:val="BodyText"/>
      </w:pPr>
      <w:r>
        <w:t xml:space="preserve">Coldstream, J.N., and G Huxley. 1996. “Fortetsa 1967 Tombs.” In</w:t>
      </w:r>
      <w:r>
        <w:t xml:space="preserve"> </w:t>
      </w:r>
      <w:r>
        <w:rPr>
          <w:i/>
        </w:rPr>
        <w:t xml:space="preserve">Knossos North Cemetery: Early Greek Tombs</w:t>
      </w:r>
      <w:r>
        <w:t xml:space="preserve">, edited by J.N. Coldstream and H W Catling, 284. London: The British School at Athens Supplement 28. Vol.I.</w:t>
      </w:r>
    </w:p>
    <w:p>
      <w:pPr>
        <w:pStyle w:val="BodyText"/>
      </w:pPr>
      <w:r>
        <w:t xml:space="preserve">Crema, Enrico R. 2012. “Modelling Temporal Uncertainty in Archaeological Analysis.”</w:t>
      </w:r>
      <w:r>
        <w:t xml:space="preserve"> </w:t>
      </w:r>
      <w:r>
        <w:rPr>
          <w:i/>
        </w:rPr>
        <w:t xml:space="preserve">Journal of Archaeological Method Theory</w:t>
      </w:r>
      <w:r>
        <w:t xml:space="preserve"> </w:t>
      </w:r>
      <w:r>
        <w:t xml:space="preserve">19 (3): 440–461.</w:t>
      </w:r>
    </w:p>
    <w:p>
      <w:pPr>
        <w:pStyle w:val="BodyText"/>
      </w:pPr>
      <w:r>
        <w:t xml:space="preserve">Crema, Enrico R., Andrew Bevan, and Mark W. Lake. 2010. “A probabilistic framework for assessing spatio-temporal point patterns in the archaeological record.”</w:t>
      </w:r>
      <w:r>
        <w:t xml:space="preserve"> </w:t>
      </w:r>
      <w:r>
        <w:rPr>
          <w:i/>
        </w:rPr>
        <w:t xml:space="preserve">Journal of Archaeological Science</w:t>
      </w:r>
      <w:r>
        <w:t xml:space="preserve"> </w:t>
      </w:r>
      <w:r>
        <w:t xml:space="preserve">37 (5): 1118–1130.</w:t>
      </w:r>
    </w:p>
    <w:p>
      <w:pPr>
        <w:pStyle w:val="BodyText"/>
      </w:pPr>
      <w:r>
        <w:t xml:space="preserve">Crowe, Alice. 2016. “The Minoan Past in the Past: Bronze Age Objects in Early Iron Age Burials at Knossos, Crete.”</w:t>
      </w:r>
      <w:r>
        <w:t xml:space="preserve"> </w:t>
      </w:r>
      <w:r>
        <w:rPr>
          <w:i/>
        </w:rPr>
        <w:t xml:space="preserve">Unpublished Master’s Dissertation.</w:t>
      </w:r>
    </w:p>
    <w:p>
      <w:pPr>
        <w:pStyle w:val="BodyText"/>
      </w:pPr>
      <w:r>
        <w:t xml:space="preserve">Davaras, C. 1968. “Two Geometric Tombs at Atsalenio near Knossos.”</w:t>
      </w:r>
      <w:r>
        <w:t xml:space="preserve"> </w:t>
      </w:r>
      <w:r>
        <w:rPr>
          <w:i/>
        </w:rPr>
        <w:t xml:space="preserve">BSA</w:t>
      </w:r>
      <w:r>
        <w:t xml:space="preserve"> </w:t>
      </w:r>
      <w:r>
        <w:t xml:space="preserve">63: 133–146.</w:t>
      </w:r>
    </w:p>
    <w:p>
      <w:pPr>
        <w:pStyle w:val="BodyText"/>
      </w:pPr>
      <w:r>
        <w:t xml:space="preserve">Desborough, Vincent Robin d’Arba. 1972.</w:t>
      </w:r>
      <w:r>
        <w:t xml:space="preserve"> </w:t>
      </w:r>
      <w:r>
        <w:rPr>
          <w:i/>
        </w:rPr>
        <w:t xml:space="preserve">The Greek Dark Ages</w:t>
      </w:r>
      <w:r>
        <w:t xml:space="preserve">. London: Benn.</w:t>
      </w:r>
    </w:p>
    <w:p>
      <w:pPr>
        <w:pStyle w:val="BodyText"/>
      </w:pPr>
      <w:r>
        <w:t xml:space="preserve">Evans, Arthur. 1921.</w:t>
      </w:r>
      <w:r>
        <w:t xml:space="preserve"> </w:t>
      </w:r>
      <w:r>
        <w:rPr>
          <w:i/>
        </w:rPr>
        <w:t xml:space="preserve">The palace of Minos: a comparative account of the successive stages of the early Cretan civilization as illustrated by the discoveries at Knossos I</w:t>
      </w:r>
      <w:r>
        <w:t xml:space="preserve">. London: Macmillan.</w:t>
      </w:r>
    </w:p>
    <w:p>
      <w:pPr>
        <w:pStyle w:val="BodyText"/>
      </w:pPr>
      <w:r>
        <w:t xml:space="preserve">Evans, Arthur. 1928.</w:t>
      </w:r>
      <w:r>
        <w:t xml:space="preserve"> </w:t>
      </w:r>
      <w:r>
        <w:rPr>
          <w:i/>
        </w:rPr>
        <w:t xml:space="preserve">The palace of Minos: a comparative account of the successive stages of the early Cretan civilization as illustrated by the discoveries at Knossos II</w:t>
      </w:r>
      <w:r>
        <w:t xml:space="preserve">. London: Macmillan.</w:t>
      </w:r>
    </w:p>
    <w:p>
      <w:pPr>
        <w:pStyle w:val="BodyText"/>
      </w:pPr>
      <w:r>
        <w:t xml:space="preserve">Evans, Arthur. 1930.</w:t>
      </w:r>
      <w:r>
        <w:t xml:space="preserve"> </w:t>
      </w:r>
      <w:r>
        <w:rPr>
          <w:i/>
        </w:rPr>
        <w:t xml:space="preserve">The palace of Minos: a comparative account of the successive stages of the early Cretan civilization as illustrated by the discoveries at Knossos III</w:t>
      </w:r>
      <w:r>
        <w:t xml:space="preserve">. London: Macmillan.</w:t>
      </w:r>
    </w:p>
    <w:p>
      <w:pPr>
        <w:pStyle w:val="BodyText"/>
      </w:pPr>
      <w:r>
        <w:t xml:space="preserve">Hallager, Birgitta P. 2010. “The elusive Late IIIC and the ill-named Subminoan.”</w:t>
      </w:r>
      <w:r>
        <w:t xml:space="preserve"> </w:t>
      </w:r>
      <w:r>
        <w:rPr>
          <w:i/>
        </w:rPr>
        <w:t xml:space="preserve">British School at Athens Studies</w:t>
      </w:r>
      <w:r>
        <w:t xml:space="preserve"> </w:t>
      </w:r>
      <w:r>
        <w:t xml:space="preserve">18 (CRETAN OFFERINGS: Studies in honour of Peter Warren): 141–155.</w:t>
      </w:r>
    </w:p>
    <w:p>
      <w:pPr>
        <w:pStyle w:val="BodyText"/>
      </w:pPr>
      <w:r>
        <w:t xml:space="preserve">Hoffman, Gail L. 1997.</w:t>
      </w:r>
      <w:r>
        <w:t xml:space="preserve"> </w:t>
      </w:r>
      <w:r>
        <w:rPr>
          <w:i/>
        </w:rPr>
        <w:t xml:space="preserve">Imports and Immigrants: Near Eastern Contacts with Iron Age Crete</w:t>
      </w:r>
      <w:r>
        <w:t xml:space="preserve">. Ann Arbor: University of Michigan Press.</w:t>
      </w:r>
    </w:p>
    <w:p>
      <w:pPr>
        <w:pStyle w:val="BodyText"/>
      </w:pPr>
      <w:r>
        <w:t xml:space="preserve">Hogarth, D.G. 1899. “Knossos: Early Town and Cemeteries.”</w:t>
      </w:r>
      <w:r>
        <w:t xml:space="preserve"> </w:t>
      </w:r>
      <w:r>
        <w:rPr>
          <w:i/>
        </w:rPr>
        <w:t xml:space="preserve">BSA</w:t>
      </w:r>
      <w:r>
        <w:t xml:space="preserve"> </w:t>
      </w:r>
      <w:r>
        <w:t xml:space="preserve">6: 70–85.</w:t>
      </w:r>
    </w:p>
    <w:p>
      <w:pPr>
        <w:pStyle w:val="BodyText"/>
      </w:pPr>
      <w:r>
        <w:t xml:space="preserve">Hood, Sinclair, and David Smyth. 1981.</w:t>
      </w:r>
      <w:r>
        <w:t xml:space="preserve"> </w:t>
      </w:r>
      <w:r>
        <w:rPr>
          <w:i/>
        </w:rPr>
        <w:t xml:space="preserve">Archaeological Survey of the Knossos Area. The British School at Athens Supplementary Volumes, No. 14.</w:t>
      </w:r>
      <w:r>
        <w:t xml:space="preserve"> </w:t>
      </w:r>
      <w:r>
        <w:t xml:space="preserve">2nd ed. London: Thames; Hudson.</w:t>
      </w:r>
    </w:p>
    <w:p>
      <w:pPr>
        <w:pStyle w:val="BodyText"/>
      </w:pPr>
      <w:r>
        <w:t xml:space="preserve">Hutchinson, R.W., and John Boardman. 1954. “The Khaniale Tekke Tombs.”</w:t>
      </w:r>
      <w:r>
        <w:t xml:space="preserve"> </w:t>
      </w:r>
      <w:r>
        <w:rPr>
          <w:i/>
        </w:rPr>
        <w:t xml:space="preserve">BSA</w:t>
      </w:r>
      <w:r>
        <w:t xml:space="preserve"> </w:t>
      </w:r>
      <w:r>
        <w:t xml:space="preserve">49: 215–230.</w:t>
      </w:r>
    </w:p>
    <w:p>
      <w:pPr>
        <w:pStyle w:val="BodyText"/>
      </w:pPr>
      <w:r>
        <w:t xml:space="preserve">Huxley, G. 1994. “On Knossos and her Neighbours (7th Century to Mid-4th Century B.C.).” In</w:t>
      </w:r>
      <w:r>
        <w:t xml:space="preserve"> </w:t>
      </w:r>
      <w:r>
        <w:rPr>
          <w:i/>
        </w:rPr>
        <w:t xml:space="preserve">Knossos: A Labyrinth of History. Papers Presented in Honour of Sinclair Hood</w:t>
      </w:r>
      <w:r>
        <w:t xml:space="preserve">, edited by Don Evely, Helen Hughes-Brock, and Nicoletta Momigliano, 123–134. Oxford: The British School at Athens.</w:t>
      </w:r>
    </w:p>
    <w:p>
      <w:pPr>
        <w:pStyle w:val="BodyText"/>
      </w:pPr>
      <w:r>
        <w:t xml:space="preserve">Johnson, Ian. 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edited by K Ausserer Fischer, W Börner, M Goriany, and L Karlhuber-Vöckl, 448–452. Oxford: BAR International Series 1227.</w:t>
      </w:r>
    </w:p>
    <w:p>
      <w:pPr>
        <w:pStyle w:val="BodyText"/>
      </w:pPr>
      <w:r>
        <w:t xml:space="preserve">Kopytoff, I. 1986. “The cultural biography of things: commoditization as process.” In</w:t>
      </w:r>
      <w:r>
        <w:t xml:space="preserve"> </w:t>
      </w:r>
      <w:r>
        <w:rPr>
          <w:i/>
        </w:rPr>
        <w:t xml:space="preserve">The Social Life of Things: Commodities in Cultural …</w:t>
      </w:r>
      <w:r>
        <w:t xml:space="preserve">, edited by Arjun Appadurai, 64–92. Cambridge: Cambridge University Press.</w:t>
      </w:r>
    </w:p>
    <w:p>
      <w:pPr>
        <w:pStyle w:val="BodyText"/>
      </w:pPr>
      <w:r>
        <w:t xml:space="preserve">Kotsonas, Antonis. 2002. “The rise of the polis in Central Crete.”</w:t>
      </w:r>
      <w:r>
        <w:t xml:space="preserve"> </w:t>
      </w:r>
      <w:r>
        <w:rPr>
          <w:i/>
        </w:rPr>
        <w:t xml:space="preserve">’Eulimene</w:t>
      </w:r>
      <w:r>
        <w:t xml:space="preserve">, no. 3: 37–74.</w:t>
      </w:r>
    </w:p>
    <w:p>
      <w:pPr>
        <w:pStyle w:val="BodyText"/>
      </w:pPr>
      <w:r>
        <w:t xml:space="preserve">Kotsonas, Antonis. 2006. “Wealth and Status in Iron Age Knossos.”</w:t>
      </w:r>
      <w:r>
        <w:t xml:space="preserve"> </w:t>
      </w:r>
      <w:r>
        <w:rPr>
          <w:i/>
        </w:rPr>
        <w:t xml:space="preserve">Oxford Journal of Archaeology</w:t>
      </w:r>
      <w:r>
        <w:t xml:space="preserve"> </w:t>
      </w:r>
      <w:r>
        <w:t xml:space="preserve">2: 149–172.</w:t>
      </w:r>
    </w:p>
    <w:p>
      <w:pPr>
        <w:pStyle w:val="BodyText"/>
      </w:pPr>
      <w:r>
        <w:t xml:space="preserve">Kotsonas, Antonis. 2011.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edited by Samuel Verdan, Thierry Theurillat, and Anne Pfyffer Kenzelmann, 129–138. Oxford: Archaeopress.</w:t>
      </w:r>
    </w:p>
    <w:p>
      <w:pPr>
        <w:pStyle w:val="BodyText"/>
      </w:pPr>
      <w:r>
        <w:t xml:space="preserve">Kotsonas, Antonis. 2016. “Politics of Periodization and the Archaeology of Early Greece.”</w:t>
      </w:r>
      <w:r>
        <w:t xml:space="preserve"> </w:t>
      </w:r>
      <w:r>
        <w:rPr>
          <w:i/>
        </w:rPr>
        <w:t xml:space="preserve">American Journal of Archaeology</w:t>
      </w:r>
      <w:r>
        <w:t xml:space="preserve"> </w:t>
      </w:r>
      <w:r>
        <w:t xml:space="preserve">120 (2): 239–270.</w:t>
      </w:r>
    </w:p>
    <w:p>
      <w:pPr>
        <w:pStyle w:val="BodyText"/>
      </w:pPr>
      <w:r>
        <w:t xml:space="preserve">Kotsonas, Antonis, Todd Whitelaw, Antonis Vasilakis, and Maria Bredaki. 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(2). Springer US: 424–450. doi:</w:t>
      </w:r>
      <w:hyperlink r:id="rId69">
        <w:r>
          <w:rPr>
            <w:rStyle w:val="Hyperlink"/>
          </w:rPr>
          <w:t xml:space="preserve">10.1007/s10816-015-9272-9</w:t>
        </w:r>
      </w:hyperlink>
      <w:r>
        <w:t xml:space="preserve">.</w:t>
      </w:r>
    </w:p>
    <w:p>
      <w:pPr>
        <w:pStyle w:val="BodyText"/>
      </w:pPr>
      <w:r>
        <w:t xml:space="preserve">Mauss, Marcel. 1954.</w:t>
      </w:r>
      <w:r>
        <w:t xml:space="preserve"> </w:t>
      </w:r>
      <w:r>
        <w:rPr>
          <w:i/>
        </w:rPr>
        <w:t xml:space="preserve">The gift: forms and functions of exchange in archaic societies</w:t>
      </w:r>
      <w:r>
        <w:t xml:space="preserve">. Edited by Ian Cunnison. London: Cohen &amp; West.</w:t>
      </w:r>
    </w:p>
    <w:p>
      <w:pPr>
        <w:pStyle w:val="BodyText"/>
      </w:pPr>
      <w:r>
        <w:t xml:space="preserve">Morris, I. 1997. “Periodization and the Heroes: Inventing a Dark Age.” In</w:t>
      </w:r>
      <w:r>
        <w:t xml:space="preserve"> </w:t>
      </w:r>
      <w:r>
        <w:rPr>
          <w:i/>
        </w:rPr>
        <w:t xml:space="preserve">Inventing Ancient Culture</w:t>
      </w:r>
      <w:r>
        <w:t xml:space="preserve">, edited by Mark Golden and Peter Toohey, 96–131. London: Routledge.</w:t>
      </w:r>
    </w:p>
    <w:p>
      <w:pPr>
        <w:pStyle w:val="BodyText"/>
      </w:pPr>
      <w:r>
        <w:t xml:space="preserve">Nowicki, Krzysztof. 2000.</w:t>
      </w:r>
      <w:r>
        <w:t xml:space="preserve"> </w:t>
      </w:r>
      <w:r>
        <w:rPr>
          <w:i/>
        </w:rPr>
        <w:t xml:space="preserve">Defensible sites in Crete c.1200-800 B.C. : (LM IIIB/IIIC through early Geometric)</w:t>
      </w:r>
      <w:r>
        <w:t xml:space="preserve">. Liège: Université de Liège.</w:t>
      </w:r>
    </w:p>
    <w:p>
      <w:pPr>
        <w:pStyle w:val="BodyText"/>
      </w:pPr>
      <w:r>
        <w:t xml:space="preserve">Ratcliffe, Jerry H. 2000. “Aoristic analysis: the spatial interpretation of unspecific temporal events.”</w:t>
      </w:r>
      <w:r>
        <w:t xml:space="preserve"> </w:t>
      </w:r>
      <w:r>
        <w:rPr>
          <w:i/>
        </w:rPr>
        <w:t xml:space="preserve">International Journal of Geographical Information Science</w:t>
      </w:r>
      <w:r>
        <w:t xml:space="preserve"> </w:t>
      </w:r>
      <w:r>
        <w:t xml:space="preserve">14 (7): 669–679.</w:t>
      </w:r>
    </w:p>
    <w:p>
      <w:pPr>
        <w:pStyle w:val="BodyText"/>
      </w:pPr>
      <w:r>
        <w:t xml:space="preserve">Schreiber, N. 2003.</w:t>
      </w:r>
      <w:r>
        <w:t xml:space="preserve"> </w:t>
      </w:r>
      <w:r>
        <w:rPr>
          <w:i/>
        </w:rPr>
        <w:t xml:space="preserve">The Cypro-Phoenician Pottery of the Iron Age</w:t>
      </w:r>
      <w:r>
        <w:t xml:space="preserve">. Leiden/Boston: Brill.</w:t>
      </w:r>
    </w:p>
    <w:p>
      <w:pPr>
        <w:pStyle w:val="BodyText"/>
      </w:pPr>
      <w:r>
        <w:t xml:space="preserve">Snodgrass, Anthony McElrea. 1971.</w:t>
      </w:r>
      <w:r>
        <w:t xml:space="preserve"> </w:t>
      </w:r>
      <w:r>
        <w:rPr>
          <w:i/>
        </w:rPr>
        <w:t xml:space="preserve">The Dark Age of Greece</w:t>
      </w:r>
      <w:r>
        <w:t xml:space="preserve">. Edinburgh: Edinburgh University Press.</w:t>
      </w:r>
    </w:p>
    <w:p>
      <w:pPr>
        <w:pStyle w:val="BodyText"/>
      </w:pPr>
      <w:r>
        <w:t xml:space="preserve">Wallace, Saro. 2010.</w:t>
      </w:r>
      <w:r>
        <w:t xml:space="preserve"> </w:t>
      </w:r>
      <w:r>
        <w:rPr>
          <w:i/>
        </w:rPr>
        <w:t xml:space="preserve">Ancient Crete: From Successful Collapse to Democracy’s Alternatives, Twelth to Fifth Centuries BC</w:t>
      </w:r>
      <w:r>
        <w:t xml:space="preserve">. Cambridge: Cambridge University Press#.</w:t>
      </w:r>
    </w:p>
    <w:p>
      <w:pPr>
        <w:pStyle w:val="BodyText"/>
      </w:pPr>
      <w:r>
        <w:t xml:space="preserve">Whitley, James. 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 (2). Cambridge University Press: 217–232.</w:t>
      </w:r>
    </w:p>
    <w:p>
      <w:pPr>
        <w:pStyle w:val="BodyText"/>
      </w:pPr>
      <w:r>
        <w:t xml:space="preserve">Whitley, James. 2011. “Saro Wallace. Ancient Crete: From Successful Collapse to Democracy’s Alternatives, Twelfth to Fifth Centuries BC. (review).”</w:t>
      </w:r>
      <w:r>
        <w:t xml:space="preserve"> </w:t>
      </w:r>
      <w:r>
        <w:rPr>
          <w:i/>
        </w:rPr>
        <w:t xml:space="preserve">American Journal of Philology</w:t>
      </w:r>
      <w:r>
        <w:t xml:space="preserve"> </w:t>
      </w:r>
      <w:r>
        <w:t xml:space="preserve">132 (4): 667–670. doi:</w:t>
      </w:r>
      <w:hyperlink r:id="rId70">
        <w:r>
          <w:rPr>
            <w:rStyle w:val="Hyperlink"/>
          </w:rPr>
          <w:t xml:space="preserve">10.1353/ajp.2011.0043</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 1950.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 294–318.</w:t>
      </w:r>
    </w:p>
    <w:p>
      <w:pPr>
        <w:pStyle w:val="Heading5"/>
      </w:pPr>
      <w:bookmarkStart w:id="71" w:name="pagebreak-1"/>
      <w:bookmarkEnd w:id="71"/>
      <w:r>
        <w:t xml:space="preserve">pagebreak</w:t>
      </w:r>
    </w:p>
    <w:p>
      <w:pPr>
        <w:pStyle w:val="Heading3"/>
      </w:pPr>
      <w:bookmarkStart w:id="72" w:name="colophon"/>
      <w:bookmarkEnd w:id="72"/>
      <w:r>
        <w:t xml:space="preserve">Colophon</w:t>
      </w:r>
    </w:p>
    <w:p>
      <w:pPr>
        <w:pStyle w:val="FirstParagraph"/>
      </w:pPr>
      <w:r>
        <w:t xml:space="preserve">This report was generated on 2019-05-14 18:35:24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2019-05-14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ggrepel      * 0.8.0   2018-05-09 [1] CRAN (R 3.5.3)</w:t>
      </w:r>
      <w:r>
        <w:br w:type="textWrapping"/>
      </w:r>
      <w:r>
        <w:rPr>
          <w:rStyle w:val="VerbatimChar"/>
        </w:rPr>
        <w:t xml:space="preserve">#&gt;  glue           1.3.1   2019-03-12 [1] CRAN (R 3.5.3)</w:t>
      </w:r>
      <w:r>
        <w:br w:type="textWrapping"/>
      </w:r>
      <w:r>
        <w:rPr>
          <w:rStyle w:val="VerbatimChar"/>
        </w:rPr>
        <w:t xml:space="preserve">#&gt;  gridExtra    *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[39634fd] 2019-05-13: Writing analysis part 1</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72c97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67" Target="http://www.tdx.cat/handle/10803/85060" TargetMode="External" /><Relationship Type="http://schemas.openxmlformats.org/officeDocument/2006/relationships/hyperlink" Id="rId69" Target="https://doi.org/10.1007/s10816-015-9272-9" TargetMode="External" /><Relationship Type="http://schemas.openxmlformats.org/officeDocument/2006/relationships/hyperlink" Id="rId70" Target="https://doi.org/10.1353/ajp.2011.0043" TargetMode="External" /><Relationship Type="http://schemas.openxmlformats.org/officeDocument/2006/relationships/hyperlink" Id="rId66" Target="https://doi.org/10.2307/506436" TargetMode="External" /><Relationship Type="http://schemas.openxmlformats.org/officeDocument/2006/relationships/hyperlink" Id="rId68"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7" Target="http://www.tdx.cat/handle/10803/85060" TargetMode="External" /><Relationship Type="http://schemas.openxmlformats.org/officeDocument/2006/relationships/hyperlink" Id="rId69" Target="https://doi.org/10.1007/s10816-015-9272-9" TargetMode="External" /><Relationship Type="http://schemas.openxmlformats.org/officeDocument/2006/relationships/hyperlink" Id="rId70" Target="https://doi.org/10.1353/ajp.2011.0043" TargetMode="External" /><Relationship Type="http://schemas.openxmlformats.org/officeDocument/2006/relationships/hyperlink" Id="rId66" Target="https://doi.org/10.2307/506436" TargetMode="External" /><Relationship Type="http://schemas.openxmlformats.org/officeDocument/2006/relationships/hyperlink" Id="rId68"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2019-05-14T17:35:29Z</dcterms:created>
  <dcterms:modified xsi:type="dcterms:W3CDTF">2019-05-14T17:35:29Z</dcterms:modified>
</cp:coreProperties>
</file>