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9F0" w:rsidRDefault="007F6D98">
      <w:pPr>
        <w:pStyle w:val="Title"/>
      </w:pPr>
      <w:r>
        <w:t>Family Fortunes: A Quantitative Analysis of the Early Iron Age Cemeteries at Knossos, Crete</w:t>
      </w:r>
    </w:p>
    <w:p w:rsidR="002769F0" w:rsidRDefault="007F6D98">
      <w:pPr>
        <w:pStyle w:val="Author"/>
      </w:pPr>
      <w:r>
        <w:t>Dominic Pollard, Institute of Archaeology, University College London</w:t>
      </w:r>
    </w:p>
    <w:p w:rsidR="002769F0" w:rsidRDefault="003A5564">
      <w:pPr>
        <w:pStyle w:val="Author"/>
      </w:pPr>
      <w:hyperlink r:id="rId7">
        <w:r w:rsidR="007F6D98">
          <w:rPr>
            <w:rStyle w:val="Hyperlink"/>
          </w:rPr>
          <w:t>dominic.pollard.16@ucl.ac.uk</w:t>
        </w:r>
      </w:hyperlink>
      <w:bookmarkStart w:id="0" w:name="_GoBack"/>
      <w:bookmarkEnd w:id="0"/>
    </w:p>
    <w:p w:rsidR="002769F0" w:rsidRDefault="007F6D98">
      <w:pPr>
        <w:pStyle w:val="Date"/>
      </w:pPr>
      <w:r>
        <w:t>14 May, 2019</w:t>
      </w:r>
    </w:p>
    <w:p w:rsidR="002769F0" w:rsidRDefault="007F6D98">
      <w:pPr>
        <w:pStyle w:val="Abstract"/>
      </w:pPr>
      <w:r>
        <w:t xml:space="preserve">Three principal interests converge in this paper: reorienting the focus of Early Iron Age Cretan archaeology; the application of computational, and quantitative methods to supplement traditional modes of inference; and open-access data and reproducible research. The Early Iron Age cemeteries of Knossos, Crete, represent the richest source of archaeological material at the site for the whole period between the end of the Bronze Age and the emergence of the Archaic </w:t>
      </w:r>
      <w:r>
        <w:rPr>
          <w:i/>
        </w:rPr>
        <w:t>polis</w:t>
      </w:r>
      <w:r>
        <w:t>. However, despite well-published excavation reports on the two largest burial grounds, the Fortetsa and Knossos North cemeteries, and a number of studies dealing with various artefact classes and individual tombs therein, no substantial comparative, quantitative analysis of these two cemeteries has yet been undertaken. This paper provides such an analysis, examining both the synchronic and diachronic variation among the tombs in these two cemeteries. Through the application of a range of quantitative techniques, this study isolates a pattern of increased rates of burial among a few select tombs, and further considers their characteristics. This paper demonstrates the potential for quantitative analyses to contribute to nuanced, context-specific theories of social practice, and advocates their wider application to the archaeological record of the Cretan Early Iron Age. It also serves as a demonstration of maximal research reproducibility, with the full datasets and code underpinning the analysis made freely available to download and use.</w:t>
      </w:r>
    </w:p>
    <w:p w:rsidR="002769F0" w:rsidRDefault="007F6D98">
      <w:pPr>
        <w:pStyle w:val="Heading1"/>
      </w:pPr>
      <w:bookmarkStart w:id="1" w:name="introduction"/>
      <w:bookmarkEnd w:id="1"/>
      <w:r>
        <w:t>Introduction</w:t>
      </w:r>
    </w:p>
    <w:p w:rsidR="002769F0" w:rsidRDefault="007F6D98">
      <w:pPr>
        <w:pStyle w:val="FirstParagraph"/>
      </w:pPr>
      <w:r>
        <w:t>It may be felt that, of all ancient sites on Crete, Knossos is the last in need of further archaeological attention. The city and ‘palace’ of Knossos, first excavated well over a century ago (Evans 1921; 1928; 1930),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rsidR="002769F0" w:rsidRDefault="007F6D98">
      <w:pPr>
        <w:pStyle w:val="BodyText"/>
      </w:pPr>
      <w:r>
        <w:lastRenderedPageBreak/>
        <w:t>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 (first seen in the works of Coldstream 1977; Desborough 1972; Snodgrass 1971) has culimated in the complete rejection by many scholars of the image of a society bereft of its former palatial glory. Certainly, few would any longer defend the appelation or interpretive bagguage of the ‘Dark Ages’ (on the origins of which, see Kotsonas 2016; Morris 1997).Nonetheless, our knowledge of many EIA settlements (both new foundations, and those with BA ancestry like Knossos) remains often underdeveloped in comparison with those of the second millennium BC.</w:t>
      </w:r>
    </w:p>
    <w:p w:rsidR="002769F0" w:rsidRDefault="007F6D98">
      <w:pPr>
        <w:pStyle w:val="BodyText"/>
      </w:pPr>
      <w:r>
        <w:t>Secondly, and welcome though they are, a number of recent publications on the socio-economic (Wallace 2010) and settlement (Nowicki 2000) 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 (Whitley 2011, 667–668).</w:t>
      </w:r>
    </w:p>
    <w:p w:rsidR="002769F0" w:rsidRDefault="007F6D98">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 (see Kotsonas 2011). The Fortesta and North Cemetery complexes are both well-published (Brock 1957; Coldstream and Catling 1996) and have been considered variously in relation to their “oriental”" imports (Antoniadis 2012), antiques (Crowe 2016), and religious context (J. </w:t>
      </w:r>
      <w:r>
        <w:lastRenderedPageBreak/>
        <w:t>Coldstream 1984a). But a lack of quantitative analyses, or systematic comparisons between different cemeteries, has left us with many intuited trends, some clearly exceptional tombs, but a general impression of un-patterned multiplicity.</w:t>
      </w:r>
    </w:p>
    <w:p w:rsidR="002769F0" w:rsidRDefault="007F6D98">
      <w:pPr>
        <w:pStyle w:val="BodyText"/>
      </w:pPr>
      <w:r>
        <w:t>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 (Brock 1957; Coldstream and Catling 1996),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rsidR="002769F0" w:rsidRDefault="007F6D98">
      <w:pPr>
        <w:pStyle w:val="Heading1"/>
      </w:pPr>
      <w:bookmarkStart w:id="2" w:name="early-iron-age-knossos"/>
      <w:bookmarkEnd w:id="2"/>
      <w:r>
        <w:t>Early Iron Age Knossos</w:t>
      </w:r>
    </w:p>
    <w:p w:rsidR="002769F0" w:rsidRDefault="007F6D98">
      <w:pPr>
        <w:pStyle w:val="Heading2"/>
      </w:pPr>
      <w:bookmarkStart w:id="3" w:name="settlement-evidence-a-meagre-filling-in-"/>
      <w:bookmarkEnd w:id="3"/>
      <w:r>
        <w:t>Settlement Evidence: ‘A meagre filling in a very thick sandwich’</w:t>
      </w:r>
    </w:p>
    <w:p w:rsidR="002769F0" w:rsidRDefault="007F6D98">
      <w:pPr>
        <w:pStyle w:val="FirstParagraph"/>
      </w:pPr>
      <w:r>
        <w:t>Settlement evidence at EIA Knossos is, in a word, insubstantial. Speaking of the town’s stratigraphic sequence, Coldstream lamented that “the remains of [this] period are like a meagre filling in a very thick sandwich” between Bronze Age and later Greek and Roman levels (Coldstream 1991, 287).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 (Α</w:t>
      </w:r>
      <m:oMath>
        <m:r>
          <w:rPr>
            <w:rFonts w:ascii="Cambria Math" w:hAnsi="Cambria Math"/>
          </w:rPr>
          <m:t>λϵξ</m:t>
        </m:r>
      </m:oMath>
      <w:r>
        <w:t>ίο</w:t>
      </w:r>
      <m:oMath>
        <m:r>
          <w:rPr>
            <w:rFonts w:ascii="Cambria Math" w:hAnsi="Cambria Math"/>
          </w:rPr>
          <m:t>υ</m:t>
        </m:r>
      </m:oMath>
      <w:r>
        <w:t xml:space="preserve"> 1950) thought it likely that the area comprised several dispersed villages, which later coalesced into a single city, as per Aristotle’s model of synoecism.</w:t>
      </w:r>
    </w:p>
    <w:p w:rsidR="002769F0" w:rsidRDefault="007F6D98">
      <w:pPr>
        <w:pStyle w:val="BodyText"/>
      </w:pPr>
      <w:r>
        <w:t xml:space="preserve">However, by the time of Hood and Smyth’s (1981) survey-cum-synthesis of prior excavations, a concentration of activity slightly to the west of the old palace presented a good case for continuing, nucleated settlement, something strongly advocated by Coldstream (1984b; 2000). More recently, the findings of the Knossos Urban Landscape Project suggest a PG settlement of </w:t>
      </w:r>
      <w:r>
        <w:lastRenderedPageBreak/>
        <w:t>up to 40ha, extending from the Kairatos River to the western slope of the Acropolis, and from the northern slope of Gypsades to between the Minoan palace and the Kephala hill (Kotsonas et al. 2011, 5–8).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rsidR="002769F0" w:rsidRDefault="007F6D98">
      <w:pPr>
        <w:pStyle w:val="Heading2"/>
      </w:pPr>
      <w:bookmarkStart w:id="4" w:name="the-early-iron-age-cemeteries"/>
      <w:bookmarkEnd w:id="4"/>
      <w:r>
        <w:t>The Early Iron Age Cemeteries</w:t>
      </w:r>
    </w:p>
    <w:p w:rsidR="002769F0" w:rsidRDefault="007F6D98">
      <w:pPr>
        <w:pStyle w:val="FirstParagraph"/>
      </w:pPr>
      <w:r>
        <w:t>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 (Coldstream 1963, 38; Hogarth 1899, 82–85), the modern suburbs of Ayios Ioannis and Atsalenio (Boardman 1960; Davaras 1968, 133–146), the cave of Mavro Spelio (Antoniadis 2012, 58–59), and the Khaniale Teke site with its well-known tholos, mooted as evidence for the presence immigrant craftsmen from the Near East (Boardman 1967; Hutchinson and Boardman 1954; cf. Hoffman 1997 Kotsonas (2006)).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rsidR="002769F0" w:rsidRDefault="007F6D98">
      <w:pPr>
        <w:pStyle w:val="BodyText"/>
      </w:pPr>
      <w:r>
        <w:t>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rsidR="002769F0" w:rsidRDefault="007F6D98">
      <w:pPr>
        <w:pStyle w:val="Heading2"/>
      </w:pPr>
      <w:bookmarkStart w:id="5" w:name="the-fortetsa-and-the-knossos-north-cemet"/>
      <w:bookmarkEnd w:id="5"/>
      <w:r>
        <w:t>The Fortetsa and the Knossos North Cemeteries</w:t>
      </w:r>
    </w:p>
    <w:p w:rsidR="002769F0" w:rsidRDefault="007F6D98">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w:t>
      </w:r>
      <w:r>
        <w:lastRenderedPageBreak/>
        <w:t xml:space="preserve">and P, is arranged on a north-south axis, with the </w:t>
      </w:r>
      <w:r>
        <w:rPr>
          <w:i/>
        </w:rPr>
        <w:t>dromos</w:t>
      </w:r>
      <w:r>
        <w:t xml:space="preserve"> 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 (Brock 1957, 1–2) are now considered to belong the Knossos North Cemetery.</w:t>
      </w:r>
    </w:p>
    <w:p w:rsidR="002769F0" w:rsidRDefault="007F6D98">
      <w:pPr>
        <w:pStyle w:val="BodyText"/>
      </w:pPr>
      <w:r>
        <w:t>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 ‘Medical Faculty’ 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 (Coldstream and Catling 1996, 53–55).</w:t>
      </w:r>
    </w:p>
    <w:p w:rsidR="002769F0" w:rsidRDefault="007F6D98">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 (Coldstream 1994, 106–108). The tombs fall into three main types, the chamber tomb, shaft grave, and pit cave or tomb; the latter two are largely Subminoam phenomena, with the former by far the most abundant. The chamber tomb comprises a descending ramp or passage, the </w:t>
      </w:r>
      <w:r>
        <w:rPr>
          <w:i/>
        </w:rPr>
        <w:t>dromos</w:t>
      </w:r>
      <w:r>
        <w:t xml:space="preserve">, leading to the chamber itself, cut into the bedrock. The </w:t>
      </w:r>
      <w:r>
        <w:rPr>
          <w:i/>
        </w:rPr>
        <w:t>dromos</w:t>
      </w:r>
      <w:r>
        <w:t xml:space="preserve"> and chamber are separated by the </w:t>
      </w:r>
      <w:r>
        <w:rPr>
          <w:i/>
        </w:rPr>
        <w:t>stomion</w:t>
      </w:r>
      <w:r>
        <w:t xml:space="preserve">, an opening often set a step or two lower than the </w:t>
      </w:r>
      <w:r>
        <w:rPr>
          <w:i/>
        </w:rPr>
        <w:t>dromos</w:t>
      </w:r>
      <w:r>
        <w:t>, which is covered by a large stone slab, smaller stacked stones, or a combination of both (Antoniadis 2012, 47–48). It is not uncommon for dromoi to have niches cut into them, to house later burials that could not fit in the chamber (e.g. T. II), or even, in some cases, cinerary urns removed from the chamber so that new interments could be fitted in (e.g. T. TFT; Brock (1957), 3-4).</w:t>
      </w:r>
    </w:p>
    <w:p w:rsidR="002769F0" w:rsidRDefault="007F6D98">
      <w:pPr>
        <w:pStyle w:val="BodyText"/>
      </w:pPr>
      <w:r>
        <w:lastRenderedPageBreak/>
        <w:t>The majority of burials in these two cemeteries are cremations, a rite that appears at Knossos in the Subminoan period, in the Tomb 200+ complex (Ts. 200, 201 and 202 are three chambers of a single pit tomb) in the KNC (Coldstream 1994, 109). Inhumation does not completely disappear in the EIA, but by the Orientalising period it appears restricted to child burials, and in those instances where it is attested (Ts. L, 45, 98, 112 and F67:5), these burials appear to be among the very earliest in each tomb (Antoniadis 2012, 69).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rsidR="002769F0" w:rsidRDefault="007F6D98">
      <w:pPr>
        <w:pStyle w:val="Heading2"/>
      </w:pPr>
      <w:bookmarkStart w:id="6" w:name="chronological-developments-in-the-cemete"/>
      <w:bookmarkEnd w:id="6"/>
      <w:r>
        <w:t>Chronological developments in the cemeteries</w:t>
      </w:r>
    </w:p>
    <w:p w:rsidR="002769F0" w:rsidRDefault="007F6D98">
      <w:pPr>
        <w:pStyle w:val="FirstParagraph"/>
      </w:pPr>
      <w:r>
        <w:t>The chronological sequence of the cemeteries has received much attention. It has been claimed that no tomb crosses the LM IIIC-SM divide [Coldstream (1998), 58; Coldstream (2006), 582), but there is a strong possibility that this is a classificatory artefact (Hallager 2010).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 (1996), for one, could not rule out the possibility of some KNC tombs being of BA date based on his cluster analysis, but other evidence would suggest this is unlikely.</w:t>
      </w:r>
    </w:p>
    <w:p w:rsidR="002769F0" w:rsidRDefault="007F6D98">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 (1957), 143], who hailed it as “the most remarkable phase in Cretan vase-painting”.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w:t>
      </w:r>
      <w:r>
        <w:lastRenderedPageBreak/>
        <w:t>period also, redeposited Minoan larnakes began appearing in and around some tombs, in one case even inspiring the decoration of a PGB vessel (in T. 107; see J. Coldstream (1984a); Coldstream (1994), 112–3). Whether simply nostalgia (Coldstream 1998, 60), or a more tactical strategy by newly emerging elite groups (Coldstream 1994, 114–115), it seems that the Bronze Age past possessed a significant cultural cachet mobilised by various actors over the lives of these cemeteries.</w:t>
      </w:r>
    </w:p>
    <w:p w:rsidR="002769F0" w:rsidRDefault="007F6D98">
      <w:pPr>
        <w:pStyle w:val="BodyText"/>
      </w:pPr>
      <w:r>
        <w:t>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[Brock (1957), 4; Cavanagh (1996); 651-3]. This curiosity has, along with the equally scanty evidence for the period in the wider settlement, become known as the ‘Archaic Gap’. The causes of this lacuna, which persists until the recrudescence of archaeological evidence in the Late Archaic period, remain unknown. Although various explanations have been forwarded, (Coldstream, Huxley, and Webb 1999, 301–302; Huxley 1994, 126; Kotsonas 2002, 41–44), it seems there are now strong reasons to doubt the settlement was truly abandoned (Whitelaw, pers comm.).</w:t>
      </w:r>
    </w:p>
    <w:p w:rsidR="002769F0" w:rsidRDefault="007F6D98">
      <w:pPr>
        <w:pStyle w:val="Heading2"/>
      </w:pPr>
      <w:bookmarkStart w:id="7" w:name="heroes-and-heirlooms-object-biographies-"/>
      <w:bookmarkEnd w:id="7"/>
      <w:r>
        <w:t>Heroes and Heirlooms: Object Biographies and Exceptional Burials</w:t>
      </w:r>
    </w:p>
    <w:p w:rsidR="002769F0" w:rsidRDefault="007F6D98">
      <w:pPr>
        <w:pStyle w:val="FirstParagraph"/>
      </w:pPr>
      <w:r>
        <w:t>A popular approach to the study of Knossos’ EIA tombs has been the investigation of ‘object biography’, a term derived from Appadurai (1986) and Kopytoff (1986). Influenced by Mauss’ (1954) formulation of ‘the gift’, these authors stressed the mutuable nature of an object’s social meanings, and its capacity for acquiring a ‘biography’, through the transformations of its social existence. In Aegean archaeology, these ideas proved attractive because of their resonance with the Homeric motif of gift-giving accompanied by accounts of an object’s illustrious heritage (Whitley 2002, 220–221). It is hardly suprising that, when direct parallels for such objects have appeared archaeologically – such as the boar’s tusk helmet from Tomb 200+ and that given to Odysseus by Meriones (</w:t>
      </w:r>
      <w:r>
        <w:rPr>
          <w:i/>
        </w:rPr>
        <w:t>Iliad</w:t>
      </w:r>
      <w:r>
        <w:t xml:space="preserve"> 10.260-271) – a particular interpretive lens, melding Homeric and anthropological ideas, has been applied to certain elaborate burials.</w:t>
      </w:r>
    </w:p>
    <w:p w:rsidR="002769F0" w:rsidRDefault="007F6D98">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w:t>
      </w:r>
      <w:r>
        <w:lastRenderedPageBreak/>
        <w:t xml:space="preserve">probably of Cypriot origin, and pieces of the aforementioned BA-style boar’s tusk helmet (Catling 1995, 123). Catling identifies similarities between this tomb and burials at Tiryns, Kaloriziki, and the famous </w:t>
      </w:r>
      <w:r>
        <w:rPr>
          <w:i/>
        </w:rPr>
        <w:t>hērōön</w:t>
      </w:r>
      <w:r>
        <w:t xml:space="preserve"> of Lefkandi. All contained imported items at an early date, were of ‘warrior grave’ type, and formed loci for later burials. Catling argues that those individuals who dared to travel abroad in this time of more limited seafaring, accruing with precious artefacts and stories of distant lands – ‘heroes returned’ in Catling’s phrase – would have been accorded exceptional treatment in death (Catling 1995), 127–8].</w:t>
      </w:r>
    </w:p>
    <w:p w:rsidR="002769F0" w:rsidRDefault="007F6D98">
      <w:pPr>
        <w:pStyle w:val="BodyText"/>
      </w:pPr>
      <w:r>
        <w:t>Complementing the theme of heroes abroad has been a similar degree of interest in foreigners at home. Two caches of gold jewellery, found in pits flanking the entrance to the Teke Tholos, were argued by Boardman (1967) 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 (2006, 155–159). While certainty in such individual cases may be moot, it seems unlikely that traders or craftsmen of non-Cretan heritage never visited or resided at Knossos during the EIA (Hoffman 1997, 176–185; Schreiber 2003, 293–306).</w:t>
      </w:r>
    </w:p>
    <w:p w:rsidR="002769F0" w:rsidRDefault="007F6D98">
      <w:pPr>
        <w:pStyle w:val="BodyText"/>
      </w:pPr>
      <w:r>
        <w:t xml:space="preserve">Finally, a recurrent interest has been in the ‘presence of the past’ in these tombs. The practice of hero or ancestor cult, much discussed on the mainland (see Antonaccio (1994); Coldstream (1976)), is not common here. Instead, we see several Late Minoan larnakes (and a few other vessels) redeposited in tombs and pits in the KNC and Fortetsa from the PGB period onward. A thorough analysis of these artefacts has been provided by Crowe (2016),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 (J. Coldstream 1984a, 94–101). The magpie-like amalgamation of these styles and motifs seem to exemplify the particular cultural openness, fluidity and competition suggested to characterise the PGB period. Artefacts such as this hint towards an intimate discourse of </w:t>
      </w:r>
      <w:r>
        <w:lastRenderedPageBreak/>
        <w:t>(re)discovery; a painter, struck by the strangeness, or perhaps the uncanny familiarity, of centuries-old images, incorporated them into his own work.</w:t>
      </w:r>
    </w:p>
    <w:p w:rsidR="002769F0" w:rsidRDefault="007F6D98">
      <w:pPr>
        <w:pStyle w:val="Heading2"/>
      </w:pPr>
      <w:bookmarkStart w:id="8" w:name="number-crunching-quantitative-analyses-o"/>
      <w:bookmarkEnd w:id="8"/>
      <w:r>
        <w:t>Number Crunching: Quantitative Analyses of the Cemeteries</w:t>
      </w:r>
    </w:p>
    <w:p w:rsidR="002769F0" w:rsidRDefault="007F6D98">
      <w:pPr>
        <w:pStyle w:val="FirstParagraph"/>
      </w:pPr>
      <w:r>
        <w:t>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 (2012, 172–176),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 ‘wealth’ is examined critically in the present work, and may prove more complex than Antoniadis implies.</w:t>
      </w:r>
    </w:p>
    <w:p w:rsidR="002769F0" w:rsidRDefault="007F6D98">
      <w:pPr>
        <w:pStyle w:val="BodyText"/>
      </w:pPr>
      <w:r>
        <w:t>Cluster analyses have been employed by both Cavanagh (1996, 653–657) and Antoniadis (2012, 193–197),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rsidR="002769F0" w:rsidRDefault="007F6D98">
      <w:pPr>
        <w:pStyle w:val="Heading1"/>
      </w:pPr>
      <w:bookmarkStart w:id="9" w:name="methods"/>
      <w:bookmarkEnd w:id="9"/>
      <w:r>
        <w:t>Methods</w:t>
      </w:r>
    </w:p>
    <w:p w:rsidR="002769F0" w:rsidRDefault="007F6D98">
      <w:pPr>
        <w:pStyle w:val="Heading2"/>
      </w:pPr>
      <w:bookmarkStart w:id="10" w:name="databases"/>
      <w:bookmarkEnd w:id="10"/>
      <w:r>
        <w:t>Databases</w:t>
      </w:r>
    </w:p>
    <w:p w:rsidR="002769F0" w:rsidRDefault="007F6D98">
      <w:pPr>
        <w:pStyle w:val="FirstParagraph"/>
      </w:pPr>
      <w:r>
        <w:t xml:space="preserve">The cornerstone of the present study is a database (or, rather, three linked databases) based on the excavation reports for the Fortetsa and Knossos North cemeteries (Brock 1957; Coldstream and Catling 1996). The first database includes an entry for each individual ceramic vessel, by far the largest portion of all known finds. Each entry includes: the tomb from which the vessel came; the vessel shape; whether it was an open or closed vessel; its main dimensions; its </w:t>
      </w:r>
      <w:r>
        <w:lastRenderedPageBreak/>
        <w:t>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rsidR="002769F0" w:rsidRDefault="007F6D98">
      <w:pPr>
        <w:pStyle w:val="BodyText"/>
      </w:pPr>
      <w:r>
        <w:t>The second database is similar, but with each entry corresponding to a find other than a ceramic vessel. The categories remained the same as in the pottery database, but with the addition of a ‘material’ variable, as of course these finds were not all made of the same substance. This database included some 1620 individual artefacts. 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rsidR="002769F0" w:rsidRDefault="007F6D98">
      <w:pPr>
        <w:pStyle w:val="BodyText"/>
      </w:pPr>
      <w:r>
        <w:t>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rsidR="002769F0" w:rsidRDefault="007F6D98">
      <w:pPr>
        <w:pStyle w:val="Heading2"/>
      </w:pPr>
      <w:bookmarkStart w:id="11" w:name="reproducibility-and-data-sharing"/>
      <w:bookmarkEnd w:id="11"/>
      <w:r>
        <w:t>Reproducibility and data-sharing</w:t>
      </w:r>
    </w:p>
    <w:p w:rsidR="002769F0" w:rsidRDefault="007F6D98">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w:t>
      </w:r>
      <w:r>
        <w:lastRenderedPageBreak/>
        <w:t>current technologies (digital databases, statistical software packages, online repositories etc.), there remain ever fewer obstacles - and excuses - preventing the full and free sharing of both data and workflows. In Marwick’s words (2017, 445), “[t]he technical problems are largely solved; the challenge now is to change the norms of the discipline to make high reproducibility a canonical attribute of high-quality scholarly work”.</w:t>
      </w:r>
    </w:p>
    <w:p w:rsidR="002769F0" w:rsidRDefault="007F6D98">
      <w:pPr>
        <w:pStyle w:val="BodyText"/>
      </w:pPr>
      <w:r>
        <w:t>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rsidR="002769F0" w:rsidRDefault="007F6D98">
      <w:pPr>
        <w:pStyle w:val="BodyText"/>
      </w:pPr>
      <w:r>
        <w:t>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rsidR="002769F0" w:rsidRDefault="007F6D98">
      <w:pPr>
        <w:pStyle w:val="BodyText"/>
      </w:pPr>
      <w:r>
        <w:t xml:space="preserve">In this vein, the present article has been composed making use of Ben Marwick’s “rrtools”, an open-source package for the statistical software R Studio, which provides the author with the tools to create a self-contained “compendium”,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w:t>
      </w:r>
      <w:r>
        <w:lastRenderedPageBreak/>
        <w:t xml:space="preserve">and article as originally submitted to this journal are included in the package. It can be downloaded as a repository from GitHub, at the following address: </w:t>
      </w:r>
      <w:hyperlink r:id="rId8">
        <w:r>
          <w:rPr>
            <w:rStyle w:val="Hyperlink"/>
          </w:rPr>
          <w:t>https://github.com/DCPollard94/knossoscemeteries</w:t>
        </w:r>
      </w:hyperlink>
      <w:r>
        <w:t>, and the raw datasets have been stored with the online repository Figshare, here:</w:t>
      </w:r>
    </w:p>
    <w:p w:rsidR="002769F0" w:rsidRDefault="007F6D98">
      <w:pPr>
        <w:pStyle w:val="BodyText"/>
      </w:pPr>
      <w:r>
        <w:t>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rsidR="002769F0" w:rsidRDefault="007F6D98">
      <w:pPr>
        <w:pStyle w:val="Heading2"/>
      </w:pPr>
      <w:bookmarkStart w:id="12" w:name="estimating-interments"/>
      <w:bookmarkEnd w:id="12"/>
      <w:r>
        <w:t>Estimating interments</w:t>
      </w:r>
    </w:p>
    <w:p w:rsidR="002769F0" w:rsidRDefault="007F6D98">
      <w:pPr>
        <w:pStyle w:val="FirstParagraph"/>
      </w:pPr>
      <w:r>
        <w:t>A first important step in preparing the data for analysis was the estimation of the number of individuals buried in each tomb. The method chosen for this estimation broadly follows that of Cavanagh (1996, 659–660),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 1). In the present study, the mean of these three estimates was taken, to provide a single aggregate measure for the purposes of analysis (where no interments were known, this variable was still assigned a value of “1”, for all tombs must have contained at least one burial).</w:t>
      </w:r>
    </w:p>
    <w:p w:rsidR="002769F0" w:rsidRDefault="007F6D98">
      <w:r>
        <w:rPr>
          <w:noProof/>
        </w:rPr>
        <w:lastRenderedPageBreak/>
        <w:drawing>
          <wp:inline distT="0" distB="0" distL="0" distR="0">
            <wp:extent cx="5943600" cy="3396342"/>
            <wp:effectExtent l="0" t="0" r="0" b="0"/>
            <wp:docPr id="1" name="Picture" descr="Figure 1 Relationship between known interments, counts of pithoi, and counts of pithoi, amphorae and kraters. The straight line represents the mean estimate based on these three values."/>
            <wp:cNvGraphicFramePr/>
            <a:graphic xmlns:a="http://schemas.openxmlformats.org/drawingml/2006/main">
              <a:graphicData uri="http://schemas.openxmlformats.org/drawingml/2006/picture">
                <pic:pic xmlns:pic="http://schemas.openxmlformats.org/drawingml/2006/picture">
                  <pic:nvPicPr>
                    <pic:cNvPr id="0" name="Picture" descr="../figures/burialestimate-1.png"/>
                    <pic:cNvPicPr>
                      <a:picLocks noChangeAspect="1" noChangeArrowheads="1"/>
                    </pic:cNvPicPr>
                  </pic:nvPicPr>
                  <pic:blipFill>
                    <a:blip r:embed="rId9"/>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1 Relationship between known interments, counts of pithoi, and counts of pithoi, amphorae and kraters. The straight line represents the mean estimate based on these three values.</w:t>
      </w:r>
    </w:p>
    <w:p w:rsidR="002769F0" w:rsidRDefault="007F6D98">
      <w:pPr>
        <w:pStyle w:val="BodyText"/>
      </w:pPr>
      <w:r>
        <w:t>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rsidR="002769F0" w:rsidRDefault="007F6D98">
      <w:pPr>
        <w:pStyle w:val="Heading2"/>
      </w:pPr>
      <w:bookmarkStart w:id="13" w:name="aoristic-approaches-to-dating"/>
      <w:bookmarkEnd w:id="13"/>
      <w:r>
        <w:t>Aoristic approaches to dating</w:t>
      </w:r>
    </w:p>
    <w:p w:rsidR="002769F0" w:rsidRDefault="007F6D98">
      <w:pPr>
        <w:pStyle w:val="FirstParagraph"/>
      </w:pPr>
      <w:r>
        <w:t>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rsidR="002769F0" w:rsidRDefault="007F6D98">
      <w:r>
        <w:rPr>
          <w:noProof/>
        </w:rPr>
        <w:lastRenderedPageBreak/>
        <w:drawing>
          <wp:inline distT="0" distB="0" distL="0" distR="0">
            <wp:extent cx="5943600" cy="3396342"/>
            <wp:effectExtent l="0" t="0" r="0" b="0"/>
            <wp:docPr id="2" name="Picture" descr="Figure 2 Counts of pithoi across both cemeteries through time. Vessel dates have here been based on the midpoint of the absolute date range accompanying their respective ceramic periods."/>
            <wp:cNvGraphicFramePr/>
            <a:graphic xmlns:a="http://schemas.openxmlformats.org/drawingml/2006/main">
              <a:graphicData uri="http://schemas.openxmlformats.org/drawingml/2006/picture">
                <pic:pic xmlns:pic="http://schemas.openxmlformats.org/drawingml/2006/picture">
                  <pic:nvPicPr>
                    <pic:cNvPr id="0" name="Picture" descr="../figures/allpithoi-1.png"/>
                    <pic:cNvPicPr>
                      <a:picLocks noChangeAspect="1" noChangeArrowheads="1"/>
                    </pic:cNvPicPr>
                  </pic:nvPicPr>
                  <pic:blipFill>
                    <a:blip r:embed="rId10"/>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2 Counts of pithoi across both cemeteries through time. Vessel dates have here been based on the midpoint of the absolute date range accompanying their respective ceramic periods.</w:t>
      </w:r>
    </w:p>
    <w:p w:rsidR="002769F0" w:rsidRDefault="007F6D98">
      <w:pPr>
        <w:pStyle w:val="BodyText"/>
      </w:pPr>
      <w:r>
        <w:t>But the artificial clustering this technique engenders around select absolute dates proves misleading when, for instance, the total number of pithoi deposited by date are plotted via a histogram (Figure 2); the apparent cessation of burial activity for 30 years in the 8th century, followed by the most intense episode of deposition yet seen, is simply a fiction generated by the processing of the data.</w:t>
      </w:r>
    </w:p>
    <w:p w:rsidR="002769F0" w:rsidRDefault="007F6D98">
      <w:pPr>
        <w:pStyle w:val="BodyText"/>
      </w:pPr>
      <w:r>
        <w:t xml:space="preserve">A alternative way of dealing with temporal uncertainty, and the method employed extensively in this paper, is the use of so-called “aoristic analysis” (for original use in criminology, see Ratcliffe 2000; for archaeological applications, see Crema, Bevan, and Lake 2010; Crema 2012; Johnson 2004).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 Crema, Bevan, and Lake (2010), 1123-1124) is that it incorporates temporal uncertainty into the </w:t>
      </w:r>
      <w:r>
        <w:lastRenderedPageBreak/>
        <w:t>size of the resulting values, that is, “events with tight temporal definition contribute more to the total probability over their range than do loosely defined events” (Johnson 2004, 450).</w:t>
      </w:r>
    </w:p>
    <w:p w:rsidR="002769F0" w:rsidRDefault="007F6D98">
      <w:r>
        <w:rPr>
          <w:noProof/>
        </w:rPr>
        <w:drawing>
          <wp:inline distT="0" distB="0" distL="0" distR="0">
            <wp:extent cx="5943600" cy="3396342"/>
            <wp:effectExtent l="0" t="0" r="0" b="0"/>
            <wp:docPr id="3" name="Picture" descr="Figure 3 Aoristic sums of all vessels across both cemeteries. This represents a probabilistically weighted visualisation of depositional activity through time."/>
            <wp:cNvGraphicFramePr/>
            <a:graphic xmlns:a="http://schemas.openxmlformats.org/drawingml/2006/main">
              <a:graphicData uri="http://schemas.openxmlformats.org/drawingml/2006/picture">
                <pic:pic xmlns:pic="http://schemas.openxmlformats.org/drawingml/2006/picture">
                  <pic:nvPicPr>
                    <pic:cNvPr id="0" name="Picture" descr="../figures/aoristallcems-1.png"/>
                    <pic:cNvPicPr>
                      <a:picLocks noChangeAspect="1" noChangeArrowheads="1"/>
                    </pic:cNvPicPr>
                  </pic:nvPicPr>
                  <pic:blipFill>
                    <a:blip r:embed="rId11"/>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3 Aoristic sums of all vessels across both cemeteries. This represents a probabilistically weighted visualisation of depositional activity through time.</w:t>
      </w:r>
    </w:p>
    <w:p w:rsidR="002769F0" w:rsidRDefault="007F6D98">
      <w:pPr>
        <w:pStyle w:val="BodyText"/>
      </w:pPr>
      <w:r>
        <w:t>As seen in Figure 3,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rsidR="002769F0" w:rsidRDefault="007F6D98">
      <w:pPr>
        <w:pStyle w:val="Heading2"/>
      </w:pPr>
      <w:bookmarkStart w:id="14" w:name="theory-and-method"/>
      <w:bookmarkEnd w:id="14"/>
      <w:r>
        <w:t>Theory and method</w:t>
      </w:r>
    </w:p>
    <w:p w:rsidR="002769F0" w:rsidRDefault="007F6D98">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w:t>
      </w:r>
      <w:r>
        <w:lastRenderedPageBreak/>
        <w:t>forms of human behaviour, which in turn guides the focus of subsequent analyses, and so on. It is hoped that the value of such an approach will become clear.</w:t>
      </w:r>
    </w:p>
    <w:p w:rsidR="002769F0" w:rsidRDefault="007F6D98">
      <w:pPr>
        <w:pStyle w:val="Heading1"/>
      </w:pPr>
      <w:bookmarkStart w:id="15" w:name="analysis"/>
      <w:bookmarkEnd w:id="15"/>
      <w:r>
        <w:t>Analysis</w:t>
      </w:r>
    </w:p>
    <w:p w:rsidR="002769F0" w:rsidRDefault="007F6D98">
      <w:pPr>
        <w:pStyle w:val="Heading2"/>
      </w:pPr>
      <w:bookmarkStart w:id="16" w:name="introduction-1"/>
      <w:bookmarkEnd w:id="16"/>
      <w:r>
        <w:t>Introduction</w:t>
      </w:r>
    </w:p>
    <w:p w:rsidR="002769F0" w:rsidRDefault="007F6D98">
      <w:pPr>
        <w:pStyle w:val="FirstParagraph"/>
      </w:pPr>
      <w:r>
        <w:t>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rsidR="002769F0" w:rsidRDefault="007F6D98">
      <w:pPr>
        <w:pStyle w:val="Heading2"/>
      </w:pPr>
      <w:bookmarkStart w:id="17" w:name="temporal-variation-in-the-knossian-cemet"/>
      <w:bookmarkEnd w:id="17"/>
      <w:r>
        <w:t>Temporal variation in the Knossian Cemeteries</w:t>
      </w:r>
    </w:p>
    <w:p w:rsidR="002769F0" w:rsidRDefault="007F6D98">
      <w:pPr>
        <w:pStyle w:val="FirstParagraph"/>
      </w:pPr>
      <w:r>
        <w:t>An obvious place to begin is with the chronology of the burials themselves. The rate and number of burials being made through time provides the background against which to consider all other developments.</w:t>
      </w:r>
    </w:p>
    <w:p w:rsidR="002769F0" w:rsidRDefault="007F6D98">
      <w:r>
        <w:rPr>
          <w:noProof/>
        </w:rPr>
        <w:lastRenderedPageBreak/>
        <w:drawing>
          <wp:inline distT="0" distB="0" distL="0" distR="0">
            <wp:extent cx="5943600" cy="2971800"/>
            <wp:effectExtent l="0" t="0" r="0" b="0"/>
            <wp:docPr id="4" name="Picture" descr="Figure 4 Aorist sums of pithoi (left) as a proxy for cremation burials, and all vessels (right). The sums are colour coded to show the values of the two cemeteries, and the total values."/>
            <wp:cNvGraphicFramePr/>
            <a:graphic xmlns:a="http://schemas.openxmlformats.org/drawingml/2006/main">
              <a:graphicData uri="http://schemas.openxmlformats.org/drawingml/2006/picture">
                <pic:pic xmlns:pic="http://schemas.openxmlformats.org/drawingml/2006/picture">
                  <pic:nvPicPr>
                    <pic:cNvPr id="0" name="Picture" descr="../figures/aoristbycem-1.png"/>
                    <pic:cNvPicPr>
                      <a:picLocks noChangeAspect="1" noChangeArrowheads="1"/>
                    </pic:cNvPicPr>
                  </pic:nvPicPr>
                  <pic:blipFill>
                    <a:blip r:embed="rId12"/>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Figure 4 Aorist sums of pithoi (left) as a proxy for cremation burials, and all vessels (right). The sums are colour coded to show the values of the two cemeteries, and the total values.</w:t>
      </w:r>
    </w:p>
    <w:p w:rsidR="002769F0" w:rsidRDefault="007F6D98">
      <w:pPr>
        <w:pStyle w:val="BodyText"/>
      </w:pPr>
      <w:r>
        <w:t>Figure 4 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rsidR="002769F0" w:rsidRDefault="007F6D98">
      <w:pPr>
        <w:pStyle w:val="BodyText"/>
      </w:pPr>
      <w:r>
        <w:t>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rsidR="002769F0" w:rsidRDefault="007F6D98">
      <w:r>
        <w:rPr>
          <w:noProof/>
        </w:rPr>
        <w:lastRenderedPageBreak/>
        <w:drawing>
          <wp:inline distT="0" distB="0" distL="0" distR="0">
            <wp:extent cx="5943600" cy="2971800"/>
            <wp:effectExtent l="0" t="0" r="0" b="0"/>
            <wp:docPr id="5" name="Picture"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wp:cNvGraphicFramePr/>
            <a:graphic xmlns:a="http://schemas.openxmlformats.org/drawingml/2006/main">
              <a:graphicData uri="http://schemas.openxmlformats.org/drawingml/2006/picture">
                <pic:pic xmlns:pic="http://schemas.openxmlformats.org/drawingml/2006/picture">
                  <pic:nvPicPr>
                    <pic:cNvPr id="0" name="Picture" descr="../figures/tombconstruction-1.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rsidR="002769F0" w:rsidRDefault="007F6D98">
      <w:pPr>
        <w:pStyle w:val="BodyText"/>
      </w:pPr>
      <w:r>
        <w:t xml:space="preserve">Figure 5 presents two ways of dating the construction of the tombs. On the left, counts are presented, based on the ceramic phase considered most likely to correspond to the tomb’s first use, including the broad labels “PG”, “G” and “O” 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 “tombs” 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w:t>
      </w:r>
      <w:r>
        <w:lastRenderedPageBreak/>
        <w:t>activity suggested by both counts of artefacts, and estimates of the number of tombs in use in each period.</w:t>
      </w:r>
    </w:p>
    <w:p w:rsidR="002769F0" w:rsidRDefault="007F6D98">
      <w:r>
        <w:rPr>
          <w:noProof/>
        </w:rPr>
        <w:drawing>
          <wp:inline distT="0" distB="0" distL="0" distR="0">
            <wp:extent cx="5943600" cy="3396342"/>
            <wp:effectExtent l="0" t="0" r="0" b="0"/>
            <wp:docPr id="6" name="Picture" descr="Figure 6 Estimates of the number of tombs in use during each of the ceramic phases attested in both cemetaries."/>
            <wp:cNvGraphicFramePr/>
            <a:graphic xmlns:a="http://schemas.openxmlformats.org/drawingml/2006/main">
              <a:graphicData uri="http://schemas.openxmlformats.org/drawingml/2006/picture">
                <pic:pic xmlns:pic="http://schemas.openxmlformats.org/drawingml/2006/picture">
                  <pic:nvPicPr>
                    <pic:cNvPr id="0" name="Picture" descr="../figures/tombsinuse-1.png"/>
                    <pic:cNvPicPr>
                      <a:picLocks noChangeAspect="1" noChangeArrowheads="1"/>
                    </pic:cNvPicPr>
                  </pic:nvPicPr>
                  <pic:blipFill>
                    <a:blip r:embed="rId14"/>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6 Estimates of the number of tombs in use during each of the ceramic phases attested in both cemetaries.</w:t>
      </w:r>
    </w:p>
    <w:p w:rsidR="002769F0" w:rsidRDefault="007F6D98">
      <w:pPr>
        <w:pStyle w:val="BodyText"/>
      </w:pPr>
      <w:r>
        <w:t>Figure 6 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rsidR="002769F0" w:rsidRDefault="007F6D98">
      <w:r>
        <w:rPr>
          <w:noProof/>
        </w:rPr>
        <w:lastRenderedPageBreak/>
        <w:drawing>
          <wp:inline distT="0" distB="0" distL="0" distR="0">
            <wp:extent cx="5943600" cy="3396342"/>
            <wp:effectExtent l="0" t="0" r="0" b="0"/>
            <wp:docPr id="7" name="Picture"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wp:cNvGraphicFramePr/>
            <a:graphic xmlns:a="http://schemas.openxmlformats.org/drawingml/2006/main">
              <a:graphicData uri="http://schemas.openxmlformats.org/drawingml/2006/picture">
                <pic:pic xmlns:pic="http://schemas.openxmlformats.org/drawingml/2006/picture">
                  <pic:nvPicPr>
                    <pic:cNvPr id="0" name="Picture" descr="../figures/tombsinusebybuilddate-1.png"/>
                    <pic:cNvPicPr>
                      <a:picLocks noChangeAspect="1" noChangeArrowheads="1"/>
                    </pic:cNvPicPr>
                  </pic:nvPicPr>
                  <pic:blipFill>
                    <a:blip r:embed="rId15"/>
                    <a:stretch>
                      <a:fillRect/>
                    </a:stretch>
                  </pic:blipFill>
                  <pic:spPr bwMode="auto">
                    <a:xfrm>
                      <a:off x="0" y="0"/>
                      <a:ext cx="5943600" cy="3396342"/>
                    </a:xfrm>
                    <a:prstGeom prst="rect">
                      <a:avLst/>
                    </a:prstGeom>
                    <a:noFill/>
                    <a:ln w="9525">
                      <a:noFill/>
                      <a:headEnd/>
                      <a:tailEnd/>
                    </a:ln>
                  </pic:spPr>
                </pic:pic>
              </a:graphicData>
            </a:graphic>
          </wp:inline>
        </w:drawing>
      </w:r>
    </w:p>
    <w:p w:rsidR="002769F0" w:rsidRDefault="007F6D98">
      <w:pPr>
        <w:pStyle w:val="ImageCaption"/>
      </w:pPr>
      <w:r>
        <w:t>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rsidR="002769F0" w:rsidRDefault="007F6D98">
      <w:pPr>
        <w:pStyle w:val="BodyText"/>
      </w:pPr>
      <w:r>
        <w:t>Figure 7 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 “[t]he length of time the tombs last seems […] to reflect the duration of the social group which had access to the sepulchre”,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rsidR="002769F0" w:rsidRDefault="007F6D98">
      <w:r>
        <w:rPr>
          <w:noProof/>
        </w:rPr>
        <w:lastRenderedPageBreak/>
        <w:drawing>
          <wp:inline distT="0" distB="0" distL="0" distR="0">
            <wp:extent cx="5943600" cy="2971800"/>
            <wp:effectExtent l="0" t="0" r="0" b="0"/>
            <wp:docPr id="8" name="Picture" descr="Figure 8 Counts of vessels from across all tombs in both cemeteries, arranged, on the left, by the century to which they are assigned based on their ceramic period and, on the right, by the centuries in which the tombs they come from were built."/>
            <wp:cNvGraphicFramePr/>
            <a:graphic xmlns:a="http://schemas.openxmlformats.org/drawingml/2006/main">
              <a:graphicData uri="http://schemas.openxmlformats.org/drawingml/2006/picture">
                <pic:pic xmlns:pic="http://schemas.openxmlformats.org/drawingml/2006/picture">
                  <pic:nvPicPr>
                    <pic:cNvPr id="0" name="Picture" descr="../figures/potsbydateandtombdate-1.png"/>
                    <pic:cNvPicPr>
                      <a:picLocks noChangeAspect="1" noChangeArrowheads="1"/>
                    </pic:cNvPicPr>
                  </pic:nvPicPr>
                  <pic:blipFill>
                    <a:blip r:embed="rId16"/>
                    <a:stretch>
                      <a:fillRect/>
                    </a:stretch>
                  </pic:blipFill>
                  <pic:spPr bwMode="auto">
                    <a:xfrm>
                      <a:off x="0" y="0"/>
                      <a:ext cx="5943600" cy="2971800"/>
                    </a:xfrm>
                    <a:prstGeom prst="rect">
                      <a:avLst/>
                    </a:prstGeom>
                    <a:noFill/>
                    <a:ln w="9525">
                      <a:noFill/>
                      <a:headEnd/>
                      <a:tailEnd/>
                    </a:ln>
                  </pic:spPr>
                </pic:pic>
              </a:graphicData>
            </a:graphic>
          </wp:inline>
        </w:drawing>
      </w:r>
    </w:p>
    <w:p w:rsidR="002769F0" w:rsidRDefault="007F6D98">
      <w:pPr>
        <w:pStyle w:val="ImageCaption"/>
      </w:pPr>
      <w:r>
        <w:t>Figure 8 Counts of vessels from across all tombs in both cemeteries, arranged, on the left, by the century to which they are assigned based on their ceramic period and, on the right, by the centuries in which the tombs they come from were built.</w:t>
      </w:r>
    </w:p>
    <w:p w:rsidR="002769F0" w:rsidRDefault="007F6D98">
      <w:pPr>
        <w:pStyle w:val="BodyText"/>
      </w:pPr>
      <w:r>
        <w:t>Figure 8 shows, firstly, the number of vessels dating to each century across both cemeteries, based on their assigned ceramic period, essentially a simplified version of the trend illustrated in Figure 3. But, on the right, Figure 8 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 7, we see that the number of 9th and 10th century tombs in use by the late 8th and early 7th centuries were declining.</w:t>
      </w:r>
    </w:p>
    <w:tbl>
      <w:tblPr>
        <w:tblStyle w:val="ListTable7Colorful"/>
        <w:tblW w:w="5000" w:type="pct"/>
        <w:tblLook w:val="04A0" w:firstRow="1" w:lastRow="0" w:firstColumn="1" w:lastColumn="0" w:noHBand="0" w:noVBand="1"/>
      </w:tblPr>
      <w:tblGrid>
        <w:gridCol w:w="1683"/>
        <w:gridCol w:w="1921"/>
        <w:gridCol w:w="1843"/>
        <w:gridCol w:w="2417"/>
        <w:gridCol w:w="1486"/>
      </w:tblGrid>
      <w:tr w:rsidR="008B07DD" w:rsidTr="00CD7B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rsidR="002769F0" w:rsidRDefault="007F6D98">
            <w:pPr>
              <w:pStyle w:val="Compact"/>
            </w:pPr>
            <w:r>
              <w:t>Tombs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Date of pithoi (burials)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No. of pithoi (burials)</w:t>
            </w:r>
          </w:p>
        </w:tc>
        <w:tc>
          <w:tcPr>
            <w:tcW w:w="0" w:type="auto"/>
            <w:tcBorders>
              <w:top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Number of tombs represented</w:t>
            </w:r>
          </w:p>
        </w:tc>
        <w:tc>
          <w:tcPr>
            <w:tcW w:w="0" w:type="auto"/>
            <w:tcBorders>
              <w:top w:val="single" w:sz="4" w:space="0" w:color="auto"/>
              <w:right w:val="single" w:sz="4" w:space="0" w:color="auto"/>
            </w:tcBorders>
          </w:tcPr>
          <w:p w:rsidR="002769F0" w:rsidRDefault="007F6D98">
            <w:pPr>
              <w:pStyle w:val="Compact"/>
              <w:cnfStyle w:val="100000000000" w:firstRow="1" w:lastRow="0" w:firstColumn="0" w:lastColumn="0" w:oddVBand="0" w:evenVBand="0" w:oddHBand="0" w:evenHBand="0" w:firstRowFirstColumn="0" w:firstRowLastColumn="0" w:lastRowFirstColumn="0" w:lastRowLastColumn="0"/>
            </w:pPr>
            <w:r>
              <w:t>Burials per tomb</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10th century tombs</w:t>
            </w: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10th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5</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2.5</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9th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33</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13</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2.54</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8th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34</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9</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3.78</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7th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25</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6</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4.17</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9th century tombs</w:t>
            </w: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9th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49</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15</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3.27</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8th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161</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23</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7th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162</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13</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12.46</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8th century tombs</w:t>
            </w: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000000" w:firstRow="0" w:lastRow="0" w:firstColumn="0" w:lastColumn="0" w:oddVBand="0" w:evenVBand="0" w:oddHBand="0" w:evenHBand="0" w:firstRowFirstColumn="0" w:firstRowLastColumn="0" w:lastRowFirstColumn="0" w:lastRowLastColumn="0"/>
            </w:pP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8th century</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34</w:t>
            </w:r>
          </w:p>
        </w:tc>
        <w:tc>
          <w:tcPr>
            <w:tcW w:w="0" w:type="auto"/>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14</w:t>
            </w:r>
          </w:p>
        </w:tc>
        <w:tc>
          <w:tcPr>
            <w:tcW w:w="0" w:type="auto"/>
            <w:tcBorders>
              <w:right w:val="single" w:sz="4" w:space="0" w:color="auto"/>
            </w:tcBorders>
          </w:tcPr>
          <w:p w:rsidR="002769F0" w:rsidRDefault="007F6D98">
            <w:pPr>
              <w:pStyle w:val="Compact"/>
              <w:cnfStyle w:val="000000100000" w:firstRow="0" w:lastRow="0" w:firstColumn="0" w:lastColumn="0" w:oddVBand="0" w:evenVBand="0" w:oddHBand="1" w:evenHBand="0" w:firstRowFirstColumn="0" w:firstRowLastColumn="0" w:lastRowFirstColumn="0" w:lastRowLastColumn="0"/>
            </w:pPr>
            <w:r>
              <w:t>2.43</w:t>
            </w:r>
          </w:p>
        </w:tc>
      </w:tr>
      <w:tr w:rsidR="002769F0"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2769F0">
            <w:pPr>
              <w:pStyle w:val="Compact"/>
            </w:pP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7th century</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46</w:t>
            </w:r>
          </w:p>
        </w:tc>
        <w:tc>
          <w:tcPr>
            <w:tcW w:w="0" w:type="auto"/>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15</w:t>
            </w:r>
          </w:p>
        </w:tc>
        <w:tc>
          <w:tcPr>
            <w:tcW w:w="0" w:type="auto"/>
            <w:tcBorders>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3.07</w:t>
            </w:r>
          </w:p>
        </w:tc>
      </w:tr>
      <w:tr w:rsidR="00CD7BEB" w:rsidTr="00CD7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rsidR="002769F0" w:rsidRDefault="007F6D98">
            <w:pPr>
              <w:pStyle w:val="Compact"/>
            </w:pPr>
            <w:r>
              <w:t>7th century tombs</w:t>
            </w: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c>
          <w:tcPr>
            <w:tcW w:w="0" w:type="auto"/>
            <w:tcBorders>
              <w:right w:val="single" w:sz="4" w:space="0" w:color="auto"/>
            </w:tcBorders>
          </w:tcPr>
          <w:p w:rsidR="002769F0" w:rsidRDefault="002769F0">
            <w:pPr>
              <w:pStyle w:val="Compact"/>
              <w:cnfStyle w:val="000000100000" w:firstRow="0" w:lastRow="0" w:firstColumn="0" w:lastColumn="0" w:oddVBand="0" w:evenVBand="0" w:oddHBand="1" w:evenHBand="0" w:firstRowFirstColumn="0" w:firstRowLastColumn="0" w:lastRowFirstColumn="0" w:lastRowLastColumn="0"/>
            </w:pPr>
          </w:p>
        </w:tc>
      </w:tr>
      <w:tr w:rsidR="008B07DD" w:rsidTr="00CD7BEB">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rsidR="002769F0" w:rsidRDefault="002769F0">
            <w:pPr>
              <w:pStyle w:val="Compact"/>
            </w:pP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7th century</w:t>
            </w: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5</w:t>
            </w:r>
          </w:p>
        </w:tc>
        <w:tc>
          <w:tcPr>
            <w:tcW w:w="0" w:type="auto"/>
            <w:tcBorders>
              <w:bottom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w:t>
            </w:r>
          </w:p>
        </w:tc>
        <w:tc>
          <w:tcPr>
            <w:tcW w:w="0" w:type="auto"/>
            <w:tcBorders>
              <w:bottom w:val="single" w:sz="4" w:space="0" w:color="auto"/>
              <w:right w:val="single" w:sz="4" w:space="0" w:color="auto"/>
            </w:tcBorders>
          </w:tcPr>
          <w:p w:rsidR="002769F0" w:rsidRDefault="007F6D98">
            <w:pPr>
              <w:pStyle w:val="Compact"/>
              <w:cnfStyle w:val="000000000000" w:firstRow="0" w:lastRow="0" w:firstColumn="0" w:lastColumn="0" w:oddVBand="0" w:evenVBand="0" w:oddHBand="0" w:evenHBand="0" w:firstRowFirstColumn="0" w:firstRowLastColumn="0" w:lastRowFirstColumn="0" w:lastRowLastColumn="0"/>
            </w:pPr>
            <w:r>
              <w:t>2.5</w:t>
            </w:r>
          </w:p>
        </w:tc>
      </w:tr>
    </w:tbl>
    <w:p w:rsidR="002769F0" w:rsidRDefault="007F6D98">
      <w:pPr>
        <w:pStyle w:val="BodyText"/>
      </w:pPr>
      <w:r>
        <w:rPr>
          <w:noProof/>
        </w:rPr>
        <w:lastRenderedPageBreak/>
        <w:drawing>
          <wp:inline distT="0" distB="0" distL="0" distR="0">
            <wp:extent cx="4595937" cy="36767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2-1.png"/>
                    <pic:cNvPicPr>
                      <a:picLocks noChangeAspect="1" noChangeArrowheads="1"/>
                    </pic:cNvPicPr>
                  </pic:nvPicPr>
                  <pic:blipFill>
                    <a:blip r:embed="rId17"/>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2-2.png"/>
                    <pic:cNvPicPr>
                      <a:picLocks noChangeAspect="1" noChangeArrowheads="1"/>
                    </pic:cNvPicPr>
                  </pic:nvPicPr>
                  <pic:blipFill>
                    <a:blip r:embed="rId18"/>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lastRenderedPageBreak/>
        <w:drawing>
          <wp:inline distT="0" distB="0" distL="0" distR="0">
            <wp:extent cx="4595937" cy="36767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1.png"/>
                    <pic:cNvPicPr>
                      <a:picLocks noChangeAspect="1" noChangeArrowheads="1"/>
                    </pic:cNvPicPr>
                  </pic:nvPicPr>
                  <pic:blipFill>
                    <a:blip r:embed="rId19"/>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2.png"/>
                    <pic:cNvPicPr>
                      <a:picLocks noChangeAspect="1" noChangeArrowheads="1"/>
                    </pic:cNvPicPr>
                  </pic:nvPicPr>
                  <pic:blipFill>
                    <a:blip r:embed="rId20"/>
                    <a:stretch>
                      <a:fillRect/>
                    </a:stretch>
                  </pic:blipFill>
                  <pic:spPr bwMode="auto">
                    <a:xfrm>
                      <a:off x="0" y="0"/>
                      <a:ext cx="4595937" cy="3676749"/>
                    </a:xfrm>
                    <a:prstGeom prst="rect">
                      <a:avLst/>
                    </a:prstGeom>
                    <a:noFill/>
                    <a:ln w="9525">
                      <a:noFill/>
                      <a:headEnd/>
                      <a:tailEnd/>
                    </a:ln>
                  </pic:spPr>
                </pic:pic>
              </a:graphicData>
            </a:graphic>
          </wp:inline>
        </w:drawing>
      </w:r>
      <w:r>
        <w:rPr>
          <w:noProof/>
        </w:rPr>
        <w:lastRenderedPageBreak/>
        <w:drawing>
          <wp:inline distT="0" distB="0" distL="0" distR="0">
            <wp:extent cx="4595937" cy="367674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unnamed-chunk-3-3.png"/>
                    <pic:cNvPicPr>
                      <a:picLocks noChangeAspect="1" noChangeArrowheads="1"/>
                    </pic:cNvPicPr>
                  </pic:nvPicPr>
                  <pic:blipFill>
                    <a:blip r:embed="rId21"/>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t>We can also make a table (Table ??)</w:t>
      </w:r>
    </w:p>
    <w:p w:rsidR="002769F0" w:rsidRDefault="007F6D98">
      <w:pPr>
        <w:pStyle w:val="BodyText"/>
      </w:pPr>
      <w:r>
        <w:rPr>
          <w:noProof/>
        </w:rPr>
        <w:drawing>
          <wp:inline distT="0" distB="0" distL="0" distR="0">
            <wp:extent cx="4595937" cy="367674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aorist_burials-1.png"/>
                    <pic:cNvPicPr>
                      <a:picLocks noChangeAspect="1" noChangeArrowheads="1"/>
                    </pic:cNvPicPr>
                  </pic:nvPicPr>
                  <pic:blipFill>
                    <a:blip r:embed="rId22"/>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lastRenderedPageBreak/>
        <w:drawing>
          <wp:inline distT="0" distB="0" distL="0" distR="0">
            <wp:extent cx="4595937" cy="367674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1.png"/>
                    <pic:cNvPicPr>
                      <a:picLocks noChangeAspect="1" noChangeArrowheads="1"/>
                    </pic:cNvPicPr>
                  </pic:nvPicPr>
                  <pic:blipFill>
                    <a:blip r:embed="rId23"/>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2.png"/>
                    <pic:cNvPicPr>
                      <a:picLocks noChangeAspect="1" noChangeArrowheads="1"/>
                    </pic:cNvPicPr>
                  </pic:nvPicPr>
                  <pic:blipFill>
                    <a:blip r:embed="rId24"/>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SourceCode"/>
      </w:pPr>
      <w:r>
        <w:rPr>
          <w:rStyle w:val="VerbatimChar"/>
        </w:rPr>
        <w:t xml:space="preserve">#&gt;   [1] "tomb"                   "cemetery"              </w:t>
      </w:r>
      <w:r>
        <w:br/>
      </w:r>
      <w:r>
        <w:rPr>
          <w:rStyle w:val="VerbatimChar"/>
        </w:rPr>
        <w:t xml:space="preserve">#&gt;   [3] "cem_condensed"          "tomb_type"             </w:t>
      </w:r>
      <w:r>
        <w:br/>
      </w:r>
      <w:r>
        <w:rPr>
          <w:rStyle w:val="VerbatimChar"/>
        </w:rPr>
        <w:t xml:space="preserve">#&gt;   [5] "tomb_type_condensed"    "SM"                    </w:t>
      </w:r>
      <w:r>
        <w:br/>
      </w:r>
      <w:r>
        <w:rPr>
          <w:rStyle w:val="VerbatimChar"/>
        </w:rPr>
        <w:lastRenderedPageBreak/>
        <w:t xml:space="preserve">#&gt;   [7] "EPG"                    "MPG"                   </w:t>
      </w:r>
      <w:r>
        <w:br/>
      </w:r>
      <w:r>
        <w:rPr>
          <w:rStyle w:val="VerbatimChar"/>
        </w:rPr>
        <w:t xml:space="preserve">#&gt;   [9] "LPG"                    "PGB"                   </w:t>
      </w:r>
      <w:r>
        <w:br/>
      </w:r>
      <w:r>
        <w:rPr>
          <w:rStyle w:val="VerbatimChar"/>
        </w:rPr>
        <w:t xml:space="preserve">#&gt;  [11] "EG"                     "MG"                    </w:t>
      </w:r>
      <w:r>
        <w:br/>
      </w:r>
      <w:r>
        <w:rPr>
          <w:rStyle w:val="VerbatimChar"/>
        </w:rPr>
        <w:t xml:space="preserve">#&gt;  [13] "LG"                     "EO"                    </w:t>
      </w:r>
      <w:r>
        <w:br/>
      </w:r>
      <w:r>
        <w:rPr>
          <w:rStyle w:val="VerbatimChar"/>
        </w:rPr>
        <w:t xml:space="preserve">#&gt;  [15] "LO"                     "start_period"          </w:t>
      </w:r>
      <w:r>
        <w:br/>
      </w:r>
      <w:r>
        <w:rPr>
          <w:rStyle w:val="VerbatimChar"/>
        </w:rPr>
        <w:t xml:space="preserve">#&gt;  [17] "period_use"             "start_date"            </w:t>
      </w:r>
      <w:r>
        <w:br/>
      </w:r>
      <w:r>
        <w:rPr>
          <w:rStyle w:val="VerbatimChar"/>
        </w:rPr>
        <w:t xml:space="preserve">#&gt;  [19] "end_date"               "time_in_use"           </w:t>
      </w:r>
      <w:r>
        <w:br/>
      </w:r>
      <w:r>
        <w:rPr>
          <w:rStyle w:val="VerbatimChar"/>
        </w:rPr>
        <w:t xml:space="preserve">#&gt;  [21] "century_built"          "chamber_diameter"      </w:t>
      </w:r>
      <w:r>
        <w:br/>
      </w:r>
      <w:r>
        <w:rPr>
          <w:rStyle w:val="VerbatimChar"/>
        </w:rPr>
        <w:t xml:space="preserve">#&gt;  [23] "chamber_width"          "chamber_depth"         </w:t>
      </w:r>
      <w:r>
        <w:br/>
      </w:r>
      <w:r>
        <w:rPr>
          <w:rStyle w:val="VerbatimChar"/>
        </w:rPr>
        <w:t xml:space="preserve">#&gt;  [25] "chamber_area"           "stomion_width"         </w:t>
      </w:r>
      <w:r>
        <w:br/>
      </w:r>
      <w:r>
        <w:rPr>
          <w:rStyle w:val="VerbatimChar"/>
        </w:rPr>
        <w:t xml:space="preserve">#&gt;  [27] "stomion_depth"          "dromos_length"         </w:t>
      </w:r>
      <w:r>
        <w:br/>
      </w:r>
      <w:r>
        <w:rPr>
          <w:rStyle w:val="VerbatimChar"/>
        </w:rPr>
        <w:t xml:space="preserve">#&gt;  [29] "dromos_width"           "chamber_burials"       </w:t>
      </w:r>
      <w:r>
        <w:br/>
      </w:r>
      <w:r>
        <w:rPr>
          <w:rStyle w:val="VerbatimChar"/>
        </w:rPr>
        <w:t xml:space="preserve">#&gt;  [31] "dromos_burials"         "total_burials"         </w:t>
      </w:r>
      <w:r>
        <w:br/>
      </w:r>
      <w:r>
        <w:rPr>
          <w:rStyle w:val="VerbatimChar"/>
        </w:rPr>
        <w:t xml:space="preserve">#&gt;  [33] "pithoi"                 "all_urns"              </w:t>
      </w:r>
      <w:r>
        <w:br/>
      </w:r>
      <w:r>
        <w:rPr>
          <w:rStyle w:val="VerbatimChar"/>
        </w:rPr>
        <w:t xml:space="preserve">#&gt;  [35] "est_burials"            "gold"                  </w:t>
      </w:r>
      <w:r>
        <w:br/>
      </w:r>
      <w:r>
        <w:rPr>
          <w:rStyle w:val="VerbatimChar"/>
        </w:rPr>
        <w:t xml:space="preserve">#&gt;  [37] "iron"                   "bronze"                </w:t>
      </w:r>
      <w:r>
        <w:br/>
      </w:r>
      <w:r>
        <w:rPr>
          <w:rStyle w:val="VerbatimChar"/>
        </w:rPr>
        <w:t xml:space="preserve">#&gt;  [39] "silver"                 "lead"                  </w:t>
      </w:r>
      <w:r>
        <w:br/>
      </w:r>
      <w:r>
        <w:rPr>
          <w:rStyle w:val="VerbatimChar"/>
        </w:rPr>
        <w:t xml:space="preserve">#&gt;  [41] "electrum"               "other_metal"           </w:t>
      </w:r>
      <w:r>
        <w:br/>
      </w:r>
      <w:r>
        <w:rPr>
          <w:rStyle w:val="VerbatimChar"/>
        </w:rPr>
        <w:t xml:space="preserve">#&gt;  [43] "total_metal"            "bone_ivory"            </w:t>
      </w:r>
      <w:r>
        <w:br/>
      </w:r>
      <w:r>
        <w:rPr>
          <w:rStyle w:val="VerbatimChar"/>
        </w:rPr>
        <w:t xml:space="preserve">#&gt;  [45] "faience_blue"           "amber"                 </w:t>
      </w:r>
      <w:r>
        <w:br/>
      </w:r>
      <w:r>
        <w:rPr>
          <w:rStyle w:val="VerbatimChar"/>
        </w:rPr>
        <w:t xml:space="preserve">#&gt;  [47] "organics"               "stone"                 </w:t>
      </w:r>
      <w:r>
        <w:br/>
      </w:r>
      <w:r>
        <w:rPr>
          <w:rStyle w:val="VerbatimChar"/>
        </w:rPr>
        <w:t xml:space="preserve">#&gt;  [49] "glass_paste"            "clay"                  </w:t>
      </w:r>
      <w:r>
        <w:br/>
      </w:r>
      <w:r>
        <w:rPr>
          <w:rStyle w:val="VerbatimChar"/>
        </w:rPr>
        <w:t xml:space="preserve">#&gt;  [51] "unknown_mat"            "total_object"          </w:t>
      </w:r>
      <w:r>
        <w:br/>
      </w:r>
      <w:r>
        <w:rPr>
          <w:rStyle w:val="VerbatimChar"/>
        </w:rPr>
        <w:t xml:space="preserve">#&gt;  [53] "adornment"              "tool"                  </w:t>
      </w:r>
      <w:r>
        <w:br/>
      </w:r>
      <w:r>
        <w:rPr>
          <w:rStyle w:val="VerbatimChar"/>
        </w:rPr>
        <w:t xml:space="preserve">#&gt;  [55] "weapon"                 "model"                 </w:t>
      </w:r>
      <w:r>
        <w:br/>
      </w:r>
      <w:r>
        <w:rPr>
          <w:rStyle w:val="VerbatimChar"/>
        </w:rPr>
        <w:t xml:space="preserve">#&gt;  [57] "jewellery"              "strip"                 </w:t>
      </w:r>
      <w:r>
        <w:br/>
      </w:r>
      <w:r>
        <w:rPr>
          <w:rStyle w:val="VerbatimChar"/>
        </w:rPr>
        <w:t xml:space="preserve">#&gt;  [59] "sheet"                  "cooking"               </w:t>
      </w:r>
      <w:r>
        <w:br/>
      </w:r>
      <w:r>
        <w:rPr>
          <w:rStyle w:val="VerbatimChar"/>
        </w:rPr>
        <w:t xml:space="preserve">#&gt;  [61] "loom"                   "clothing_armour"       </w:t>
      </w:r>
      <w:r>
        <w:br/>
      </w:r>
      <w:r>
        <w:rPr>
          <w:rStyle w:val="VerbatimChar"/>
        </w:rPr>
        <w:t xml:space="preserve">#&gt;  [63] "scarab"                 "coin"                  </w:t>
      </w:r>
      <w:r>
        <w:br/>
      </w:r>
      <w:r>
        <w:rPr>
          <w:rStyle w:val="VerbatimChar"/>
        </w:rPr>
        <w:t xml:space="preserve">#&gt;  [65] "component"              "seal"                  </w:t>
      </w:r>
      <w:r>
        <w:br/>
      </w:r>
      <w:r>
        <w:rPr>
          <w:rStyle w:val="VerbatimChar"/>
        </w:rPr>
        <w:t xml:space="preserve">#&gt;  [67] "ornament"               "fitting"               </w:t>
      </w:r>
      <w:r>
        <w:br/>
      </w:r>
      <w:r>
        <w:rPr>
          <w:rStyle w:val="VerbatimChar"/>
        </w:rPr>
        <w:t xml:space="preserve">#&gt;  [69] "vessel"                 "unidentified_use"      </w:t>
      </w:r>
      <w:r>
        <w:br/>
      </w:r>
      <w:r>
        <w:rPr>
          <w:rStyle w:val="VerbatimChar"/>
        </w:rPr>
        <w:t xml:space="preserve">#&gt;  [71] "other_use"              "stirrup_jar"           </w:t>
      </w:r>
      <w:r>
        <w:br/>
      </w:r>
      <w:r>
        <w:rPr>
          <w:rStyle w:val="VerbatimChar"/>
        </w:rPr>
        <w:t xml:space="preserve">#&gt;  [73] "jar"                    "flask"                 </w:t>
      </w:r>
      <w:r>
        <w:br/>
      </w:r>
      <w:r>
        <w:rPr>
          <w:rStyle w:val="VerbatimChar"/>
        </w:rPr>
        <w:t xml:space="preserve">#&gt;  [75] "oinochoai"              "amphora"               </w:t>
      </w:r>
      <w:r>
        <w:br/>
      </w:r>
      <w:r>
        <w:rPr>
          <w:rStyle w:val="VerbatimChar"/>
        </w:rPr>
        <w:t xml:space="preserve">#&gt;  [77] "thelastron"             "amphoriskos"           </w:t>
      </w:r>
      <w:r>
        <w:br/>
      </w:r>
      <w:r>
        <w:rPr>
          <w:rStyle w:val="VerbatimChar"/>
        </w:rPr>
        <w:t xml:space="preserve">#&gt;  [79] "hydria"                 "pithos"                </w:t>
      </w:r>
      <w:r>
        <w:br/>
      </w:r>
      <w:r>
        <w:rPr>
          <w:rStyle w:val="VerbatimChar"/>
        </w:rPr>
        <w:t xml:space="preserve">#&gt;  [81] "jug_let"                "olpe"                  </w:t>
      </w:r>
      <w:r>
        <w:br/>
      </w:r>
      <w:r>
        <w:rPr>
          <w:rStyle w:val="VerbatimChar"/>
        </w:rPr>
        <w:t xml:space="preserve">#&gt;  [83] "alabastron"             "lentoid_flask"         </w:t>
      </w:r>
      <w:r>
        <w:br/>
      </w:r>
      <w:r>
        <w:rPr>
          <w:rStyle w:val="VerbatimChar"/>
        </w:rPr>
        <w:t xml:space="preserve">#&gt;  [85] "lekythos"               "alabastron_aryballos"  </w:t>
      </w:r>
      <w:r>
        <w:br/>
      </w:r>
      <w:r>
        <w:rPr>
          <w:rStyle w:val="VerbatimChar"/>
        </w:rPr>
        <w:t xml:space="preserve">#&gt;  [87] "aryballos"              "bottle"                </w:t>
      </w:r>
      <w:r>
        <w:br/>
      </w:r>
      <w:r>
        <w:rPr>
          <w:rStyle w:val="VerbatimChar"/>
        </w:rPr>
        <w:t xml:space="preserve">#&gt;  [89] "bird_askos"             "pyxis"                 </w:t>
      </w:r>
      <w:r>
        <w:br/>
      </w:r>
      <w:r>
        <w:rPr>
          <w:rStyle w:val="VerbatimChar"/>
        </w:rPr>
        <w:t xml:space="preserve">#&gt;  [91] "dinos"                  "krater"                </w:t>
      </w:r>
      <w:r>
        <w:br/>
      </w:r>
      <w:r>
        <w:rPr>
          <w:rStyle w:val="VerbatimChar"/>
        </w:rPr>
        <w:t xml:space="preserve">#&gt;  [93] "krateriskos"            "lekanis"               </w:t>
      </w:r>
      <w:r>
        <w:br/>
      </w:r>
      <w:r>
        <w:rPr>
          <w:rStyle w:val="VerbatimChar"/>
        </w:rPr>
        <w:t xml:space="preserve">#&gt;  [95] "skyphos"                "bowl"                  </w:t>
      </w:r>
      <w:r>
        <w:br/>
      </w:r>
      <w:r>
        <w:rPr>
          <w:rStyle w:val="VerbatimChar"/>
        </w:rPr>
        <w:t xml:space="preserve">#&gt;  [97] "cup"                    "kantharos"             </w:t>
      </w:r>
      <w:r>
        <w:br/>
      </w:r>
      <w:r>
        <w:rPr>
          <w:rStyle w:val="VerbatimChar"/>
        </w:rPr>
        <w:t xml:space="preserve">#&gt;  [99] "plate_tray"             "kotyle"                </w:t>
      </w:r>
      <w:r>
        <w:br/>
      </w:r>
      <w:r>
        <w:rPr>
          <w:rStyle w:val="VerbatimChar"/>
        </w:rPr>
        <w:t xml:space="preserve">#&gt; [101] "kalathos"               "lid"                   </w:t>
      </w:r>
      <w:r>
        <w:br/>
      </w:r>
      <w:r>
        <w:rPr>
          <w:rStyle w:val="VerbatimChar"/>
        </w:rPr>
        <w:t xml:space="preserve">#&gt; [103] "larnax"                 "stand"                 </w:t>
      </w:r>
      <w:r>
        <w:br/>
      </w:r>
      <w:r>
        <w:rPr>
          <w:rStyle w:val="VerbatimChar"/>
        </w:rPr>
        <w:t xml:space="preserve">#&gt; [105] "house_model"            "kernos"                </w:t>
      </w:r>
      <w:r>
        <w:br/>
      </w:r>
      <w:r>
        <w:rPr>
          <w:rStyle w:val="VerbatimChar"/>
        </w:rPr>
        <w:lastRenderedPageBreak/>
        <w:t xml:space="preserve">#&gt; [107] "other_vessel"           "unidentified_vessel"   </w:t>
      </w:r>
      <w:r>
        <w:br/>
      </w:r>
      <w:r>
        <w:rPr>
          <w:rStyle w:val="VerbatimChar"/>
        </w:rPr>
        <w:t xml:space="preserve">#&gt; [109] "total_open_vessel"      "total_closed_vessel"   </w:t>
      </w:r>
      <w:r>
        <w:br/>
      </w:r>
      <w:r>
        <w:rPr>
          <w:rStyle w:val="VerbatimChar"/>
        </w:rPr>
        <w:t xml:space="preserve">#&gt; [111] "total_other_vessel"     "total_pottery"         </w:t>
      </w:r>
      <w:r>
        <w:br/>
      </w:r>
      <w:r>
        <w:rPr>
          <w:rStyle w:val="VerbatimChar"/>
        </w:rPr>
        <w:t xml:space="preserve">#&gt; [113] "total_finds"            "total_import"          </w:t>
      </w:r>
      <w:r>
        <w:br/>
      </w:r>
      <w:r>
        <w:rPr>
          <w:rStyle w:val="VerbatimChar"/>
        </w:rPr>
        <w:t xml:space="preserve">#&gt; [115] "total_import_imitation" "total_imitation"       </w:t>
      </w:r>
      <w:r>
        <w:br/>
      </w:r>
      <w:r>
        <w:rPr>
          <w:rStyle w:val="VerbatimChar"/>
        </w:rPr>
        <w:t xml:space="preserve">#&gt; [117] "antique"                "pithoi1100.1050"       </w:t>
      </w:r>
      <w:r>
        <w:br/>
      </w:r>
      <w:r>
        <w:rPr>
          <w:rStyle w:val="VerbatimChar"/>
        </w:rPr>
        <w:t xml:space="preserve">#&gt; [119] "pithoi1050.1000"        "pithoi1000.950"        </w:t>
      </w:r>
      <w:r>
        <w:br/>
      </w:r>
      <w:r>
        <w:rPr>
          <w:rStyle w:val="VerbatimChar"/>
        </w:rPr>
        <w:t xml:space="preserve">#&gt; [121] "pithoi950.900"          "pithoi900.850"         </w:t>
      </w:r>
      <w:r>
        <w:br/>
      </w:r>
      <w:r>
        <w:rPr>
          <w:rStyle w:val="VerbatimChar"/>
        </w:rPr>
        <w:t xml:space="preserve">#&gt; [123] "pithoi850.800"          "pithoi800.750"         </w:t>
      </w:r>
      <w:r>
        <w:br/>
      </w:r>
      <w:r>
        <w:rPr>
          <w:rStyle w:val="VerbatimChar"/>
        </w:rPr>
        <w:t xml:space="preserve">#&gt; [125] "pithoi750.700"          "pithoi700.650"         </w:t>
      </w:r>
      <w:r>
        <w:br/>
      </w:r>
      <w:r>
        <w:rPr>
          <w:rStyle w:val="VerbatimChar"/>
        </w:rPr>
        <w:t xml:space="preserve">#&gt; [127] "pithoi650.600"          "pots1100.1050"         </w:t>
      </w:r>
      <w:r>
        <w:br/>
      </w:r>
      <w:r>
        <w:rPr>
          <w:rStyle w:val="VerbatimChar"/>
        </w:rPr>
        <w:t xml:space="preserve">#&gt; [129] "pots1050.1000"          "pots1000.950"          </w:t>
      </w:r>
      <w:r>
        <w:br/>
      </w:r>
      <w:r>
        <w:rPr>
          <w:rStyle w:val="VerbatimChar"/>
        </w:rPr>
        <w:t xml:space="preserve">#&gt; [131] "pots950.900"            "pots900.850"           </w:t>
      </w:r>
      <w:r>
        <w:br/>
      </w:r>
      <w:r>
        <w:rPr>
          <w:rStyle w:val="VerbatimChar"/>
        </w:rPr>
        <w:t xml:space="preserve">#&gt; [133] "pots850.800"            "pots800.750"           </w:t>
      </w:r>
      <w:r>
        <w:br/>
      </w:r>
      <w:r>
        <w:rPr>
          <w:rStyle w:val="VerbatimChar"/>
        </w:rPr>
        <w:t xml:space="preserve">#&gt; [135] "pots750.700"            "pots700.650"           </w:t>
      </w:r>
      <w:r>
        <w:br/>
      </w:r>
      <w:r>
        <w:rPr>
          <w:rStyle w:val="VerbatimChar"/>
        </w:rPr>
        <w:t xml:space="preserve">#&gt; [137] "pots650.600"            "SMpithoi"              </w:t>
      </w:r>
      <w:r>
        <w:br/>
      </w:r>
      <w:r>
        <w:rPr>
          <w:rStyle w:val="VerbatimChar"/>
        </w:rPr>
        <w:t xml:space="preserve">#&gt; [139] "EPGpithoi"              "MPGpithoi"             </w:t>
      </w:r>
      <w:r>
        <w:br/>
      </w:r>
      <w:r>
        <w:rPr>
          <w:rStyle w:val="VerbatimChar"/>
        </w:rPr>
        <w:t xml:space="preserve">#&gt; [141] "LPGpithoi"              "PGBpithoi"             </w:t>
      </w:r>
      <w:r>
        <w:br/>
      </w:r>
      <w:r>
        <w:rPr>
          <w:rStyle w:val="VerbatimChar"/>
        </w:rPr>
        <w:t xml:space="preserve">#&gt; [143] "EGpithoi"               "MGpithoi"              </w:t>
      </w:r>
      <w:r>
        <w:br/>
      </w:r>
      <w:r>
        <w:rPr>
          <w:rStyle w:val="VerbatimChar"/>
        </w:rPr>
        <w:t xml:space="preserve">#&gt; [145] "LGpithoi"               "EOpithoi"              </w:t>
      </w:r>
      <w:r>
        <w:br/>
      </w:r>
      <w:r>
        <w:rPr>
          <w:rStyle w:val="VerbatimChar"/>
        </w:rPr>
        <w:t xml:space="preserve">#&gt; [147] "LOpithoi"               "SMpots"                </w:t>
      </w:r>
      <w:r>
        <w:br/>
      </w:r>
      <w:r>
        <w:rPr>
          <w:rStyle w:val="VerbatimChar"/>
        </w:rPr>
        <w:t xml:space="preserve">#&gt; [149] "EPGpots"                "MPGpots"               </w:t>
      </w:r>
      <w:r>
        <w:br/>
      </w:r>
      <w:r>
        <w:rPr>
          <w:rStyle w:val="VerbatimChar"/>
        </w:rPr>
        <w:t xml:space="preserve">#&gt; [151] "LPGpots"                "PGBpots"               </w:t>
      </w:r>
      <w:r>
        <w:br/>
      </w:r>
      <w:r>
        <w:rPr>
          <w:rStyle w:val="VerbatimChar"/>
        </w:rPr>
        <w:t xml:space="preserve">#&gt; [153] "EGpots"                 "MGpots"                </w:t>
      </w:r>
      <w:r>
        <w:br/>
      </w:r>
      <w:r>
        <w:rPr>
          <w:rStyle w:val="VerbatimChar"/>
        </w:rPr>
        <w:t xml:space="preserve">#&gt; [155] "LGpots"                 "EOpots"                </w:t>
      </w:r>
      <w:r>
        <w:br/>
      </w:r>
      <w:r>
        <w:rPr>
          <w:rStyle w:val="VerbatimChar"/>
        </w:rPr>
        <w:t xml:space="preserve">#&gt; [157] "LOpots"                 "X1100"                 </w:t>
      </w:r>
      <w:r>
        <w:br/>
      </w:r>
      <w:r>
        <w:rPr>
          <w:rStyle w:val="VerbatimChar"/>
        </w:rPr>
        <w:t xml:space="preserve">#&gt; [159] "X1090"                  "X1080"                 </w:t>
      </w:r>
      <w:r>
        <w:br/>
      </w:r>
      <w:r>
        <w:rPr>
          <w:rStyle w:val="VerbatimChar"/>
        </w:rPr>
        <w:t xml:space="preserve">#&gt; [161] "X1070"                  "X1060"                 </w:t>
      </w:r>
      <w:r>
        <w:br/>
      </w:r>
      <w:r>
        <w:rPr>
          <w:rStyle w:val="VerbatimChar"/>
        </w:rPr>
        <w:t xml:space="preserve">#&gt; [163] "X1050"                  "X1040"                 </w:t>
      </w:r>
      <w:r>
        <w:br/>
      </w:r>
      <w:r>
        <w:rPr>
          <w:rStyle w:val="VerbatimChar"/>
        </w:rPr>
        <w:t xml:space="preserve">#&gt; [165] "X1030"                  "X1020"                 </w:t>
      </w:r>
      <w:r>
        <w:br/>
      </w:r>
      <w:r>
        <w:rPr>
          <w:rStyle w:val="VerbatimChar"/>
        </w:rPr>
        <w:t xml:space="preserve">#&gt; [167] "X1010"                  "X1000"                 </w:t>
      </w:r>
      <w:r>
        <w:br/>
      </w:r>
      <w:r>
        <w:rPr>
          <w:rStyle w:val="VerbatimChar"/>
        </w:rPr>
        <w:t xml:space="preserve">#&gt; [169] "X990"                   "X980"                  </w:t>
      </w:r>
      <w:r>
        <w:br/>
      </w:r>
      <w:r>
        <w:rPr>
          <w:rStyle w:val="VerbatimChar"/>
        </w:rPr>
        <w:t xml:space="preserve">#&gt; [171] "X970"                   "X960"                  </w:t>
      </w:r>
      <w:r>
        <w:br/>
      </w:r>
      <w:r>
        <w:rPr>
          <w:rStyle w:val="VerbatimChar"/>
        </w:rPr>
        <w:t xml:space="preserve">#&gt; [173] "X950"                   "X940"                  </w:t>
      </w:r>
      <w:r>
        <w:br/>
      </w:r>
      <w:r>
        <w:rPr>
          <w:rStyle w:val="VerbatimChar"/>
        </w:rPr>
        <w:t xml:space="preserve">#&gt; [175] "X930"                   "X920"                  </w:t>
      </w:r>
      <w:r>
        <w:br/>
      </w:r>
      <w:r>
        <w:rPr>
          <w:rStyle w:val="VerbatimChar"/>
        </w:rPr>
        <w:t xml:space="preserve">#&gt; [177] "X910"                   "X900"                  </w:t>
      </w:r>
      <w:r>
        <w:br/>
      </w:r>
      <w:r>
        <w:rPr>
          <w:rStyle w:val="VerbatimChar"/>
        </w:rPr>
        <w:t xml:space="preserve">#&gt; [179] "X890"                   "X880"                  </w:t>
      </w:r>
      <w:r>
        <w:br/>
      </w:r>
      <w:r>
        <w:rPr>
          <w:rStyle w:val="VerbatimChar"/>
        </w:rPr>
        <w:t xml:space="preserve">#&gt; [181] "X870"                   "X860"                  </w:t>
      </w:r>
      <w:r>
        <w:br/>
      </w:r>
      <w:r>
        <w:rPr>
          <w:rStyle w:val="VerbatimChar"/>
        </w:rPr>
        <w:t xml:space="preserve">#&gt; [183] "X850"                   "X840"                  </w:t>
      </w:r>
      <w:r>
        <w:br/>
      </w:r>
      <w:r>
        <w:rPr>
          <w:rStyle w:val="VerbatimChar"/>
        </w:rPr>
        <w:t xml:space="preserve">#&gt; [185] "X830"                   "X820"                  </w:t>
      </w:r>
      <w:r>
        <w:br/>
      </w:r>
      <w:r>
        <w:rPr>
          <w:rStyle w:val="VerbatimChar"/>
        </w:rPr>
        <w:t xml:space="preserve">#&gt; [187] "X810"                   "X800"                  </w:t>
      </w:r>
      <w:r>
        <w:br/>
      </w:r>
      <w:r>
        <w:rPr>
          <w:rStyle w:val="VerbatimChar"/>
        </w:rPr>
        <w:t xml:space="preserve">#&gt; [189] "X790"                   "X780"                  </w:t>
      </w:r>
      <w:r>
        <w:br/>
      </w:r>
      <w:r>
        <w:rPr>
          <w:rStyle w:val="VerbatimChar"/>
        </w:rPr>
        <w:t xml:space="preserve">#&gt; [191] "X770"                   "X760"                  </w:t>
      </w:r>
      <w:r>
        <w:br/>
      </w:r>
      <w:r>
        <w:rPr>
          <w:rStyle w:val="VerbatimChar"/>
        </w:rPr>
        <w:t xml:space="preserve">#&gt; [193] "X750"                   "X740"                  </w:t>
      </w:r>
      <w:r>
        <w:br/>
      </w:r>
      <w:r>
        <w:rPr>
          <w:rStyle w:val="VerbatimChar"/>
        </w:rPr>
        <w:t xml:space="preserve">#&gt; [195] "X730"                   "X720"                  </w:t>
      </w:r>
      <w:r>
        <w:br/>
      </w:r>
      <w:r>
        <w:rPr>
          <w:rStyle w:val="VerbatimChar"/>
        </w:rPr>
        <w:t xml:space="preserve">#&gt; [197] "X710"                   "X700"                  </w:t>
      </w:r>
      <w:r>
        <w:br/>
      </w:r>
      <w:r>
        <w:rPr>
          <w:rStyle w:val="VerbatimChar"/>
        </w:rPr>
        <w:t xml:space="preserve">#&gt; [199] "X690"                   "X680"                  </w:t>
      </w:r>
      <w:r>
        <w:br/>
      </w:r>
      <w:r>
        <w:rPr>
          <w:rStyle w:val="VerbatimChar"/>
        </w:rPr>
        <w:t xml:space="preserve">#&gt; [201] "X670"                   "X660"                  </w:t>
      </w:r>
      <w:r>
        <w:br/>
      </w:r>
      <w:r>
        <w:rPr>
          <w:rStyle w:val="VerbatimChar"/>
        </w:rPr>
        <w:t xml:space="preserve">#&gt; [203] "X650"                   "X640"                  </w:t>
      </w:r>
      <w:r>
        <w:br/>
      </w:r>
      <w:r>
        <w:rPr>
          <w:rStyle w:val="VerbatimChar"/>
        </w:rPr>
        <w:t xml:space="preserve">#&gt; [205] "X630"                   "X620"                  </w:t>
      </w:r>
      <w:r>
        <w:br/>
      </w:r>
      <w:r>
        <w:rPr>
          <w:rStyle w:val="VerbatimChar"/>
        </w:rPr>
        <w:lastRenderedPageBreak/>
        <w:t xml:space="preserve">#&gt; [207] "X610"                   "pithoi1100"            </w:t>
      </w:r>
      <w:r>
        <w:br/>
      </w:r>
      <w:r>
        <w:rPr>
          <w:rStyle w:val="VerbatimChar"/>
        </w:rPr>
        <w:t xml:space="preserve">#&gt; [209] "pithoi1090"             "pithoi1080"            </w:t>
      </w:r>
      <w:r>
        <w:br/>
      </w:r>
      <w:r>
        <w:rPr>
          <w:rStyle w:val="VerbatimChar"/>
        </w:rPr>
        <w:t xml:space="preserve">#&gt; [211] "pithoi1070"             "pithoi1060"            </w:t>
      </w:r>
      <w:r>
        <w:br/>
      </w:r>
      <w:r>
        <w:rPr>
          <w:rStyle w:val="VerbatimChar"/>
        </w:rPr>
        <w:t xml:space="preserve">#&gt; [213] "pithoi1050"             "pithoi1040"            </w:t>
      </w:r>
      <w:r>
        <w:br/>
      </w:r>
      <w:r>
        <w:rPr>
          <w:rStyle w:val="VerbatimChar"/>
        </w:rPr>
        <w:t xml:space="preserve">#&gt; [215] "pithoi1030"             "pithoi1020"            </w:t>
      </w:r>
      <w:r>
        <w:br/>
      </w:r>
      <w:r>
        <w:rPr>
          <w:rStyle w:val="VerbatimChar"/>
        </w:rPr>
        <w:t xml:space="preserve">#&gt; [217] "pithoi1010"             "pithoi1000"            </w:t>
      </w:r>
      <w:r>
        <w:br/>
      </w:r>
      <w:r>
        <w:rPr>
          <w:rStyle w:val="VerbatimChar"/>
        </w:rPr>
        <w:t xml:space="preserve">#&gt; [219] "pithoi990"              "pithoi980"             </w:t>
      </w:r>
      <w:r>
        <w:br/>
      </w:r>
      <w:r>
        <w:rPr>
          <w:rStyle w:val="VerbatimChar"/>
        </w:rPr>
        <w:t xml:space="preserve">#&gt; [221] "pithoi970"              "pithoi960"             </w:t>
      </w:r>
      <w:r>
        <w:br/>
      </w:r>
      <w:r>
        <w:rPr>
          <w:rStyle w:val="VerbatimChar"/>
        </w:rPr>
        <w:t xml:space="preserve">#&gt; [223] "pithoi950"              "pithoi940"             </w:t>
      </w:r>
      <w:r>
        <w:br/>
      </w:r>
      <w:r>
        <w:rPr>
          <w:rStyle w:val="VerbatimChar"/>
        </w:rPr>
        <w:t xml:space="preserve">#&gt; [225] "pithoi930"              "pithoi920"             </w:t>
      </w:r>
      <w:r>
        <w:br/>
      </w:r>
      <w:r>
        <w:rPr>
          <w:rStyle w:val="VerbatimChar"/>
        </w:rPr>
        <w:t xml:space="preserve">#&gt; [227] "pithoi910"              "pithoi900"             </w:t>
      </w:r>
      <w:r>
        <w:br/>
      </w:r>
      <w:r>
        <w:rPr>
          <w:rStyle w:val="VerbatimChar"/>
        </w:rPr>
        <w:t xml:space="preserve">#&gt; [229] "pithoi890"              "pithoi880"             </w:t>
      </w:r>
      <w:r>
        <w:br/>
      </w:r>
      <w:r>
        <w:rPr>
          <w:rStyle w:val="VerbatimChar"/>
        </w:rPr>
        <w:t xml:space="preserve">#&gt; [231] "pithoi870"              "pithoi860"             </w:t>
      </w:r>
      <w:r>
        <w:br/>
      </w:r>
      <w:r>
        <w:rPr>
          <w:rStyle w:val="VerbatimChar"/>
        </w:rPr>
        <w:t xml:space="preserve">#&gt; [233] "pithoi850"              "pithoi840"             </w:t>
      </w:r>
      <w:r>
        <w:br/>
      </w:r>
      <w:r>
        <w:rPr>
          <w:rStyle w:val="VerbatimChar"/>
        </w:rPr>
        <w:t xml:space="preserve">#&gt; [235] "pithoi830"              "pithoi820"             </w:t>
      </w:r>
      <w:r>
        <w:br/>
      </w:r>
      <w:r>
        <w:rPr>
          <w:rStyle w:val="VerbatimChar"/>
        </w:rPr>
        <w:t xml:space="preserve">#&gt; [237] "pithoi810"              "pithoi800"             </w:t>
      </w:r>
      <w:r>
        <w:br/>
      </w:r>
      <w:r>
        <w:rPr>
          <w:rStyle w:val="VerbatimChar"/>
        </w:rPr>
        <w:t xml:space="preserve">#&gt; [239] "pithoi790"              "pithoi780"             </w:t>
      </w:r>
      <w:r>
        <w:br/>
      </w:r>
      <w:r>
        <w:rPr>
          <w:rStyle w:val="VerbatimChar"/>
        </w:rPr>
        <w:t xml:space="preserve">#&gt; [241] "pithoi770"              "pithoi760"             </w:t>
      </w:r>
      <w:r>
        <w:br/>
      </w:r>
      <w:r>
        <w:rPr>
          <w:rStyle w:val="VerbatimChar"/>
        </w:rPr>
        <w:t xml:space="preserve">#&gt; [243] "pithoi750"              "pithoi740"             </w:t>
      </w:r>
      <w:r>
        <w:br/>
      </w:r>
      <w:r>
        <w:rPr>
          <w:rStyle w:val="VerbatimChar"/>
        </w:rPr>
        <w:t xml:space="preserve">#&gt; [245] "pithoi730"              "pithoi720"             </w:t>
      </w:r>
      <w:r>
        <w:br/>
      </w:r>
      <w:r>
        <w:rPr>
          <w:rStyle w:val="VerbatimChar"/>
        </w:rPr>
        <w:t xml:space="preserve">#&gt; [247] "pithoi710"              "pithoi700"             </w:t>
      </w:r>
      <w:r>
        <w:br/>
      </w:r>
      <w:r>
        <w:rPr>
          <w:rStyle w:val="VerbatimChar"/>
        </w:rPr>
        <w:t xml:space="preserve">#&gt; [249] "pithoi690"              "pithoi680"             </w:t>
      </w:r>
      <w:r>
        <w:br/>
      </w:r>
      <w:r>
        <w:rPr>
          <w:rStyle w:val="VerbatimChar"/>
        </w:rPr>
        <w:t xml:space="preserve">#&gt; [251] "pithoi670"              "pithoi660"             </w:t>
      </w:r>
      <w:r>
        <w:br/>
      </w:r>
      <w:r>
        <w:rPr>
          <w:rStyle w:val="VerbatimChar"/>
        </w:rPr>
        <w:t xml:space="preserve">#&gt; [253] "pithoi650"              "pithoi640"             </w:t>
      </w:r>
      <w:r>
        <w:br/>
      </w:r>
      <w:r>
        <w:rPr>
          <w:rStyle w:val="VerbatimChar"/>
        </w:rPr>
        <w:t xml:space="preserve">#&gt; [255] "pithoi630"              "pithoi620"             </w:t>
      </w:r>
      <w:r>
        <w:br/>
      </w:r>
      <w:r>
        <w:rPr>
          <w:rStyle w:val="VerbatimChar"/>
        </w:rPr>
        <w:t>#&gt; [257] "pithoi610"</w:t>
      </w:r>
    </w:p>
    <w:p w:rsidR="002769F0" w:rsidRDefault="007F6D98">
      <w:pPr>
        <w:pStyle w:val="FirstParagraph"/>
      </w:pPr>
      <w:r>
        <w:rPr>
          <w:noProof/>
        </w:rPr>
        <w:lastRenderedPageBreak/>
        <w:drawing>
          <wp:inline distT="0" distB="0" distL="0" distR="0">
            <wp:extent cx="4595937" cy="367674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3.png"/>
                    <pic:cNvPicPr>
                      <a:picLocks noChangeAspect="1" noChangeArrowheads="1"/>
                    </pic:cNvPicPr>
                  </pic:nvPicPr>
                  <pic:blipFill>
                    <a:blip r:embed="rId25"/>
                    <a:stretch>
                      <a:fillRect/>
                    </a:stretch>
                  </pic:blipFill>
                  <pic:spPr bwMode="auto">
                    <a:xfrm>
                      <a:off x="0" y="0"/>
                      <a:ext cx="4595937" cy="3676749"/>
                    </a:xfrm>
                    <a:prstGeom prst="rect">
                      <a:avLst/>
                    </a:prstGeom>
                    <a:noFill/>
                    <a:ln w="9525">
                      <a:noFill/>
                      <a:headEnd/>
                      <a:tailEnd/>
                    </a:ln>
                  </pic:spPr>
                </pic:pic>
              </a:graphicData>
            </a:graphic>
          </wp:inline>
        </w:drawing>
      </w:r>
      <w:r>
        <w:rPr>
          <w:noProof/>
        </w:rPr>
        <w:drawing>
          <wp:inline distT="0" distB="0" distL="0" distR="0">
            <wp:extent cx="4595937" cy="367674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4.png"/>
                    <pic:cNvPicPr>
                      <a:picLocks noChangeAspect="1" noChangeArrowheads="1"/>
                    </pic:cNvPicPr>
                  </pic:nvPicPr>
                  <pic:blipFill>
                    <a:blip r:embed="rId26"/>
                    <a:stretch>
                      <a:fillRect/>
                    </a:stretch>
                  </pic:blipFill>
                  <pic:spPr bwMode="auto">
                    <a:xfrm>
                      <a:off x="0" y="0"/>
                      <a:ext cx="4595937" cy="3676749"/>
                    </a:xfrm>
                    <a:prstGeom prst="rect">
                      <a:avLst/>
                    </a:prstGeom>
                    <a:noFill/>
                    <a:ln w="9525">
                      <a:noFill/>
                      <a:headEnd/>
                      <a:tailEnd/>
                    </a:ln>
                  </pic:spPr>
                </pic:pic>
              </a:graphicData>
            </a:graphic>
          </wp:inline>
        </w:drawing>
      </w:r>
      <w:r>
        <w:rPr>
          <w:noProof/>
        </w:rPr>
        <w:lastRenderedPageBreak/>
        <w:drawing>
          <wp:inline distT="0" distB="0" distL="0" distR="0">
            <wp:extent cx="4595937" cy="367674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aorist_tomb_adjust-5.png"/>
                    <pic:cNvPicPr>
                      <a:picLocks noChangeAspect="1" noChangeArrowheads="1"/>
                    </pic:cNvPicPr>
                  </pic:nvPicPr>
                  <pic:blipFill>
                    <a:blip r:embed="rId27"/>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BodyText"/>
      </w:pPr>
      <w:r>
        <w:rPr>
          <w:noProof/>
        </w:rPr>
        <w:drawing>
          <wp:inline distT="0" distB="0" distL="0" distR="0">
            <wp:extent cx="4595937" cy="36767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ures/rates%20of%20burials-1.png"/>
                    <pic:cNvPicPr>
                      <a:picLocks noChangeAspect="1" noChangeArrowheads="1"/>
                    </pic:cNvPicPr>
                  </pic:nvPicPr>
                  <pic:blipFill>
                    <a:blip r:embed="rId28"/>
                    <a:stretch>
                      <a:fillRect/>
                    </a:stretch>
                  </pic:blipFill>
                  <pic:spPr bwMode="auto">
                    <a:xfrm>
                      <a:off x="0" y="0"/>
                      <a:ext cx="4595937" cy="3676749"/>
                    </a:xfrm>
                    <a:prstGeom prst="rect">
                      <a:avLst/>
                    </a:prstGeom>
                    <a:noFill/>
                    <a:ln w="9525">
                      <a:noFill/>
                      <a:headEnd/>
                      <a:tailEnd/>
                    </a:ln>
                  </pic:spPr>
                </pic:pic>
              </a:graphicData>
            </a:graphic>
          </wp:inline>
        </w:drawing>
      </w:r>
    </w:p>
    <w:p w:rsidR="002769F0" w:rsidRDefault="007F6D98">
      <w:pPr>
        <w:pStyle w:val="SourceCode"/>
      </w:pPr>
      <w:r>
        <w:rPr>
          <w:rStyle w:val="VerbatimChar"/>
        </w:rPr>
        <w:t>#&gt; 'data.frame':    600 obs. of  3 variables:</w:t>
      </w:r>
      <w:r>
        <w:br/>
      </w:r>
      <w:r>
        <w:rPr>
          <w:rStyle w:val="VerbatimChar"/>
        </w:rPr>
        <w:t>#&gt;  $ tomb    : Factor w/ 154 levels "1","100","103",..: 143 61 79 7 58 127 1</w:t>
      </w:r>
      <w:r>
        <w:rPr>
          <w:rStyle w:val="VerbatimChar"/>
        </w:rPr>
        <w:lastRenderedPageBreak/>
        <w:t>53 122 44 4 ...</w:t>
      </w:r>
      <w:r>
        <w:br/>
      </w:r>
      <w:r>
        <w:rPr>
          <w:rStyle w:val="VerbatimChar"/>
        </w:rPr>
        <w:t>#&gt;  $ variable: Factor w/ 50 levels "1100","1090",..: 1 1 1 1 1 1 1 1 1 1 ...</w:t>
      </w:r>
      <w:r>
        <w:br/>
      </w:r>
      <w:r>
        <w:rPr>
          <w:rStyle w:val="VerbatimChar"/>
        </w:rPr>
        <w:t>#&gt;  $ value   : num  0 0 0 0 0.0556 ...</w:t>
      </w:r>
    </w:p>
    <w:p w:rsidR="002769F0" w:rsidRDefault="007F6D98">
      <w:pPr>
        <w:pStyle w:val="FirstParagraph"/>
      </w:pPr>
      <w:r>
        <w:rPr>
          <w:noProof/>
        </w:rPr>
        <w:drawing>
          <wp:inline distT="0" distB="0" distL="0" distR="0">
            <wp:extent cx="5943600" cy="424542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ures/top_tombs-1.png"/>
                    <pic:cNvPicPr>
                      <a:picLocks noChangeAspect="1" noChangeArrowheads="1"/>
                    </pic:cNvPicPr>
                  </pic:nvPicPr>
                  <pic:blipFill>
                    <a:blip r:embed="rId29"/>
                    <a:stretch>
                      <a:fillRect/>
                    </a:stretch>
                  </pic:blipFill>
                  <pic:spPr bwMode="auto">
                    <a:xfrm>
                      <a:off x="0" y="0"/>
                      <a:ext cx="5943600" cy="4245428"/>
                    </a:xfrm>
                    <a:prstGeom prst="rect">
                      <a:avLst/>
                    </a:prstGeom>
                    <a:noFill/>
                    <a:ln w="9525">
                      <a:noFill/>
                      <a:headEnd/>
                      <a:tailEnd/>
                    </a:ln>
                  </pic:spPr>
                </pic:pic>
              </a:graphicData>
            </a:graphic>
          </wp:inline>
        </w:drawing>
      </w:r>
    </w:p>
    <w:p w:rsidR="002769F0" w:rsidRDefault="007F6D98">
      <w:pPr>
        <w:pStyle w:val="Heading1"/>
      </w:pPr>
      <w:bookmarkStart w:id="18" w:name="results"/>
      <w:bookmarkEnd w:id="18"/>
      <w:r>
        <w:t>Results</w:t>
      </w:r>
    </w:p>
    <w:p w:rsidR="002769F0" w:rsidRDefault="007F6D98">
      <w:pPr>
        <w:pStyle w:val="Heading1"/>
      </w:pPr>
      <w:bookmarkStart w:id="19" w:name="discussion"/>
      <w:bookmarkEnd w:id="19"/>
      <w:r>
        <w:t>Discussion</w:t>
      </w:r>
    </w:p>
    <w:p w:rsidR="002769F0" w:rsidRDefault="007F6D98">
      <w:pPr>
        <w:pStyle w:val="Heading1"/>
      </w:pPr>
      <w:bookmarkStart w:id="20" w:name="conclusion"/>
      <w:bookmarkEnd w:id="20"/>
      <w:r>
        <w:t>Conclusion</w:t>
      </w:r>
    </w:p>
    <w:p w:rsidR="002769F0" w:rsidRDefault="007F6D98">
      <w:pPr>
        <w:pStyle w:val="Heading1"/>
      </w:pPr>
      <w:bookmarkStart w:id="21" w:name="acknowledgements"/>
      <w:bookmarkEnd w:id="21"/>
      <w:r>
        <w:t>Acknowledgements</w:t>
      </w:r>
    </w:p>
    <w:p w:rsidR="002769F0" w:rsidRDefault="007F6D98">
      <w:pPr>
        <w:pStyle w:val="Heading5"/>
      </w:pPr>
      <w:bookmarkStart w:id="22" w:name="pagebreak"/>
      <w:bookmarkEnd w:id="22"/>
      <w:r>
        <w:lastRenderedPageBreak/>
        <w:t>pagebreak</w:t>
      </w:r>
    </w:p>
    <w:p w:rsidR="002769F0" w:rsidRDefault="007F6D98">
      <w:pPr>
        <w:pStyle w:val="Heading1"/>
      </w:pPr>
      <w:bookmarkStart w:id="23" w:name="references"/>
      <w:bookmarkEnd w:id="23"/>
      <w:r>
        <w:t>References</w:t>
      </w:r>
    </w:p>
    <w:p w:rsidR="002769F0" w:rsidRDefault="007F6D98">
      <w:pPr>
        <w:pStyle w:val="FirstParagraph"/>
      </w:pPr>
      <w:r>
        <w:t xml:space="preserve">Antonaccio, Carla M. 1994. “Contesting the Past : Hero Cult, Tomb Cult, and Epic in Early Greece.” </w:t>
      </w:r>
      <w:r>
        <w:rPr>
          <w:i/>
        </w:rPr>
        <w:t>American Journal of Archaeology</w:t>
      </w:r>
      <w:r>
        <w:t xml:space="preserve"> 98 (3): 389–410. doi:</w:t>
      </w:r>
      <w:hyperlink r:id="rId30">
        <w:r>
          <w:rPr>
            <w:rStyle w:val="Hyperlink"/>
          </w:rPr>
          <w:t>10.2307/506436</w:t>
        </w:r>
      </w:hyperlink>
      <w:r>
        <w:t>.</w:t>
      </w:r>
    </w:p>
    <w:p w:rsidR="002769F0" w:rsidRDefault="007F6D98">
      <w:pPr>
        <w:pStyle w:val="BodyText"/>
      </w:pPr>
      <w:r>
        <w:t xml:space="preserve">Antoniadis, Vyron. 2012. “Early Iron Age Cementeries at Knossos: The Appreciation of Oriental Imports and their Imitations by Knossian Society.” PhD thesis, Universitat Pompeu Fabra. </w:t>
      </w:r>
      <w:hyperlink r:id="rId31">
        <w:r>
          <w:rPr>
            <w:rStyle w:val="Hyperlink"/>
          </w:rPr>
          <w:t>http://www.tdx.cat/handle/10803/85060</w:t>
        </w:r>
      </w:hyperlink>
      <w:r>
        <w:t>.</w:t>
      </w:r>
    </w:p>
    <w:p w:rsidR="002769F0" w:rsidRDefault="007F6D98">
      <w:pPr>
        <w:pStyle w:val="BodyText"/>
      </w:pPr>
      <w:r>
        <w:t xml:space="preserve">Appadurai, Arjun. 1986. </w:t>
      </w:r>
      <w:r>
        <w:rPr>
          <w:i/>
        </w:rPr>
        <w:t>The Social Life of Things : commodities in cultural perspective</w:t>
      </w:r>
      <w:r>
        <w:t>. Cambridge: Cambridge University Press.</w:t>
      </w:r>
    </w:p>
    <w:p w:rsidR="002769F0" w:rsidRDefault="007F6D98">
      <w:pPr>
        <w:pStyle w:val="BodyText"/>
      </w:pPr>
      <w:r>
        <w:t xml:space="preserve">Boardman, John. 1960. “Protogeometric Graves at Agios Ioannis near Knossos (Knossos Survey 3).” </w:t>
      </w:r>
      <w:r>
        <w:rPr>
          <w:i/>
        </w:rPr>
        <w:t>The Annual of the British School at Athens</w:t>
      </w:r>
      <w:r>
        <w:t xml:space="preserve"> 55: 128–148.</w:t>
      </w:r>
    </w:p>
    <w:p w:rsidR="002769F0" w:rsidRDefault="007F6D98">
      <w:pPr>
        <w:pStyle w:val="BodyText"/>
      </w:pPr>
      <w:r>
        <w:t xml:space="preserve">Boardman, John. 1967. “The Khaniale Tekke Tombs, II.” </w:t>
      </w:r>
      <w:r>
        <w:rPr>
          <w:i/>
        </w:rPr>
        <w:t>BSA</w:t>
      </w:r>
      <w:r>
        <w:t xml:space="preserve"> 62: 57–75.</w:t>
      </w:r>
    </w:p>
    <w:p w:rsidR="002769F0" w:rsidRDefault="007F6D98">
      <w:pPr>
        <w:pStyle w:val="BodyText"/>
      </w:pPr>
      <w:r>
        <w:t xml:space="preserve">Brock, J.K. 1957. </w:t>
      </w:r>
      <w:r>
        <w:rPr>
          <w:i/>
        </w:rPr>
        <w:t>Fortetsa: Early Greek Tombs Near Knossos</w:t>
      </w:r>
      <w:r>
        <w:t>. Cambridge: Cambridge University Press.</w:t>
      </w:r>
    </w:p>
    <w:p w:rsidR="002769F0" w:rsidRDefault="007F6D98">
      <w:pPr>
        <w:pStyle w:val="BodyText"/>
      </w:pPr>
      <w:r>
        <w:t xml:space="preserve">Catling, H W. 1995. “Heroes Returned? Subminoan Burials from Crete.” In </w:t>
      </w:r>
      <w:r>
        <w:rPr>
          <w:i/>
        </w:rPr>
        <w:t>The Ages of Homer: A Tribute to Emily Townsend Vermeule</w:t>
      </w:r>
      <w:r>
        <w:t>, edited by Jane B Carter and Sarah P Morris, 123–136. Austin: University of Texas Press.</w:t>
      </w:r>
    </w:p>
    <w:p w:rsidR="002769F0" w:rsidRDefault="007F6D98">
      <w:pPr>
        <w:pStyle w:val="BodyText"/>
      </w:pPr>
      <w:r>
        <w:t xml:space="preserve">Cavanagh, W.G. 1996. “The Burial Customs.” In </w:t>
      </w:r>
      <w:r>
        <w:rPr>
          <w:i/>
        </w:rPr>
        <w:t>Knossos North Cemetery: Early Greek Tombs</w:t>
      </w:r>
      <w:r>
        <w:t>, edited by J.N. Coldstream and H W Catling, 651–675. London: The British School at Athens Supplement 28. Vol.II.</w:t>
      </w:r>
    </w:p>
    <w:p w:rsidR="002769F0" w:rsidRDefault="007F6D98">
      <w:pPr>
        <w:pStyle w:val="BodyText"/>
      </w:pPr>
      <w:r>
        <w:t xml:space="preserve">Coldstream, J N. 1976. “Hero-cults in the age of Homer.” </w:t>
      </w:r>
      <w:r>
        <w:rPr>
          <w:i/>
        </w:rPr>
        <w:t>The Journal of Hellenic Studies</w:t>
      </w:r>
      <w:r>
        <w:t xml:space="preserve"> 96 (1976): 8–17. doi:</w:t>
      </w:r>
      <w:hyperlink r:id="rId32">
        <w:r>
          <w:rPr>
            <w:rStyle w:val="Hyperlink"/>
          </w:rPr>
          <w:t>10.2307/631220</w:t>
        </w:r>
      </w:hyperlink>
      <w:r>
        <w:t>.</w:t>
      </w:r>
    </w:p>
    <w:p w:rsidR="002769F0" w:rsidRDefault="007F6D98">
      <w:pPr>
        <w:pStyle w:val="BodyText"/>
      </w:pPr>
      <w:r>
        <w:t xml:space="preserve">Coldstream, J N. 1977. </w:t>
      </w:r>
      <w:r>
        <w:rPr>
          <w:i/>
        </w:rPr>
        <w:t>Geometric Greece</w:t>
      </w:r>
      <w:r>
        <w:t>. 1st ed. London: Ernest Benn.</w:t>
      </w:r>
    </w:p>
    <w:p w:rsidR="002769F0" w:rsidRDefault="007F6D98">
      <w:pPr>
        <w:pStyle w:val="BodyText"/>
      </w:pPr>
      <w:r>
        <w:t xml:space="preserve">Coldstream, J N. 1994. “Urns with Lids: The Visible Face of the Knossian ’Dark Age’.” In </w:t>
      </w:r>
      <w:r>
        <w:rPr>
          <w:i/>
        </w:rPr>
        <w:t>Knossos: A Labyrinth of History. Papers Presented in Honour of Sinclair Hood</w:t>
      </w:r>
      <w:r>
        <w:t>, edited by Don Evely, Helen Hughes-Brock, and Nicoletta Momigliano, 105–122. Oxford: The British School at Athens.</w:t>
      </w:r>
    </w:p>
    <w:p w:rsidR="002769F0" w:rsidRDefault="007F6D98">
      <w:pPr>
        <w:pStyle w:val="BodyText"/>
      </w:pPr>
      <w:r>
        <w:lastRenderedPageBreak/>
        <w:t xml:space="preserve">Coldstream, J N. 1998. “Minos Redivivus: some nostalgic Knossians of the ninth century BC (a summary).” </w:t>
      </w:r>
      <w:r>
        <w:rPr>
          <w:i/>
        </w:rPr>
        <w:t>Brtish School at Athens Studies</w:t>
      </w:r>
      <w:r>
        <w:t xml:space="preserve"> 2 (POST-MINOAN CRETE: Proceedings of the First Colloquium on Post-Minoan Crete held by the British School at Athens and the Institute of Archaeology, University College London, 10-11 November 1995): 58–61.</w:t>
      </w:r>
    </w:p>
    <w:p w:rsidR="002769F0" w:rsidRDefault="007F6D98">
      <w:pPr>
        <w:pStyle w:val="BodyText"/>
      </w:pPr>
      <w:r>
        <w:t xml:space="preserve">Coldstream, J N, and H W Catling. 1996. </w:t>
      </w:r>
      <w:r>
        <w:rPr>
          <w:i/>
        </w:rPr>
        <w:t>Knossos North Cemetery: Early Greek Tombs</w:t>
      </w:r>
      <w:r>
        <w:t>. Edited by J N Coldstream and H W Catling. London: The British School at Athens Supplement 28. Vol.I-IV.</w:t>
      </w:r>
    </w:p>
    <w:p w:rsidR="002769F0" w:rsidRDefault="007F6D98">
      <w:pPr>
        <w:pStyle w:val="BodyText"/>
      </w:pPr>
      <w:r>
        <w:t xml:space="preserve">Coldstream, J. N. 1963. “Five Tombs at Knossos.” </w:t>
      </w:r>
      <w:r>
        <w:rPr>
          <w:i/>
        </w:rPr>
        <w:t>The Annual of the British School at Athens</w:t>
      </w:r>
      <w:r>
        <w:t xml:space="preserve"> 58: 30–43.</w:t>
      </w:r>
    </w:p>
    <w:p w:rsidR="002769F0" w:rsidRDefault="007F6D98">
      <w:pPr>
        <w:pStyle w:val="BodyText"/>
      </w:pPr>
      <w:r>
        <w:t xml:space="preserve">Coldstream, J. N., G. L. Huxley, and V. E. S. Webb. 1999. “Knossos: The Archaic Gap.” </w:t>
      </w:r>
      <w:r>
        <w:rPr>
          <w:i/>
        </w:rPr>
        <w:t>The Annual of the British School at Athens</w:t>
      </w:r>
      <w:r>
        <w:t xml:space="preserve"> 94: 289–307.</w:t>
      </w:r>
    </w:p>
    <w:p w:rsidR="002769F0" w:rsidRDefault="007F6D98">
      <w:pPr>
        <w:pStyle w:val="BodyText"/>
      </w:pPr>
      <w:r>
        <w:t xml:space="preserve">Coldstream, J.N. 1984a. “A Protogeometric Nature Goddess from Knossos.” </w:t>
      </w:r>
      <w:r>
        <w:rPr>
          <w:i/>
        </w:rPr>
        <w:t>Bulletin of the Institute of Classical Studies</w:t>
      </w:r>
      <w:r>
        <w:t xml:space="preserve"> 31: 93–104.</w:t>
      </w:r>
    </w:p>
    <w:p w:rsidR="002769F0" w:rsidRDefault="007F6D98">
      <w:pPr>
        <w:pStyle w:val="BodyText"/>
      </w:pPr>
      <w:r>
        <w:t xml:space="preserve">Coldstream, J.N. 1984b. “Dorian Knossos and Aristotle’s Villages.” In </w:t>
      </w:r>
      <w:r>
        <w:rPr>
          <w:i/>
        </w:rPr>
        <w:t>Aux Origines de L’Hellénisme: La Crète et La Grèce. Hommage à Henri van Effenterre.</w:t>
      </w:r>
      <w:r>
        <w:t>, edited by Centre Gustave Glotz, 311–322. Paris: Université de Paris-I.</w:t>
      </w:r>
    </w:p>
    <w:p w:rsidR="002769F0" w:rsidRDefault="007F6D98">
      <w:pPr>
        <w:pStyle w:val="BodyText"/>
      </w:pPr>
      <w:r>
        <w:t xml:space="preserve">Coldstream, J.N. 1991. “Knossos: An Urban Nucleus in the Dark Age.” In </w:t>
      </w:r>
      <w:r>
        <w:rPr>
          <w:i/>
        </w:rPr>
        <w:t>La Transizione Dal Miceneo All’Alto Arcaismo: Dal Palazzo Alla Città. Atti Del Convegno Internazionale, Roma, 14–19 Marzo 1988.</w:t>
      </w:r>
      <w:r>
        <w:t>, edited by Domenico Musti, 287–299. Roma: Consiglio nazionale delle ricerche.</w:t>
      </w:r>
    </w:p>
    <w:p w:rsidR="002769F0" w:rsidRDefault="007F6D98">
      <w:pPr>
        <w:pStyle w:val="BodyText"/>
      </w:pPr>
      <w:r>
        <w:t xml:space="preserve">Coldstream, J.N. 2000. “Evans’ Greek Finds: The Early Greek Town of Knossos, and its Encroachment on the Borders of the Minoan Palace.” </w:t>
      </w:r>
      <w:r>
        <w:rPr>
          <w:i/>
        </w:rPr>
        <w:t>BSA</w:t>
      </w:r>
      <w:r>
        <w:t xml:space="preserve"> 95: 260–299.</w:t>
      </w:r>
    </w:p>
    <w:p w:rsidR="002769F0" w:rsidRDefault="007F6D98">
      <w:pPr>
        <w:pStyle w:val="BodyText"/>
      </w:pPr>
      <w:r>
        <w:t xml:space="preserve">Coldstream, J.N. 2006. “Knossos in Early Greek Times.” In </w:t>
      </w:r>
      <w:r>
        <w:rPr>
          <w:i/>
        </w:rPr>
        <w:t>Ancient Greece: From the Mycenaean Palaces to the Age of Homer</w:t>
      </w:r>
      <w:r>
        <w:t>, edited by Sigrid Deger-Jalkotzy and Irene S Lemos, 581–596. Edinburgh: Edinburgh University Press.</w:t>
      </w:r>
    </w:p>
    <w:p w:rsidR="002769F0" w:rsidRDefault="007F6D98">
      <w:pPr>
        <w:pStyle w:val="BodyText"/>
      </w:pPr>
      <w:r>
        <w:t xml:space="preserve">Coldstream, J.N., and G Huxley. 1996. “Fortetsa 1967 Tombs.” In </w:t>
      </w:r>
      <w:r>
        <w:rPr>
          <w:i/>
        </w:rPr>
        <w:t>Knossos North Cemetery: Early Greek Tombs</w:t>
      </w:r>
      <w:r>
        <w:t>, edited by J.N. Coldstream and H W Catling, 284. London: The British School at Athens Supplement 28. Vol.I.</w:t>
      </w:r>
    </w:p>
    <w:p w:rsidR="002769F0" w:rsidRDefault="007F6D98">
      <w:pPr>
        <w:pStyle w:val="BodyText"/>
      </w:pPr>
      <w:r>
        <w:lastRenderedPageBreak/>
        <w:t xml:space="preserve">Crema, Enrico R. 2012. “Modelling Temporal Uncertainty in Archaeological Analysis.” </w:t>
      </w:r>
      <w:r>
        <w:rPr>
          <w:i/>
        </w:rPr>
        <w:t>Journal of Archaeological Method Theory</w:t>
      </w:r>
      <w:r>
        <w:t xml:space="preserve"> 19 (3): 440–461.</w:t>
      </w:r>
    </w:p>
    <w:p w:rsidR="002769F0" w:rsidRDefault="007F6D98">
      <w:pPr>
        <w:pStyle w:val="BodyText"/>
      </w:pPr>
      <w:r>
        <w:t xml:space="preserve">Crema, Enrico R., Andrew Bevan, and Mark W. Lake. 2010. “A probabilistic framework for assessing spatio-temporal point patterns in the archaeological record.” </w:t>
      </w:r>
      <w:r>
        <w:rPr>
          <w:i/>
        </w:rPr>
        <w:t>Journal of Archaeological Science</w:t>
      </w:r>
      <w:r>
        <w:t xml:space="preserve"> 37 (5): 1118–1130.</w:t>
      </w:r>
    </w:p>
    <w:p w:rsidR="002769F0" w:rsidRDefault="007F6D98">
      <w:pPr>
        <w:pStyle w:val="BodyText"/>
      </w:pPr>
      <w:r>
        <w:t xml:space="preserve">Crowe, Alice. 2016. “The Minoan Past in the Past: Bronze Age Objects in Early Iron Age Burials at Knossos, Crete.” </w:t>
      </w:r>
      <w:r>
        <w:rPr>
          <w:i/>
        </w:rPr>
        <w:t>Unpublished Master’s Dissertation.</w:t>
      </w:r>
    </w:p>
    <w:p w:rsidR="002769F0" w:rsidRDefault="007F6D98">
      <w:pPr>
        <w:pStyle w:val="BodyText"/>
      </w:pPr>
      <w:r>
        <w:t xml:space="preserve">Davaras, C. 1968. “Two Geometric Tombs at Atsalenio near Knossos.” </w:t>
      </w:r>
      <w:r>
        <w:rPr>
          <w:i/>
        </w:rPr>
        <w:t>BSA</w:t>
      </w:r>
      <w:r>
        <w:t xml:space="preserve"> 63: 133–146.</w:t>
      </w:r>
    </w:p>
    <w:p w:rsidR="002769F0" w:rsidRDefault="007F6D98">
      <w:pPr>
        <w:pStyle w:val="BodyText"/>
      </w:pPr>
      <w:r>
        <w:t xml:space="preserve">Desborough, Vincent Robin d’Arba. 1972. </w:t>
      </w:r>
      <w:r>
        <w:rPr>
          <w:i/>
        </w:rPr>
        <w:t>The Greek Dark Ages</w:t>
      </w:r>
      <w:r>
        <w:t>. London: Benn.</w:t>
      </w:r>
    </w:p>
    <w:p w:rsidR="002769F0" w:rsidRDefault="007F6D98">
      <w:pPr>
        <w:pStyle w:val="BodyText"/>
      </w:pPr>
      <w:r>
        <w:t xml:space="preserve">Evans, Arthur. 1921. </w:t>
      </w:r>
      <w:r>
        <w:rPr>
          <w:i/>
        </w:rPr>
        <w:t>The palace of Minos: a comparative account of the successive stages of the early Cretan civilization as illustrated by the discoveries at Knossos I</w:t>
      </w:r>
      <w:r>
        <w:t>. London: Macmillan.</w:t>
      </w:r>
    </w:p>
    <w:p w:rsidR="002769F0" w:rsidRDefault="007F6D98">
      <w:pPr>
        <w:pStyle w:val="BodyText"/>
      </w:pPr>
      <w:r>
        <w:t xml:space="preserve">Evans, Arthur. 1928. </w:t>
      </w:r>
      <w:r>
        <w:rPr>
          <w:i/>
        </w:rPr>
        <w:t>The palace of Minos: a comparative account of the successive stages of the early Cretan civilization as illustrated by the discoveries at Knossos II</w:t>
      </w:r>
      <w:r>
        <w:t>. London: Macmillan.</w:t>
      </w:r>
    </w:p>
    <w:p w:rsidR="002769F0" w:rsidRDefault="007F6D98">
      <w:pPr>
        <w:pStyle w:val="BodyText"/>
      </w:pPr>
      <w:r>
        <w:t xml:space="preserve">Evans, Arthur. 1930. </w:t>
      </w:r>
      <w:r>
        <w:rPr>
          <w:i/>
        </w:rPr>
        <w:t>The palace of Minos: a comparative account of the successive stages of the early Cretan civilization as illustrated by the discoveries at Knossos III</w:t>
      </w:r>
      <w:r>
        <w:t>. London: Macmillan.</w:t>
      </w:r>
    </w:p>
    <w:p w:rsidR="002769F0" w:rsidRDefault="007F6D98">
      <w:pPr>
        <w:pStyle w:val="BodyText"/>
      </w:pPr>
      <w:r>
        <w:t xml:space="preserve">Hallager, Birgitta P. 2010. “The elusive Late IIIC and the ill-named Subminoan.” </w:t>
      </w:r>
      <w:r>
        <w:rPr>
          <w:i/>
        </w:rPr>
        <w:t>British School at Athens Studies</w:t>
      </w:r>
      <w:r>
        <w:t xml:space="preserve"> 18 (CRETAN OFFERINGS: Studies in honour of Peter Warren): 141–155.</w:t>
      </w:r>
    </w:p>
    <w:p w:rsidR="002769F0" w:rsidRDefault="007F6D98">
      <w:pPr>
        <w:pStyle w:val="BodyText"/>
      </w:pPr>
      <w:r>
        <w:t xml:space="preserve">Hoffman, Gail L. 1997. </w:t>
      </w:r>
      <w:r>
        <w:rPr>
          <w:i/>
        </w:rPr>
        <w:t>Imports and Immigrants: Near Eastern Contacts with Iron Age Crete</w:t>
      </w:r>
      <w:r>
        <w:t>. Ann Arbor: University of Michigan Press.</w:t>
      </w:r>
    </w:p>
    <w:p w:rsidR="002769F0" w:rsidRDefault="007F6D98">
      <w:pPr>
        <w:pStyle w:val="BodyText"/>
      </w:pPr>
      <w:r>
        <w:t xml:space="preserve">Hogarth, D.G. 1899. “Knossos: Early Town and Cemeteries.” </w:t>
      </w:r>
      <w:r>
        <w:rPr>
          <w:i/>
        </w:rPr>
        <w:t>BSA</w:t>
      </w:r>
      <w:r>
        <w:t xml:space="preserve"> 6: 70–85.</w:t>
      </w:r>
    </w:p>
    <w:p w:rsidR="002769F0" w:rsidRDefault="007F6D98">
      <w:pPr>
        <w:pStyle w:val="BodyText"/>
      </w:pPr>
      <w:r>
        <w:t xml:space="preserve">Hood, Sinclair, and David Smyth. 1981. </w:t>
      </w:r>
      <w:r>
        <w:rPr>
          <w:i/>
        </w:rPr>
        <w:t>Archaeological Survey of the Knossos Area. The British School at Athens Supplementary Volumes, No. 14.</w:t>
      </w:r>
      <w:r>
        <w:t xml:space="preserve"> 2nd ed. London: Thames; Hudson.</w:t>
      </w:r>
    </w:p>
    <w:p w:rsidR="002769F0" w:rsidRDefault="007F6D98">
      <w:pPr>
        <w:pStyle w:val="BodyText"/>
      </w:pPr>
      <w:r>
        <w:t xml:space="preserve">Hutchinson, R.W., and John Boardman. 1954. “The Khaniale Tekke Tombs.” </w:t>
      </w:r>
      <w:r>
        <w:rPr>
          <w:i/>
        </w:rPr>
        <w:t>BSA</w:t>
      </w:r>
      <w:r>
        <w:t xml:space="preserve"> 49: 215–230.</w:t>
      </w:r>
    </w:p>
    <w:p w:rsidR="002769F0" w:rsidRDefault="007F6D98">
      <w:pPr>
        <w:pStyle w:val="BodyText"/>
      </w:pPr>
      <w:r>
        <w:t xml:space="preserve">Huxley, G. 1994. “On Knossos and her Neighbours (7th Century to Mid-4th Century B.C.).” In </w:t>
      </w:r>
      <w:r>
        <w:rPr>
          <w:i/>
        </w:rPr>
        <w:t>Knossos: A Labyrinth of History. Papers Presented in Honour of Sinclair Hood</w:t>
      </w:r>
      <w:r>
        <w:t>, edited by Don Evely, Helen Hughes-Brock, and Nicoletta Momigliano, 123–134. Oxford: The British School at Athens.</w:t>
      </w:r>
    </w:p>
    <w:p w:rsidR="002769F0" w:rsidRDefault="007F6D98">
      <w:pPr>
        <w:pStyle w:val="BodyText"/>
      </w:pPr>
      <w:r>
        <w:lastRenderedPageBreak/>
        <w:t xml:space="preserve">Johnson, Ian. 2004. “Aorisitc Analysis: Seeds of a new approach to mapping archaeological distributions through time.” In </w:t>
      </w:r>
      <w:r>
        <w:rPr>
          <w:i/>
        </w:rPr>
        <w:t>[Enter the Past]. the E-Way into the Four Dimensions of Cultural Heritage. Caa 2003. Computer Applications and Quantitative Methods in Archaeology. Proceedings of the 31st Conference, Vienna, Austria, April 2003</w:t>
      </w:r>
      <w:r>
        <w:t>, edited by K Ausserer Fischer, W Börner, M Goriany, and L Karlhuber-Vöckl, 448–452. Oxford: BAR International Series 1227.</w:t>
      </w:r>
    </w:p>
    <w:p w:rsidR="002769F0" w:rsidRDefault="007F6D98">
      <w:pPr>
        <w:pStyle w:val="BodyText"/>
      </w:pPr>
      <w:r>
        <w:t xml:space="preserve">Kopytoff, I. 1986. “The cultural biography of things: commoditization as process.” In </w:t>
      </w:r>
      <w:r>
        <w:rPr>
          <w:i/>
        </w:rPr>
        <w:t>The Social Life of Things: Commodities in Cultural …</w:t>
      </w:r>
      <w:r>
        <w:t>, edited by Arjun Appadurai, 64–92. Cambridge: Cambridge University Press.</w:t>
      </w:r>
    </w:p>
    <w:p w:rsidR="002769F0" w:rsidRDefault="007F6D98">
      <w:pPr>
        <w:pStyle w:val="BodyText"/>
      </w:pPr>
      <w:r>
        <w:t xml:space="preserve">Kotsonas, Antonis. 2002. “The rise of the polis in Central Crete.” </w:t>
      </w:r>
      <w:r>
        <w:rPr>
          <w:i/>
        </w:rPr>
        <w:t>’Eulimene</w:t>
      </w:r>
      <w:r>
        <w:t>, no. 3: 37–74.</w:t>
      </w:r>
    </w:p>
    <w:p w:rsidR="002769F0" w:rsidRDefault="007F6D98">
      <w:pPr>
        <w:pStyle w:val="BodyText"/>
      </w:pPr>
      <w:r>
        <w:t xml:space="preserve">Kotsonas, Antonis. 2006. “Wealth and Status in Iron Age Knossos.” </w:t>
      </w:r>
      <w:r>
        <w:rPr>
          <w:i/>
        </w:rPr>
        <w:t>Oxford Journal of Archaeology</w:t>
      </w:r>
      <w:r>
        <w:t xml:space="preserve"> 2: 149–172.</w:t>
      </w:r>
    </w:p>
    <w:p w:rsidR="002769F0" w:rsidRDefault="007F6D98">
      <w:pPr>
        <w:pStyle w:val="BodyText"/>
      </w:pPr>
      <w:r>
        <w:t xml:space="preserve">Kotsonas, Antonis. 2011. “Quantification of ceramics from Early Iron Age tombs.” In </w:t>
      </w:r>
      <w:r>
        <w:rPr>
          <w:i/>
        </w:rPr>
        <w:t>Early Iron Age Pottery : A Quantitative Approach : Proceedings of the International Round Table Organized by the Swiss School of Archaeology in Greece (Athens, November 28-30, 2008)</w:t>
      </w:r>
      <w:r>
        <w:t>, edited by Samuel Verdan, Thierry Theurillat, and Anne Pfyffer Kenzelmann, 129–138. Oxford: Archaeopress.</w:t>
      </w:r>
    </w:p>
    <w:p w:rsidR="002769F0" w:rsidRDefault="007F6D98">
      <w:pPr>
        <w:pStyle w:val="BodyText"/>
      </w:pPr>
      <w:r>
        <w:t xml:space="preserve">Kotsonas, Antonis. 2016. “Politics of Periodization and the Archaeology of Early Greece.” </w:t>
      </w:r>
      <w:r>
        <w:rPr>
          <w:i/>
        </w:rPr>
        <w:t>American Journal of Archaeology</w:t>
      </w:r>
      <w:r>
        <w:t xml:space="preserve"> 120 (2): 239–270.</w:t>
      </w:r>
    </w:p>
    <w:p w:rsidR="002769F0" w:rsidRPr="008B07DD" w:rsidRDefault="007F6D98">
      <w:pPr>
        <w:pStyle w:val="BodyText"/>
        <w:rPr>
          <w:lang w:val="el-GR"/>
        </w:rPr>
      </w:pPr>
      <w:r>
        <w:t>Kotsonas, Antonis, Todd Whitelaw, Antonis Vasilakis, and Maria Bredaki. 2011. “Early Iron Age Knossos: An overview from the Knossos Urban Landscape Project (KULP).” In</w:t>
      </w:r>
      <w:r w:rsidRPr="008B07DD">
        <w:rPr>
          <w:lang w:val="el-GR"/>
        </w:rPr>
        <w:t xml:space="preserve"> </w:t>
      </w:r>
      <m:oMath>
        <m:r>
          <w:rPr>
            <w:rFonts w:ascii="Cambria Math" w:hAnsi="Cambria Math"/>
          </w:rPr>
          <m:t>Πϵπραγμ</m:t>
        </m:r>
      </m:oMath>
      <w:r w:rsidRPr="008B07DD">
        <w:rPr>
          <w:i/>
          <w:lang w:val="el-GR"/>
        </w:rPr>
        <w:t>Έ</w:t>
      </w:r>
      <m:oMath>
        <m:r>
          <w:rPr>
            <w:rFonts w:ascii="Cambria Math" w:hAnsi="Cambria Math"/>
          </w:rPr>
          <m:t>να</m:t>
        </m:r>
      </m:oMath>
      <w:r w:rsidRPr="008B07DD">
        <w:rPr>
          <w:i/>
          <w:lang w:val="el-GR"/>
        </w:rPr>
        <w:t xml:space="preserve"> </w:t>
      </w:r>
      <m:oMath>
        <m:r>
          <w:rPr>
            <w:rFonts w:ascii="Cambria Math" w:hAnsi="Cambria Math"/>
          </w:rPr>
          <m:t>τ</m:t>
        </m:r>
      </m:oMath>
      <w:r w:rsidRPr="008B07DD">
        <w:rPr>
          <w:i/>
          <w:lang w:val="el-GR"/>
        </w:rPr>
        <w:t>ο</w:t>
      </w:r>
      <m:oMath>
        <m:r>
          <w:rPr>
            <w:rFonts w:ascii="Cambria Math" w:hAnsi="Cambria Math"/>
          </w:rPr>
          <m:t>υ</m:t>
        </m:r>
      </m:oMath>
      <w:r w:rsidRPr="008B07DD">
        <w:rPr>
          <w:i/>
          <w:lang w:val="el-GR"/>
        </w:rPr>
        <w:t xml:space="preserve"> 11ο</w:t>
      </w:r>
      <m:oMath>
        <m:r>
          <w:rPr>
            <w:rFonts w:ascii="Cambria Math" w:hAnsi="Cambria Math"/>
          </w:rPr>
          <m:t>υ</m:t>
        </m:r>
      </m:oMath>
      <w:r w:rsidRPr="008B07DD">
        <w:rPr>
          <w:i/>
          <w:lang w:val="el-GR"/>
        </w:rPr>
        <w:t xml:space="preserve"> </w:t>
      </w:r>
      <m:oMath>
        <m:r>
          <w:rPr>
            <w:rFonts w:ascii="Cambria Math" w:hAnsi="Cambria Math"/>
          </w:rPr>
          <m:t>Διϵθ</m:t>
        </m:r>
      </m:oMath>
      <w:r w:rsidRPr="008B07DD">
        <w:rPr>
          <w:i/>
          <w:lang w:val="el-GR"/>
        </w:rPr>
        <w:t>ούς κ</w:t>
      </w:r>
      <m:oMath>
        <m:r>
          <w:rPr>
            <w:rFonts w:ascii="Cambria Math" w:hAnsi="Cambria Math"/>
          </w:rPr>
          <m:t>ρητ</m:t>
        </m:r>
      </m:oMath>
      <w:r w:rsidRPr="008B07DD">
        <w:rPr>
          <w:i/>
          <w:lang w:val="el-GR"/>
        </w:rPr>
        <w:t>ο</w:t>
      </w:r>
      <m:oMath>
        <m:r>
          <w:rPr>
            <w:rFonts w:ascii="Cambria Math" w:hAnsi="Cambria Math"/>
          </w:rPr>
          <m:t>λ</m:t>
        </m:r>
      </m:oMath>
      <w:r w:rsidRPr="008B07DD">
        <w:rPr>
          <w:i/>
          <w:lang w:val="el-GR"/>
        </w:rPr>
        <w:t>ο</w:t>
      </w:r>
      <m:oMath>
        <m:r>
          <w:rPr>
            <w:rFonts w:ascii="Cambria Math" w:hAnsi="Cambria Math"/>
          </w:rPr>
          <m:t>γικ</m:t>
        </m:r>
      </m:oMath>
      <w:r w:rsidRPr="008B07DD">
        <w:rPr>
          <w:i/>
          <w:lang w:val="el-GR"/>
        </w:rPr>
        <w:t xml:space="preserve">ού </w:t>
      </w:r>
      <m:oMath>
        <m:r>
          <w:rPr>
            <w:rFonts w:ascii="Cambria Math" w:hAnsi="Cambria Math"/>
          </w:rPr>
          <m:t>Συνϵρδ</m:t>
        </m:r>
      </m:oMath>
      <w:r w:rsidRPr="008B07DD">
        <w:rPr>
          <w:i/>
          <w:lang w:val="el-GR"/>
        </w:rPr>
        <w:t>ίο</w:t>
      </w:r>
      <m:oMath>
        <m:r>
          <w:rPr>
            <w:rFonts w:ascii="Cambria Math" w:hAnsi="Cambria Math"/>
          </w:rPr>
          <m:t>υ</m:t>
        </m:r>
      </m:oMath>
      <w:r w:rsidRPr="008B07DD">
        <w:rPr>
          <w:i/>
          <w:lang w:val="el-GR"/>
        </w:rPr>
        <w:t>, ρέ</w:t>
      </w:r>
      <m:oMath>
        <m:r>
          <w:rPr>
            <w:rFonts w:ascii="Cambria Math" w:hAnsi="Cambria Math"/>
          </w:rPr>
          <m:t>θυμν</m:t>
        </m:r>
      </m:oMath>
      <w:r w:rsidRPr="008B07DD">
        <w:rPr>
          <w:i/>
          <w:lang w:val="el-GR"/>
        </w:rPr>
        <w:t>ο, 21-27 ο</w:t>
      </w:r>
      <m:oMath>
        <m:r>
          <w:rPr>
            <w:rFonts w:ascii="Cambria Math" w:hAnsi="Cambria Math"/>
          </w:rPr>
          <m:t>κτωβρ</m:t>
        </m:r>
      </m:oMath>
      <w:r w:rsidRPr="008B07DD">
        <w:rPr>
          <w:i/>
          <w:lang w:val="el-GR"/>
        </w:rPr>
        <w:t>ίο</w:t>
      </w:r>
      <m:oMath>
        <m:r>
          <w:rPr>
            <w:rFonts w:ascii="Cambria Math" w:hAnsi="Cambria Math"/>
          </w:rPr>
          <m:t>υ</m:t>
        </m:r>
      </m:oMath>
      <w:r w:rsidRPr="008B07DD">
        <w:rPr>
          <w:i/>
          <w:lang w:val="el-GR"/>
        </w:rPr>
        <w:t xml:space="preserve"> 2011</w:t>
      </w:r>
      <w:r w:rsidRPr="008B07DD">
        <w:rPr>
          <w:lang w:val="el-GR"/>
        </w:rPr>
        <w:t>. Ρέ</w:t>
      </w:r>
      <m:oMath>
        <m:r>
          <w:rPr>
            <w:rFonts w:ascii="Cambria Math" w:hAnsi="Cambria Math"/>
          </w:rPr>
          <m:t>θυμν</m:t>
        </m:r>
      </m:oMath>
      <w:r w:rsidRPr="008B07DD">
        <w:rPr>
          <w:lang w:val="el-GR"/>
        </w:rPr>
        <w:t>ο.</w:t>
      </w:r>
    </w:p>
    <w:p w:rsidR="002769F0" w:rsidRDefault="007F6D98">
      <w:pPr>
        <w:pStyle w:val="BodyText"/>
      </w:pPr>
      <w:r>
        <w:t xml:space="preserve">Marwick, Ben. 2017. “Computational Reproducibility in Archaeological Research: Basic Principles and a Case Study of Their Implementation.” </w:t>
      </w:r>
      <w:r>
        <w:rPr>
          <w:i/>
        </w:rPr>
        <w:t>Journal of Archaeological Method and Theory</w:t>
      </w:r>
      <w:r>
        <w:t xml:space="preserve"> 24 (2). Springer US: 424–450. doi:</w:t>
      </w:r>
      <w:hyperlink r:id="rId33">
        <w:r>
          <w:rPr>
            <w:rStyle w:val="Hyperlink"/>
          </w:rPr>
          <w:t>10.1007/s10816-015-9272-9</w:t>
        </w:r>
      </w:hyperlink>
      <w:r>
        <w:t>.</w:t>
      </w:r>
    </w:p>
    <w:p w:rsidR="002769F0" w:rsidRDefault="007F6D98">
      <w:pPr>
        <w:pStyle w:val="BodyText"/>
      </w:pPr>
      <w:r>
        <w:t xml:space="preserve">Mauss, Marcel. 1954. </w:t>
      </w:r>
      <w:r>
        <w:rPr>
          <w:i/>
        </w:rPr>
        <w:t>The gift: forms and functions of exchange in archaic societies</w:t>
      </w:r>
      <w:r>
        <w:t>. Edited by Ian Cunnison. London: Cohen &amp; West.</w:t>
      </w:r>
    </w:p>
    <w:p w:rsidR="002769F0" w:rsidRDefault="007F6D98">
      <w:pPr>
        <w:pStyle w:val="BodyText"/>
      </w:pPr>
      <w:r>
        <w:t xml:space="preserve">Morris, I. 1997. “Periodization and the Heroes: Inventing a Dark Age.” In </w:t>
      </w:r>
      <w:r>
        <w:rPr>
          <w:i/>
        </w:rPr>
        <w:t>Inventing Ancient Culture</w:t>
      </w:r>
      <w:r>
        <w:t>, edited by Mark Golden and Peter Toohey, 96–131. London: Routledge.</w:t>
      </w:r>
    </w:p>
    <w:p w:rsidR="002769F0" w:rsidRDefault="007F6D98">
      <w:pPr>
        <w:pStyle w:val="BodyText"/>
      </w:pPr>
      <w:r>
        <w:lastRenderedPageBreak/>
        <w:t xml:space="preserve">Nowicki, Krzysztof. 2000. </w:t>
      </w:r>
      <w:r>
        <w:rPr>
          <w:i/>
        </w:rPr>
        <w:t>Defensible sites in Crete c.1200-800 B.C. : (LM IIIB/IIIC through early Geometric)</w:t>
      </w:r>
      <w:r>
        <w:t>. Liège: Université de Liège.</w:t>
      </w:r>
    </w:p>
    <w:p w:rsidR="002769F0" w:rsidRDefault="007F6D98">
      <w:pPr>
        <w:pStyle w:val="BodyText"/>
      </w:pPr>
      <w:r>
        <w:t xml:space="preserve">Ratcliffe, Jerry H. 2000. “Aoristic analysis: the spatial interpretation of unspecific temporal events.” </w:t>
      </w:r>
      <w:r>
        <w:rPr>
          <w:i/>
        </w:rPr>
        <w:t>International Journal of Geographical Information Science</w:t>
      </w:r>
      <w:r>
        <w:t xml:space="preserve"> 14 (7): 669–679.</w:t>
      </w:r>
    </w:p>
    <w:p w:rsidR="002769F0" w:rsidRDefault="007F6D98">
      <w:pPr>
        <w:pStyle w:val="BodyText"/>
      </w:pPr>
      <w:r>
        <w:t xml:space="preserve">Schreiber, N. 2003. </w:t>
      </w:r>
      <w:r>
        <w:rPr>
          <w:i/>
        </w:rPr>
        <w:t>The Cypro-Phoenician Pottery of the Iron Age</w:t>
      </w:r>
      <w:r>
        <w:t>. Leiden/Boston: Brill.</w:t>
      </w:r>
    </w:p>
    <w:p w:rsidR="002769F0" w:rsidRDefault="007F6D98">
      <w:pPr>
        <w:pStyle w:val="BodyText"/>
      </w:pPr>
      <w:r>
        <w:t xml:space="preserve">Snodgrass, Anthony McElrea. 1971. </w:t>
      </w:r>
      <w:r>
        <w:rPr>
          <w:i/>
        </w:rPr>
        <w:t>The Dark Age of Greece</w:t>
      </w:r>
      <w:r>
        <w:t>. Edinburgh: Edinburgh University Press.</w:t>
      </w:r>
    </w:p>
    <w:p w:rsidR="002769F0" w:rsidRDefault="007F6D98">
      <w:pPr>
        <w:pStyle w:val="BodyText"/>
      </w:pPr>
      <w:r>
        <w:t xml:space="preserve">Wallace, Saro. 2010. </w:t>
      </w:r>
      <w:r>
        <w:rPr>
          <w:i/>
        </w:rPr>
        <w:t>Ancient Crete: From Successful Collapse to Democracy’s Alternatives, Twelth to Fifth Centuries BC</w:t>
      </w:r>
      <w:r>
        <w:t>. Cambridge: Cambridge University Press#.</w:t>
      </w:r>
    </w:p>
    <w:p w:rsidR="002769F0" w:rsidRDefault="007F6D98">
      <w:pPr>
        <w:pStyle w:val="BodyText"/>
      </w:pPr>
      <w:r>
        <w:t xml:space="preserve">Whitley, James. 2002. “Objects with Attitude: Biographical Facts and Fallacies in the Study of Late Bronze Age and Early Iron Age Warrior Graves.” </w:t>
      </w:r>
      <w:r>
        <w:rPr>
          <w:i/>
        </w:rPr>
        <w:t>Cambridge Archaeological Journal</w:t>
      </w:r>
      <w:r>
        <w:t xml:space="preserve"> 12 (2). Cambridge University Press: 217–232.</w:t>
      </w:r>
    </w:p>
    <w:p w:rsidR="002769F0" w:rsidRDefault="007F6D98">
      <w:pPr>
        <w:pStyle w:val="BodyText"/>
      </w:pPr>
      <w:r>
        <w:t xml:space="preserve">Whitley, James. 2011. “Saro Wallace. Ancient Crete: From Successful Collapse to Democracy’s Alternatives, Twelfth to Fifth Centuries BC. (review).” </w:t>
      </w:r>
      <w:r>
        <w:rPr>
          <w:i/>
        </w:rPr>
        <w:t>American Journal of Philology</w:t>
      </w:r>
      <w:r>
        <w:t xml:space="preserve"> 132 (4): 667–670. doi:</w:t>
      </w:r>
      <w:hyperlink r:id="rId34">
        <w:r>
          <w:rPr>
            <w:rStyle w:val="Hyperlink"/>
          </w:rPr>
          <w:t>10.1353/ajp.2011.0043</w:t>
        </w:r>
      </w:hyperlink>
      <w:r>
        <w:t>.</w:t>
      </w:r>
    </w:p>
    <w:p w:rsidR="002769F0" w:rsidRDefault="007F6D98">
      <w:pPr>
        <w:pStyle w:val="BodyText"/>
      </w:pPr>
      <w:r>
        <w:t>Α</w:t>
      </w:r>
      <m:oMath>
        <m:r>
          <w:rPr>
            <w:rFonts w:ascii="Cambria Math" w:hAnsi="Cambria Math"/>
          </w:rPr>
          <m:t>λϵξ</m:t>
        </m:r>
      </m:oMath>
      <w:r>
        <w:t>ίο</w:t>
      </w:r>
      <m:oMath>
        <m:r>
          <w:rPr>
            <w:rFonts w:ascii="Cambria Math" w:hAnsi="Cambria Math"/>
          </w:rPr>
          <m:t>υ</m:t>
        </m:r>
      </m:oMath>
      <w:r>
        <w:t xml:space="preserve">, </w:t>
      </w:r>
      <m:oMath>
        <m:r>
          <w:rPr>
            <w:rFonts w:ascii="Cambria Math" w:hAnsi="Cambria Math"/>
          </w:rPr>
          <m:t>Σ</m:t>
        </m:r>
      </m:oMath>
      <w:r>
        <w:t>. 1950. “</w:t>
      </w:r>
      <m:oMath>
        <m:r>
          <w:rPr>
            <w:rFonts w:ascii="Cambria Math" w:hAnsi="Cambria Math"/>
          </w:rPr>
          <m:t>Παραστ</m:t>
        </m:r>
      </m:oMath>
      <w:r>
        <w:t>ά</w:t>
      </w:r>
      <m:oMath>
        <m:r>
          <w:rPr>
            <w:rFonts w:ascii="Cambria Math" w:hAnsi="Cambria Math"/>
          </w:rPr>
          <m:t>σϵι</m:t>
        </m:r>
      </m:oMath>
      <w:r>
        <w:t xml:space="preserve">ς </w:t>
      </w:r>
      <m:oMath>
        <m:r>
          <w:rPr>
            <w:rFonts w:ascii="Cambria Math" w:hAnsi="Cambria Math"/>
          </w:rPr>
          <m:t>π</m:t>
        </m:r>
      </m:oMath>
      <w:r>
        <w:t>ο</w:t>
      </w:r>
      <m:oMath>
        <m:r>
          <w:rPr>
            <w:rFonts w:ascii="Cambria Math" w:hAnsi="Cambria Math"/>
          </w:rPr>
          <m:t>λ</m:t>
        </m:r>
      </m:oMath>
      <w:r>
        <w:t>ύ</w:t>
      </w:r>
      <m:oMath>
        <m:r>
          <w:rPr>
            <w:rFonts w:ascii="Cambria Math" w:hAnsi="Cambria Math"/>
          </w:rPr>
          <m:t>π</m:t>
        </m:r>
      </m:oMath>
      <w:r>
        <w:t>ο</w:t>
      </w:r>
      <m:oMath>
        <m:r>
          <w:rPr>
            <w:rFonts w:ascii="Cambria Math" w:hAnsi="Cambria Math"/>
          </w:rPr>
          <m:t>δ</m:t>
        </m:r>
      </m:oMath>
      <w:r>
        <w:t xml:space="preserve">ος </w:t>
      </w:r>
      <m:oMath>
        <m:r>
          <w:rPr>
            <w:rFonts w:ascii="Cambria Math" w:hAnsi="Cambria Math"/>
          </w:rPr>
          <m:t>ϵπ</m:t>
        </m:r>
      </m:oMath>
      <w:r>
        <w:t xml:space="preserve">ί </w:t>
      </w:r>
      <m:oMath>
        <m:r>
          <w:rPr>
            <w:rFonts w:ascii="Cambria Math" w:hAnsi="Cambria Math"/>
          </w:rPr>
          <m:t>Πρωτ</m:t>
        </m:r>
      </m:oMath>
      <w:r>
        <w:t>ο</w:t>
      </w:r>
      <m:oMath>
        <m:r>
          <w:rPr>
            <w:rFonts w:ascii="Cambria Math" w:hAnsi="Cambria Math"/>
          </w:rPr>
          <m:t>ϵλληνικ</m:t>
        </m:r>
      </m:oMath>
      <w:r>
        <w:t>ώ</w:t>
      </w:r>
      <m:oMath>
        <m:r>
          <w:rPr>
            <w:rFonts w:ascii="Cambria Math" w:hAnsi="Cambria Math"/>
          </w:rPr>
          <m:t>ν</m:t>
        </m:r>
      </m:oMath>
      <w:r>
        <w:t xml:space="preserve"> </w:t>
      </w:r>
      <m:oMath>
        <m:r>
          <w:rPr>
            <w:rFonts w:ascii="Cambria Math" w:hAnsi="Cambria Math"/>
          </w:rPr>
          <m:t>αγγϵ</m:t>
        </m:r>
      </m:oMath>
      <w:r>
        <w:t>ί</w:t>
      </w:r>
      <m:oMath>
        <m:r>
          <w:rPr>
            <w:rFonts w:ascii="Cambria Math" w:hAnsi="Cambria Math"/>
          </w:rPr>
          <m:t>ων</m:t>
        </m:r>
      </m:oMath>
      <w:r>
        <w:t xml:space="preserve"> </w:t>
      </w:r>
      <m:oMath>
        <m:r>
          <w:rPr>
            <w:rFonts w:ascii="Cambria Math" w:hAnsi="Cambria Math"/>
          </w:rPr>
          <m:t>ϵκ</m:t>
        </m:r>
      </m:oMath>
      <w:r>
        <w:t xml:space="preserve"> Κ</w:t>
      </w:r>
      <m:oMath>
        <m:r>
          <w:rPr>
            <w:rFonts w:ascii="Cambria Math" w:hAnsi="Cambria Math"/>
          </w:rPr>
          <m:t>ρ</m:t>
        </m:r>
      </m:oMath>
      <w:r>
        <w:t>ή</w:t>
      </w:r>
      <m:oMath>
        <m:r>
          <w:rPr>
            <w:rFonts w:ascii="Cambria Math" w:hAnsi="Cambria Math"/>
          </w:rPr>
          <m:t>τη</m:t>
        </m:r>
      </m:oMath>
      <w:r>
        <w:t xml:space="preserve">ς.” </w:t>
      </w:r>
      <w:r>
        <w:rPr>
          <w:i/>
        </w:rPr>
        <w:t>Κ</w:t>
      </w:r>
      <m:oMath>
        <m:r>
          <w:rPr>
            <w:rFonts w:ascii="Cambria Math" w:hAnsi="Cambria Math"/>
          </w:rPr>
          <m:t>ρητικ</m:t>
        </m:r>
      </m:oMath>
      <w:r>
        <w:rPr>
          <w:i/>
        </w:rPr>
        <w:t>ά Χ</w:t>
      </w:r>
      <m:oMath>
        <m:r>
          <w:rPr>
            <w:rFonts w:ascii="Cambria Math" w:hAnsi="Cambria Math"/>
          </w:rPr>
          <m:t>ρ</m:t>
        </m:r>
      </m:oMath>
      <w:r>
        <w:rPr>
          <w:i/>
        </w:rPr>
        <w:t>ο</w:t>
      </w:r>
      <m:oMath>
        <m:r>
          <w:rPr>
            <w:rFonts w:ascii="Cambria Math" w:hAnsi="Cambria Math"/>
          </w:rPr>
          <m:t>νικ</m:t>
        </m:r>
      </m:oMath>
      <w:r>
        <w:rPr>
          <w:i/>
        </w:rPr>
        <w:t>ά</w:t>
      </w:r>
      <w:r>
        <w:t xml:space="preserve"> 4: 294–318.</w:t>
      </w:r>
    </w:p>
    <w:p w:rsidR="002769F0" w:rsidRDefault="007F6D98">
      <w:pPr>
        <w:pStyle w:val="Heading5"/>
      </w:pPr>
      <w:bookmarkStart w:id="24" w:name="pagebreak-1"/>
      <w:bookmarkEnd w:id="24"/>
      <w:r>
        <w:lastRenderedPageBreak/>
        <w:t>pagebreak</w:t>
      </w:r>
    </w:p>
    <w:p w:rsidR="002769F0" w:rsidRDefault="007F6D98">
      <w:pPr>
        <w:pStyle w:val="Heading3"/>
      </w:pPr>
      <w:bookmarkStart w:id="25" w:name="colophon"/>
      <w:bookmarkEnd w:id="25"/>
      <w:r>
        <w:t>Colophon</w:t>
      </w:r>
    </w:p>
    <w:p w:rsidR="002769F0" w:rsidRDefault="007F6D98">
      <w:pPr>
        <w:pStyle w:val="FirstParagraph"/>
      </w:pPr>
      <w:r>
        <w:t>This report was generated on 2019-05-14 16:22:45 using the following computational environment and dependencies:</w:t>
      </w:r>
    </w:p>
    <w:p w:rsidR="002769F0" w:rsidRDefault="007F6D98">
      <w:pPr>
        <w:pStyle w:val="SourceCode"/>
      </w:pPr>
      <w:r>
        <w:rPr>
          <w:rStyle w:val="VerbatimChar"/>
        </w:rPr>
        <w:t>#&gt; - Session info ----------------------------------------------------------</w:t>
      </w:r>
      <w:r>
        <w:br/>
      </w:r>
      <w:r>
        <w:rPr>
          <w:rStyle w:val="VerbatimChar"/>
        </w:rPr>
        <w:t xml:space="preserve">#&gt;  setting  value                       </w:t>
      </w:r>
      <w:r>
        <w:br/>
      </w:r>
      <w:r>
        <w:rPr>
          <w:rStyle w:val="VerbatimChar"/>
        </w:rPr>
        <w:t>#&gt;  version  R version 3.5.1 (2018-07-02)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Kingdom.1252 </w:t>
      </w:r>
      <w:r>
        <w:br/>
      </w:r>
      <w:r>
        <w:rPr>
          <w:rStyle w:val="VerbatimChar"/>
        </w:rPr>
        <w:t xml:space="preserve">#&gt;  ctype    English_United Kingdom.1252 </w:t>
      </w:r>
      <w:r>
        <w:br/>
      </w:r>
      <w:r>
        <w:rPr>
          <w:rStyle w:val="VerbatimChar"/>
        </w:rPr>
        <w:t xml:space="preserve">#&gt;  tz       Europe/London               </w:t>
      </w:r>
      <w:r>
        <w:br/>
      </w:r>
      <w:r>
        <w:rPr>
          <w:rStyle w:val="VerbatimChar"/>
        </w:rPr>
        <w:t xml:space="preserve">#&gt;  date     2019-05-14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#&gt;  assertthat     0.2.0   2017-04-11 [1] CRAN (R 3.5.2)</w:t>
      </w:r>
      <w:r>
        <w:br/>
      </w:r>
      <w:r>
        <w:rPr>
          <w:rStyle w:val="VerbatimChar"/>
        </w:rPr>
        <w:t>#&gt;  backports      1.1.3   2018-12-14 [1] CRAN (R 3.5.2)</w:t>
      </w:r>
      <w:r>
        <w:br/>
      </w:r>
      <w:r>
        <w:rPr>
          <w:rStyle w:val="VerbatimChar"/>
        </w:rPr>
        <w:t>#&gt;  bookdown       0.9     2018-12-21 [1] CRAN (R 3.5.2)</w:t>
      </w:r>
      <w:r>
        <w:br/>
      </w:r>
      <w:r>
        <w:rPr>
          <w:rStyle w:val="VerbatimChar"/>
        </w:rPr>
        <w:t>#&gt;  callr          3.1.1   2018-12-21 [1] CRAN (R 3.5.2)</w:t>
      </w:r>
      <w:r>
        <w:br/>
      </w:r>
      <w:r>
        <w:rPr>
          <w:rStyle w:val="VerbatimChar"/>
        </w:rPr>
        <w:t>#&gt;  cli            1.0.1   2018-09-25 [1] CRAN (R 3.5.2)</w:t>
      </w:r>
      <w:r>
        <w:br/>
      </w:r>
      <w:r>
        <w:rPr>
          <w:rStyle w:val="VerbatimChar"/>
        </w:rPr>
        <w:t>#&gt;  colorspace     1.4-0   2019-01-13 [1] CRAN (R 3.5.2)</w:t>
      </w:r>
      <w:r>
        <w:br/>
      </w:r>
      <w:r>
        <w:rPr>
          <w:rStyle w:val="VerbatimChar"/>
        </w:rPr>
        <w:t>#&gt;  cowplot      * 0.9.4   2019-01-08 [1] CRAN (R 3.5.3)</w:t>
      </w:r>
      <w:r>
        <w:br/>
      </w:r>
      <w:r>
        <w:rPr>
          <w:rStyle w:val="VerbatimChar"/>
        </w:rPr>
        <w:t>#&gt;  crayon         1.3.4   2017-09-16 [1] CRAN (R 3.5.2)</w:t>
      </w:r>
      <w:r>
        <w:br/>
      </w:r>
      <w:r>
        <w:rPr>
          <w:rStyle w:val="VerbatimChar"/>
        </w:rPr>
        <w:t>#&gt;  data.table   * 1.12.0  2019-01-13 [1] CRAN (R 3.5.3)</w:t>
      </w:r>
      <w:r>
        <w:br/>
      </w:r>
      <w:r>
        <w:rPr>
          <w:rStyle w:val="VerbatimChar"/>
        </w:rPr>
        <w:t>#&gt;  desc           1.2.0   2018-05-01 [1] CRAN (R 3.5.2)</w:t>
      </w:r>
      <w:r>
        <w:br/>
      </w:r>
      <w:r>
        <w:rPr>
          <w:rStyle w:val="VerbatimChar"/>
        </w:rPr>
        <w:t>#&gt;  devtools       2.0.1   2018-10-26 [1] CRAN (R 3.5.3)</w:t>
      </w:r>
      <w:r>
        <w:br/>
      </w:r>
      <w:r>
        <w:rPr>
          <w:rStyle w:val="VerbatimChar"/>
        </w:rPr>
        <w:t>#&gt;  digest         0.6.18  2018-10-10 [1] CRAN (R 3.5.2)</w:t>
      </w:r>
      <w:r>
        <w:br/>
      </w:r>
      <w:r>
        <w:rPr>
          <w:rStyle w:val="VerbatimChar"/>
        </w:rPr>
        <w:t>#&gt;  dplyr        * 0.8.0.1 2019-02-15 [1] CRAN (R 3.5.2)</w:t>
      </w:r>
      <w:r>
        <w:br/>
      </w:r>
      <w:r>
        <w:rPr>
          <w:rStyle w:val="VerbatimChar"/>
        </w:rPr>
        <w:t>#&gt;  evaluate       0.13    2019-02-12 [1] CRAN (R 3.5.2)</w:t>
      </w:r>
      <w:r>
        <w:br/>
      </w:r>
      <w:r>
        <w:rPr>
          <w:rStyle w:val="VerbatimChar"/>
        </w:rPr>
        <w:t>#&gt;  extrafont    * 0.17    2014-12-08 [1] CRAN (R 3.5.2)</w:t>
      </w:r>
      <w:r>
        <w:br/>
      </w:r>
      <w:r>
        <w:rPr>
          <w:rStyle w:val="VerbatimChar"/>
        </w:rPr>
        <w:t>#&gt;  extrafontdb    1.0     2012-06-11 [1] CRAN (R 3.5.2)</w:t>
      </w:r>
      <w:r>
        <w:br/>
      </w:r>
      <w:r>
        <w:rPr>
          <w:rStyle w:val="VerbatimChar"/>
        </w:rPr>
        <w:t>#&gt;  fs             1.2.6   2018-08-23 [1] CRAN (R 3.5.2)</w:t>
      </w:r>
      <w:r>
        <w:br/>
      </w:r>
      <w:r>
        <w:rPr>
          <w:rStyle w:val="VerbatimChar"/>
        </w:rPr>
        <w:t>#&gt;  ggplot2      * 3.1.0   2018-10-25 [1] CRAN (R 3.5.2)</w:t>
      </w:r>
      <w:r>
        <w:br/>
      </w:r>
      <w:r>
        <w:rPr>
          <w:rStyle w:val="VerbatimChar"/>
        </w:rPr>
        <w:t>#&gt;  ggpubr       * 0.2     2018-11-15 [1] CRAN (R 3.5.2)</w:t>
      </w:r>
      <w:r>
        <w:br/>
      </w:r>
      <w:r>
        <w:rPr>
          <w:rStyle w:val="VerbatimChar"/>
        </w:rPr>
        <w:t>#&gt;  ggrepel      * 0.8.0   2018-05-09 [1] CRAN (R 3.5.3)</w:t>
      </w:r>
      <w:r>
        <w:br/>
      </w:r>
      <w:r>
        <w:rPr>
          <w:rStyle w:val="VerbatimChar"/>
        </w:rPr>
        <w:t>#&gt;  glue           1.3.1   2019-03-12 [1] CRAN (R 3.5.3)</w:t>
      </w:r>
      <w:r>
        <w:br/>
      </w:r>
      <w:r>
        <w:rPr>
          <w:rStyle w:val="VerbatimChar"/>
        </w:rPr>
        <w:t>#&gt;  gridExtra    * 2.3     2017-09-09 [1] CRAN (R 3.5.3)</w:t>
      </w:r>
      <w:r>
        <w:br/>
      </w:r>
      <w:r>
        <w:rPr>
          <w:rStyle w:val="VerbatimChar"/>
        </w:rPr>
        <w:t>#&gt;  gtable         0.2.0   2016-02-26 [1] CRAN (R 3.5.2)</w:t>
      </w:r>
      <w:r>
        <w:br/>
      </w:r>
      <w:r>
        <w:rPr>
          <w:rStyle w:val="VerbatimChar"/>
        </w:rPr>
        <w:t>#&gt;  highr          0.7     2018-06-09 [1] CRAN (R 3.5.2)</w:t>
      </w:r>
      <w:r>
        <w:br/>
      </w:r>
      <w:r>
        <w:rPr>
          <w:rStyle w:val="VerbatimChar"/>
        </w:rPr>
        <w:t>#&gt;  htmltools      0.3.6   2017-04-28 [1] CRAN (R 3.5.2)</w:t>
      </w:r>
      <w:r>
        <w:br/>
      </w:r>
      <w:r>
        <w:rPr>
          <w:rStyle w:val="VerbatimChar"/>
        </w:rPr>
        <w:t>#&gt;  ineq         * 0.2-13  2014-07-21 [1] CRAN (R 3.5.2)</w:t>
      </w:r>
      <w:r>
        <w:br/>
      </w:r>
      <w:r>
        <w:rPr>
          <w:rStyle w:val="VerbatimChar"/>
        </w:rPr>
        <w:t>#&gt;  knitr          1.21    2018-12-10 [1] CRAN (R 3.5.2)</w:t>
      </w:r>
      <w:r>
        <w:br/>
      </w:r>
      <w:r>
        <w:rPr>
          <w:rStyle w:val="VerbatimChar"/>
        </w:rPr>
        <w:t>#&gt;  labeling       0.3     2014-08-23 [1] CRAN (R 3.5.2)</w:t>
      </w:r>
      <w:r>
        <w:br/>
      </w:r>
      <w:r>
        <w:rPr>
          <w:rStyle w:val="VerbatimChar"/>
        </w:rPr>
        <w:t>#&gt;  lazyeval       0.2.1   2017-10-29 [1] CRAN (R 3.5.2)</w:t>
      </w:r>
      <w:r>
        <w:br/>
      </w:r>
      <w:r>
        <w:rPr>
          <w:rStyle w:val="VerbatimChar"/>
        </w:rPr>
        <w:lastRenderedPageBreak/>
        <w:t>#&gt;  magrittr     * 1.5     2014-11-22 [1] CRAN (R 3.5.2)</w:t>
      </w:r>
      <w:r>
        <w:br/>
      </w:r>
      <w:r>
        <w:rPr>
          <w:rStyle w:val="VerbatimChar"/>
        </w:rPr>
        <w:t>#&gt;  memoise        1.1.0   2017-04-21 [1] CRAN (R 3.5.2)</w:t>
      </w:r>
      <w:r>
        <w:br/>
      </w:r>
      <w:r>
        <w:rPr>
          <w:rStyle w:val="VerbatimChar"/>
        </w:rPr>
        <w:t>#&gt;  munsell        0.5.0   2018-06-12 [1] CRAN (R 3.5.2)</w:t>
      </w:r>
      <w:r>
        <w:br/>
      </w:r>
      <w:r>
        <w:rPr>
          <w:rStyle w:val="VerbatimChar"/>
        </w:rPr>
        <w:t>#&gt;  pillar         1.3.1   2018-12-15 [1] CRAN (R 3.5.2)</w:t>
      </w:r>
      <w:r>
        <w:br/>
      </w:r>
      <w:r>
        <w:rPr>
          <w:rStyle w:val="VerbatimChar"/>
        </w:rPr>
        <w:t>#&gt;  pkgbuild       1.0.2   2018-10-16 [1] CRAN (R 3.5.2)</w:t>
      </w:r>
      <w:r>
        <w:br/>
      </w:r>
      <w:r>
        <w:rPr>
          <w:rStyle w:val="VerbatimChar"/>
        </w:rPr>
        <w:t>#&gt;  pkgconfig      2.0.2   2018-08-16 [1] CRAN (R 3.5.2)</w:t>
      </w:r>
      <w:r>
        <w:br/>
      </w:r>
      <w:r>
        <w:rPr>
          <w:rStyle w:val="VerbatimChar"/>
        </w:rPr>
        <w:t>#&gt;  pkgload        1.0.2   2018-10-29 [1] CRAN (R 3.5.2)</w:t>
      </w:r>
      <w:r>
        <w:br/>
      </w:r>
      <w:r>
        <w:rPr>
          <w:rStyle w:val="VerbatimChar"/>
        </w:rPr>
        <w:t>#&gt;  plyr         * 1.8.4   2016-06-08 [1] CRAN (R 3.5.2)</w:t>
      </w:r>
      <w:r>
        <w:br/>
      </w:r>
      <w:r>
        <w:rPr>
          <w:rStyle w:val="VerbatimChar"/>
        </w:rPr>
        <w:t>#&gt;  prettyunits    1.0.2   2015-07-13 [1] CRAN (R 3.5.2)</w:t>
      </w:r>
      <w:r>
        <w:br/>
      </w:r>
      <w:r>
        <w:rPr>
          <w:rStyle w:val="VerbatimChar"/>
        </w:rPr>
        <w:t>#&gt;  processx       3.2.1   2018-12-05 [1] CRAN (R 3.5.2)</w:t>
      </w:r>
      <w:r>
        <w:br/>
      </w:r>
      <w:r>
        <w:rPr>
          <w:rStyle w:val="VerbatimChar"/>
        </w:rPr>
        <w:t>#&gt;  ps             1.3.0   2018-12-21 [1] CRAN (R 3.5.2)</w:t>
      </w:r>
      <w:r>
        <w:br/>
      </w:r>
      <w:r>
        <w:rPr>
          <w:rStyle w:val="VerbatimChar"/>
        </w:rPr>
        <w:t>#&gt;  purrr          0.3.0   2019-01-27 [1] CRAN (R 3.5.2)</w:t>
      </w:r>
      <w:r>
        <w:br/>
      </w:r>
      <w:r>
        <w:rPr>
          <w:rStyle w:val="VerbatimChar"/>
        </w:rPr>
        <w:t>#&gt;  R6             2.4.0   2019-02-14 [1] CRAN (R 3.5.2)</w:t>
      </w:r>
      <w:r>
        <w:br/>
      </w:r>
      <w:r>
        <w:rPr>
          <w:rStyle w:val="VerbatimChar"/>
        </w:rPr>
        <w:t>#&gt;  RColorBrewer * 1.1-2   2014-12-07 [1] CRAN (R 3.5.2)</w:t>
      </w:r>
      <w:r>
        <w:br/>
      </w:r>
      <w:r>
        <w:rPr>
          <w:rStyle w:val="VerbatimChar"/>
        </w:rPr>
        <w:t>#&gt;  Rcpp           1.0.0   2018-11-07 [1] CRAN (R 3.5.2)</w:t>
      </w:r>
      <w:r>
        <w:br/>
      </w:r>
      <w:r>
        <w:rPr>
          <w:rStyle w:val="VerbatimChar"/>
        </w:rPr>
        <w:t>#&gt;  remotes        2.0.2   2018-10-30 [1] CRAN (R 3.5.2)</w:t>
      </w:r>
      <w:r>
        <w:br/>
      </w:r>
      <w:r>
        <w:rPr>
          <w:rStyle w:val="VerbatimChar"/>
        </w:rPr>
        <w:t>#&gt;  reshape      * 0.8.8   2018-10-23 [1] CRAN (R 3.5.3)</w:t>
      </w:r>
      <w:r>
        <w:br/>
      </w:r>
      <w:r>
        <w:rPr>
          <w:rStyle w:val="VerbatimChar"/>
        </w:rPr>
        <w:t>#&gt;  reshape2       1.4.3   2017-12-11 [1] CRAN (R 3.5.2)</w:t>
      </w:r>
      <w:r>
        <w:br/>
      </w:r>
      <w:r>
        <w:rPr>
          <w:rStyle w:val="VerbatimChar"/>
        </w:rPr>
        <w:t>#&gt;  rlang          0.3.1   2019-01-08 [1] CRAN (R 3.5.2)</w:t>
      </w:r>
      <w:r>
        <w:br/>
      </w:r>
      <w:r>
        <w:rPr>
          <w:rStyle w:val="VerbatimChar"/>
        </w:rPr>
        <w:t>#&gt;  rmarkdown      1.11    2018-12-08 [1] CRAN (R 3.5.2)</w:t>
      </w:r>
      <w:r>
        <w:br/>
      </w:r>
      <w:r>
        <w:rPr>
          <w:rStyle w:val="VerbatimChar"/>
        </w:rPr>
        <w:t>#&gt;  rprojroot      1.3-2   2018-01-03 [1] CRAN (R 3.5.2)</w:t>
      </w:r>
      <w:r>
        <w:br/>
      </w:r>
      <w:r>
        <w:rPr>
          <w:rStyle w:val="VerbatimChar"/>
        </w:rPr>
        <w:t>#&gt;  Rttf2pt1       1.3.7   2018-06-29 [1] CRAN (R 3.5.2)</w:t>
      </w:r>
      <w:r>
        <w:br/>
      </w:r>
      <w:r>
        <w:rPr>
          <w:rStyle w:val="VerbatimChar"/>
        </w:rPr>
        <w:t>#&gt;  scales         1.0.0   2018-08-09 [1] CRAN (R 3.5.2)</w:t>
      </w:r>
      <w:r>
        <w:br/>
      </w:r>
      <w:r>
        <w:rPr>
          <w:rStyle w:val="VerbatimChar"/>
        </w:rPr>
        <w:t>#&gt;  sessioninfo    1.1.1   2018-11-05 [1] CRAN (R 3.5.2)</w:t>
      </w:r>
      <w:r>
        <w:br/>
      </w:r>
      <w:r>
        <w:rPr>
          <w:rStyle w:val="VerbatimChar"/>
        </w:rPr>
        <w:t>#&gt;  stringi        1.3.1   2019-02-13 [1] CRAN (R 3.5.2)</w:t>
      </w:r>
      <w:r>
        <w:br/>
      </w:r>
      <w:r>
        <w:rPr>
          <w:rStyle w:val="VerbatimChar"/>
        </w:rPr>
        <w:t>#&gt;  stringr        1.4.0   2019-02-10 [1] CRAN (R 3.5.2)</w:t>
      </w:r>
      <w:r>
        <w:br/>
      </w:r>
      <w:r>
        <w:rPr>
          <w:rStyle w:val="VerbatimChar"/>
        </w:rPr>
        <w:t>#&gt;  tibble         2.0.1   2019-01-12 [1] CRAN (R 3.5.2)</w:t>
      </w:r>
      <w:r>
        <w:br/>
      </w:r>
      <w:r>
        <w:rPr>
          <w:rStyle w:val="VerbatimChar"/>
        </w:rPr>
        <w:t>#&gt;  tidyselect     0.2.5   2018-10-11 [1] CRAN (R 3.5.2)</w:t>
      </w:r>
      <w:r>
        <w:br/>
      </w:r>
      <w:r>
        <w:rPr>
          <w:rStyle w:val="VerbatimChar"/>
        </w:rPr>
        <w:t>#&gt;  usethis        1.4.0   2018-08-14 [1] CRAN (R 3.5.2)</w:t>
      </w:r>
      <w:r>
        <w:br/>
      </w:r>
      <w:r>
        <w:rPr>
          <w:rStyle w:val="VerbatimChar"/>
        </w:rPr>
        <w:t>#&gt;  withr          2.1.2   2018-03-15 [1] CRAN (R 3.5.2)</w:t>
      </w:r>
      <w:r>
        <w:br/>
      </w:r>
      <w:r>
        <w:rPr>
          <w:rStyle w:val="VerbatimChar"/>
        </w:rPr>
        <w:t>#&gt;  xfun           0.5     2019-02-20 [1] CRAN (R 3.5.2)</w:t>
      </w:r>
      <w:r>
        <w:br/>
      </w:r>
      <w:r>
        <w:rPr>
          <w:rStyle w:val="VerbatimChar"/>
        </w:rPr>
        <w:t>#&gt;  yaml           2.2.0   2018-07-25 [1] CRAN (R 3.5.2)</w:t>
      </w:r>
      <w:r>
        <w:br/>
      </w:r>
      <w:r>
        <w:rPr>
          <w:rStyle w:val="VerbatimChar"/>
        </w:rPr>
        <w:t xml:space="preserve">#&gt; </w:t>
      </w:r>
      <w:r>
        <w:br/>
      </w:r>
      <w:r>
        <w:rPr>
          <w:rStyle w:val="VerbatimChar"/>
        </w:rPr>
        <w:t>#&gt; [1] C:/Users/dcpol/R/win-library/3.5</w:t>
      </w:r>
      <w:r>
        <w:br/>
      </w:r>
      <w:r>
        <w:rPr>
          <w:rStyle w:val="VerbatimChar"/>
        </w:rPr>
        <w:t>#&gt; [2] C:/Program Files/R/R-3.5.1/library</w:t>
      </w:r>
    </w:p>
    <w:p w:rsidR="002769F0" w:rsidRDefault="007F6D98">
      <w:pPr>
        <w:pStyle w:val="FirstParagraph"/>
      </w:pPr>
      <w:r>
        <w:t>The current Git commit details are:</w:t>
      </w:r>
    </w:p>
    <w:p w:rsidR="002769F0" w:rsidRDefault="007F6D98">
      <w:pPr>
        <w:pStyle w:val="SourceCode"/>
      </w:pPr>
      <w:r>
        <w:rPr>
          <w:rStyle w:val="VerbatimChar"/>
        </w:rPr>
        <w:t>#&gt; Local:    master C:/Users/dcpol/domproject</w:t>
      </w:r>
      <w:r>
        <w:br/>
      </w:r>
      <w:r>
        <w:rPr>
          <w:rStyle w:val="VerbatimChar"/>
        </w:rPr>
        <w:t>#&gt; Remote:   master @ origin (https://github.com/DCPollard94/knossoscemeteries.git)</w:t>
      </w:r>
      <w:r>
        <w:br/>
      </w:r>
      <w:r>
        <w:rPr>
          <w:rStyle w:val="VerbatimChar"/>
        </w:rPr>
        <w:t>#&gt; Head:     [39634fd] 2019-05-13: Writing analysis part 1</w:t>
      </w:r>
    </w:p>
    <w:sectPr w:rsidR="002769F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564" w:rsidRDefault="003A5564">
      <w:pPr>
        <w:spacing w:after="0"/>
      </w:pPr>
      <w:r>
        <w:separator/>
      </w:r>
    </w:p>
  </w:endnote>
  <w:endnote w:type="continuationSeparator" w:id="0">
    <w:p w:rsidR="003A5564" w:rsidRDefault="003A55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548810"/>
      <w:docPartObj>
        <w:docPartGallery w:val="Page Numbers (Bottom of Page)"/>
        <w:docPartUnique/>
      </w:docPartObj>
    </w:sdtPr>
    <w:sdtEndPr>
      <w:rPr>
        <w:noProof/>
      </w:rPr>
    </w:sdtEndPr>
    <w:sdtContent>
      <w:p w:rsidR="00EA5D2F" w:rsidRDefault="00EA5D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A5D2F" w:rsidRDefault="00EA5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564" w:rsidRDefault="003A5564">
      <w:r>
        <w:separator/>
      </w:r>
    </w:p>
  </w:footnote>
  <w:footnote w:type="continuationSeparator" w:id="0">
    <w:p w:rsidR="003A5564" w:rsidRDefault="003A55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5D2F" w:rsidRDefault="00EA5D2F">
    <w:pPr>
      <w:pStyle w:val="Header"/>
      <w:jc w:val="right"/>
    </w:pPr>
  </w:p>
  <w:p w:rsidR="00EA5D2F" w:rsidRDefault="00EA5D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69F0"/>
    <w:rsid w:val="003A5564"/>
    <w:rsid w:val="004E29B3"/>
    <w:rsid w:val="00590D07"/>
    <w:rsid w:val="00784D58"/>
    <w:rsid w:val="007F6D98"/>
    <w:rsid w:val="008B07DD"/>
    <w:rsid w:val="008D6863"/>
    <w:rsid w:val="00B86B75"/>
    <w:rsid w:val="00BC48D5"/>
    <w:rsid w:val="00C012B2"/>
    <w:rsid w:val="00C36279"/>
    <w:rsid w:val="00CD7BEB"/>
    <w:rsid w:val="00DA6A1C"/>
    <w:rsid w:val="00E315A3"/>
    <w:rsid w:val="00EA5D2F"/>
    <w:rsid w:val="00FB7C5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5CB768-ECF3-40A9-8B49-1C2E270F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012B2"/>
    <w:pPr>
      <w:spacing w:before="180" w:after="180" w:line="360" w:lineRule="auto"/>
    </w:pPr>
    <w:rPr>
      <w:rFonts w:ascii="Book Antiqua" w:hAnsi="Book Antiqua"/>
      <w:sz w:val="22"/>
    </w:rPr>
  </w:style>
  <w:style w:type="paragraph" w:customStyle="1" w:styleId="FirstParagraph">
    <w:name w:val="First Paragraph"/>
    <w:basedOn w:val="BodyText"/>
    <w:next w:val="BodyText"/>
    <w:qFormat/>
    <w:rsid w:val="00C012B2"/>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C012B2"/>
    <w:pPr>
      <w:keepNext/>
      <w:keepLines/>
      <w:spacing w:before="300" w:after="300" w:line="360" w:lineRule="auto"/>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C012B2"/>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A5D2F"/>
    <w:pPr>
      <w:tabs>
        <w:tab w:val="center" w:pos="4513"/>
        <w:tab w:val="right" w:pos="9026"/>
      </w:tabs>
      <w:spacing w:after="0"/>
    </w:pPr>
  </w:style>
  <w:style w:type="character" w:customStyle="1" w:styleId="HeaderChar">
    <w:name w:val="Header Char"/>
    <w:basedOn w:val="DefaultParagraphFont"/>
    <w:link w:val="Header"/>
    <w:uiPriority w:val="99"/>
    <w:rsid w:val="00EA5D2F"/>
  </w:style>
  <w:style w:type="paragraph" w:styleId="Footer">
    <w:name w:val="footer"/>
    <w:basedOn w:val="Normal"/>
    <w:link w:val="FooterChar"/>
    <w:uiPriority w:val="99"/>
    <w:unhideWhenUsed/>
    <w:rsid w:val="00EA5D2F"/>
    <w:pPr>
      <w:tabs>
        <w:tab w:val="center" w:pos="4513"/>
        <w:tab w:val="right" w:pos="9026"/>
      </w:tabs>
      <w:spacing w:after="0"/>
    </w:pPr>
  </w:style>
  <w:style w:type="character" w:customStyle="1" w:styleId="FooterChar">
    <w:name w:val="Footer Char"/>
    <w:basedOn w:val="DefaultParagraphFont"/>
    <w:link w:val="Footer"/>
    <w:uiPriority w:val="99"/>
    <w:rsid w:val="00EA5D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CPollard94/knossoscemeteri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i.org/10.1353/ajp.2011.0043" TargetMode="External"/><Relationship Id="rId7" Type="http://schemas.openxmlformats.org/officeDocument/2006/relationships/hyperlink" Target="mailto:dominic.pollard.16@ucl.ac.u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07/s10816-015-9272-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2307/63122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tdx.cat/handle/10803/8506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2307/506436"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39</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London;dominic.pollard.16@ucl.ac.uk</dc:creator>
  <cp:lastModifiedBy>Dominic Pollard</cp:lastModifiedBy>
  <cp:revision>6</cp:revision>
  <dcterms:created xsi:type="dcterms:W3CDTF">2019-05-14T15:41:00Z</dcterms:created>
  <dcterms:modified xsi:type="dcterms:W3CDTF">2019-05-30T14:50:00Z</dcterms:modified>
</cp:coreProperties>
</file>