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22"/>
          <w:szCs w:val="22"/>
        </w:rPr>
        <w:t xml:space="preserve">CENTRO UNIVERSITÁRIO ANHANGUERA DE NITERÓI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Disciplina: Modelos de Negócios para TI</w:t>
      </w:r>
    </w:p>
    <w:p>
      <w:pPr>
        <w:spacing w:after="300"/>
        <w:jc w:val="center"/>
      </w:pPr>
      <w:r>
        <w:rPr>
          <w:color w:val="595959"/>
          <w:sz w:val="18"/>
          <w:szCs w:val="18"/>
        </w:rPr>
        <w:t xml:space="preserve">Av. Visconde do Rio Branco, 123, Centro, Niterói - RJ</w:t>
      </w:r>
    </w:p>
    <w:p>
      <w:pPr>
        <w:pBdr>
          <w:bottom w:val="single" w:color="0E7C7B" w:sz="12" w:space="4"/>
        </w:pBdr>
        <w:spacing w:after="200"/>
      </w:pPr>
    </w:p>
    <w:p>
      <w:pPr>
        <w:spacing w:after="60"/>
        <w:jc w:val="center"/>
      </w:pPr>
      <w:r>
        <w:rPr>
          <w:b/>
          <w:bCs/>
          <w:color w:val="1F3A5F"/>
          <w:sz w:val="36"/>
          <w:szCs w:val="36"/>
        </w:rPr>
        <w:t xml:space="preserve">PROPOSTA DE VALOR</w:t>
      </w:r>
    </w:p>
    <w:p>
      <w:pPr>
        <w:spacing w:after="400"/>
        <w:jc w:val="center"/>
      </w:pPr>
      <w:r>
        <w:rPr>
          <w:b/>
          <w:bCs/>
          <w:color w:val="0E7C7B"/>
          <w:sz w:val="26"/>
          <w:szCs w:val="26"/>
        </w:rPr>
        <w:t xml:space="preserve">Projeto BikeConnect</w:t>
      </w:r>
    </w:p>
    <w:p>
      <w:pPr>
        <w:spacing w:after="240"/>
      </w:pPr>
      <w:r>
        <w:rPr>
          <w:sz w:val="22"/>
          <w:szCs w:val="22"/>
        </w:rPr>
        <w:t xml:space="preserve">Depois de identificar e validar o problema, chegou o momento de pensar na solução. Aqui entra um conceito fundamental: criar valor. Com base no plano de negócios do projeto BikeConnect, elaborado para a disciplina de Modelos de Negócios para TI, a proposta de valor do grupo foi estruturada respondendo à pergunta central: por que alguém escolheria a nossa empresa?</w:t>
      </w:r>
    </w:p>
    <w:p>
      <w:pPr>
        <w:pStyle w:val="Heading1"/>
        <w:spacing w:after="160" w:before="200"/>
      </w:pPr>
      <w:r>
        <w:rPr>
          <w:b/>
          <w:bCs/>
          <w:color w:val="1F3A5F"/>
          <w:sz w:val="26"/>
          <w:szCs w:val="26"/>
        </w:rPr>
        <w:t xml:space="preserve">1. Por que alguém escolheria o BikeConnect?</w:t>
      </w:r>
    </w:p>
    <w:p>
      <w:pPr>
        <w:spacing w:after="160"/>
      </w:pPr>
      <w:r>
        <w:rPr>
          <w:sz w:val="22"/>
          <w:szCs w:val="22"/>
        </w:rPr>
        <w:t xml:space="preserve">As operadoras e gestoras de frotas de bicicletas compartilhadas escolheriam o BikeConnect porque a plataforma resolve uma dor crítica e, muitas vezes, invisível do setor: a perda de usuários e de receita provocada pela impossibilidade de liberar bicicletas quando o celular do usuário está sem sinal ou sem pacote de dados móveis.</w:t>
      </w:r>
    </w:p>
    <w:p>
      <w:pPr>
        <w:spacing w:after="200"/>
      </w:pPr>
      <w:r>
        <w:rPr>
          <w:sz w:val="22"/>
          <w:szCs w:val="22"/>
        </w:rPr>
        <w:t xml:space="preserve">O BikeConnect atua como uma camada de conectividade agnóstica, que utiliza comunicação local (Bluetooth Low Energy / Wi-Fi local) entre o smartphone e a estação de travamento, dispensando a internet móvel no momento da retirada. Além disso, a tecnologia se integra às estações já existentes, evitando que o cliente B2B precise trocar toda a sua frota atual.</w:t>
      </w:r>
    </w:p>
    <w:p>
      <w:pPr>
        <w:pStyle w:val="Heading1"/>
        <w:spacing w:after="160" w:before="200"/>
      </w:pPr>
      <w:r>
        <w:rPr>
          <w:b/>
          <w:bCs/>
          <w:color w:val="1F3A5F"/>
          <w:sz w:val="26"/>
          <w:szCs w:val="26"/>
        </w:rPr>
        <w:t xml:space="preserve">2. Demonstrativo de Benefícios da Proposta de Valor</w:t>
      </w:r>
    </w:p>
    <w:p>
      <w:pPr>
        <w:spacing w:after="160"/>
      </w:pPr>
      <w:r>
        <w:rPr>
          <w:sz w:val="22"/>
          <w:szCs w:val="22"/>
        </w:rPr>
        <w:t xml:space="preserve">A proposta de valor do BikeConnect atende diretamente aos seguintes benefícios essenciais para a criação de valor percebido pelo cliente: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3A5F"/>
        </w:rPr>
        <w:t xml:space="preserve">Economia de tempo: </w:t>
      </w:r>
      <w:r>
        <w:t xml:space="preserve">o usuário libera a bicicleta de forma ágil (em até 5 segundos), sem precisar esperar o sinal da operadora carregar ou procurar redes Wi-Fi públicas na rua.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3A5F"/>
        </w:rPr>
        <w:t xml:space="preserve">Redução de custos: </w:t>
      </w:r>
      <w:r>
        <w:t xml:space="preserve">para as empresas e prefeituras, evita a perda silenciosa de corridas e de assinantes por falha de conexão; para os usuários, elimina a dependência de consumir pacotes de dados móveis para acessar o transporte.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3A5F"/>
        </w:rPr>
        <w:t xml:space="preserve">Praticidade e conveniência: </w:t>
      </w:r>
      <w:r>
        <w:t xml:space="preserve">o processo de retirada (escanear o QR Code e liberar via Bluetooth/Wi-Fi local) ocorre de forma suave, mesmo em áreas com sombra de cobertura de telecomunicações, como subsolos, parques fechados ou regiões periféricas.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3A5F"/>
        </w:rPr>
        <w:t xml:space="preserve">Segurança: </w:t>
      </w:r>
      <w:r>
        <w:t xml:space="preserve">uso de tokens criptográficos temporários, assinados digitalmente e armazenados localmente no aplicativo, garantindo que a bicicleta só seja liberada para contas válidas e previamente autorizadas, mesmo offline.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3A5F"/>
        </w:rPr>
        <w:t xml:space="preserve">Acessibilidade e inclusão digital: </w:t>
      </w:r>
      <w:r>
        <w:t xml:space="preserve">democratiza o acesso ao transporte ativo compartilhado para estudantes e pessoas com planos pré-pagos esgotados ou sem acesso contínuo a dados móveis.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3A5F"/>
        </w:rPr>
        <w:t xml:space="preserve">Redução de riscos: </w:t>
      </w:r>
      <w:r>
        <w:t xml:space="preserve">diminui a taxa de abandono do serviço por falhas no aplicativo e reduz o volume de reclamações nos canais de suporte ao cliente.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F3A5F"/>
        </w:rPr>
        <w:t xml:space="preserve">Melhoria da experiência do usuário: </w:t>
      </w:r>
      <w:r>
        <w:t xml:space="preserve">garante previsibilidade e confiabilidade, de modo que o usuário sabe que conseguirá utilizar o serviço sempre que chegar a uma estação.</w:t>
      </w:r>
    </w:p>
    <w:p>
      <w:pPr>
        <w:pStyle w:val="Heading1"/>
        <w:spacing w:after="160" w:before="300"/>
      </w:pPr>
      <w:r>
        <w:rPr>
          <w:b/>
          <w:bCs/>
          <w:color w:val="1F3A5F"/>
          <w:sz w:val="26"/>
          <w:szCs w:val="26"/>
        </w:rPr>
        <w:t xml:space="preserve">3. Público-Alvo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Público B2B
(pagante)</w:t>
            </w:r>
          </w:p>
        </w:tc>
        <w:tc>
          <w:tcPr>
            <w:tcW w:type="dxa" w:w="703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Operadoras de bicicleta compartilhada (ex.: Tembici), prefeituras municipais, universidades, parques, condomínios e centros turísticos.</w:t>
            </w:r>
          </w:p>
        </w:tc>
      </w:tr>
      <w:tr>
        <w:tc>
          <w:tcPr>
            <w:tcW w:type="dxa" w:w="2600"/>
            <w:shd w:fill="0E7C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Público B2C
(usuário final)</w:t>
            </w:r>
          </w:p>
        </w:tc>
        <w:tc>
          <w:tcPr>
            <w:tcW w:type="dxa" w:w="7038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Estudantes, trabalhadores e turistas que utilizam o transporte cicloviário e enfrentam oscilações ou ausência de internet móvel.</w:t>
            </w:r>
          </w:p>
        </w:tc>
      </w:tr>
    </w:tbl>
    <w:p>
      <w:pPr>
        <w:pStyle w:val="Heading1"/>
        <w:spacing w:after="160" w:before="300"/>
      </w:pPr>
      <w:r>
        <w:rPr>
          <w:b/>
          <w:bCs/>
          <w:color w:val="1F3A5F"/>
          <w:sz w:val="26"/>
          <w:szCs w:val="26"/>
        </w:rPr>
        <w:t xml:space="preserve">4. Referência Acadêmica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Instituição: </w:t>
      </w:r>
      <w:r>
        <w:rPr>
          <w:sz w:val="22"/>
          <w:szCs w:val="22"/>
        </w:rPr>
        <w:t xml:space="preserve">Centro Universitário Anhanguera de Niterói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Endereço: </w:t>
      </w:r>
      <w:r>
        <w:rPr>
          <w:sz w:val="22"/>
          <w:szCs w:val="22"/>
        </w:rPr>
        <w:t xml:space="preserve">Avenida Visconde do Rio Branco, 123, Centro, Niterói - RJ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Disciplina: </w:t>
      </w:r>
      <w:r>
        <w:rPr>
          <w:sz w:val="22"/>
          <w:szCs w:val="22"/>
        </w:rPr>
        <w:t xml:space="preserve">Modelos de Negócios para TI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Projeto: </w:t>
      </w:r>
      <w:r>
        <w:rPr>
          <w:sz w:val="22"/>
          <w:szCs w:val="22"/>
        </w:rPr>
        <w:t xml:space="preserve">BikeConnect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2026-09-15T18:25:18.086Z</dcterms:created>
  <dcterms:modified xsi:type="dcterms:W3CDTF">2026-09-15T18:25:18.087Z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