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98D3" w14:textId="3250B12B" w:rsidR="00DE43AD" w:rsidRPr="00C705D1" w:rsidRDefault="00D1151A" w:rsidP="00946AC7">
      <w:pPr>
        <w:jc w:val="center"/>
        <w:rPr>
          <w:b/>
          <w:bCs/>
          <w:sz w:val="32"/>
          <w:szCs w:val="32"/>
        </w:rPr>
      </w:pPr>
      <w:r>
        <w:rPr>
          <w:b/>
          <w:bCs/>
          <w:sz w:val="32"/>
          <w:szCs w:val="32"/>
        </w:rPr>
        <w:t xml:space="preserve">Tether Expert </w:t>
      </w:r>
      <w:r w:rsidR="00946AC7" w:rsidRPr="00C705D1">
        <w:rPr>
          <w:b/>
          <w:bCs/>
          <w:sz w:val="32"/>
          <w:szCs w:val="32"/>
        </w:rPr>
        <w:t xml:space="preserve">Research </w:t>
      </w:r>
      <w:r>
        <w:rPr>
          <w:b/>
          <w:bCs/>
          <w:sz w:val="32"/>
          <w:szCs w:val="32"/>
        </w:rPr>
        <w:t>A</w:t>
      </w:r>
      <w:r w:rsidR="00946AC7" w:rsidRPr="00C705D1">
        <w:rPr>
          <w:b/>
          <w:bCs/>
          <w:sz w:val="32"/>
          <w:szCs w:val="32"/>
        </w:rPr>
        <w:t>rticles</w:t>
      </w:r>
    </w:p>
    <w:p w14:paraId="274897AB"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Why the nervous system dysregulates — the foundational "why"</w:t>
      </w:r>
    </w:p>
    <w:p w14:paraId="26EF44B4" w14:textId="087E208A"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Porges, S.W. (2025). Polyvagal Theory: Current Status, Clinical Applications, and Future Directions. Clinical Neuropsychiatry, 22(3), 175-191. </w:t>
      </w:r>
      <w:hyperlink r:id="rId4" w:history="1">
        <w:r w:rsidRPr="00946AC7">
          <w:rPr>
            <w:rFonts w:ascii="Times New Roman" w:eastAsia="Times New Roman" w:hAnsi="Times New Roman" w:cs="Times New Roman"/>
            <w:color w:val="0000FF"/>
            <w:kern w:val="0"/>
            <w:u w:val="single"/>
            <w14:ligatures w14:val="none"/>
          </w:rPr>
          <w:t>https://pmc.ncbi.nlm.nih.gov/articles/PMC12302812/</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Porges (2025): "Polyvagal Theory reconceptualizes psychological and behavioral symptoms as adaptive expressions of autonomic state, rather than as evidence of cognitive or emotional failure. Rather than targeting symptoms in isolation, Polyvagal-informed care prioritizes interventions aligned with the client's current physiological state. By recognizing state-dependent functioning, clinicians can select strategies that match an individual's physiological readiness for regulation."</w:t>
      </w:r>
    </w:p>
    <w:p w14:paraId="442B6F1A" w14:textId="3647038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Porges, S.W. (2009). The Polyvagal Theory: New Insights into Adaptive Reactions of the Autonomic Nervous System. PMC. </w:t>
      </w:r>
      <w:hyperlink r:id="rId5" w:history="1">
        <w:r w:rsidRPr="00946AC7">
          <w:rPr>
            <w:rFonts w:ascii="Times New Roman" w:eastAsia="Times New Roman" w:hAnsi="Times New Roman" w:cs="Times New Roman"/>
            <w:color w:val="0000FF"/>
            <w:kern w:val="0"/>
            <w:u w:val="single"/>
            <w14:ligatures w14:val="none"/>
          </w:rPr>
          <w:t>https://pmc.ncbi.nlm.nih.gov/articles/PMC3108032/</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Porges (2009): "The three circuits are organized and respond to challenges in a phylogenetically determined hierarchy. Functionally, when the environment is perceived as safe, two important features are expressed. First, bodily state is regulated in an efficient manner to promote growth and restoration."</w:t>
      </w:r>
    </w:p>
    <w:p w14:paraId="51521DBF"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Understanding the three autonomic states (ventral vagal, sympathetic, dorsal vagal) and why the same input regulates one person and dysregulates another. Core justification for Tether's behavioral learning model over explicit preference input.</w:t>
      </w:r>
    </w:p>
    <w:p w14:paraId="04A162F6" w14:textId="6C5156E7"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Justifies behavioral learning over explicit preference input. The nervous system's state determines what will work — you cannot ask a dysregulated person to accurately report what they need.</w:t>
      </w:r>
    </w:p>
    <w:p w14:paraId="564C1867"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37186D">
          <v:rect id="_x0000_i1034" alt="" style="width:468pt;height:.05pt;mso-width-percent:0;mso-height-percent:0;mso-width-percent:0;mso-height-percent:0" o:hralign="center" o:hrstd="t" o:hr="t" fillcolor="#a0a0a0" stroked="f"/>
        </w:pict>
      </w:r>
    </w:p>
    <w:p w14:paraId="40511676"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Why sensory thresholds vary person to person</w:t>
      </w:r>
    </w:p>
    <w:p w14:paraId="01D78E0E" w14:textId="51C84CD1"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Miller et al. (2009). Perspectives on Sensory Processing Disorder: A Call for Translational Research. Frontiers in Integrative Neuroscience. </w:t>
      </w:r>
      <w:hyperlink r:id="rId6" w:history="1">
        <w:r w:rsidRPr="00946AC7">
          <w:rPr>
            <w:rFonts w:ascii="Times New Roman" w:eastAsia="Times New Roman" w:hAnsi="Times New Roman" w:cs="Times New Roman"/>
            <w:color w:val="0000FF"/>
            <w:kern w:val="0"/>
            <w:u w:val="single"/>
            <w14:ligatures w14:val="none"/>
          </w:rPr>
          <w:t>https://www.frontiersin.org/journals/integrative-neuroscience/articles/10.3389/neuro.07.022.2009/full</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Miller et al. (2009): "Those with sensory over-responsivity are easily overwhelmed by daily sensory experiences, while those with sensory under-responsivity tend to tune-out or not notice the same sensory experiences. Active participation is required for neural changes."</w:t>
      </w:r>
    </w:p>
    <w:p w14:paraId="457152C0" w14:textId="74FAF405"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Bar-Shalita et al. (2021). Sensory Over-Responsivity is Related to GABAergic Inhibition in Thalamocortical Circuits. Translational Psychiatry. </w:t>
      </w:r>
      <w:hyperlink r:id="rId7" w:history="1">
        <w:r w:rsidRPr="00946AC7">
          <w:rPr>
            <w:rFonts w:ascii="Times New Roman" w:eastAsia="Times New Roman" w:hAnsi="Times New Roman" w:cs="Times New Roman"/>
            <w:color w:val="0000FF"/>
            <w:kern w:val="0"/>
            <w:u w:val="single"/>
            <w14:ligatures w14:val="none"/>
          </w:rPr>
          <w:t>https://www.nature.com/articles/s41398-020-01154-0</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Bar-Shalita et al. (2021): "Sensory over-responsivity — responding too much, for too long, or to stimuli of weak intensity — represents a major disruption in sensory processing and is present in 5–15% of the general population."</w:t>
      </w:r>
    </w:p>
    <w:p w14:paraId="27807B47"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Explaining why the same haptic, sound, or visual can regulate one person and dysregulate another. Justification for Tether's personalized, behavior-learned approach rather than one-size-fits-all exercises.</w:t>
      </w:r>
    </w:p>
    <w:p w14:paraId="60D3BDB0" w14:textId="356F28A6"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Validates why the same haptic, sound, or visual will regulate one person and dysregulate another. Tether must learn individual thresholds through behavior, not self-report.</w:t>
      </w:r>
    </w:p>
    <w:p w14:paraId="07061003"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481F00">
          <v:rect id="_x0000_i1033" alt="" style="width:468pt;height:.05pt;mso-width-percent:0;mso-height-percent:0;mso-width-percent:0;mso-height-percent:0" o:hralign="center" o:hrstd="t" o:hr="t" fillcolor="#a0a0a0" stroked="f"/>
        </w:pict>
      </w:r>
    </w:p>
    <w:p w14:paraId="0EA105EE"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lastRenderedPageBreak/>
        <w:t>Why instruction-based tools fail in overwhelm</w:t>
      </w:r>
    </w:p>
    <w:p w14:paraId="526D2FD6" w14:textId="0C87C042"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Siegel, D.J. (1999). The Developing Mind. Referenced in multiple clinical sources. Corrigan, F.M., Fisher, J.J., &amp; Nutt, D.J. (2011). Autonomic Dysregulation and the Window of Tolerance Model. Journal of Psychopharmacology, 25(1), 17-25. </w:t>
      </w:r>
      <w:hyperlink r:id="rId8" w:history="1">
        <w:r w:rsidRPr="00946AC7">
          <w:rPr>
            <w:rFonts w:ascii="Times New Roman" w:eastAsia="Times New Roman" w:hAnsi="Times New Roman" w:cs="Times New Roman"/>
            <w:color w:val="0000FF"/>
            <w:kern w:val="0"/>
            <w:u w:val="single"/>
            <w14:ligatures w14:val="none"/>
          </w:rPr>
          <w:t>https://www.researchgate.net/publication/41111427_Autonomic_dysregulation_and_the_Window_of_Tolerance_Model_of_the_effects_of_complex_emotional_trauma</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Siegel via Psychology Tools: "When arousal exceeds the upper threshold, clients may experience hyperarousal such as panic, irritability, and impulsivity, while dropping below the lower threshold can lead to hypoarousal such as emotional numbing, dissociation, and withdrawal. Once pushed outside the window of tolerance, it can become very difficult to take in new information."</w:t>
      </w:r>
      <w:r w:rsidR="00532660">
        <w:br/>
      </w:r>
      <w:r w:rsidR="00532660">
        <w:tab/>
      </w:r>
      <w:hyperlink r:id="rId9" w:history="1">
        <w:r w:rsidR="00532660" w:rsidRPr="00532660">
          <w:rPr>
            <w:rStyle w:val="Hyperlink"/>
          </w:rPr>
          <w:t>https://www.psychologytools.com/resource/window-of-tolerance</w:t>
        </w:r>
      </w:hyperlink>
    </w:p>
    <w:p w14:paraId="1066911E" w14:textId="51ACAEBA" w:rsidR="00532660" w:rsidRPr="00532660"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Ogden, P., Minton, K., &amp; Pain, C. (2006). Trauma and the Body: A Sensorimotor Approach to Psychotherapy. Norton. Referenced at: </w:t>
      </w:r>
      <w:hyperlink r:id="rId10" w:history="1">
        <w:r w:rsidRPr="00946AC7">
          <w:rPr>
            <w:rFonts w:ascii="Times New Roman" w:eastAsia="Times New Roman" w:hAnsi="Times New Roman" w:cs="Times New Roman"/>
            <w:color w:val="0000FF"/>
            <w:kern w:val="0"/>
            <w:u w:val="single"/>
            <w14:ligatures w14:val="none"/>
          </w:rPr>
          <w:t>https://www.psychologytools.com/resource/window-of-tolerance</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br/>
      </w:r>
      <w:r w:rsidR="00532660">
        <w:t>Corrigan et al. (2011): "Autonomic arousal in the wake of trauma: sympathetic hyperarousal and parasympathetic hypoarousal states drive emotional and autonomic dysregulation. States of optimal arousal and emotional regulation are relatively rare or difficult to maintain."</w:t>
      </w:r>
      <w:r w:rsidR="00532660">
        <w:br/>
      </w:r>
      <w:hyperlink r:id="rId11" w:history="1">
        <w:r w:rsidR="00532660" w:rsidRPr="00532660">
          <w:rPr>
            <w:rStyle w:val="Hyperlink"/>
          </w:rPr>
          <w:t>https://www.researchgate.net/publication/41111427_Autonomic_dysregulation_and_the_Window_of_Tolerance_Model_of_the_effects_of_complex_emotional_trauma</w:t>
        </w:r>
      </w:hyperlink>
    </w:p>
    <w:p w14:paraId="09928E01"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Window of Tolerance framework — when someone is outside their window (hyperarousal or hypoarousal) they cannot process new information. Justification for no decision at entry and no onboarding.</w:t>
      </w:r>
    </w:p>
    <w:p w14:paraId="771CF623" w14:textId="1E6069A7"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When someone is outside their window they literally cannot process instructions, choices, or onboarding. Every decision removed at entry is a direct response to this research.</w:t>
      </w:r>
    </w:p>
    <w:p w14:paraId="565E68B8"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B58535">
          <v:rect id="_x0000_i1032" alt="" style="width:468pt;height:.05pt;mso-width-percent:0;mso-height-percent:0;mso-width-percent:0;mso-height-percent:0" o:hralign="center" o:hrstd="t" o:hr="t" fillcolor="#a0a0a0" stroked="f"/>
        </w:pict>
      </w:r>
    </w:p>
    <w:p w14:paraId="7EE4490F"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Why users can't identify what they need when overwhelmed</w:t>
      </w:r>
    </w:p>
    <w:p w14:paraId="16D3CC12" w14:textId="5D8D869F"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Garfinkel, S.N., Seth, A.K., Barrett, A.B., Suzuki, K., &amp; Critchley, H.D. (2015). Knowing Your Own Heart: Distinguishing Interoceptive Accuracy from Interoceptive Awareness. Biological Psychology, 104, 65-74. </w:t>
      </w:r>
      <w:hyperlink r:id="rId12" w:history="1">
        <w:r w:rsidRPr="00946AC7">
          <w:rPr>
            <w:rFonts w:ascii="Times New Roman" w:eastAsia="Times New Roman" w:hAnsi="Times New Roman" w:cs="Times New Roman"/>
            <w:color w:val="0000FF"/>
            <w:kern w:val="0"/>
            <w:u w:val="single"/>
            <w14:ligatures w14:val="none"/>
          </w:rPr>
          <w:t>https://pubmed.ncbi.nlm.nih.gov/25451381/</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Garfinkel et al. (2015): "Interoception refers to the sensing of internal bodily changes. Interoception interacts with cognition and emotion. Interoceptive accuracy was only partly predicted by interoceptive awareness and interoceptive sensibility."</w:t>
      </w:r>
    </w:p>
    <w:p w14:paraId="56489F89" w14:textId="07BFDD3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Greenwood, B.M. &amp; Garfinkel, S.N. (2025). Interoceptive Mechanisms and Emotional Processing. Annual Review of Psychology, 76, 59-86. </w:t>
      </w:r>
      <w:hyperlink r:id="rId13" w:history="1">
        <w:r w:rsidRPr="00946AC7">
          <w:rPr>
            <w:rFonts w:ascii="Times New Roman" w:eastAsia="Times New Roman" w:hAnsi="Times New Roman" w:cs="Times New Roman"/>
            <w:color w:val="0000FF"/>
            <w:kern w:val="0"/>
            <w:u w:val="single"/>
            <w14:ligatures w14:val="none"/>
          </w:rPr>
          <w:t>https://www.annualreviews.org/content/journals/10.1146/annurev-psych-020924-125202</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Greenwood &amp; Garfinkel (2025): "Interoception, the sensing of internal bodily signals, is intricately linked with the experience of emotions. Clinical and neurodevelopmental conditions characterized by altered emotional profiles exhibit distinct changes in interoception."</w:t>
      </w:r>
    </w:p>
    <w:p w14:paraId="3B1D322C"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Interoception research showing that under dysregulation, people lose accurate access to their own body signals. Justification for behavioral learning over asking users what they need.</w:t>
      </w:r>
    </w:p>
    <w:p w14:paraId="484BCF21" w14:textId="1AE57198"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People under dysregulation lose accurate access to their own body signals. They cannot reliably tell you — or an app — what they need. Behavioral observation is the only reliable signal.</w:t>
      </w:r>
    </w:p>
    <w:p w14:paraId="6A1A8EEF"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2675F912">
          <v:rect id="_x0000_i1031" alt="" style="width:468pt;height:.05pt;mso-width-percent:0;mso-height-percent:0;mso-width-percent:0;mso-height-percent:0" o:hralign="center" o:hrstd="t" o:hr="t" fillcolor="#a0a0a0" stroked="f"/>
        </w:pict>
      </w:r>
    </w:p>
    <w:p w14:paraId="17EA5592"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Why cognitive tools fail during acute stress</w:t>
      </w:r>
    </w:p>
    <w:p w14:paraId="13E1875A" w14:textId="56B8FA73"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Shields et al. (2016). The Effects of Acute Stress on Core Executive Functions: A Meta-Analysis. PMC. </w:t>
      </w:r>
      <w:hyperlink r:id="rId14" w:history="1">
        <w:r w:rsidRPr="00946AC7">
          <w:rPr>
            <w:rFonts w:ascii="Times New Roman" w:eastAsia="Times New Roman" w:hAnsi="Times New Roman" w:cs="Times New Roman"/>
            <w:color w:val="0000FF"/>
            <w:kern w:val="0"/>
            <w:u w:val="single"/>
            <w14:ligatures w14:val="none"/>
          </w:rPr>
          <w:t>https://pmc.ncbi.nlm.nih.gov/articles/PMC5003767/</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Shields et al. (2016): "Stress impaired working memory and cognitive flexibility. Acute stress results in a shift away from flexible, effortful behavior toward more primitive and rigid, but less cognitively demanding, forms of control."</w:t>
      </w:r>
    </w:p>
    <w:p w14:paraId="4E123BD8" w14:textId="03638302"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Arnsten, A.F. (2009). Stress Signalling Pathways that Impair Prefrontal Cortex Structure and Function. Referenced in Frontiers in Human Neuroscience (2013). </w:t>
      </w:r>
      <w:hyperlink r:id="rId15" w:history="1">
        <w:r w:rsidRPr="00946AC7">
          <w:rPr>
            <w:rFonts w:ascii="Times New Roman" w:eastAsia="Times New Roman" w:hAnsi="Times New Roman" w:cs="Times New Roman"/>
            <w:color w:val="0000FF"/>
            <w:kern w:val="0"/>
            <w:u w:val="single"/>
            <w14:ligatures w14:val="none"/>
          </w:rPr>
          <w:t>https://www.frontiersin.org/journals/human-neuroscience/articles/10.3389/fnhum.2013.00123/full</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Arnsten (2009) via Frontiers in Human Neuroscience: "The prefrontal cortex becomes markedly impaired by stress, producing measurable deficits in working memory. From an ethological standpoint, this loss of complex processing may have once allowed more primitive behaviors to take precedence in order to aid survival."</w:t>
      </w:r>
    </w:p>
    <w:p w14:paraId="2C8EB77E" w14:textId="7A16CDDE"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Bogdanov, M. et al. (2021). Acute Psychosocial Stress Increases Cognitive-Effort Avoidance. Psychological Science. </w:t>
      </w:r>
      <w:hyperlink r:id="rId16" w:history="1">
        <w:r w:rsidRPr="00946AC7">
          <w:rPr>
            <w:rFonts w:ascii="Times New Roman" w:eastAsia="Times New Roman" w:hAnsi="Times New Roman" w:cs="Times New Roman"/>
            <w:color w:val="0000FF"/>
            <w:kern w:val="0"/>
            <w:u w:val="single"/>
            <w14:ligatures w14:val="none"/>
          </w:rPr>
          <w:t>https://journals.sagepub.com/doi/10.1177/09567976211005465</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Bogdanov et al. (2021): "Acute stress results in a shift away from flexible, effortful behavior toward more primitive and rigid, but less cognitively demanding, forms of control. Acute stress triggers a reallocation of resources from the executive control network to the salience network, which temporarily impairs cognitive performance."</w:t>
      </w:r>
    </w:p>
    <w:p w14:paraId="7A22376F"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Scientific basis for removing decision-making at point of entry. Under acute stress, working memory and cognitive flexibility collapse — users default to the simplest path. Justification for automatic exercise sequencing.</w:t>
      </w:r>
    </w:p>
    <w:p w14:paraId="2D6AAD97" w14:textId="4CF3311A"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Under acute stress the brain cannot process menus, choices, or multi-step instructions. Automatic exercise sequencing is the correct design response.</w:t>
      </w:r>
    </w:p>
    <w:p w14:paraId="0DB5954A"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321526">
          <v:rect id="_x0000_i1030" alt="" style="width:468pt;height:.05pt;mso-width-percent:0;mso-height-percent:0;mso-width-percent:0;mso-height-percent:0" o:hralign="center" o:hrstd="t" o:hr="t" fillcolor="#a0a0a0" stroked="f"/>
        </w:pict>
      </w:r>
    </w:p>
    <w:p w14:paraId="0A2CE405"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Breath as fastest regulation tool</w:t>
      </w:r>
    </w:p>
    <w:p w14:paraId="773446C4" w14:textId="148E9E91" w:rsidR="00946AC7" w:rsidRDefault="00946AC7" w:rsidP="00946AC7">
      <w:pPr>
        <w:spacing w:before="100" w:beforeAutospacing="1" w:after="100" w:afterAutospacing="1" w:line="240" w:lineRule="auto"/>
      </w:pPr>
      <w:r w:rsidRPr="00946AC7">
        <w:rPr>
          <w:rFonts w:ascii="Times New Roman" w:eastAsia="Times New Roman" w:hAnsi="Times New Roman" w:cs="Times New Roman"/>
          <w:kern w:val="0"/>
          <w14:ligatures w14:val="none"/>
        </w:rPr>
        <w:t xml:space="preserve">Balban, M.Y., Neri, E., Kogon, M.M., Weed, L., Nouriani, B., Jo, B., Holl, G., Zeitzer, J.M., Spiegel, D., &amp; Huberman, A.D. (2023). Brief Structured Respiration Practices Enhance Mood and Reduce Physiological Arousal. Cell Reports Medicine, 4(1), 100895. </w:t>
      </w:r>
      <w:hyperlink r:id="rId17" w:history="1">
        <w:r w:rsidRPr="00946AC7">
          <w:rPr>
            <w:rFonts w:ascii="Times New Roman" w:eastAsia="Times New Roman" w:hAnsi="Times New Roman" w:cs="Times New Roman"/>
            <w:color w:val="0000FF"/>
            <w:kern w:val="0"/>
            <w:u w:val="single"/>
            <w14:ligatures w14:val="none"/>
          </w:rPr>
          <w:t>https://pubmed.ncbi.nlm.nih.gov/36630953/</w:t>
        </w:r>
      </w:hyperlink>
      <w:r w:rsidRPr="00946AC7">
        <w:rPr>
          <w:rFonts w:ascii="Times New Roman" w:eastAsia="Times New Roman" w:hAnsi="Times New Roman" w:cs="Times New Roman"/>
          <w:kern w:val="0"/>
          <w14:ligatures w14:val="none"/>
        </w:rPr>
        <w:t xml:space="preserve"> Full PDF: </w:t>
      </w:r>
      <w:hyperlink r:id="rId18" w:history="1">
        <w:r w:rsidRPr="00946AC7">
          <w:rPr>
            <w:rFonts w:ascii="Times New Roman" w:eastAsia="Times New Roman" w:hAnsi="Times New Roman" w:cs="Times New Roman"/>
            <w:color w:val="0000FF"/>
            <w:kern w:val="0"/>
            <w:u w:val="single"/>
            <w14:ligatures w14:val="none"/>
          </w:rPr>
          <w:t>https://www.cell.com/cell-reports-medicine/pdf/S2666-3791(22)00474-8.pdf</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Balban, Huberman, Spiegel et al. (2023): "Breathwork, especially the exhale-focused cyclic sighing, produces greater improvement in mood and reduction in respiratory rate compared with mindfulness meditation. Daily 5-min cyclic sighing has promise as an effective stress management exercise."</w:t>
      </w:r>
    </w:p>
    <w:p w14:paraId="12831DAF" w14:textId="7BBDA73C" w:rsidR="00532660" w:rsidRPr="00946AC7" w:rsidRDefault="00532660" w:rsidP="00946AC7">
      <w:pPr>
        <w:spacing w:before="100" w:beforeAutospacing="1" w:after="100" w:afterAutospacing="1" w:line="240" w:lineRule="auto"/>
        <w:rPr>
          <w:rFonts w:ascii="Times New Roman" w:eastAsia="Times New Roman" w:hAnsi="Times New Roman" w:cs="Times New Roman"/>
          <w:kern w:val="0"/>
          <w14:ligatures w14:val="none"/>
        </w:rPr>
      </w:pPr>
      <w:r>
        <w:t>Stanford Medicine summary: "Cyclic sighing can be done anytime, anywhere — with zero cost and zero side effects. Controlled breathwork seems to be a straightforward way to lower physiologic arousal and regulate your mood."</w:t>
      </w:r>
    </w:p>
    <w:p w14:paraId="2B8BBAD3" w14:textId="05A76F7B"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lastRenderedPageBreak/>
        <w:t>Used for: Justification for breath as the first exercise in Tether's sequence. Cyclic sighing outperformed all other interventions including meditation for immediate mood improvement and physiological arousal reduction. Five minutes is meaningful but even 1-3 sighs shift state.</w:t>
      </w:r>
    </w:p>
    <w:p w14:paraId="717BA736" w14:textId="34B9E31A"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Breath is the first exercise in Tether's sequence. Exhale-focused breathing is the fastest amygdala interrupt that requires the least cognitive input.</w:t>
      </w:r>
    </w:p>
    <w:p w14:paraId="2A8B009A"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244954">
          <v:rect id="_x0000_i1029" alt="" style="width:468pt;height:.05pt;mso-width-percent:0;mso-height-percent:0;mso-width-percent:0;mso-height-percent:0" o:hralign="center" o:hrstd="t" o:hr="t" fillcolor="#a0a0a0" stroked="f"/>
        </w:pict>
      </w:r>
    </w:p>
    <w:p w14:paraId="31A2E684"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Sensory grounding techniques and what works</w:t>
      </w:r>
    </w:p>
    <w:p w14:paraId="5172363C" w14:textId="7872912E"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Hammond, J. &amp; Brown, W.J. (2025). Building an Operational Definition of Grounding. Sage Journals. </w:t>
      </w:r>
      <w:hyperlink r:id="rId19" w:history="1">
        <w:r w:rsidRPr="00946AC7">
          <w:rPr>
            <w:rFonts w:ascii="Times New Roman" w:eastAsia="Times New Roman" w:hAnsi="Times New Roman" w:cs="Times New Roman"/>
            <w:color w:val="0000FF"/>
            <w:kern w:val="0"/>
            <w:u w:val="single"/>
            <w14:ligatures w14:val="none"/>
          </w:rPr>
          <w:t>https://journals.sagepub.com/doi/10.1177/15248380251343189</w:t>
        </w:r>
      </w:hyperlink>
      <w:r w:rsidR="00532660">
        <w:rPr>
          <w:rFonts w:ascii="Times New Roman" w:eastAsia="Times New Roman" w:hAnsi="Times New Roman" w:cs="Times New Roman"/>
          <w:kern w:val="0"/>
          <w14:ligatures w14:val="none"/>
        </w:rPr>
        <w:br/>
      </w:r>
      <w:r w:rsidR="00532660">
        <w:rPr>
          <w:rFonts w:ascii="Times New Roman" w:eastAsia="Times New Roman" w:hAnsi="Times New Roman" w:cs="Times New Roman"/>
          <w:kern w:val="0"/>
          <w14:ligatures w14:val="none"/>
        </w:rPr>
        <w:tab/>
      </w:r>
      <w:r w:rsidR="00532660">
        <w:t>Hammond &amp; Brown (2025): "Grounding techniques may be distinct from mindfulness, as the former operates via basic sensory input which remains accessible during dissociation. The resources an individual requires as a precondition for cognitive grounding techniques to be effective may be rendered inaccessible during a dissociative episode."</w:t>
      </w:r>
    </w:p>
    <w:p w14:paraId="2597854C"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Establishing that sensory grounding works during dissociation when cognitive grounding does not. Justification for sequencing sensory exercises before cognitive ones.</w:t>
      </w:r>
    </w:p>
    <w:p w14:paraId="17D6AD7B" w14:textId="472B5E63" w:rsidR="00532660" w:rsidRPr="00532660" w:rsidRDefault="00532660"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532660">
        <w:rPr>
          <w:rFonts w:ascii="Times New Roman" w:eastAsia="Times New Roman" w:hAnsi="Times New Roman" w:cs="Times New Roman"/>
          <w:i/>
          <w:iCs/>
          <w:kern w:val="0"/>
          <w14:ligatures w14:val="none"/>
        </w:rPr>
        <w:t>Design use: Sensory exercises must come before cognitive ones in Tether's sequence. This is the research basis for the entire exercise ordering.</w:t>
      </w:r>
    </w:p>
    <w:p w14:paraId="40E184DC"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Demierre Berberat, P. (2023). The Benefits of Grounding Strategies in Emotion and Arousal Regulation. Mental Health and Human Resilience International Journal. </w:t>
      </w:r>
      <w:hyperlink r:id="rId20" w:history="1">
        <w:r w:rsidRPr="00946AC7">
          <w:rPr>
            <w:rFonts w:ascii="Times New Roman" w:eastAsia="Times New Roman" w:hAnsi="Times New Roman" w:cs="Times New Roman"/>
            <w:color w:val="0000FF"/>
            <w:kern w:val="0"/>
            <w:u w:val="single"/>
            <w14:ligatures w14:val="none"/>
          </w:rPr>
          <w:t>https://medwinpublishers.com/MHRIJ/the-benefits-of-grounding-strategies-in-emotion-and-arousal-regulation.pdf</w:t>
        </w:r>
      </w:hyperlink>
    </w:p>
    <w:p w14:paraId="26B2B401"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i/>
          <w:iCs/>
          <w:kern w:val="0"/>
          <w14:ligatures w14:val="none"/>
        </w:rPr>
        <w:t>Used for: Grounding as a tool for restoring a sense of safety, calm, and control — and its relationship to the Window of Tolerance.</w:t>
      </w:r>
    </w:p>
    <w:p w14:paraId="30B05A2A"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Clapperton, M. (2025). Top 30 Grounding Techniques to Use When You Feel Dysregulated. </w:t>
      </w:r>
      <w:hyperlink r:id="rId21" w:history="1">
        <w:r w:rsidRPr="00946AC7">
          <w:rPr>
            <w:rFonts w:ascii="Times New Roman" w:eastAsia="Times New Roman" w:hAnsi="Times New Roman" w:cs="Times New Roman"/>
            <w:color w:val="0000FF"/>
            <w:kern w:val="0"/>
            <w:u w:val="single"/>
            <w14:ligatures w14:val="none"/>
          </w:rPr>
          <w:t>https://www.therapywithmaggie.ca/blog/2025/7/23/top-30-grounding-techniques-to-use-when-you-feel-dysregulated</w:t>
        </w:r>
      </w:hyperlink>
    </w:p>
    <w:p w14:paraId="787FC1E4"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i/>
          <w:iCs/>
          <w:kern w:val="0"/>
          <w14:ligatures w14:val="none"/>
        </w:rPr>
        <w:t>Used for: Comprehensive list of sensory, physical, and cognitive grounding techniques with sources. Informed exercise selection including rhythmic movement, haptic/tactile, and affect labeling.</w:t>
      </w:r>
    </w:p>
    <w:p w14:paraId="583E305A"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41AB16">
          <v:rect id="_x0000_i1028" alt="" style="width:468pt;height:.05pt;mso-width-percent:0;mso-height-percent:0;mso-width-percent:0;mso-height-percent:0" o:hralign="center" o:hrstd="t" o:hr="t" fillcolor="#a0a0a0" stroked="f"/>
        </w:pict>
      </w:r>
    </w:p>
    <w:p w14:paraId="64D1D585"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Rhythmic movement and vagus nerve activation</w:t>
      </w:r>
    </w:p>
    <w:p w14:paraId="60F92D93" w14:textId="7867089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Referenced in: Frontiers in Behavioral Neuroscience — rhythmic movement activates vagus nerve and promotes nervous system coherence. Cited in: </w:t>
      </w:r>
      <w:hyperlink r:id="rId22" w:history="1">
        <w:r w:rsidRPr="00946AC7">
          <w:rPr>
            <w:rFonts w:ascii="Times New Roman" w:eastAsia="Times New Roman" w:hAnsi="Times New Roman" w:cs="Times New Roman"/>
            <w:color w:val="0000FF"/>
            <w:kern w:val="0"/>
            <w:u w:val="single"/>
            <w14:ligatures w14:val="none"/>
          </w:rPr>
          <w:t>https://bambuddha.earth/en-us/blogs/conscious-clarity/grounding</w:t>
        </w:r>
      </w:hyperlink>
      <w:r w:rsidR="00960B18">
        <w:rPr>
          <w:rFonts w:ascii="Times New Roman" w:eastAsia="Times New Roman" w:hAnsi="Times New Roman" w:cs="Times New Roman"/>
          <w:kern w:val="0"/>
          <w14:ligatures w14:val="none"/>
        </w:rPr>
        <w:br/>
      </w:r>
      <w:r w:rsidR="00960B18">
        <w:rPr>
          <w:rFonts w:ascii="Times New Roman" w:eastAsia="Times New Roman" w:hAnsi="Times New Roman" w:cs="Times New Roman"/>
          <w:kern w:val="0"/>
          <w14:ligatures w14:val="none"/>
        </w:rPr>
        <w:tab/>
      </w:r>
      <w:r w:rsidR="00960B18">
        <w:t>Bambuddha research summary citing Frontiers in Behavioral Neuroscience: "According to studies in Frontiers in Behavioral Neuroscience, rhythmic movement activates the vagus nerve and promotes nervous system coherence."</w:t>
      </w:r>
    </w:p>
    <w:p w14:paraId="52564D92"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Validating rocking, pacing, and rhythmic haptic as regulation tools. Justification for the heartbeat haptic exercise.</w:t>
      </w:r>
    </w:p>
    <w:p w14:paraId="14F1CBD4" w14:textId="02020DD7" w:rsidR="00960B18" w:rsidRPr="00960B18" w:rsidRDefault="00960B18"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60B18">
        <w:rPr>
          <w:rFonts w:ascii="Times New Roman" w:eastAsia="Times New Roman" w:hAnsi="Times New Roman" w:cs="Times New Roman"/>
          <w:i/>
          <w:iCs/>
          <w:kern w:val="0"/>
          <w14:ligatures w14:val="none"/>
        </w:rPr>
        <w:lastRenderedPageBreak/>
        <w:t>Design use: Validates the heartbeat haptic as exercise two. Rhythmic, consistent input — boom-boom pause boom-boom — gives the nervous system a pattern to entrain to.</w:t>
      </w:r>
    </w:p>
    <w:p w14:paraId="53EACCD4"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FD76A1">
          <v:rect id="_x0000_i1027" alt="" style="width:468pt;height:.05pt;mso-width-percent:0;mso-height-percent:0;mso-width-percent:0;mso-height-percent:0" o:hralign="center" o:hrstd="t" o:hr="t" fillcolor="#a0a0a0" stroked="f"/>
        </w:pict>
      </w:r>
    </w:p>
    <w:p w14:paraId="698C04AE" w14:textId="77777777" w:rsidR="00960B18" w:rsidRDefault="00960B18" w:rsidP="00946AC7">
      <w:pPr>
        <w:spacing w:before="100" w:beforeAutospacing="1" w:after="100" w:afterAutospacing="1" w:line="240" w:lineRule="auto"/>
        <w:rPr>
          <w:rFonts w:ascii="Times New Roman" w:eastAsia="Times New Roman" w:hAnsi="Times New Roman" w:cs="Times New Roman"/>
          <w:b/>
          <w:bCs/>
          <w:kern w:val="0"/>
          <w14:ligatures w14:val="none"/>
        </w:rPr>
      </w:pPr>
    </w:p>
    <w:p w14:paraId="71C0C558" w14:textId="77894E41"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Affect labeling reducing amygdala activation</w:t>
      </w:r>
    </w:p>
    <w:p w14:paraId="0B5FA321" w14:textId="352A2EB1"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Lieberman, M.D. et al. (2007). Putting Feelings into Words. Referenced in multiple sources. Cited in: </w:t>
      </w:r>
      <w:hyperlink r:id="rId23" w:history="1">
        <w:r w:rsidRPr="00946AC7">
          <w:rPr>
            <w:rFonts w:ascii="Times New Roman" w:eastAsia="Times New Roman" w:hAnsi="Times New Roman" w:cs="Times New Roman"/>
            <w:color w:val="0000FF"/>
            <w:kern w:val="0"/>
            <w:u w:val="single"/>
            <w14:ligatures w14:val="none"/>
          </w:rPr>
          <w:t>https://www.findfocusnow.com/blog/grounding-techniques-for-calming-an-overwhelmed-mind</w:t>
        </w:r>
      </w:hyperlink>
      <w:r w:rsidR="00960B18">
        <w:rPr>
          <w:rFonts w:ascii="Times New Roman" w:eastAsia="Times New Roman" w:hAnsi="Times New Roman" w:cs="Times New Roman"/>
          <w:kern w:val="0"/>
          <w14:ligatures w14:val="none"/>
        </w:rPr>
        <w:br/>
      </w:r>
      <w:r w:rsidR="00960B18">
        <w:rPr>
          <w:rFonts w:ascii="Times New Roman" w:eastAsia="Times New Roman" w:hAnsi="Times New Roman" w:cs="Times New Roman"/>
          <w:kern w:val="0"/>
          <w14:ligatures w14:val="none"/>
        </w:rPr>
        <w:tab/>
      </w:r>
      <w:r w:rsidR="00960B18">
        <w:t>Lieberman et al. (2007) cited in FindFocusNow: "Affect labelling, consciously identifying one's emotional state, activates regions of the brain associated with executive control while reducing activity in the amygdala, the centre of emotional reactivity."</w:t>
      </w:r>
    </w:p>
    <w:p w14:paraId="6F01DA83"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t>Used for: Justification for emotion naming with multiple choice options as a bridge exercise between emergency sensory regulation and stable state.</w:t>
      </w:r>
    </w:p>
    <w:p w14:paraId="25924A45" w14:textId="58DD96CF" w:rsidR="00960B18" w:rsidRPr="00960B18" w:rsidRDefault="00960B18"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60B18">
        <w:rPr>
          <w:rFonts w:ascii="Times New Roman" w:eastAsia="Times New Roman" w:hAnsi="Times New Roman" w:cs="Times New Roman"/>
          <w:i/>
          <w:iCs/>
          <w:kern w:val="0"/>
          <w14:ligatures w14:val="none"/>
        </w:rPr>
        <w:t>Design use: Emotion naming with multiple choice options is a bridge exercise — low cognitive load, but begins re-engaging the prefrontal cortex. Placed after sensory exercises, before cognitive games.</w:t>
      </w:r>
    </w:p>
    <w:p w14:paraId="3528D644"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DD598C">
          <v:rect id="_x0000_i1026" alt="" style="width:468pt;height:.05pt;mso-width-percent:0;mso-height-percent:0;mso-width-percent:0;mso-height-percent:0" o:hralign="center" o:hrstd="t" o:hr="t" fillcolor="#a0a0a0" stroked="f"/>
        </w:pict>
      </w:r>
    </w:p>
    <w:p w14:paraId="7AB0C026"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Cognitive grounding only works when partially stable</w:t>
      </w:r>
    </w:p>
    <w:p w14:paraId="69C85CA6"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Hammond &amp; Brown (2025) — same source as above. Also: Zerubavel &amp; Messman-Moore (2013) referenced in same source.</w:t>
      </w:r>
    </w:p>
    <w:p w14:paraId="46974D42"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i/>
          <w:iCs/>
          <w:kern w:val="0"/>
          <w14:ligatures w14:val="none"/>
        </w:rPr>
        <w:t>Used for: Sequencing decision — cognitive exercises like 5-4-3-2-1 should come after sensory and breath work, never first. Justification for why Tether does not open with mood check-ins or questionnaires.</w:t>
      </w:r>
    </w:p>
    <w:p w14:paraId="357BA79B" w14:textId="77777777" w:rsidR="00946AC7" w:rsidRPr="00946AC7" w:rsidRDefault="00642603" w:rsidP="00946A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0DEB69">
          <v:rect id="_x0000_i1025" alt="" style="width:468pt;height:.05pt;mso-width-percent:0;mso-height-percent:0;mso-width-percent:0;mso-height-percent:0" o:hralign="center" o:hrstd="t" o:hr="t" fillcolor="#a0a0a0" stroked="f"/>
        </w:pict>
      </w:r>
    </w:p>
    <w:p w14:paraId="63D9BBD9" w14:textId="77777777"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b/>
          <w:bCs/>
          <w:kern w:val="0"/>
          <w14:ligatures w14:val="none"/>
        </w:rPr>
        <w:t>Crisis UX and mental health app design</w:t>
      </w:r>
    </w:p>
    <w:p w14:paraId="33086C2B" w14:textId="0D19F26E" w:rsidR="00946AC7" w:rsidRP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Frontiers in Digital Health (2022). Understanding Users' Perspectives on Mobile Apps for Anxiety Management. </w:t>
      </w:r>
      <w:hyperlink r:id="rId24" w:history="1">
        <w:r w:rsidRPr="00946AC7">
          <w:rPr>
            <w:rFonts w:ascii="Times New Roman" w:eastAsia="Times New Roman" w:hAnsi="Times New Roman" w:cs="Times New Roman"/>
            <w:color w:val="0000FF"/>
            <w:kern w:val="0"/>
            <w:u w:val="single"/>
            <w14:ligatures w14:val="none"/>
          </w:rPr>
          <w:t>https://www.frontiersin.org/journals/digital-health/articles/10.3389/fdgth.2022.854263/full</w:t>
        </w:r>
      </w:hyperlink>
      <w:r w:rsidR="00960B18">
        <w:rPr>
          <w:rFonts w:ascii="Times New Roman" w:eastAsia="Times New Roman" w:hAnsi="Times New Roman" w:cs="Times New Roman"/>
          <w:kern w:val="0"/>
          <w14:ligatures w14:val="none"/>
        </w:rPr>
        <w:br/>
      </w:r>
      <w:r w:rsidR="00960B18">
        <w:rPr>
          <w:rFonts w:ascii="Times New Roman" w:eastAsia="Times New Roman" w:hAnsi="Times New Roman" w:cs="Times New Roman"/>
          <w:kern w:val="0"/>
          <w14:ligatures w14:val="none"/>
        </w:rPr>
        <w:tab/>
      </w:r>
      <w:r w:rsidR="00960B18">
        <w:t>Frontiers in Digital Health (2022): "Users referred to the inability to use an app in different contexts or during a crisis when an internet connection is not available. Apps are not designed to work across multiple devices."</w:t>
      </w:r>
    </w:p>
    <w:p w14:paraId="652A7C85" w14:textId="77777777" w:rsidR="00946AC7" w:rsidRDefault="00946AC7" w:rsidP="00946AC7">
      <w:pPr>
        <w:spacing w:before="100" w:beforeAutospacing="1" w:after="100" w:afterAutospacing="1" w:line="240" w:lineRule="auto"/>
        <w:rPr>
          <w:rFonts w:ascii="Times New Roman" w:eastAsia="Times New Roman" w:hAnsi="Times New Roman" w:cs="Times New Roman"/>
          <w:kern w:val="0"/>
          <w14:ligatures w14:val="none"/>
        </w:rPr>
      </w:pPr>
      <w:r w:rsidRPr="00946AC7">
        <w:rPr>
          <w:rFonts w:ascii="Times New Roman" w:eastAsia="Times New Roman" w:hAnsi="Times New Roman" w:cs="Times New Roman"/>
          <w:kern w:val="0"/>
          <w14:ligatures w14:val="none"/>
        </w:rPr>
        <w:t xml:space="preserve">ISCRAM Crisis UI Research (2018). Critical Human Factors in UI Design. </w:t>
      </w:r>
      <w:hyperlink r:id="rId25" w:history="1">
        <w:r w:rsidRPr="00946AC7">
          <w:rPr>
            <w:rFonts w:ascii="Times New Roman" w:eastAsia="Times New Roman" w:hAnsi="Times New Roman" w:cs="Times New Roman"/>
            <w:color w:val="0000FF"/>
            <w:kern w:val="0"/>
            <w:u w:val="single"/>
            <w14:ligatures w14:val="none"/>
          </w:rPr>
          <w:t>https://www.researchgate.net/publication/331000823_Critical_human_factors_in_UI_design_How_calm_technology_can_inform_anticipatory_interfaces_for_limited_situational_awareness</w:t>
        </w:r>
      </w:hyperlink>
    </w:p>
    <w:p w14:paraId="51FBC8D1" w14:textId="7D4C1F29" w:rsidR="00960B18" w:rsidRPr="00946AC7" w:rsidRDefault="00960B18" w:rsidP="00946AC7">
      <w:pPr>
        <w:spacing w:before="100" w:beforeAutospacing="1" w:after="100" w:afterAutospacing="1" w:line="240" w:lineRule="auto"/>
        <w:rPr>
          <w:rFonts w:ascii="Times New Roman" w:eastAsia="Times New Roman" w:hAnsi="Times New Roman" w:cs="Times New Roman"/>
          <w:kern w:val="0"/>
          <w14:ligatures w14:val="none"/>
        </w:rPr>
      </w:pPr>
      <w:r>
        <w:t>Gapsy Mental Health Design Research: "Decision fatigue happens when a user is overwhelmed by choice. When someone is experiencing burnout or high anxiety, even choosing between meditation or journaling can feel paralyzing. The Single-Path Interface designs state-aware screens that offer one clear next step based on the user's current mood or energy level."</w:t>
      </w:r>
    </w:p>
    <w:p w14:paraId="29F7DE6C" w14:textId="77777777" w:rsidR="00946AC7" w:rsidRDefault="00946AC7"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46AC7">
        <w:rPr>
          <w:rFonts w:ascii="Times New Roman" w:eastAsia="Times New Roman" w:hAnsi="Times New Roman" w:cs="Times New Roman"/>
          <w:i/>
          <w:iCs/>
          <w:kern w:val="0"/>
          <w14:ligatures w14:val="none"/>
        </w:rPr>
        <w:lastRenderedPageBreak/>
        <w:t>Used for: Design-specific validation that crisis-state interfaces must use linear paths, minimal text, low cognitive load, and no navigation complexity. Backs Tether's immediate start and no-decision-at-entry decisions.</w:t>
      </w:r>
    </w:p>
    <w:p w14:paraId="098DD0A0" w14:textId="4E407545" w:rsidR="00960B18" w:rsidRDefault="00960B18" w:rsidP="00946AC7">
      <w:pPr>
        <w:spacing w:before="100" w:beforeAutospacing="1" w:after="100" w:afterAutospacing="1" w:line="240" w:lineRule="auto"/>
        <w:rPr>
          <w:rFonts w:ascii="Times New Roman" w:eastAsia="Times New Roman" w:hAnsi="Times New Roman" w:cs="Times New Roman"/>
          <w:i/>
          <w:iCs/>
          <w:kern w:val="0"/>
          <w14:ligatures w14:val="none"/>
        </w:rPr>
      </w:pPr>
      <w:r w:rsidRPr="00960B18">
        <w:rPr>
          <w:rFonts w:ascii="Times New Roman" w:eastAsia="Times New Roman" w:hAnsi="Times New Roman" w:cs="Times New Roman"/>
          <w:i/>
          <w:iCs/>
          <w:kern w:val="0"/>
          <w14:ligatures w14:val="none"/>
        </w:rPr>
        <w:t>Design use: Design-specific validation for Tether's single-path emergency flow. No navigation, no choices, one thing at a time.</w:t>
      </w:r>
      <w:r>
        <w:rPr>
          <w:rFonts w:ascii="Times New Roman" w:eastAsia="Times New Roman" w:hAnsi="Times New Roman" w:cs="Times New Roman"/>
          <w:i/>
          <w:iCs/>
          <w:kern w:val="0"/>
          <w14:ligatures w14:val="none"/>
        </w:rPr>
        <w:br/>
      </w:r>
    </w:p>
    <w:p w14:paraId="515EDBCB" w14:textId="50B1001A" w:rsidR="00960B18" w:rsidRDefault="00960B18" w:rsidP="00960B18">
      <w:pPr>
        <w:pBdr>
          <w:top w:val="single" w:sz="4" w:space="1" w:color="auto"/>
        </w:pBdr>
        <w:spacing w:before="100" w:beforeAutospacing="1" w:after="100" w:afterAutospacing="1" w:line="240" w:lineRule="auto"/>
        <w:rPr>
          <w:rFonts w:ascii="Times New Roman" w:eastAsia="Times New Roman" w:hAnsi="Times New Roman" w:cs="Times New Roman"/>
          <w:i/>
          <w:iCs/>
          <w:kern w:val="0"/>
          <w14:ligatures w14:val="none"/>
        </w:rPr>
      </w:pPr>
    </w:p>
    <w:p w14:paraId="7F652C27" w14:textId="77777777" w:rsidR="00960B18" w:rsidRDefault="00960B18" w:rsidP="00960B18">
      <w:pPr>
        <w:pStyle w:val="font-claude-response-body"/>
      </w:pPr>
      <w:r>
        <w:rPr>
          <w:rStyle w:val="Strong"/>
        </w:rPr>
        <w:t>Personalization is critical — No one size fits all</w:t>
      </w:r>
    </w:p>
    <w:p w14:paraId="675BD32B" w14:textId="77777777" w:rsidR="00960B18" w:rsidRDefault="00960B18" w:rsidP="00960B18">
      <w:pPr>
        <w:pStyle w:val="font-claude-response-body"/>
      </w:pPr>
      <w:r>
        <w:t xml:space="preserve">Cox et al. (2017) cited in The Mental Mastery: "Clients who tailored grounding techniques to their circumstances and personalities reported higher emotional relief, higher engagement, and better consistency in use." </w:t>
      </w:r>
      <w:hyperlink r:id="rId26" w:tgtFrame="_blank" w:history="1">
        <w:r>
          <w:rPr>
            <w:rStyle w:val="text-nowrap"/>
            <w:color w:val="0000FF"/>
            <w:u w:val="single"/>
          </w:rPr>
          <w:t>The Mental Mastery</w:t>
        </w:r>
      </w:hyperlink>
    </w:p>
    <w:p w14:paraId="543EF79A" w14:textId="3235B016" w:rsidR="00960B18" w:rsidRPr="00960B18" w:rsidRDefault="00960B18" w:rsidP="00960B18">
      <w:pPr>
        <w:pStyle w:val="font-claude-response-body"/>
      </w:pPr>
      <w:r>
        <w:rPr>
          <w:rStyle w:val="Emphasis"/>
        </w:rPr>
        <w:t>Design use: Validates Tether's core premise — the app must learn individual preferences through behavior because what works is personal, not universal.</w:t>
      </w:r>
    </w:p>
    <w:p w14:paraId="637453BA" w14:textId="77777777" w:rsidR="00946AC7" w:rsidRDefault="00946AC7" w:rsidP="00946AC7">
      <w:pPr>
        <w:jc w:val="center"/>
      </w:pPr>
    </w:p>
    <w:sectPr w:rsidR="00946AC7" w:rsidSect="00960B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C7"/>
    <w:rsid w:val="001214AD"/>
    <w:rsid w:val="00421283"/>
    <w:rsid w:val="00532660"/>
    <w:rsid w:val="00642603"/>
    <w:rsid w:val="00946AC7"/>
    <w:rsid w:val="00960B18"/>
    <w:rsid w:val="00A95903"/>
    <w:rsid w:val="00B950C8"/>
    <w:rsid w:val="00C705D1"/>
    <w:rsid w:val="00D1151A"/>
    <w:rsid w:val="00DE43AD"/>
    <w:rsid w:val="00F90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3568"/>
  <w15:chartTrackingRefBased/>
  <w15:docId w15:val="{349E304A-96A7-F449-BB5C-1C6B305CA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C7"/>
    <w:rPr>
      <w:rFonts w:eastAsiaTheme="majorEastAsia" w:cstheme="majorBidi"/>
      <w:color w:val="272727" w:themeColor="text1" w:themeTint="D8"/>
    </w:rPr>
  </w:style>
  <w:style w:type="paragraph" w:styleId="Title">
    <w:name w:val="Title"/>
    <w:basedOn w:val="Normal"/>
    <w:next w:val="Normal"/>
    <w:link w:val="TitleChar"/>
    <w:uiPriority w:val="10"/>
    <w:qFormat/>
    <w:rsid w:val="00946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C7"/>
    <w:pPr>
      <w:spacing w:before="160"/>
      <w:jc w:val="center"/>
    </w:pPr>
    <w:rPr>
      <w:i/>
      <w:iCs/>
      <w:color w:val="404040" w:themeColor="text1" w:themeTint="BF"/>
    </w:rPr>
  </w:style>
  <w:style w:type="character" w:customStyle="1" w:styleId="QuoteChar">
    <w:name w:val="Quote Char"/>
    <w:basedOn w:val="DefaultParagraphFont"/>
    <w:link w:val="Quote"/>
    <w:uiPriority w:val="29"/>
    <w:rsid w:val="00946AC7"/>
    <w:rPr>
      <w:i/>
      <w:iCs/>
      <w:color w:val="404040" w:themeColor="text1" w:themeTint="BF"/>
    </w:rPr>
  </w:style>
  <w:style w:type="paragraph" w:styleId="ListParagraph">
    <w:name w:val="List Paragraph"/>
    <w:basedOn w:val="Normal"/>
    <w:uiPriority w:val="34"/>
    <w:qFormat/>
    <w:rsid w:val="00946AC7"/>
    <w:pPr>
      <w:ind w:left="720"/>
      <w:contextualSpacing/>
    </w:pPr>
  </w:style>
  <w:style w:type="character" w:styleId="IntenseEmphasis">
    <w:name w:val="Intense Emphasis"/>
    <w:basedOn w:val="DefaultParagraphFont"/>
    <w:uiPriority w:val="21"/>
    <w:qFormat/>
    <w:rsid w:val="00946AC7"/>
    <w:rPr>
      <w:i/>
      <w:iCs/>
      <w:color w:val="0F4761" w:themeColor="accent1" w:themeShade="BF"/>
    </w:rPr>
  </w:style>
  <w:style w:type="paragraph" w:styleId="IntenseQuote">
    <w:name w:val="Intense Quote"/>
    <w:basedOn w:val="Normal"/>
    <w:next w:val="Normal"/>
    <w:link w:val="IntenseQuoteChar"/>
    <w:uiPriority w:val="30"/>
    <w:qFormat/>
    <w:rsid w:val="00946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AC7"/>
    <w:rPr>
      <w:i/>
      <w:iCs/>
      <w:color w:val="0F4761" w:themeColor="accent1" w:themeShade="BF"/>
    </w:rPr>
  </w:style>
  <w:style w:type="character" w:styleId="IntenseReference">
    <w:name w:val="Intense Reference"/>
    <w:basedOn w:val="DefaultParagraphFont"/>
    <w:uiPriority w:val="32"/>
    <w:qFormat/>
    <w:rsid w:val="00946AC7"/>
    <w:rPr>
      <w:b/>
      <w:bCs/>
      <w:smallCaps/>
      <w:color w:val="0F4761" w:themeColor="accent1" w:themeShade="BF"/>
      <w:spacing w:val="5"/>
    </w:rPr>
  </w:style>
  <w:style w:type="paragraph" w:customStyle="1" w:styleId="font-claude-response-body">
    <w:name w:val="font-claude-response-body"/>
    <w:basedOn w:val="Normal"/>
    <w:rsid w:val="00946A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6AC7"/>
    <w:rPr>
      <w:b/>
      <w:bCs/>
    </w:rPr>
  </w:style>
  <w:style w:type="character" w:styleId="Hyperlink">
    <w:name w:val="Hyperlink"/>
    <w:basedOn w:val="DefaultParagraphFont"/>
    <w:uiPriority w:val="99"/>
    <w:unhideWhenUsed/>
    <w:rsid w:val="00946AC7"/>
    <w:rPr>
      <w:color w:val="0000FF"/>
      <w:u w:val="single"/>
    </w:rPr>
  </w:style>
  <w:style w:type="character" w:styleId="Emphasis">
    <w:name w:val="Emphasis"/>
    <w:basedOn w:val="DefaultParagraphFont"/>
    <w:uiPriority w:val="20"/>
    <w:qFormat/>
    <w:rsid w:val="00946AC7"/>
    <w:rPr>
      <w:i/>
      <w:iCs/>
    </w:rPr>
  </w:style>
  <w:style w:type="character" w:styleId="UnresolvedMention">
    <w:name w:val="Unresolved Mention"/>
    <w:basedOn w:val="DefaultParagraphFont"/>
    <w:uiPriority w:val="99"/>
    <w:semiHidden/>
    <w:unhideWhenUsed/>
    <w:rsid w:val="00532660"/>
    <w:rPr>
      <w:color w:val="605E5C"/>
      <w:shd w:val="clear" w:color="auto" w:fill="E1DFDD"/>
    </w:rPr>
  </w:style>
  <w:style w:type="character" w:customStyle="1" w:styleId="inline-flex">
    <w:name w:val="inline-flex"/>
    <w:basedOn w:val="DefaultParagraphFont"/>
    <w:rsid w:val="00960B18"/>
  </w:style>
  <w:style w:type="character" w:customStyle="1" w:styleId="text-nowrap">
    <w:name w:val="text-nowrap"/>
    <w:basedOn w:val="DefaultParagraphFont"/>
    <w:rsid w:val="00960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41111427_Autonomic_dysregulation_and_the_Window_of_Tolerance_Model_of_the_effects_of_complex_emotional_trauma" TargetMode="External"/><Relationship Id="rId13" Type="http://schemas.openxmlformats.org/officeDocument/2006/relationships/hyperlink" Target="https://www.annualreviews.org/content/journals/10.1146/annurev-psych-020924-125202" TargetMode="External"/><Relationship Id="rId18" Type="http://schemas.openxmlformats.org/officeDocument/2006/relationships/hyperlink" Target="https://www.cell.com/cell-reports-medicine/pdf/S2666-3791(22)00474-8.pdf" TargetMode="External"/><Relationship Id="rId26" Type="http://schemas.openxmlformats.org/officeDocument/2006/relationships/hyperlink" Target="https://thementalmastery.com/the-science-behind-grounding-techniques-for-anxiety-and-trauma/" TargetMode="External"/><Relationship Id="rId3" Type="http://schemas.openxmlformats.org/officeDocument/2006/relationships/webSettings" Target="webSettings.xml"/><Relationship Id="rId21" Type="http://schemas.openxmlformats.org/officeDocument/2006/relationships/hyperlink" Target="https://www.therapywithmaggie.ca/blog/2025/7/23/top-30-grounding-techniques-to-use-when-you-feel-dysregulated" TargetMode="External"/><Relationship Id="rId7" Type="http://schemas.openxmlformats.org/officeDocument/2006/relationships/hyperlink" Target="https://www.nature.com/articles/s41398-020-01154-0" TargetMode="External"/><Relationship Id="rId12" Type="http://schemas.openxmlformats.org/officeDocument/2006/relationships/hyperlink" Target="https://pubmed.ncbi.nlm.nih.gov/25451381/" TargetMode="External"/><Relationship Id="rId17" Type="http://schemas.openxmlformats.org/officeDocument/2006/relationships/hyperlink" Target="https://pubmed.ncbi.nlm.nih.gov/36630953/" TargetMode="External"/><Relationship Id="rId25" Type="http://schemas.openxmlformats.org/officeDocument/2006/relationships/hyperlink" Target="https://www.researchgate.net/publication/331000823_Critical_human_factors_in_UI_design_How_calm_technology_can_inform_anticipatory_interfaces_for_limited_situational_awareness" TargetMode="External"/><Relationship Id="rId2" Type="http://schemas.openxmlformats.org/officeDocument/2006/relationships/settings" Target="settings.xml"/><Relationship Id="rId16" Type="http://schemas.openxmlformats.org/officeDocument/2006/relationships/hyperlink" Target="https://journals.sagepub.com/doi/10.1177/09567976211005465" TargetMode="External"/><Relationship Id="rId20" Type="http://schemas.openxmlformats.org/officeDocument/2006/relationships/hyperlink" Target="https://medwinpublishers.com/MHRIJ/the-benefits-of-grounding-strategies-in-emotion-and-arousal-regulation.pdf" TargetMode="External"/><Relationship Id="rId1" Type="http://schemas.openxmlformats.org/officeDocument/2006/relationships/styles" Target="styles.xml"/><Relationship Id="rId6" Type="http://schemas.openxmlformats.org/officeDocument/2006/relationships/hyperlink" Target="https://www.frontiersin.org/journals/integrative-neuroscience/articles/10.3389/neuro.07.022.2009/full" TargetMode="External"/><Relationship Id="rId11" Type="http://schemas.openxmlformats.org/officeDocument/2006/relationships/hyperlink" Target="https://www.researchgate.net/publication/41111427_Autonomic_dysregulation_and_the_Window_of_Tolerance_Model_of_the_effects_of_complex_emotional_trauma" TargetMode="External"/><Relationship Id="rId24" Type="http://schemas.openxmlformats.org/officeDocument/2006/relationships/hyperlink" Target="https://www.frontiersin.org/journals/digital-health/articles/10.3389/fdgth.2022.854263/full" TargetMode="External"/><Relationship Id="rId5" Type="http://schemas.openxmlformats.org/officeDocument/2006/relationships/hyperlink" Target="https://pmc.ncbi.nlm.nih.gov/articles/PMC3108032/" TargetMode="External"/><Relationship Id="rId15" Type="http://schemas.openxmlformats.org/officeDocument/2006/relationships/hyperlink" Target="https://www.frontiersin.org/journals/human-neuroscience/articles/10.3389/fnhum.2013.00123/full" TargetMode="External"/><Relationship Id="rId23" Type="http://schemas.openxmlformats.org/officeDocument/2006/relationships/hyperlink" Target="https://www.findfocusnow.com/blog/grounding-techniques-for-calming-an-overwhelmed-mind" TargetMode="External"/><Relationship Id="rId28" Type="http://schemas.openxmlformats.org/officeDocument/2006/relationships/theme" Target="theme/theme1.xml"/><Relationship Id="rId10" Type="http://schemas.openxmlformats.org/officeDocument/2006/relationships/hyperlink" Target="https://www.psychologytools.com/resource/window-of-tolerance" TargetMode="External"/><Relationship Id="rId19" Type="http://schemas.openxmlformats.org/officeDocument/2006/relationships/hyperlink" Target="https://journals.sagepub.com/doi/10.1177/15248380251343189" TargetMode="External"/><Relationship Id="rId4" Type="http://schemas.openxmlformats.org/officeDocument/2006/relationships/hyperlink" Target="https://pmc.ncbi.nlm.nih.gov/articles/PMC12302812/" TargetMode="External"/><Relationship Id="rId9" Type="http://schemas.openxmlformats.org/officeDocument/2006/relationships/hyperlink" Target="https://www.psychologytools.com/resource/window-of-tolerance" TargetMode="External"/><Relationship Id="rId14" Type="http://schemas.openxmlformats.org/officeDocument/2006/relationships/hyperlink" Target="https://pmc.ncbi.nlm.nih.gov/articles/PMC5003767/" TargetMode="External"/><Relationship Id="rId22" Type="http://schemas.openxmlformats.org/officeDocument/2006/relationships/hyperlink" Target="https://bambuddha.earth/en-us/blogs/conscious-clarity/ground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2233</Words>
  <Characters>15257</Characters>
  <Application>Microsoft Office Word</Application>
  <DocSecurity>0</DocSecurity>
  <Lines>317</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Dyani Catori</dc:creator>
  <cp:keywords/>
  <dc:description/>
  <cp:lastModifiedBy>Dyani Catori</cp:lastModifiedBy>
  <cp:revision>4</cp:revision>
  <dcterms:created xsi:type="dcterms:W3CDTF">2026-04-17T13:03:00Z</dcterms:created>
  <dcterms:modified xsi:type="dcterms:W3CDTF">2026-04-18T16:47:00Z</dcterms:modified>
</cp:coreProperties>
</file>