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Anatol Wladyslaw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sz w:val="18"/>
          <w:rtl w:val="0"/>
        </w:rPr>
        <w:t xml:space="preserve">Nascimento: 1913 (Polônia, Varsóvia)</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sz w:val="18"/>
          <w:rtl w:val="0"/>
        </w:rPr>
        <w:t xml:space="preserve">Morte: 30/9/2004 (Brasil</w:t>
      </w:r>
      <w:r w:rsidDel="00000000" w:rsidR="00000000" w:rsidRPr="00000000">
        <w:rPr>
          <w:rFonts w:ascii="Verdana" w:cs="Verdana" w:eastAsia="Verdana" w:hAnsi="Verdana"/>
          <w:b w:val="1"/>
          <w:sz w:val="28"/>
          <w:rtl w:val="0"/>
        </w:rPr>
        <w:t xml:space="preserve">, </w:t>
      </w:r>
      <w:r w:rsidDel="00000000" w:rsidR="00000000" w:rsidRPr="00000000">
        <w:rPr>
          <w:rFonts w:ascii="Verdana" w:cs="Verdana" w:eastAsia="Verdana" w:hAnsi="Verdana"/>
          <w:b w:val="1"/>
          <w:sz w:val="18"/>
          <w:rtl w:val="0"/>
        </w:rPr>
        <w:t xml:space="preserve">São Paulo, São Paulo)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Foi pintor, desenhista e gravador. Formou-se em engenharia eletrônica em 1939, inicia os estudos de pintura já tarde, em 1944 com </w:t>
      </w:r>
      <w:hyperlink r:id="rId5">
        <w:r w:rsidDel="00000000" w:rsidR="00000000" w:rsidRPr="00000000">
          <w:rPr>
            <w:rFonts w:ascii="Verdana" w:cs="Verdana" w:eastAsia="Verdana" w:hAnsi="Verdana"/>
            <w:rtl w:val="0"/>
          </w:rPr>
          <w:t xml:space="preserve">Lucy Citti Ferreira (1911)</w:t>
        </w:r>
      </w:hyperlink>
      <w:r w:rsidDel="00000000" w:rsidR="00000000" w:rsidRPr="00000000">
        <w:rPr>
          <w:rFonts w:ascii="Verdana" w:cs="Verdana" w:eastAsia="Verdana" w:hAnsi="Verdana"/>
          <w:rtl w:val="0"/>
        </w:rPr>
        <w:t xml:space="preserve">, </w:t>
      </w:r>
      <w:hyperlink r:id="rId6">
        <w:r w:rsidDel="00000000" w:rsidR="00000000" w:rsidRPr="00000000">
          <w:rPr>
            <w:rFonts w:ascii="Verdana" w:cs="Verdana" w:eastAsia="Verdana" w:hAnsi="Verdana"/>
            <w:rtl w:val="0"/>
          </w:rPr>
          <w:t xml:space="preserve">Yolanda Mohalyi (1909 - 1978)</w:t>
        </w:r>
      </w:hyperlink>
      <w:r w:rsidDel="00000000" w:rsidR="00000000" w:rsidRPr="00000000">
        <w:rPr>
          <w:rFonts w:ascii="Verdana" w:cs="Verdana" w:eastAsia="Verdana" w:hAnsi="Verdana"/>
          <w:rtl w:val="0"/>
        </w:rPr>
        <w:t xml:space="preserve">, mais tarde frequenta o ateliê de </w:t>
      </w:r>
      <w:hyperlink r:id="rId7">
        <w:r w:rsidDel="00000000" w:rsidR="00000000" w:rsidRPr="00000000">
          <w:rPr>
            <w:rFonts w:ascii="Verdana" w:cs="Verdana" w:eastAsia="Verdana" w:hAnsi="Verdana"/>
            <w:rtl w:val="0"/>
          </w:rPr>
          <w:t xml:space="preserve">Flexor (1907 - 1971)</w:t>
        </w:r>
      </w:hyperlink>
      <w:r w:rsidDel="00000000" w:rsidR="00000000" w:rsidRPr="00000000">
        <w:rPr>
          <w:rFonts w:ascii="Verdana" w:cs="Verdana" w:eastAsia="Verdana" w:hAnsi="Verdana"/>
          <w:rtl w:val="0"/>
        </w:rPr>
        <w:t xml:space="preserve">. Em meados da década de 40, realizou suas primeiras pinturas de caráter figurativo, e na década de 50, suas obras passam a ser inteiramente </w:t>
      </w:r>
      <w:hyperlink r:id="rId8">
        <w:r w:rsidDel="00000000" w:rsidR="00000000" w:rsidRPr="00000000">
          <w:rPr>
            <w:rFonts w:ascii="Verdana" w:cs="Verdana" w:eastAsia="Verdana" w:hAnsi="Verdana"/>
            <w:rtl w:val="0"/>
          </w:rPr>
          <w:t xml:space="preserve">abstrato geométric</w:t>
        </w:r>
      </w:hyperlink>
      <w:r w:rsidDel="00000000" w:rsidR="00000000" w:rsidRPr="00000000">
        <w:rPr>
          <w:rFonts w:ascii="Verdana" w:cs="Verdana" w:eastAsia="Verdana" w:hAnsi="Verdana"/>
          <w:rtl w:val="0"/>
        </w:rPr>
        <w:t xml:space="preserve">as. Em 1952 integra o Grupo Ruptura. A partir de 1960 volta ao figurativismo, atribuindo-lhe um caráter mítico.</w:t>
      </w:r>
    </w:p>
    <w:p w:rsidR="00000000" w:rsidDel="00000000" w:rsidP="00000000" w:rsidRDefault="00000000" w:rsidRPr="00000000">
      <w:pPr>
        <w:contextualSpacing w:val="0"/>
      </w:pPr>
      <w:r w:rsidDel="00000000" w:rsidR="00000000" w:rsidRPr="00000000">
        <w:rPr>
          <w:rFonts w:ascii="Verdana" w:cs="Verdana" w:eastAsia="Verdana" w:hAnsi="Verdana"/>
          <w:sz w:val="24"/>
          <w:rtl w:val="0"/>
        </w:rPr>
        <w:t xml:space="preserve">         Em 1948 expôs no Salão do Sindicato dos Artistas Plásticos, seus quadros consistiam em fortes contrastes de cores. Dois anos depois conhece Waldemar Cordeiro (1925 – 1973), com quem entra em contato com outros artistas, mais tarde, em 1952 formando o Grupo Ruptura. </w:t>
      </w:r>
      <w:r w:rsidDel="00000000" w:rsidR="00000000" w:rsidRPr="00000000">
        <w:rPr>
          <w:rFonts w:ascii="Verdana" w:cs="Verdana" w:eastAsia="Verdana" w:hAnsi="Verdana"/>
          <w:sz w:val="24"/>
          <w:rtl w:val="0"/>
        </w:rPr>
        <w:t xml:space="preserve">Assina o manifesto do grupo e integra a sua primeira exposição, no </w:t>
      </w:r>
      <w:hyperlink r:id="rId9">
        <w:r w:rsidDel="00000000" w:rsidR="00000000" w:rsidRPr="00000000">
          <w:rPr>
            <w:rFonts w:ascii="Verdana" w:cs="Verdana" w:eastAsia="Verdana" w:hAnsi="Verdana"/>
            <w:sz w:val="24"/>
            <w:rtl w:val="0"/>
          </w:rPr>
          <w:t xml:space="preserve">Museu de Arte Moderna de São Paulo - MAM/SP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Embora fizesse arte construtiva, não seguia os rigores do concretismo ortodoxo. Sua pintura é feita em óleo, com colorido suave e variado. Em 1961, já de volta ao figurativismo, recebe o prêmio de desenho nacional na </w:t>
      </w:r>
      <w:r w:rsidDel="00000000" w:rsidR="00000000" w:rsidRPr="00000000">
        <w:rPr>
          <w:rFonts w:ascii="Verdana" w:cs="Verdana" w:eastAsia="Verdana" w:hAnsi="Verdana"/>
          <w:rtl w:val="0"/>
        </w:rPr>
        <w:t xml:space="preserve">6ª </w:t>
      </w:r>
      <w:hyperlink r:id="rId10">
        <w:r w:rsidDel="00000000" w:rsidR="00000000" w:rsidRPr="00000000">
          <w:rPr>
            <w:rFonts w:ascii="Verdana" w:cs="Verdana" w:eastAsia="Verdana" w:hAnsi="Verdana"/>
            <w:rtl w:val="0"/>
          </w:rPr>
          <w:t xml:space="preserve">Bienal Internacional de São Paulo</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Segundo o historiador Wolfgang Pfeiffer, os desenhos dessa época são feitos "de maneira bastante lírica enfatizando suas zonas de concentração tachista".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rtl w:val="0"/>
        </w:rPr>
        <w:tab/>
      </w:r>
      <w:r w:rsidDel="00000000" w:rsidR="00000000" w:rsidRPr="00000000">
        <w:rPr>
          <w:rFonts w:ascii="Verdana" w:cs="Verdana" w:eastAsia="Verdana" w:hAnsi="Verdana"/>
          <w:rtl w:val="0"/>
        </w:rPr>
        <w:t xml:space="preserve">Sua pintura passa a se aproximar da sensibilidade surrealista, em 1984 expõe no MASP, sendo essa uma de suas últimas exposições. Depois de 86, entra em recesso, não expondo durante seis anos. Em 1992 monta uma exposição em </w:t>
      </w:r>
      <w:r w:rsidDel="00000000" w:rsidR="00000000" w:rsidRPr="00000000">
        <w:rPr>
          <w:rFonts w:ascii="Verdana" w:cs="Verdana" w:eastAsia="Verdana" w:hAnsi="Verdana"/>
          <w:rtl w:val="0"/>
        </w:rPr>
        <w:t xml:space="preserve">Wroclaw e Varsóvia, na Polônia, vindo para o Brasil no ano seguinta na </w:t>
      </w:r>
      <w:hyperlink r:id="rId11">
        <w:r w:rsidDel="00000000" w:rsidR="00000000" w:rsidRPr="00000000">
          <w:rPr>
            <w:rFonts w:ascii="Verdana" w:cs="Verdana" w:eastAsia="Verdana" w:hAnsi="Verdana"/>
            <w:rtl w:val="0"/>
          </w:rPr>
          <w:t xml:space="preserve">Pinacoteca do Estado de São Paulo - Pesp</w:t>
        </w:r>
      </w:hyperlink>
      <w:r w:rsidDel="00000000" w:rsidR="00000000" w:rsidRPr="00000000">
        <w:rPr>
          <w:rtl w:val="0"/>
        </w:rPr>
      </w:r>
    </w:p>
    <w:p w:rsidR="00000000" w:rsidDel="00000000" w:rsidP="00000000" w:rsidRDefault="00000000" w:rsidRPr="00000000">
      <w:pPr>
        <w:spacing w:line="327.2724151611333" w:lineRule="auto"/>
        <w:contextualSpacing w:val="0"/>
      </w:pPr>
      <w:r w:rsidDel="00000000" w:rsidR="00000000" w:rsidRPr="00000000">
        <w:rPr>
          <w:b w:val="1"/>
          <w:color w:val="494949"/>
          <w:highlight w:val="white"/>
          <w:rtl w:val="0"/>
        </w:rPr>
        <w:t xml:space="preserve"> </w:t>
      </w:r>
    </w:p>
    <w:p w:rsidR="00000000" w:rsidDel="00000000" w:rsidP="00000000" w:rsidRDefault="00000000" w:rsidRPr="00000000">
      <w:pPr>
        <w:spacing w:before="360" w:line="327.2724151611333"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Fonts w:ascii="Verdana" w:cs="Verdana" w:eastAsia="Verdana" w:hAnsi="Verdana"/>
            <w:b w:val="1"/>
            <w:color w:val="1155cc"/>
            <w:sz w:val="20"/>
            <w:u w:val="single"/>
            <w:rtl w:val="0"/>
          </w:rPr>
          <w:t xml:space="preserve">http://enciclopedia.itaucultural.org.br/pessoa8661/anatol-wladyslaw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acesso em 24-03-2015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23950" cy="1133475"/>
            <wp:effectExtent b="0" l="0" r="0" t="0"/>
            <wp:docPr descr="ANATOL BIO.JPG" id="3" name="image05.jpg"/>
            <a:graphic>
              <a:graphicData uri="http://schemas.openxmlformats.org/drawingml/2006/picture">
                <pic:pic>
                  <pic:nvPicPr>
                    <pic:cNvPr descr="ANATOL BIO.JPG" id="0" name="image05.jpg"/>
                    <pic:cNvPicPr preferRelativeResize="0"/>
                  </pic:nvPicPr>
                  <pic:blipFill>
                    <a:blip r:embed="rId13"/>
                    <a:srcRect b="0" l="0" r="0" t="0"/>
                    <a:stretch>
                      <a:fillRect/>
                    </a:stretch>
                  </pic:blipFill>
                  <pic:spPr>
                    <a:xfrm>
                      <a:off x="0" y="0"/>
                      <a:ext cx="1123950" cy="1133475"/>
                    </a:xfrm>
                    <a:prstGeom prst="rect"/>
                    <a:ln/>
                  </pic:spPr>
                </pic:pic>
              </a:graphicData>
            </a:graphic>
          </wp:inline>
        </w:drawing>
      </w:r>
      <w:hyperlink r:id="rId14">
        <w:r w:rsidDel="00000000" w:rsidR="00000000" w:rsidRPr="00000000">
          <w:rPr>
            <w:rFonts w:ascii="Verdana" w:cs="Verdana" w:eastAsia="Verdana" w:hAnsi="Verdana"/>
            <w:b w:val="1"/>
            <w:color w:val="1155cc"/>
            <w:u w:val="single"/>
            <w:rtl w:val="0"/>
          </w:rPr>
          <w:t xml:space="preserve">http://www.macvirtual.usp.br/mac/templates/projetos/seculoxx/modulo3/ruptura/wladyslaw/images/menu.jpg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57500" cy="2857500"/>
            <wp:effectExtent b="0" l="0" r="0" t="0"/>
            <wp:docPr descr="Anatol.jpg" id="1" name="image03.jpg"/>
            <a:graphic>
              <a:graphicData uri="http://schemas.openxmlformats.org/drawingml/2006/picture">
                <pic:pic>
                  <pic:nvPicPr>
                    <pic:cNvPr descr="Anatol.jpg" id="0" name="image03.jpg"/>
                    <pic:cNvPicPr preferRelativeResize="0"/>
                  </pic:nvPicPr>
                  <pic:blipFill>
                    <a:blip r:embed="rId15"/>
                    <a:srcRect b="0" l="0" r="0" t="0"/>
                    <a:stretch>
                      <a:fillRect/>
                    </a:stretch>
                  </pic:blipFill>
                  <pic:spPr>
                    <a:xfrm>
                      <a:off x="0" y="0"/>
                      <a:ext cx="2857500" cy="2857500"/>
                    </a:xfrm>
                    <a:prstGeom prst="rect"/>
                    <a:ln/>
                  </pic:spPr>
                </pic:pic>
              </a:graphicData>
            </a:graphic>
          </wp:inline>
        </w:drawing>
      </w:r>
      <w:hyperlink r:id="rId16">
        <w:r w:rsidDel="00000000" w:rsidR="00000000" w:rsidRPr="00000000">
          <w:rPr>
            <w:rFonts w:ascii="Verdana" w:cs="Verdana" w:eastAsia="Verdana" w:hAnsi="Verdana"/>
            <w:b w:val="1"/>
            <w:color w:val="1155cc"/>
            <w:u w:val="single"/>
            <w:rtl w:val="0"/>
          </w:rPr>
          <w:t xml:space="preserve">http://www.macvirtual.usp.br/mac/templates/projetos/seculoxx/modulo3/ruptura/wladyslaw/images/composicao.jpg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76500" cy="3200400"/>
            <wp:effectExtent b="0" l="0" r="0" t="0"/>
            <wp:docPr descr="composicao_ortogonal.jpg" id="2" name="image04.jpg"/>
            <a:graphic>
              <a:graphicData uri="http://schemas.openxmlformats.org/drawingml/2006/picture">
                <pic:pic>
                  <pic:nvPicPr>
                    <pic:cNvPr descr="composicao_ortogonal.jpg" id="0" name="image04.jpg"/>
                    <pic:cNvPicPr preferRelativeResize="0"/>
                  </pic:nvPicPr>
                  <pic:blipFill>
                    <a:blip r:embed="rId17"/>
                    <a:srcRect b="0" l="0" r="0" t="0"/>
                    <a:stretch>
                      <a:fillRect/>
                    </a:stretch>
                  </pic:blipFill>
                  <pic:spPr>
                    <a:xfrm>
                      <a:off x="0" y="0"/>
                      <a:ext cx="2476500" cy="3200400"/>
                    </a:xfrm>
                    <a:prstGeom prst="rect"/>
                    <a:ln/>
                  </pic:spPr>
                </pic:pic>
              </a:graphicData>
            </a:graphic>
          </wp:inline>
        </w:drawing>
      </w:r>
      <w:hyperlink r:id="rId18">
        <w:r w:rsidDel="00000000" w:rsidR="00000000" w:rsidRPr="00000000">
          <w:rPr>
            <w:rFonts w:ascii="Verdana" w:cs="Verdana" w:eastAsia="Verdana" w:hAnsi="Verdana"/>
            <w:b w:val="1"/>
            <w:color w:val="1155cc"/>
            <w:u w:val="single"/>
            <w:rtl w:val="0"/>
          </w:rPr>
          <w:t xml:space="preserve">http://www.macvirtual.usp.br/mac/templates/projetos/seculoxx/modulo3/ruptura/wladyslaw/images/composicao_ortogonal.jpg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71750" cy="2533650"/>
            <wp:effectExtent b="0" l="0" r="0" t="0"/>
            <wp:docPr descr="composicao2.jpg" id="4" name="image07.jpg"/>
            <a:graphic>
              <a:graphicData uri="http://schemas.openxmlformats.org/drawingml/2006/picture">
                <pic:pic>
                  <pic:nvPicPr>
                    <pic:cNvPr descr="composicao2.jpg" id="0" name="image07.jpg"/>
                    <pic:cNvPicPr preferRelativeResize="0"/>
                  </pic:nvPicPr>
                  <pic:blipFill>
                    <a:blip r:embed="rId19"/>
                    <a:srcRect b="0" l="0" r="0" t="0"/>
                    <a:stretch>
                      <a:fillRect/>
                    </a:stretch>
                  </pic:blipFill>
                  <pic:spPr>
                    <a:xfrm>
                      <a:off x="0" y="0"/>
                      <a:ext cx="2571750" cy="2533650"/>
                    </a:xfrm>
                    <a:prstGeom prst="rect"/>
                    <a:ln/>
                  </pic:spPr>
                </pic:pic>
              </a:graphicData>
            </a:graphic>
          </wp:inline>
        </w:drawing>
      </w:r>
      <w:hyperlink r:id="rId20">
        <w:r w:rsidDel="00000000" w:rsidR="00000000" w:rsidRPr="00000000">
          <w:rPr>
            <w:rFonts w:ascii="Verdana" w:cs="Verdana" w:eastAsia="Verdana" w:hAnsi="Verdana"/>
            <w:b w:val="1"/>
            <w:color w:val="1155cc"/>
            <w:u w:val="single"/>
            <w:rtl w:val="0"/>
          </w:rPr>
          <w:t xml:space="preserve">http://www.macvirtual.usp.br/mac/templates/projetos/seculoxx/modulo3/ruptura/wladyslaw/images/composicao2.jpg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07.jpg"/><Relationship Id="rId18" Type="http://schemas.openxmlformats.org/officeDocument/2006/relationships/hyperlink" Target="http://www.macvirtual.usp.br/mac/templates/projetos/seculoxx/modulo3/ruptura/wladyslaw/images/composicao_ortogonal.jpg" TargetMode="External"/><Relationship Id="rId17" Type="http://schemas.openxmlformats.org/officeDocument/2006/relationships/image" Target="media/image04.jpg"/><Relationship Id="rId16" Type="http://schemas.openxmlformats.org/officeDocument/2006/relationships/hyperlink" Target="http://www.macvirtual.usp.br/mac/templates/projetos/seculoxx/modulo3/ruptura/wladyslaw/images/composicao.jpg" TargetMode="External"/><Relationship Id="rId15" Type="http://schemas.openxmlformats.org/officeDocument/2006/relationships/image" Target="media/image03.jpg"/><Relationship Id="rId14" Type="http://schemas.openxmlformats.org/officeDocument/2006/relationships/hyperlink" Target="http://www.macvirtual.usp.br/mac/templates/projetos/seculoxx/modulo3/ruptura/wladyslaw/images/menu.jpg" TargetMode="External"/><Relationship Id="rId2" Type="http://schemas.openxmlformats.org/officeDocument/2006/relationships/fontTable" Target="fontTable.xml"/><Relationship Id="rId12" Type="http://schemas.openxmlformats.org/officeDocument/2006/relationships/hyperlink" Target="http://enciclopedia.itaucultural.org.br/pessoa8661/anatol-wladyslaw" TargetMode="External"/><Relationship Id="rId13" Type="http://schemas.openxmlformats.org/officeDocument/2006/relationships/image" Target="media/image05.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itaucultural.org.br/aplicExternas/enciclopedia_IC/index.cfm?fuseaction=marcos_texto&amp;cd_verbete=335&amp;cd_idioma=28555" TargetMode="External"/><Relationship Id="rId3" Type="http://schemas.openxmlformats.org/officeDocument/2006/relationships/numbering" Target="numbering.xml"/><Relationship Id="rId11" Type="http://schemas.openxmlformats.org/officeDocument/2006/relationships/hyperlink" Target="http://www.itaucultural.org.br/aplicExternas/enciclopedia_IC/index.cfm?fuseaction=marcos_texto&amp;cd_verbete=3768&amp;cd_idioma=28555" TargetMode="External"/><Relationship Id="rId20" Type="http://schemas.openxmlformats.org/officeDocument/2006/relationships/hyperlink" Target="http://www.macvirtual.usp.br/mac/templates/projetos/seculoxx/modulo3/ruptura/wladyslaw/images/composicao2.jpg" TargetMode="External"/><Relationship Id="rId9" Type="http://schemas.openxmlformats.org/officeDocument/2006/relationships/hyperlink" Target="http://www.itaucultural.org.br/aplicExternas/enciclopedia_IC/index.cfm?fuseaction=marcos_texto&amp;cd_verbete=910&amp;cd_idioma=28555" TargetMode="External"/><Relationship Id="rId6" Type="http://schemas.openxmlformats.org/officeDocument/2006/relationships/hyperlink" Target="http://www.itaucultural.org.br/aplicExternas/enciclopedia_IC/index.cfm?fuseaction=artistas_biografia&amp;cd_verbete=365&amp;cd_idioma=28555" TargetMode="External"/><Relationship Id="rId5" Type="http://schemas.openxmlformats.org/officeDocument/2006/relationships/hyperlink" Target="http://www.itaucultural.org.br/aplicExternas/enciclopedia_IC/index.cfm?fuseaction=artistas_biografia&amp;cd_verbete=2508&amp;cd_idioma=28555" TargetMode="External"/><Relationship Id="rId8" Type="http://schemas.openxmlformats.org/officeDocument/2006/relationships/hyperlink" Target="http://www.itaucultural.org.br/aplicExternas/enciclopedia_IC/index.cfm?fuseaction=termos_texto&amp;cd_verbete=346&amp;cd_idioma=28555" TargetMode="External"/><Relationship Id="rId7" Type="http://schemas.openxmlformats.org/officeDocument/2006/relationships/hyperlink" Target="http://www.itaucultural.org.br/aplicExternas/enciclopedia_IC/index.cfm?fuseaction=artistas_biografia&amp;cd_verbete=680&amp;cd_idioma=28555" TargetMode="External"/></Relationships>
</file>