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Décio Luiz Monteiro Vieira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Nascimento: 1922 (Brasil, Rio de Janeiro, Petrópolis)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highlight w:val="white"/>
          <w:rtl w:val="0"/>
        </w:rPr>
        <w:t xml:space="preserve">Morte: 1988 (Brasil, Rio de Janeiro, Rio de Janeiro)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4"/>
          <w:highlight w:val="white"/>
          <w:rtl w:val="0"/>
        </w:rPr>
        <w:t xml:space="preserve">Pintor, desenhista. Estuda desenho e pintura com Axl Leskoschek (1889 - 1975) na Fundação Getúlio Vargas - FGV do Rio de Janeiro, em 1948. A partir desse ano, entra em contato com a gravadora Fayga Ostrower (1920 - 2001) e tem aulas como pintor Ivan Serpa (1923 - 1973) no Museu de Arte Moderna do Rio de Janeiro - MAM/RJ. Na década de 1950, integra o Grupo Frente, com Lygia Pape (1927 - 2004), Lygia Clark (1920 - 1988), Hélio Oiticica (1937 - 1980), e outros. Participa do Grupo Neoconcreto, dissidência carioca do grupo concretista. Entre 1954 e 1962, produz estampas para tecidos com Fayga Ostrower. Em 1966, em São Paulo, trabalha com Alfredo Volpi (1896 - 1988) no afresco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4"/>
          <w:highlight w:val="white"/>
          <w:rtl w:val="0"/>
        </w:rPr>
        <w:t xml:space="preserve">Dom Bosco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highlight w:val="white"/>
          <w:rtl w:val="0"/>
        </w:rPr>
        <w:t xml:space="preserve">, para o Palácio dos Arcos, em Brasília, e com ele estuda a técnica da têmpera e passa a apresentar uma produção abstrata. Na década de 1970, volta à figuração, dedicando-se principalmente à pintura de paisagem, e leciona no MAM/RJ, nos cursos coordenados pelo crítico Frederico Morais. Com a orientação de Ivan Serpa cria, com Dulce Vieira, uma escola de arte para as crianças da comunidade da favela da Rocinha, no Rio de Janeiro. É realizada exposição retrospectiva de sua produção, intitulada Décio Vieira: Resumo de uma Trajetória, na Galeria Rodrigo de Mello Franco, da Funarte, no Rio de Janeiro, em 1992.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color w:val="0000ff"/>
            <w:sz w:val="24"/>
            <w:u w:val="single"/>
            <w:rtl w:val="0"/>
          </w:rPr>
          <w:t xml:space="preserve">http://enciclopedia.itaucultural.org.br/pessoa21454/decio-vieira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Verdana" w:cs="Verdana" w:eastAsia="Verdana" w:hAnsi="Verdana"/>
          <w:sz w:val="24"/>
          <w:rtl w:val="0"/>
        </w:rPr>
        <w:t xml:space="preserve">Visto em 29-03-2015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nciclopedia.itaucultural.org.br/pessoa21454/decio-vieira" TargetMode="External"/><Relationship Id="rId5" Type="http://schemas.openxmlformats.org/officeDocument/2006/relationships/hyperlink" Target="http://enciclopedia.itaucultural.org.br/pessoa21454/decio-vieira" TargetMode="External"/></Relationships>
</file>