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B2B" w:rsidRPr="006307FA" w:rsidRDefault="000D0B2B" w:rsidP="000D0B2B">
      <w:pPr>
        <w:pStyle w:val="Heading2"/>
        <w:numPr>
          <w:ilvl w:val="1"/>
          <w:numId w:val="1"/>
        </w:numPr>
        <w:tabs>
          <w:tab w:val="right" w:pos="540"/>
          <w:tab w:val="num" w:pos="792"/>
        </w:tabs>
        <w:spacing w:before="0"/>
        <w:ind w:left="544" w:hanging="544"/>
        <w:jc w:val="both"/>
      </w:pPr>
      <w:bookmarkStart w:id="0" w:name="_Toc335942159"/>
      <w:bookmarkStart w:id="1" w:name="_Toc353062987"/>
      <w:bookmarkStart w:id="2" w:name="_Toc353063527"/>
      <w:r w:rsidRPr="006307FA">
        <w:t>The life-cycle of a computerized GL</w:t>
      </w:r>
      <w:bookmarkEnd w:id="0"/>
      <w:bookmarkEnd w:id="1"/>
      <w:bookmarkEnd w:id="2"/>
      <w:r w:rsidRPr="006307FA">
        <w:t xml:space="preserve"> </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The lifecycle of a standard, </w:t>
      </w:r>
      <w:r w:rsidRPr="006307FA">
        <w:rPr>
          <w:rFonts w:asciiTheme="majorBidi" w:hAnsiTheme="majorBidi" w:cstheme="majorBidi"/>
          <w:i/>
          <w:iCs/>
          <w:sz w:val="24"/>
          <w:szCs w:val="24"/>
        </w:rPr>
        <w:t>text-based</w:t>
      </w:r>
      <w:r w:rsidRPr="006307FA">
        <w:rPr>
          <w:rFonts w:asciiTheme="majorBidi" w:hAnsiTheme="majorBidi" w:cstheme="majorBidi"/>
          <w:sz w:val="24"/>
          <w:szCs w:val="24"/>
        </w:rPr>
        <w:t xml:space="preserve"> GL includes tasks such as GL authoring, dissemination, implementation, adaptation and back to authoring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RW.CITE{{67 Greenes, R.A. 2001; 84 Fox, J. 2009}}</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[Greenes, et al. 2001, Fox, et al. 2009]</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w:t>
      </w:r>
    </w:p>
    <w:p w:rsidR="000D0B2B" w:rsidRPr="006307FA" w:rsidRDefault="000D0B2B" w:rsidP="000D0B2B">
      <w:pPr>
        <w:spacing w:after="0" w:line="240" w:lineRule="auto"/>
        <w:jc w:val="both"/>
        <w:rPr>
          <w:rFonts w:asciiTheme="majorBidi" w:hAnsiTheme="majorBidi" w:cstheme="majorBidi"/>
          <w:sz w:val="24"/>
          <w:szCs w:val="24"/>
        </w:rPr>
      </w:pP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However, in this dissertation I am focusing on the task of automating the support to GL-based care, which involves </w:t>
      </w:r>
      <w:r w:rsidRPr="006307FA">
        <w:rPr>
          <w:rFonts w:asciiTheme="majorBidi" w:hAnsiTheme="majorBidi" w:cstheme="majorBidi"/>
          <w:i/>
          <w:iCs/>
          <w:sz w:val="24"/>
          <w:szCs w:val="24"/>
        </w:rPr>
        <w:t>machine-comprehensible</w:t>
      </w:r>
      <w:r w:rsidRPr="006307FA">
        <w:rPr>
          <w:rFonts w:asciiTheme="majorBidi" w:hAnsiTheme="majorBidi" w:cstheme="majorBidi"/>
          <w:sz w:val="24"/>
          <w:szCs w:val="24"/>
        </w:rPr>
        <w:t xml:space="preserve"> GLs in the sense explained in Section 1.2.1. Figure 25 describes my view of the lifecycle of a computerized, machine-comprehensible GL:  all tasks use a central DB and KB to save and retrieve clinical data and knowledge, respectively. The DB usually contains patient data.  This guarantees consistency, synchronization and orchestration between all of the tasks (see section 2.5 for a detailed description of the implementation of these tasks). </w:t>
      </w:r>
    </w:p>
    <w:p w:rsidR="000D0B2B" w:rsidRPr="006307FA" w:rsidRDefault="000D0B2B" w:rsidP="000D0B2B">
      <w:pPr>
        <w:spacing w:line="240" w:lineRule="auto"/>
        <w:jc w:val="both"/>
        <w:rPr>
          <w:rFonts w:asciiTheme="majorBidi" w:hAnsiTheme="majorBidi" w:cstheme="majorBidi"/>
          <w:sz w:val="24"/>
          <w:szCs w:val="24"/>
        </w:rPr>
      </w:pPr>
    </w:p>
    <w:p w:rsidR="000D0B2B" w:rsidRPr="006307FA" w:rsidRDefault="000D0B2B" w:rsidP="000D0B2B">
      <w:pPr>
        <w:spacing w:line="240" w:lineRule="auto"/>
        <w:jc w:val="both"/>
        <w:rPr>
          <w:rFonts w:asciiTheme="majorBidi" w:hAnsiTheme="majorBidi" w:cstheme="majorBidi"/>
          <w:sz w:val="24"/>
          <w:szCs w:val="24"/>
        </w:rPr>
      </w:pPr>
      <w:r w:rsidRPr="006307FA">
        <w:rPr>
          <w:rFonts w:asciiTheme="majorBidi" w:hAnsiTheme="majorBidi" w:cstheme="majorBidi"/>
          <w:sz w:val="24"/>
          <w:szCs w:val="24"/>
        </w:rPr>
        <w:t>I will now briefly explain my view of a life-cycle of computerized GL:</w:t>
      </w:r>
    </w:p>
    <w:p w:rsidR="000D0B2B" w:rsidRPr="006307FA" w:rsidRDefault="000D0B2B" w:rsidP="000D0B2B">
      <w:pPr>
        <w:pStyle w:val="Heading3"/>
        <w:ind w:left="540"/>
      </w:pPr>
      <w:bookmarkStart w:id="3" w:name="_Toc331589374"/>
      <w:bookmarkStart w:id="4" w:name="_Toc335942160"/>
      <w:bookmarkStart w:id="5" w:name="_Toc353062988"/>
      <w:bookmarkStart w:id="6" w:name="_Toc353063528"/>
      <w:r w:rsidRPr="006307FA">
        <w:t>Guideline Knowledge Acquisition</w:t>
      </w:r>
      <w:bookmarkEnd w:id="3"/>
      <w:bookmarkEnd w:id="4"/>
      <w:bookmarkEnd w:id="5"/>
      <w:bookmarkEnd w:id="6"/>
      <w:r w:rsidRPr="006307FA">
        <w:t xml:space="preserve"> </w:t>
      </w:r>
    </w:p>
    <w:p w:rsidR="000D0B2B" w:rsidRPr="006307FA" w:rsidRDefault="000D0B2B" w:rsidP="000D0B2B">
      <w:pPr>
        <w:pStyle w:val="BodyChar"/>
        <w:spacing w:before="0"/>
        <w:rPr>
          <w:rFonts w:ascii="Times" w:hAnsi="Times" w:cs="Times"/>
          <w:sz w:val="24"/>
          <w:szCs w:val="24"/>
          <w:lang w:eastAsia="en-US"/>
        </w:rPr>
      </w:pPr>
      <w:r w:rsidRPr="006307FA">
        <w:rPr>
          <w:rFonts w:asciiTheme="majorBidi" w:hAnsiTheme="majorBidi" w:cstheme="majorBidi"/>
          <w:sz w:val="24"/>
          <w:szCs w:val="24"/>
        </w:rPr>
        <w:t xml:space="preserve">The process of specifying and acquiring </w:t>
      </w:r>
      <w:r w:rsidRPr="006307FA">
        <w:rPr>
          <w:rFonts w:asciiTheme="majorBidi" w:hAnsiTheme="majorBidi" w:cstheme="majorBidi" w:hint="cs"/>
          <w:sz w:val="24"/>
          <w:szCs w:val="24"/>
          <w:lang w:bidi="he-IL"/>
        </w:rPr>
        <w:t>GL</w:t>
      </w:r>
      <w:r w:rsidRPr="006307FA">
        <w:rPr>
          <w:rFonts w:asciiTheme="majorBidi" w:hAnsiTheme="majorBidi" w:cstheme="majorBidi"/>
          <w:sz w:val="24"/>
          <w:szCs w:val="24"/>
        </w:rPr>
        <w:t xml:space="preserve"> knowledge is called </w:t>
      </w:r>
      <w:r w:rsidRPr="006307FA">
        <w:rPr>
          <w:rFonts w:asciiTheme="majorBidi" w:hAnsiTheme="majorBidi" w:cstheme="majorBidi"/>
          <w:i/>
          <w:iCs/>
          <w:sz w:val="24"/>
          <w:szCs w:val="24"/>
        </w:rPr>
        <w:t>Knowledge Acquisition</w:t>
      </w:r>
      <w:r w:rsidRPr="006307FA">
        <w:rPr>
          <w:rFonts w:asciiTheme="majorBidi" w:hAnsiTheme="majorBidi" w:cstheme="majorBidi"/>
          <w:sz w:val="24"/>
          <w:szCs w:val="24"/>
        </w:rPr>
        <w:t xml:space="preserve"> (KA), or sometimes GL </w:t>
      </w:r>
      <w:r w:rsidRPr="006307FA">
        <w:rPr>
          <w:rFonts w:asciiTheme="majorBidi" w:hAnsiTheme="majorBidi" w:cstheme="majorBidi"/>
          <w:i/>
          <w:iCs/>
          <w:sz w:val="24"/>
          <w:szCs w:val="24"/>
        </w:rPr>
        <w:t>Specification</w:t>
      </w:r>
      <w:r w:rsidRPr="006307FA">
        <w:rPr>
          <w:rFonts w:asciiTheme="majorBidi" w:hAnsiTheme="majorBidi" w:cstheme="majorBidi"/>
          <w:sz w:val="24"/>
          <w:szCs w:val="24"/>
        </w:rPr>
        <w:t xml:space="preserve">. In this task (see task 1 in Figure 25), the domain experts and Knowledge Engineers (KEs) work collaboratively to convert the textual GL's implicit declarative textual and procedural knowledge into explicit knowledge, according to some GL representation language such as Asbru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RW.CITE{{71 Miksch, S. 1997}}</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[Miksch, et al. 1997]</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stored in one unified knowledge base, which happens in our case to be the DEGEL GL digital library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RW.CITE{{72 Shahar, Y. 2004}}</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[Shahar, et al. 2004]</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For this task, they might use KA tools and an appropriate methodology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RW.CITE{{68 Shalom, E. 2008; 69 Shalom, E. 2009; 70 Shalom, E.}}</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[Shalom, et al. 2008, Shalom, et al. 2009, Shalom</w:t>
      </w:r>
      <w:proofErr w:type="gramStart"/>
      <w:r w:rsidRPr="006307FA">
        <w:rPr>
          <w:rFonts w:asciiTheme="majorBidi" w:hAnsiTheme="majorBidi" w:cstheme="majorBidi"/>
          <w:sz w:val="24"/>
          <w:szCs w:val="24"/>
        </w:rPr>
        <w:t>. ]</w:t>
      </w:r>
      <w:proofErr w:type="gramEnd"/>
      <w:r w:rsidRPr="006307FA">
        <w:rPr>
          <w:rFonts w:asciiTheme="majorBidi" w:hAnsiTheme="majorBidi" w:cstheme="majorBidi"/>
          <w:sz w:val="24"/>
          <w:szCs w:val="24"/>
        </w:rPr>
        <w:fldChar w:fldCharType="end"/>
      </w:r>
      <w:r w:rsidRPr="006307FA">
        <w:rPr>
          <w:rFonts w:asciiTheme="majorBidi" w:hAnsiTheme="majorBidi" w:cstheme="majorBidi"/>
          <w:sz w:val="24"/>
          <w:szCs w:val="24"/>
        </w:rPr>
        <w:t>.</w:t>
      </w:r>
    </w:p>
    <w:p w:rsidR="000D0B2B" w:rsidRPr="006307FA" w:rsidRDefault="000D0B2B" w:rsidP="000D0B2B">
      <w:pPr>
        <w:keepNext/>
        <w:jc w:val="center"/>
      </w:pPr>
      <w:r w:rsidRPr="006307FA">
        <w:rPr>
          <w:noProof/>
        </w:rPr>
        <w:drawing>
          <wp:inline distT="0" distB="0" distL="0" distR="0" wp14:anchorId="753F7D94" wp14:editId="1FC19F4A">
            <wp:extent cx="2657475" cy="2756331"/>
            <wp:effectExtent l="0" t="0" r="0" b="6350"/>
            <wp:docPr id="301" name="תמונה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0419" cy="2759384"/>
                    </a:xfrm>
                    <a:prstGeom prst="rect">
                      <a:avLst/>
                    </a:prstGeom>
                    <a:noFill/>
                    <a:ln>
                      <a:noFill/>
                    </a:ln>
                  </pic:spPr>
                </pic:pic>
              </a:graphicData>
            </a:graphic>
          </wp:inline>
        </w:drawing>
      </w:r>
    </w:p>
    <w:p w:rsidR="000D0B2B" w:rsidRPr="006307FA" w:rsidRDefault="000D0B2B" w:rsidP="000D0B2B">
      <w:pPr>
        <w:pStyle w:val="Caption"/>
        <w:keepLines/>
        <w:ind w:firstLine="0"/>
        <w:outlineLvl w:val="0"/>
        <w:rPr>
          <w:rFonts w:asciiTheme="majorBidi" w:hAnsiTheme="majorBidi" w:cstheme="majorBidi"/>
        </w:rPr>
      </w:pPr>
      <w:bookmarkStart w:id="7" w:name="_Toc335942161"/>
      <w:bookmarkStart w:id="8" w:name="_Toc337581044"/>
      <w:bookmarkStart w:id="9" w:name="_Toc337582342"/>
      <w:bookmarkStart w:id="10" w:name="_Toc353062989"/>
      <w:bookmarkStart w:id="11" w:name="_Toc353063529"/>
      <w:r w:rsidRPr="006307FA">
        <w:t xml:space="preserve">Figure </w:t>
      </w:r>
      <w:r w:rsidRPr="006307FA">
        <w:fldChar w:fldCharType="begin"/>
      </w:r>
      <w:r w:rsidRPr="006307FA">
        <w:instrText xml:space="preserve"> SEQ Figure \* ARABIC </w:instrText>
      </w:r>
      <w:r w:rsidRPr="006307FA">
        <w:fldChar w:fldCharType="separate"/>
      </w:r>
      <w:r>
        <w:rPr>
          <w:noProof/>
        </w:rPr>
        <w:t>25</w:t>
      </w:r>
      <w:r w:rsidRPr="006307FA">
        <w:rPr>
          <w:noProof/>
        </w:rPr>
        <w:fldChar w:fldCharType="end"/>
      </w:r>
      <w:r w:rsidRPr="006307FA">
        <w:rPr>
          <w:b w:val="0"/>
          <w:bCs w:val="0"/>
          <w:noProof/>
        </w:rPr>
        <w:t>. An idealized view of the lifecycle of a computerized guideline (GL). All tasks use the shared medical knowledge base and the longitudinal patient clinical database, reading and possibly modifying them, except for the first (knowledge acquisition or specification) task, which only modifies the knowledge base</w:t>
      </w:r>
      <w:bookmarkEnd w:id="7"/>
      <w:bookmarkEnd w:id="8"/>
      <w:bookmarkEnd w:id="9"/>
      <w:bookmarkEnd w:id="10"/>
      <w:bookmarkEnd w:id="11"/>
    </w:p>
    <w:p w:rsidR="000D0B2B" w:rsidRPr="006307FA" w:rsidRDefault="000D0B2B" w:rsidP="000D0B2B">
      <w:pPr>
        <w:pStyle w:val="Heading3"/>
        <w:ind w:left="540"/>
      </w:pPr>
      <w:bookmarkStart w:id="12" w:name="_Toc331589375"/>
      <w:bookmarkStart w:id="13" w:name="_Toc335942162"/>
      <w:bookmarkStart w:id="14" w:name="_Toc353062990"/>
      <w:bookmarkStart w:id="15" w:name="_Toc353063530"/>
      <w:r w:rsidRPr="006307FA">
        <w:lastRenderedPageBreak/>
        <w:t>Guideline Simulation</w:t>
      </w:r>
      <w:bookmarkEnd w:id="12"/>
      <w:bookmarkEnd w:id="13"/>
      <w:bookmarkEnd w:id="14"/>
      <w:bookmarkEnd w:id="15"/>
      <w:r w:rsidRPr="006307FA">
        <w:t xml:space="preserve"> </w:t>
      </w:r>
    </w:p>
    <w:p w:rsidR="000D0B2B" w:rsidRPr="006307FA" w:rsidRDefault="000D0B2B" w:rsidP="000D0B2B">
      <w:pPr>
        <w:tabs>
          <w:tab w:val="right" w:pos="284"/>
        </w:tabs>
        <w:autoSpaceDE w:val="0"/>
        <w:autoSpaceDN w:val="0"/>
        <w:adjustRightInd w:val="0"/>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This task (see task 2 in Figure 25) involves using simulation methods to perform a </w:t>
      </w:r>
      <w:r w:rsidRPr="006307FA">
        <w:rPr>
          <w:rFonts w:asciiTheme="majorBidi" w:hAnsiTheme="majorBidi" w:cstheme="majorBidi"/>
          <w:i/>
          <w:iCs/>
          <w:sz w:val="24"/>
          <w:szCs w:val="24"/>
        </w:rPr>
        <w:t>technical evaluation</w:t>
      </w:r>
      <w:r w:rsidRPr="006307FA">
        <w:rPr>
          <w:rFonts w:asciiTheme="majorBidi" w:hAnsiTheme="majorBidi" w:cstheme="majorBidi"/>
          <w:sz w:val="24"/>
          <w:szCs w:val="24"/>
        </w:rPr>
        <w:t xml:space="preserve"> in order to check the recommendations of the GL application engine by first generating all of the GL's possible </w:t>
      </w:r>
      <w:r w:rsidRPr="006307FA">
        <w:rPr>
          <w:rFonts w:asciiTheme="majorBidi" w:hAnsiTheme="majorBidi" w:cstheme="majorBidi"/>
          <w:i/>
          <w:iCs/>
          <w:sz w:val="24"/>
          <w:szCs w:val="24"/>
        </w:rPr>
        <w:t>scenarios,</w:t>
      </w:r>
      <w:r w:rsidRPr="006307FA">
        <w:rPr>
          <w:rFonts w:asciiTheme="majorBidi" w:hAnsiTheme="majorBidi" w:cstheme="majorBidi"/>
          <w:sz w:val="24"/>
          <w:szCs w:val="24"/>
        </w:rPr>
        <w:t xml:space="preserve"> given its formal description, then creating a set of simulated </w:t>
      </w:r>
      <w:r w:rsidRPr="006307FA">
        <w:rPr>
          <w:rFonts w:asciiTheme="majorBidi" w:hAnsiTheme="majorBidi" w:cstheme="majorBidi"/>
          <w:i/>
          <w:iCs/>
          <w:sz w:val="24"/>
          <w:szCs w:val="24"/>
        </w:rPr>
        <w:t>patient records</w:t>
      </w:r>
      <w:r w:rsidRPr="006307FA">
        <w:rPr>
          <w:rFonts w:asciiTheme="majorBidi" w:hAnsiTheme="majorBidi" w:cstheme="majorBidi"/>
          <w:sz w:val="24"/>
          <w:szCs w:val="24"/>
        </w:rPr>
        <w:t xml:space="preserve"> for each scenario and finally, by applying key scenarios to the generated records using the GL application engine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RW.CITE{{73 Freidman, I. 2012}}</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[Freidman. 2012]</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In addition, a </w:t>
      </w:r>
      <w:r w:rsidRPr="006307FA">
        <w:rPr>
          <w:rFonts w:asciiTheme="majorBidi" w:hAnsiTheme="majorBidi" w:cstheme="majorBidi"/>
          <w:i/>
          <w:iCs/>
          <w:sz w:val="24"/>
          <w:szCs w:val="24"/>
        </w:rPr>
        <w:t>functional evaluation</w:t>
      </w:r>
      <w:r w:rsidRPr="006307FA">
        <w:rPr>
          <w:rFonts w:asciiTheme="majorBidi" w:hAnsiTheme="majorBidi" w:cstheme="majorBidi"/>
          <w:sz w:val="24"/>
          <w:szCs w:val="24"/>
        </w:rPr>
        <w:t xml:space="preserve"> is performed to test the GL’s main scenarios manually by using human experts to check the quality of the GL modeling and the quality of the GL application engine. The output of this phase, which is part of the evaluation methodology that I present in Chapter 4 , but which is not performed in most of the GL application frameworks, is that the GL is valid and ready to be applied. </w:t>
      </w:r>
    </w:p>
    <w:p w:rsidR="000D0B2B" w:rsidRPr="006307FA" w:rsidRDefault="000D0B2B" w:rsidP="000D0B2B">
      <w:pPr>
        <w:pStyle w:val="Heading3"/>
        <w:ind w:left="540"/>
      </w:pPr>
      <w:bookmarkStart w:id="16" w:name="_Toc331589376"/>
      <w:bookmarkStart w:id="17" w:name="_Toc335942163"/>
      <w:bookmarkStart w:id="18" w:name="_Toc353062991"/>
      <w:bookmarkStart w:id="19" w:name="_Toc353063531"/>
      <w:r w:rsidRPr="006307FA">
        <w:t>Monitoring and alerting</w:t>
      </w:r>
      <w:bookmarkEnd w:id="16"/>
      <w:bookmarkEnd w:id="17"/>
      <w:bookmarkEnd w:id="18"/>
      <w:bookmarkEnd w:id="19"/>
      <w:r w:rsidRPr="006307FA">
        <w:t xml:space="preserve"> </w:t>
      </w:r>
    </w:p>
    <w:p w:rsidR="000D0B2B" w:rsidRPr="006307FA" w:rsidRDefault="000D0B2B" w:rsidP="000D0B2B">
      <w:pPr>
        <w:pStyle w:val="BodyChar"/>
        <w:spacing w:before="0"/>
        <w:rPr>
          <w:rFonts w:ascii="Times" w:hAnsi="Times" w:cs="Times"/>
          <w:sz w:val="24"/>
          <w:szCs w:val="24"/>
          <w:lang w:eastAsia="en-US"/>
        </w:rPr>
      </w:pPr>
      <w:r w:rsidRPr="006307FA">
        <w:rPr>
          <w:rFonts w:ascii="Times" w:hAnsi="Times" w:cs="Times"/>
          <w:sz w:val="24"/>
          <w:szCs w:val="24"/>
          <w:lang w:eastAsia="en-US"/>
        </w:rPr>
        <w:t xml:space="preserve">An example for this task </w:t>
      </w:r>
      <w:r w:rsidRPr="006307FA">
        <w:rPr>
          <w:rFonts w:asciiTheme="majorBidi" w:hAnsiTheme="majorBidi" w:cstheme="majorBidi"/>
          <w:sz w:val="24"/>
          <w:szCs w:val="24"/>
        </w:rPr>
        <w:t xml:space="preserve">(see task 3 in Figure 25) </w:t>
      </w:r>
      <w:r w:rsidRPr="006307FA">
        <w:rPr>
          <w:rFonts w:ascii="Times" w:hAnsi="Times" w:cs="Times"/>
          <w:sz w:val="24"/>
          <w:szCs w:val="24"/>
          <w:lang w:eastAsia="en-US"/>
        </w:rPr>
        <w:t>is a DSS application which constantly monitors and reasons about a pattern which defines the declarative-knowledge eligibility criteria for some particular GL, such as "</w:t>
      </w:r>
      <w:r w:rsidRPr="006307FA">
        <w:rPr>
          <w:rFonts w:ascii="Times" w:hAnsi="Times" w:cs="Times"/>
          <w:i/>
          <w:iCs/>
          <w:sz w:val="24"/>
          <w:szCs w:val="24"/>
          <w:lang w:eastAsia="en-US"/>
        </w:rPr>
        <w:t>Moderate Anemia for two weeks</w:t>
      </w:r>
      <w:r w:rsidRPr="006307FA">
        <w:rPr>
          <w:rFonts w:ascii="Times" w:hAnsi="Times" w:cs="Times"/>
          <w:sz w:val="24"/>
          <w:szCs w:val="24"/>
          <w:lang w:eastAsia="en-US"/>
        </w:rPr>
        <w:t xml:space="preserve">" (an abstraction that is derived using the domain's declarative knowledge from a set of raw time-stamped hemoglobin values) and triggers an alert when the entry pattern is evaluated to a True value. We refer to this type of alerting as </w:t>
      </w:r>
      <w:r w:rsidRPr="006307FA">
        <w:rPr>
          <w:rFonts w:ascii="Times" w:hAnsi="Times" w:cs="Times"/>
          <w:i/>
          <w:iCs/>
          <w:sz w:val="24"/>
          <w:szCs w:val="24"/>
          <w:lang w:eastAsia="en-US"/>
        </w:rPr>
        <w:t>asynchronous</w:t>
      </w:r>
      <w:r w:rsidRPr="006307FA">
        <w:rPr>
          <w:rFonts w:ascii="Times" w:hAnsi="Times" w:cs="Times"/>
          <w:sz w:val="24"/>
          <w:szCs w:val="24"/>
          <w:lang w:eastAsia="en-US"/>
        </w:rPr>
        <w:t xml:space="preserve">, </w:t>
      </w:r>
      <w:r w:rsidRPr="006307FA">
        <w:rPr>
          <w:rFonts w:ascii="Times" w:hAnsi="Times" w:cs="Times"/>
          <w:i/>
          <w:iCs/>
          <w:sz w:val="24"/>
          <w:szCs w:val="24"/>
          <w:lang w:eastAsia="en-US"/>
        </w:rPr>
        <w:t>data-driven</w:t>
      </w:r>
      <w:r w:rsidRPr="006307FA">
        <w:rPr>
          <w:rFonts w:ascii="Times" w:hAnsi="Times" w:cs="Times"/>
          <w:sz w:val="24"/>
          <w:szCs w:val="24"/>
          <w:lang w:eastAsia="en-US"/>
        </w:rPr>
        <w:t xml:space="preserve"> or </w:t>
      </w:r>
      <w:r w:rsidRPr="006307FA">
        <w:rPr>
          <w:rFonts w:ascii="Times" w:hAnsi="Times" w:cs="Times"/>
          <w:i/>
          <w:iCs/>
          <w:sz w:val="24"/>
          <w:szCs w:val="24"/>
          <w:lang w:eastAsia="en-US"/>
        </w:rPr>
        <w:t>event-driven</w:t>
      </w:r>
      <w:r w:rsidRPr="006307FA">
        <w:rPr>
          <w:rFonts w:ascii="Times" w:hAnsi="Times" w:cs="Times"/>
          <w:sz w:val="24"/>
          <w:szCs w:val="24"/>
          <w:lang w:eastAsia="en-US"/>
        </w:rPr>
        <w:t xml:space="preserve"> reasoning: subscribers (typically, software modules) such as a DSS or even the patient's mobile device can subscribe to the patient's DB, given a suitable monitoring system, to get alerts. Another option to perform a monitoring task is through  </w:t>
      </w:r>
      <w:r w:rsidRPr="006307FA">
        <w:rPr>
          <w:rFonts w:ascii="Times" w:hAnsi="Times" w:cs="Times"/>
          <w:i/>
          <w:iCs/>
          <w:sz w:val="24"/>
          <w:szCs w:val="24"/>
          <w:lang w:eastAsia="en-US"/>
        </w:rPr>
        <w:t>synchronous, query-driven</w:t>
      </w:r>
      <w:r w:rsidRPr="006307FA">
        <w:rPr>
          <w:rFonts w:ascii="Times" w:hAnsi="Times" w:cs="Times"/>
          <w:sz w:val="24"/>
          <w:szCs w:val="24"/>
          <w:lang w:eastAsia="en-US"/>
        </w:rPr>
        <w:t xml:space="preserve"> (</w:t>
      </w:r>
      <w:r w:rsidRPr="006307FA">
        <w:rPr>
          <w:rFonts w:ascii="Times" w:hAnsi="Times" w:cs="Times"/>
          <w:i/>
          <w:iCs/>
          <w:sz w:val="24"/>
          <w:szCs w:val="24"/>
          <w:lang w:eastAsia="en-US"/>
        </w:rPr>
        <w:t>goal-driven</w:t>
      </w:r>
      <w:r w:rsidRPr="006307FA">
        <w:rPr>
          <w:rFonts w:ascii="Times" w:hAnsi="Times" w:cs="Times"/>
          <w:sz w:val="24"/>
          <w:szCs w:val="24"/>
          <w:lang w:eastAsia="en-US"/>
        </w:rPr>
        <w:t>) reasoning, which occurs when a specific client sends a request to the reasoning engine to calculate a given pattern (such as the one described above) and gets back the results of the evaluation.</w:t>
      </w:r>
      <w:r w:rsidRPr="006307FA">
        <w:rPr>
          <w:rFonts w:asciiTheme="majorBidi" w:hAnsiTheme="majorBidi" w:cstheme="majorBidi"/>
          <w:sz w:val="24"/>
          <w:szCs w:val="24"/>
        </w:rPr>
        <w:t xml:space="preserve"> </w:t>
      </w:r>
      <w:r w:rsidRPr="006307FA">
        <w:rPr>
          <w:rFonts w:ascii="Times" w:hAnsi="Times" w:cs="Times"/>
          <w:sz w:val="24"/>
          <w:szCs w:val="24"/>
          <w:lang w:eastAsia="en-US"/>
        </w:rPr>
        <w:t xml:space="preserve"> </w:t>
      </w:r>
    </w:p>
    <w:p w:rsidR="000D0B2B" w:rsidRPr="006307FA" w:rsidRDefault="000D0B2B" w:rsidP="000D0B2B">
      <w:pPr>
        <w:pStyle w:val="Heading3"/>
        <w:ind w:left="540"/>
      </w:pPr>
      <w:bookmarkStart w:id="20" w:name="_Toc331589377"/>
      <w:bookmarkStart w:id="21" w:name="_Toc335942164"/>
      <w:bookmarkStart w:id="22" w:name="_Toc353062992"/>
      <w:bookmarkStart w:id="23" w:name="_Toc353063532"/>
      <w:r w:rsidRPr="006307FA">
        <w:t>Quality assurance by GL Application</w:t>
      </w:r>
      <w:bookmarkEnd w:id="20"/>
      <w:bookmarkEnd w:id="21"/>
      <w:bookmarkEnd w:id="22"/>
      <w:bookmarkEnd w:id="23"/>
    </w:p>
    <w:p w:rsidR="000D0B2B" w:rsidRPr="006307FA" w:rsidRDefault="000D0B2B" w:rsidP="000D0B2B">
      <w:pPr>
        <w:autoSpaceDE w:val="0"/>
        <w:autoSpaceDN w:val="0"/>
        <w:adjustRightInd w:val="0"/>
        <w:spacing w:after="0" w:line="240" w:lineRule="auto"/>
        <w:jc w:val="both"/>
        <w:rPr>
          <w:rFonts w:asciiTheme="majorBidi" w:eastAsia="Times New Roman" w:hAnsiTheme="majorBidi" w:cstheme="majorBidi"/>
          <w:color w:val="222222"/>
          <w:sz w:val="24"/>
          <w:szCs w:val="24"/>
        </w:rPr>
      </w:pPr>
      <w:bookmarkStart w:id="24" w:name="_Toc331589378"/>
      <w:r w:rsidRPr="006307FA">
        <w:rPr>
          <w:rFonts w:asciiTheme="majorBidi" w:eastAsia="Times New Roman" w:hAnsiTheme="majorBidi" w:cstheme="majorBidi"/>
          <w:color w:val="222222"/>
          <w:sz w:val="24"/>
          <w:szCs w:val="24"/>
        </w:rPr>
        <w:t xml:space="preserve">This real-time task </w:t>
      </w:r>
      <w:r w:rsidRPr="006307FA">
        <w:rPr>
          <w:rFonts w:asciiTheme="majorBidi" w:hAnsiTheme="majorBidi" w:cstheme="majorBidi"/>
          <w:sz w:val="24"/>
          <w:szCs w:val="24"/>
        </w:rPr>
        <w:t>(see task 4 in Figure 25)</w:t>
      </w:r>
      <w:r w:rsidRPr="006307FA">
        <w:rPr>
          <w:rFonts w:asciiTheme="majorBidi" w:eastAsia="Times New Roman" w:hAnsiTheme="majorBidi" w:cstheme="majorBidi"/>
          <w:color w:val="222222"/>
          <w:sz w:val="24"/>
          <w:szCs w:val="24"/>
        </w:rPr>
        <w:t xml:space="preserve"> involves the application of the procedural knowledge of the GL by the application engine, often by making recommendations to a care provider at the point of care but also possibly remotely at the patient's home, directing the recommendations to the patient or his/her family or even to a nurse at a telemedicine call center. We are assuming here that the GL is represented using some specific machine-comprehensible GL representation language. The GL application decreases the variability of treatment and increases the quality of decisions. The GL application engine is usually domain-independent, so it can be used in multiple clinical domains, and it should support both user-initiative synchronous mode , when for example a physician might initiate the GL application session and trigger the decision-support process and data-driven asynchronous mode, when for example a new incoming data item or event might trigger a decision-support session (e.g., a new laboratory result is added to the patient's record) </w:t>
      </w:r>
      <w:r w:rsidRPr="006307FA">
        <w:rPr>
          <w:rFonts w:asciiTheme="majorBidi" w:eastAsia="Times New Roman" w:hAnsiTheme="majorBidi" w:cstheme="majorBidi"/>
          <w:color w:val="222222"/>
          <w:sz w:val="24"/>
          <w:szCs w:val="24"/>
        </w:rPr>
        <w:fldChar w:fldCharType="begin"/>
      </w:r>
      <w:r w:rsidRPr="006307FA">
        <w:rPr>
          <w:rFonts w:asciiTheme="majorBidi" w:eastAsia="Times New Roman" w:hAnsiTheme="majorBidi" w:cstheme="majorBidi"/>
          <w:color w:val="222222"/>
          <w:sz w:val="24"/>
          <w:szCs w:val="24"/>
        </w:rPr>
        <w:instrText>ADDIN RW.CITE{{74 De Clercq, P. 2004}}</w:instrText>
      </w:r>
      <w:r w:rsidRPr="006307FA">
        <w:rPr>
          <w:rFonts w:asciiTheme="majorBidi" w:eastAsia="Times New Roman" w:hAnsiTheme="majorBidi" w:cstheme="majorBidi"/>
          <w:color w:val="222222"/>
          <w:sz w:val="24"/>
          <w:szCs w:val="24"/>
        </w:rPr>
        <w:fldChar w:fldCharType="separate"/>
      </w:r>
      <w:r w:rsidRPr="006307FA">
        <w:rPr>
          <w:rFonts w:asciiTheme="majorBidi" w:eastAsia="Times New Roman" w:hAnsiTheme="majorBidi" w:cstheme="majorBidi"/>
          <w:color w:val="222222"/>
          <w:sz w:val="24"/>
          <w:szCs w:val="24"/>
        </w:rPr>
        <w:t>[De Clercq, et al. 2004]</w:t>
      </w:r>
      <w:r w:rsidRPr="006307FA">
        <w:rPr>
          <w:rFonts w:asciiTheme="majorBidi" w:eastAsia="Times New Roman" w:hAnsiTheme="majorBidi" w:cstheme="majorBidi"/>
          <w:color w:val="222222"/>
          <w:sz w:val="24"/>
          <w:szCs w:val="24"/>
        </w:rPr>
        <w:fldChar w:fldCharType="end"/>
      </w:r>
      <w:r w:rsidRPr="006307FA">
        <w:rPr>
          <w:rFonts w:asciiTheme="majorBidi" w:eastAsia="Times New Roman" w:hAnsiTheme="majorBidi" w:cstheme="majorBidi"/>
          <w:color w:val="222222"/>
          <w:sz w:val="24"/>
          <w:szCs w:val="24"/>
        </w:rPr>
        <w:t xml:space="preserve">.  </w:t>
      </w:r>
    </w:p>
    <w:p w:rsidR="000D0B2B" w:rsidRPr="006307FA" w:rsidRDefault="000D0B2B" w:rsidP="000D0B2B">
      <w:pPr>
        <w:pStyle w:val="Heading3"/>
        <w:ind w:left="540"/>
      </w:pPr>
      <w:bookmarkStart w:id="25" w:name="_Toc335942165"/>
      <w:bookmarkStart w:id="26" w:name="_Toc353062993"/>
      <w:bookmarkStart w:id="27" w:name="_Toc353063533"/>
      <w:r w:rsidRPr="006307FA">
        <w:t>Visualization &amp; exploration</w:t>
      </w:r>
      <w:bookmarkEnd w:id="24"/>
      <w:bookmarkEnd w:id="25"/>
      <w:bookmarkEnd w:id="26"/>
      <w:bookmarkEnd w:id="27"/>
      <w:r w:rsidRPr="006307FA">
        <w:t xml:space="preserve"> </w:t>
      </w:r>
    </w:p>
    <w:p w:rsidR="000D0B2B" w:rsidRPr="006307FA" w:rsidRDefault="000D0B2B" w:rsidP="000D0B2B">
      <w:pPr>
        <w:shd w:val="clear" w:color="auto" w:fill="FFFFFF"/>
        <w:spacing w:after="0" w:line="240" w:lineRule="auto"/>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 xml:space="preserve">In the context of the GL life-cycle, since a unified medical procedural and declarative knowledge base is used, this task </w:t>
      </w:r>
      <w:r w:rsidRPr="006307FA">
        <w:rPr>
          <w:rFonts w:asciiTheme="majorBidi" w:hAnsiTheme="majorBidi" w:cstheme="majorBidi"/>
          <w:sz w:val="24"/>
          <w:szCs w:val="24"/>
        </w:rPr>
        <w:t xml:space="preserve">(see task 5 in Figure 25) </w:t>
      </w:r>
      <w:r w:rsidRPr="006307FA">
        <w:rPr>
          <w:rFonts w:asciiTheme="majorBidi" w:eastAsia="Times New Roman" w:hAnsiTheme="majorBidi" w:cstheme="majorBidi"/>
          <w:color w:val="222222"/>
          <w:sz w:val="24"/>
          <w:szCs w:val="24"/>
        </w:rPr>
        <w:t xml:space="preserve">includes using tools for visualization and exploration of the time-oriented clinical data using declarative medical knowledge. The objective is to create GL-specific interpretations of the raw data and to display and browse them interactively and effectively to support better decisions. </w:t>
      </w:r>
    </w:p>
    <w:p w:rsidR="000D0B2B" w:rsidRPr="006307FA" w:rsidRDefault="000D0B2B" w:rsidP="000D0B2B">
      <w:pPr>
        <w:shd w:val="clear" w:color="auto" w:fill="FFFFFF"/>
        <w:spacing w:after="120" w:line="240" w:lineRule="auto"/>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 xml:space="preserve">Using GL-oriented context-sensitive knowledge can have a significant effect on the quality of decisions, since effective visualization and exploration tools can offer support at the point of care, </w:t>
      </w:r>
      <w:r w:rsidRPr="006307FA">
        <w:rPr>
          <w:rFonts w:asciiTheme="majorBidi" w:eastAsia="Times New Roman" w:hAnsiTheme="majorBidi" w:cstheme="majorBidi"/>
          <w:color w:val="222222"/>
          <w:sz w:val="24"/>
          <w:szCs w:val="24"/>
        </w:rPr>
        <w:lastRenderedPageBreak/>
        <w:t xml:space="preserve">interpreting and browsing the data of </w:t>
      </w:r>
      <w:r w:rsidRPr="006307FA">
        <w:rPr>
          <w:rFonts w:asciiTheme="majorBidi" w:eastAsia="Times New Roman" w:hAnsiTheme="majorBidi" w:cstheme="majorBidi"/>
          <w:i/>
          <w:iCs/>
          <w:color w:val="222222"/>
          <w:sz w:val="24"/>
          <w:szCs w:val="24"/>
        </w:rPr>
        <w:t>individual</w:t>
      </w:r>
      <w:r w:rsidRPr="006307FA">
        <w:rPr>
          <w:rFonts w:asciiTheme="majorBidi" w:eastAsia="Times New Roman" w:hAnsiTheme="majorBidi" w:cstheme="majorBidi"/>
          <w:color w:val="222222"/>
          <w:sz w:val="24"/>
          <w:szCs w:val="24"/>
        </w:rPr>
        <w:t xml:space="preserve"> patients during their management </w:t>
      </w:r>
      <w:r w:rsidRPr="006307FA">
        <w:rPr>
          <w:rFonts w:asciiTheme="majorBidi" w:eastAsia="Times New Roman" w:hAnsiTheme="majorBidi" w:cstheme="majorBidi"/>
          <w:color w:val="222222"/>
          <w:sz w:val="24"/>
          <w:szCs w:val="24"/>
        </w:rPr>
        <w:fldChar w:fldCharType="begin"/>
      </w:r>
      <w:r w:rsidRPr="006307FA">
        <w:rPr>
          <w:rFonts w:asciiTheme="majorBidi" w:eastAsia="Times New Roman" w:hAnsiTheme="majorBidi" w:cstheme="majorBidi"/>
          <w:color w:val="222222"/>
          <w:sz w:val="24"/>
          <w:szCs w:val="24"/>
        </w:rPr>
        <w:instrText>ADDIN RW.CITE{{150 Klimov, D. 2010}}</w:instrText>
      </w:r>
      <w:r w:rsidRPr="006307FA">
        <w:rPr>
          <w:rFonts w:asciiTheme="majorBidi" w:eastAsia="Times New Roman" w:hAnsiTheme="majorBidi" w:cstheme="majorBidi"/>
          <w:color w:val="222222"/>
          <w:sz w:val="24"/>
          <w:szCs w:val="24"/>
        </w:rPr>
        <w:fldChar w:fldCharType="separate"/>
      </w:r>
      <w:r w:rsidRPr="006307FA">
        <w:rPr>
          <w:rFonts w:asciiTheme="majorBidi" w:eastAsia="Times New Roman" w:hAnsiTheme="majorBidi" w:cstheme="majorBidi"/>
          <w:color w:val="222222"/>
          <w:sz w:val="24"/>
          <w:szCs w:val="24"/>
        </w:rPr>
        <w:t>[Klimov, et al. 2010]</w:t>
      </w:r>
      <w:r w:rsidRPr="006307FA">
        <w:rPr>
          <w:rFonts w:asciiTheme="majorBidi" w:eastAsia="Times New Roman" w:hAnsiTheme="majorBidi" w:cstheme="majorBidi"/>
          <w:color w:val="222222"/>
          <w:sz w:val="24"/>
          <w:szCs w:val="24"/>
        </w:rPr>
        <w:fldChar w:fldCharType="end"/>
      </w:r>
      <w:r w:rsidRPr="006307FA">
        <w:rPr>
          <w:rFonts w:asciiTheme="majorBidi" w:eastAsia="Times New Roman" w:hAnsiTheme="majorBidi" w:cstheme="majorBidi"/>
          <w:color w:val="222222"/>
          <w:sz w:val="24"/>
          <w:szCs w:val="24"/>
        </w:rPr>
        <w:t xml:space="preserve"> as well as analyze and explore the data of </w:t>
      </w:r>
      <w:r w:rsidRPr="006307FA">
        <w:rPr>
          <w:rFonts w:asciiTheme="majorBidi" w:eastAsia="Times New Roman" w:hAnsiTheme="majorBidi" w:cstheme="majorBidi"/>
          <w:i/>
          <w:iCs/>
          <w:color w:val="222222"/>
          <w:sz w:val="24"/>
          <w:szCs w:val="24"/>
        </w:rPr>
        <w:t>multiple</w:t>
      </w:r>
      <w:r w:rsidRPr="006307FA">
        <w:rPr>
          <w:rFonts w:asciiTheme="majorBidi" w:eastAsia="Times New Roman" w:hAnsiTheme="majorBidi" w:cstheme="majorBidi"/>
          <w:color w:val="222222"/>
          <w:sz w:val="24"/>
          <w:szCs w:val="24"/>
        </w:rPr>
        <w:t xml:space="preserve"> patients to gain more general insights that can affect organizational policy and support clinical research (e.g., note associations across time for a medication and its effects or side effects </w:t>
      </w:r>
      <w:r w:rsidRPr="006307FA">
        <w:rPr>
          <w:rFonts w:asciiTheme="majorBidi" w:eastAsia="Times New Roman" w:hAnsiTheme="majorBidi" w:cstheme="majorBidi"/>
          <w:color w:val="222222"/>
          <w:sz w:val="24"/>
          <w:szCs w:val="24"/>
        </w:rPr>
        <w:fldChar w:fldCharType="begin"/>
      </w:r>
      <w:r w:rsidRPr="006307FA">
        <w:rPr>
          <w:rFonts w:asciiTheme="majorBidi" w:eastAsia="Times New Roman" w:hAnsiTheme="majorBidi" w:cstheme="majorBidi"/>
          <w:color w:val="222222"/>
          <w:sz w:val="24"/>
          <w:szCs w:val="24"/>
        </w:rPr>
        <w:instrText>ADDIN RW.CITE{{148 Klimov, D. 2007; 149 Klimov, D. 2010}}</w:instrText>
      </w:r>
      <w:r w:rsidRPr="006307FA">
        <w:rPr>
          <w:rFonts w:asciiTheme="majorBidi" w:eastAsia="Times New Roman" w:hAnsiTheme="majorBidi" w:cstheme="majorBidi"/>
          <w:color w:val="222222"/>
          <w:sz w:val="24"/>
          <w:szCs w:val="24"/>
        </w:rPr>
        <w:fldChar w:fldCharType="separate"/>
      </w:r>
      <w:r w:rsidRPr="006307FA">
        <w:rPr>
          <w:rFonts w:asciiTheme="majorBidi" w:eastAsia="Times New Roman" w:hAnsiTheme="majorBidi" w:cstheme="majorBidi"/>
          <w:color w:val="222222"/>
          <w:sz w:val="24"/>
          <w:szCs w:val="24"/>
        </w:rPr>
        <w:t>[Klimov, et al. 2007, Klimov, et al. 2010]</w:t>
      </w:r>
      <w:r w:rsidRPr="006307FA">
        <w:rPr>
          <w:rFonts w:asciiTheme="majorBidi" w:eastAsia="Times New Roman" w:hAnsiTheme="majorBidi" w:cstheme="majorBidi"/>
          <w:color w:val="222222"/>
          <w:sz w:val="24"/>
          <w:szCs w:val="24"/>
        </w:rPr>
        <w:fldChar w:fldCharType="end"/>
      </w:r>
      <w:r w:rsidRPr="006307FA">
        <w:rPr>
          <w:rFonts w:asciiTheme="majorBidi" w:eastAsia="Times New Roman" w:hAnsiTheme="majorBidi" w:cstheme="majorBidi"/>
          <w:color w:val="222222"/>
          <w:sz w:val="24"/>
          <w:szCs w:val="24"/>
        </w:rPr>
        <w:t xml:space="preserve">. </w:t>
      </w:r>
    </w:p>
    <w:p w:rsidR="000D0B2B" w:rsidRPr="006307FA" w:rsidRDefault="000D0B2B" w:rsidP="000D0B2B">
      <w:pPr>
        <w:pStyle w:val="Heading3"/>
        <w:ind w:left="540"/>
      </w:pPr>
      <w:bookmarkStart w:id="28" w:name="_Toc331589379"/>
      <w:bookmarkStart w:id="29" w:name="_Toc335942166"/>
      <w:bookmarkStart w:id="30" w:name="_Toc353062994"/>
      <w:bookmarkStart w:id="31" w:name="_Toc353063534"/>
      <w:r w:rsidRPr="006307FA">
        <w:t>Retrospective Quality Assessment</w:t>
      </w:r>
      <w:bookmarkEnd w:id="28"/>
      <w:bookmarkEnd w:id="29"/>
      <w:bookmarkEnd w:id="30"/>
      <w:bookmarkEnd w:id="31"/>
      <w:r w:rsidRPr="006307FA">
        <w:t xml:space="preserve"> </w:t>
      </w:r>
    </w:p>
    <w:p w:rsidR="000D0B2B" w:rsidRPr="006307FA" w:rsidRDefault="000D0B2B" w:rsidP="000D0B2B">
      <w:pPr>
        <w:spacing w:after="0" w:line="240" w:lineRule="auto"/>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 xml:space="preserve">This task </w:t>
      </w:r>
      <w:r w:rsidRPr="006307FA">
        <w:rPr>
          <w:rFonts w:asciiTheme="majorBidi" w:hAnsiTheme="majorBidi" w:cstheme="majorBidi"/>
          <w:sz w:val="24"/>
          <w:szCs w:val="24"/>
        </w:rPr>
        <w:t>(see task 6 in Figure 25)</w:t>
      </w:r>
      <w:r w:rsidRPr="006307FA">
        <w:rPr>
          <w:rFonts w:asciiTheme="majorBidi" w:eastAsia="Times New Roman" w:hAnsiTheme="majorBidi" w:cstheme="majorBidi"/>
          <w:color w:val="222222"/>
          <w:sz w:val="24"/>
          <w:szCs w:val="24"/>
        </w:rPr>
        <w:t xml:space="preserve"> involves GL quality assessment (QA) by retrospectively comparing a formally represented GL (e.g., a GL for treatment of hypertension) to one or more longitudinal patient records (e.g., a database of patients treated at an anti-hypertensive therapy clinic) that might potentially benefit from the correct application of that GL. The output provides insights regarding the compliance/adherence of the care provider (or the patient) to the GL. This task also has the potential to improve future care by affecting the GL re-modeling through an iterative specification (knowledge acquisition) process. Thus, a complete cycle of GL specification and application is started again.</w:t>
      </w:r>
    </w:p>
    <w:p w:rsidR="000D0B2B" w:rsidRPr="006307FA" w:rsidRDefault="000D0B2B" w:rsidP="000D0B2B">
      <w:pPr>
        <w:spacing w:line="240" w:lineRule="auto"/>
        <w:jc w:val="both"/>
        <w:rPr>
          <w:rFonts w:asciiTheme="majorBidi" w:eastAsia="Times New Roman" w:hAnsiTheme="majorBidi" w:cstheme="majorBidi"/>
          <w:color w:val="222222"/>
          <w:sz w:val="24"/>
          <w:szCs w:val="24"/>
        </w:rPr>
      </w:pPr>
    </w:p>
    <w:p w:rsidR="000D0B2B" w:rsidRPr="006307FA" w:rsidRDefault="000D0B2B" w:rsidP="000D0B2B">
      <w:pPr>
        <w:spacing w:line="240" w:lineRule="auto"/>
        <w:ind w:left="90"/>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 xml:space="preserve">In this dissertation, however, I focus on Task 4, namely, the </w:t>
      </w:r>
      <w:r w:rsidRPr="006307FA">
        <w:rPr>
          <w:rFonts w:asciiTheme="majorBidi" w:eastAsia="Times New Roman" w:hAnsiTheme="majorBidi" w:cstheme="majorBidi"/>
          <w:i/>
          <w:iCs/>
          <w:color w:val="222222"/>
          <w:sz w:val="24"/>
          <w:szCs w:val="24"/>
        </w:rPr>
        <w:t>guideline application task</w:t>
      </w:r>
      <w:r w:rsidRPr="006307FA">
        <w:rPr>
          <w:rFonts w:asciiTheme="majorBidi" w:eastAsia="Times New Roman" w:hAnsiTheme="majorBidi" w:cstheme="majorBidi"/>
          <w:color w:val="222222"/>
          <w:sz w:val="24"/>
          <w:szCs w:val="24"/>
        </w:rPr>
        <w:t>.</w:t>
      </w:r>
    </w:p>
    <w:p w:rsidR="000D0B2B" w:rsidRPr="006307FA" w:rsidRDefault="000D0B2B" w:rsidP="000D0B2B">
      <w:pPr>
        <w:spacing w:after="0" w:line="240" w:lineRule="auto"/>
        <w:ind w:left="90"/>
        <w:jc w:val="both"/>
        <w:rPr>
          <w:rFonts w:asciiTheme="majorBidi" w:hAnsiTheme="majorBidi" w:cstheme="majorBidi"/>
          <w:sz w:val="24"/>
          <w:szCs w:val="24"/>
        </w:rPr>
      </w:pPr>
      <w:r w:rsidRPr="006307FA">
        <w:rPr>
          <w:rFonts w:asciiTheme="majorBidi" w:hAnsiTheme="majorBidi" w:cstheme="majorBidi"/>
          <w:sz w:val="24"/>
          <w:szCs w:val="24"/>
        </w:rPr>
        <w:t xml:space="preserve">In the next section, I describe a flexible multiple-component framework that supports realistic GL application. This multi-dimensional desiderata, as well as handling the rest of the desiderata for realistic application, is implemented within an overall GL-application architecture described in Chapter 3. At the core of that architecture seats a multi-dimensional GL-application engine, the </w:t>
      </w:r>
      <w:r w:rsidRPr="006307FA">
        <w:rPr>
          <w:rFonts w:asciiTheme="majorBidi" w:hAnsiTheme="majorBidi" w:cstheme="majorBidi"/>
          <w:iCs/>
          <w:sz w:val="24"/>
          <w:szCs w:val="24"/>
        </w:rPr>
        <w:t>PICARD</w:t>
      </w:r>
      <w:r w:rsidRPr="006307FA">
        <w:rPr>
          <w:rFonts w:asciiTheme="majorBidi" w:hAnsiTheme="majorBidi" w:cstheme="majorBidi"/>
          <w:sz w:val="24"/>
          <w:szCs w:val="24"/>
        </w:rPr>
        <w:t>-DSS engine. This engine is implemented within a more general existing framework, the Digital Electronic Guideline Library (DeGeL), which I will now describe in detail.</w:t>
      </w:r>
    </w:p>
    <w:p w:rsidR="000D0B2B" w:rsidRPr="006307FA" w:rsidRDefault="000D0B2B" w:rsidP="000D0B2B">
      <w:pPr>
        <w:spacing w:line="240" w:lineRule="auto"/>
        <w:jc w:val="both"/>
        <w:rPr>
          <w:sz w:val="24"/>
          <w:szCs w:val="24"/>
          <w:lang w:bidi="ar-SA"/>
        </w:rPr>
      </w:pPr>
    </w:p>
    <w:p w:rsidR="000D0B2B" w:rsidRPr="006307FA" w:rsidRDefault="000D0B2B" w:rsidP="000D0B2B">
      <w:pPr>
        <w:pStyle w:val="Heading2"/>
        <w:numPr>
          <w:ilvl w:val="1"/>
          <w:numId w:val="1"/>
        </w:numPr>
        <w:tabs>
          <w:tab w:val="right" w:pos="540"/>
          <w:tab w:val="num" w:pos="792"/>
        </w:tabs>
        <w:ind w:left="544" w:hanging="544"/>
        <w:jc w:val="both"/>
      </w:pPr>
      <w:bookmarkStart w:id="32" w:name="_Toc335942167"/>
      <w:bookmarkStart w:id="33" w:name="_Toc353062995"/>
      <w:bookmarkStart w:id="34" w:name="_Toc353063535"/>
      <w:r w:rsidRPr="006307FA">
        <w:t>The Digital Electronic Guideline Library (DeGeL)</w:t>
      </w:r>
      <w:bookmarkEnd w:id="32"/>
      <w:bookmarkEnd w:id="33"/>
      <w:bookmarkEnd w:id="34"/>
    </w:p>
    <w:p w:rsidR="000D0B2B" w:rsidRPr="006307FA" w:rsidRDefault="000D0B2B" w:rsidP="000D0B2B">
      <w:pPr>
        <w:pStyle w:val="Heading3"/>
        <w:ind w:left="540"/>
      </w:pPr>
      <w:bookmarkStart w:id="35" w:name="_Toc335942168"/>
      <w:bookmarkStart w:id="36" w:name="_Toc353062996"/>
      <w:bookmarkStart w:id="37" w:name="_Toc353063536"/>
      <w:r w:rsidRPr="006307FA">
        <w:t>The medical knowledge base</w:t>
      </w:r>
      <w:bookmarkEnd w:id="35"/>
      <w:bookmarkEnd w:id="36"/>
      <w:bookmarkEnd w:id="37"/>
      <w:r w:rsidRPr="006307FA">
        <w:t xml:space="preserve"> </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Previously, we have developed a distributed, web-based architecture, the </w:t>
      </w:r>
      <w:r w:rsidRPr="006307FA">
        <w:rPr>
          <w:rFonts w:asciiTheme="majorBidi" w:hAnsiTheme="majorBidi" w:cstheme="majorBidi"/>
          <w:bCs/>
          <w:sz w:val="24"/>
          <w:szCs w:val="24"/>
        </w:rPr>
        <w:t xml:space="preserve">Digital electronic Guideline Library </w:t>
      </w:r>
      <w:r w:rsidRPr="006307FA">
        <w:rPr>
          <w:rFonts w:asciiTheme="majorBidi" w:hAnsiTheme="majorBidi" w:cstheme="majorBidi"/>
          <w:sz w:val="24"/>
          <w:szCs w:val="24"/>
        </w:rPr>
        <w:t>(</w:t>
      </w:r>
      <w:r w:rsidRPr="006307FA">
        <w:rPr>
          <w:rFonts w:asciiTheme="majorBidi" w:hAnsiTheme="majorBidi" w:cstheme="majorBidi"/>
          <w:bCs/>
          <w:sz w:val="24"/>
          <w:szCs w:val="24"/>
        </w:rPr>
        <w:t>DeGeL</w:t>
      </w:r>
      <w:r w:rsidRPr="006307FA">
        <w:rPr>
          <w:rFonts w:asciiTheme="majorBidi" w:hAnsiTheme="majorBidi" w:cstheme="majorBidi"/>
          <w:sz w:val="24"/>
          <w:szCs w:val="24"/>
        </w:rPr>
        <w:t xml:space="preserve">)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RW.CITE{{72 Shahar, Y. 2004}}</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[Shahar, et al. 2004]</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which supports all of the design time and runtime tasks involved in guideline-based care. The DeGeL framework’s guideline knowledge-base and various task-specific tools were designed to handle all of the hybrid guideline representation levels, enabling incremental specification in collaborative fashion between the EP and KE.  The design for DeGeL architecture is not an arbitrary one. It incorporates insights from previous research projects, such as Asgaard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RW.CITE{{128 Shahar, Y. 1998}}</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[Shahar, et al. 1998]</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There are three main components in DeGeL's conceptual architecture: (1) a permissions and authorizations manager component responsible for generating user-profiles and controlling user access to DeGeL’s guideline repository, (2) a guideline content manager responsible for performing Create, Retrieve, Update and Delete (CRUD) operations on all knowledge entities (e.g., guidelines) stored in DeGeL’s repository, and (3) a search and retrieval engine responsible for performing text indexing and storing semantic classification of guidelines as well as handling search queries processing. </w:t>
      </w:r>
    </w:p>
    <w:p w:rsidR="000D0B2B" w:rsidRPr="006307FA" w:rsidRDefault="000D0B2B" w:rsidP="000D0B2B">
      <w:pPr>
        <w:spacing w:after="0" w:line="240" w:lineRule="auto"/>
        <w:jc w:val="both"/>
        <w:rPr>
          <w:rFonts w:asciiTheme="majorBidi" w:hAnsiTheme="majorBidi" w:cstheme="majorBidi"/>
          <w:sz w:val="24"/>
          <w:szCs w:val="24"/>
        </w:rPr>
      </w:pP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To support the specification of a guideline in one or more different GL specification languages, the DeGeL architecture includes a </w:t>
      </w:r>
      <w:r w:rsidRPr="006307FA">
        <w:rPr>
          <w:rFonts w:asciiTheme="majorBidi" w:hAnsiTheme="majorBidi" w:cstheme="majorBidi"/>
          <w:i/>
          <w:iCs/>
          <w:sz w:val="24"/>
          <w:szCs w:val="24"/>
        </w:rPr>
        <w:t xml:space="preserve">hybrid </w:t>
      </w:r>
      <w:r w:rsidRPr="006307FA">
        <w:rPr>
          <w:rFonts w:asciiTheme="majorBidi" w:hAnsiTheme="majorBidi" w:cstheme="majorBidi"/>
          <w:sz w:val="24"/>
          <w:szCs w:val="24"/>
        </w:rPr>
        <w:t>guideline</w:t>
      </w:r>
      <w:r w:rsidRPr="006307FA">
        <w:rPr>
          <w:rFonts w:asciiTheme="majorBidi" w:hAnsiTheme="majorBidi" w:cstheme="majorBidi"/>
          <w:i/>
          <w:iCs/>
          <w:sz w:val="24"/>
          <w:szCs w:val="24"/>
        </w:rPr>
        <w:t xml:space="preserve"> meta-ontology</w:t>
      </w:r>
      <w:r w:rsidRPr="006307FA">
        <w:rPr>
          <w:rFonts w:asciiTheme="majorBidi" w:hAnsiTheme="majorBidi" w:cstheme="majorBidi"/>
          <w:sz w:val="24"/>
          <w:szCs w:val="24"/>
        </w:rPr>
        <w:t xml:space="preserve"> (</w:t>
      </w:r>
      <w:proofErr w:type="gramStart"/>
      <w:r w:rsidRPr="006307FA">
        <w:rPr>
          <w:rFonts w:asciiTheme="majorBidi" w:hAnsiTheme="majorBidi" w:cstheme="majorBidi"/>
          <w:i/>
          <w:iCs/>
          <w:sz w:val="24"/>
          <w:szCs w:val="24"/>
        </w:rPr>
        <w:t>meta</w:t>
      </w:r>
      <w:proofErr w:type="gramEnd"/>
      <w:r w:rsidRPr="006307FA">
        <w:rPr>
          <w:rFonts w:asciiTheme="majorBidi" w:hAnsiTheme="majorBidi" w:cstheme="majorBidi"/>
          <w:sz w:val="24"/>
          <w:szCs w:val="24"/>
        </w:rPr>
        <w:t xml:space="preserve"> is used here in the sense of "</w:t>
      </w:r>
      <w:r w:rsidRPr="006307FA">
        <w:rPr>
          <w:rFonts w:asciiTheme="majorBidi" w:hAnsiTheme="majorBidi" w:cstheme="majorBidi"/>
          <w:i/>
          <w:iCs/>
          <w:sz w:val="24"/>
          <w:szCs w:val="24"/>
        </w:rPr>
        <w:t>above</w:t>
      </w:r>
      <w:r w:rsidRPr="006307FA">
        <w:rPr>
          <w:rFonts w:asciiTheme="majorBidi" w:hAnsiTheme="majorBidi" w:cstheme="majorBidi"/>
          <w:sz w:val="24"/>
          <w:szCs w:val="24"/>
        </w:rPr>
        <w:t xml:space="preserve">"). The meta-ontology is composed of two components: (1) a </w:t>
      </w:r>
      <w:r w:rsidRPr="006307FA">
        <w:rPr>
          <w:rFonts w:asciiTheme="majorBidi" w:hAnsiTheme="majorBidi" w:cstheme="majorBidi"/>
          <w:i/>
          <w:iCs/>
          <w:sz w:val="24"/>
          <w:szCs w:val="24"/>
        </w:rPr>
        <w:t>documentation ontology</w:t>
      </w:r>
      <w:r w:rsidRPr="006307FA">
        <w:rPr>
          <w:rFonts w:asciiTheme="majorBidi" w:hAnsiTheme="majorBidi" w:cstheme="majorBidi"/>
          <w:sz w:val="24"/>
          <w:szCs w:val="24"/>
        </w:rPr>
        <w:t xml:space="preserve"> which specifies KRs common to all target GL ontologies and defines the ontologies of the sources </w:t>
      </w:r>
      <w:r w:rsidRPr="006307FA">
        <w:rPr>
          <w:rFonts w:asciiTheme="majorBidi" w:hAnsiTheme="majorBidi" w:cstheme="majorBidi"/>
          <w:sz w:val="24"/>
          <w:szCs w:val="24"/>
        </w:rPr>
        <w:lastRenderedPageBreak/>
        <w:t xml:space="preserve">of the GLs and of the marked-up GLs, and (2) a </w:t>
      </w:r>
      <w:r w:rsidRPr="006307FA">
        <w:rPr>
          <w:rFonts w:asciiTheme="majorBidi" w:hAnsiTheme="majorBidi" w:cstheme="majorBidi"/>
          <w:i/>
          <w:iCs/>
          <w:sz w:val="24"/>
          <w:szCs w:val="24"/>
        </w:rPr>
        <w:t>specification meta-ontology</w:t>
      </w:r>
      <w:r w:rsidRPr="006307FA">
        <w:rPr>
          <w:rFonts w:asciiTheme="majorBidi" w:hAnsiTheme="majorBidi" w:cstheme="majorBidi"/>
          <w:sz w:val="24"/>
          <w:szCs w:val="24"/>
        </w:rPr>
        <w:t xml:space="preserve"> for describing a new target ontology, in order to enable adding it into the DeGeL (</w:t>
      </w:r>
      <w:proofErr w:type="gramStart"/>
      <w:r w:rsidRPr="006307FA">
        <w:rPr>
          <w:rFonts w:asciiTheme="majorBidi" w:hAnsiTheme="majorBidi" w:cstheme="majorBidi"/>
          <w:sz w:val="24"/>
          <w:szCs w:val="24"/>
        </w:rPr>
        <w:t>meta</w:t>
      </w:r>
      <w:proofErr w:type="gramEnd"/>
      <w:r w:rsidRPr="006307FA">
        <w:rPr>
          <w:rFonts w:asciiTheme="majorBidi" w:hAnsiTheme="majorBidi" w:cstheme="majorBidi"/>
          <w:sz w:val="24"/>
          <w:szCs w:val="24"/>
        </w:rPr>
        <w:t xml:space="preserve">) knowledge base.  Thus, DeGeL provides an XML schema that describes how to generate XML documents that conform to the DeGeL expected structure for designers of existing or new GL ontologies. These documents are instances of the specification meta-ontology and describe particular target ontologies such as GLIF or Asbru. Implementing the hybrid-meta-ontology in DeGeL enables uploading and structuring in more than one ontology. Figure 26 shows the gradual conversion process in the DeGeL framework. </w:t>
      </w:r>
    </w:p>
    <w:p w:rsidR="000D0B2B" w:rsidRPr="006307FA" w:rsidRDefault="000D0B2B" w:rsidP="000D0B2B">
      <w:pPr>
        <w:spacing w:after="0" w:line="240" w:lineRule="auto"/>
        <w:jc w:val="both"/>
        <w:rPr>
          <w:rFonts w:asciiTheme="majorBidi" w:hAnsiTheme="majorBidi" w:cstheme="majorBidi"/>
          <w:sz w:val="24"/>
          <w:szCs w:val="24"/>
        </w:rPr>
      </w:pPr>
    </w:p>
    <w:p w:rsidR="000D0B2B" w:rsidRPr="006307FA" w:rsidRDefault="000D0B2B" w:rsidP="000D0B2B">
      <w:pPr>
        <w:keepNext/>
        <w:spacing w:after="0"/>
        <w:jc w:val="center"/>
      </w:pPr>
      <w:r w:rsidRPr="006307FA">
        <w:rPr>
          <w:rFonts w:asciiTheme="majorBidi" w:hAnsiTheme="majorBidi" w:cstheme="majorBidi"/>
          <w:noProof/>
          <w:sz w:val="24"/>
          <w:szCs w:val="24"/>
        </w:rPr>
        <w:drawing>
          <wp:inline distT="0" distB="0" distL="0" distR="0" wp14:anchorId="62088B8F" wp14:editId="7CDED732">
            <wp:extent cx="5419698" cy="1409700"/>
            <wp:effectExtent l="19050" t="19050" r="9552" b="190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37563" cy="1414347"/>
                    </a:xfrm>
                    <a:prstGeom prst="rect">
                      <a:avLst/>
                    </a:prstGeom>
                    <a:noFill/>
                    <a:ln>
                      <a:solidFill>
                        <a:schemeClr val="accent1"/>
                      </a:solidFill>
                    </a:ln>
                  </pic:spPr>
                </pic:pic>
              </a:graphicData>
            </a:graphic>
          </wp:inline>
        </w:drawing>
      </w:r>
    </w:p>
    <w:p w:rsidR="000D0B2B" w:rsidRPr="006307FA" w:rsidRDefault="000D0B2B" w:rsidP="000D0B2B">
      <w:pPr>
        <w:autoSpaceDE w:val="0"/>
        <w:autoSpaceDN w:val="0"/>
        <w:adjustRightInd w:val="0"/>
        <w:spacing w:after="0" w:line="240" w:lineRule="auto"/>
        <w:jc w:val="both"/>
        <w:rPr>
          <w:rFonts w:asciiTheme="majorBidi" w:hAnsiTheme="majorBidi" w:cstheme="majorBidi"/>
          <w:sz w:val="20"/>
          <w:szCs w:val="20"/>
        </w:rPr>
      </w:pPr>
      <w:bookmarkStart w:id="38" w:name="_Toc337582343"/>
      <w:r w:rsidRPr="006307FA">
        <w:rPr>
          <w:rFonts w:asciiTheme="majorBidi" w:hAnsiTheme="majorBidi" w:cstheme="majorBidi"/>
          <w:b/>
          <w:bCs/>
          <w:sz w:val="20"/>
          <w:szCs w:val="20"/>
        </w:rPr>
        <w:t xml:space="preserve">Figure </w:t>
      </w:r>
      <w:r w:rsidRPr="006307FA">
        <w:rPr>
          <w:rFonts w:asciiTheme="majorBidi" w:hAnsiTheme="majorBidi" w:cstheme="majorBidi"/>
          <w:b/>
          <w:bCs/>
          <w:sz w:val="20"/>
          <w:szCs w:val="20"/>
        </w:rPr>
        <w:fldChar w:fldCharType="begin"/>
      </w:r>
      <w:r w:rsidRPr="006307FA">
        <w:rPr>
          <w:rFonts w:asciiTheme="majorBidi" w:hAnsiTheme="majorBidi" w:cstheme="majorBidi"/>
          <w:b/>
          <w:bCs/>
          <w:sz w:val="20"/>
          <w:szCs w:val="20"/>
        </w:rPr>
        <w:instrText xml:space="preserve"> SEQ Figure \* ARABIC </w:instrText>
      </w:r>
      <w:r w:rsidRPr="006307FA">
        <w:rPr>
          <w:rFonts w:asciiTheme="majorBidi" w:hAnsiTheme="majorBidi" w:cstheme="majorBidi"/>
          <w:b/>
          <w:bCs/>
          <w:sz w:val="20"/>
          <w:szCs w:val="20"/>
        </w:rPr>
        <w:fldChar w:fldCharType="separate"/>
      </w:r>
      <w:r>
        <w:rPr>
          <w:rFonts w:asciiTheme="majorBidi" w:hAnsiTheme="majorBidi" w:cstheme="majorBidi"/>
          <w:b/>
          <w:bCs/>
          <w:noProof/>
          <w:sz w:val="20"/>
          <w:szCs w:val="20"/>
        </w:rPr>
        <w:t>26</w:t>
      </w:r>
      <w:r w:rsidRPr="006307FA">
        <w:rPr>
          <w:rFonts w:asciiTheme="majorBidi" w:hAnsiTheme="majorBidi" w:cstheme="majorBidi"/>
          <w:b/>
          <w:bCs/>
          <w:sz w:val="20"/>
          <w:szCs w:val="20"/>
        </w:rPr>
        <w:fldChar w:fldCharType="end"/>
      </w:r>
      <w:r w:rsidRPr="006307FA">
        <w:rPr>
          <w:rFonts w:asciiTheme="majorBidi" w:hAnsiTheme="majorBidi" w:cstheme="majorBidi"/>
          <w:noProof/>
          <w:sz w:val="20"/>
          <w:szCs w:val="20"/>
        </w:rPr>
        <w:t xml:space="preserve">. </w:t>
      </w:r>
      <w:r w:rsidRPr="006307FA">
        <w:rPr>
          <w:rFonts w:asciiTheme="majorBidi" w:eastAsiaTheme="minorHAnsi" w:hAnsiTheme="majorBidi" w:cstheme="majorBidi"/>
          <w:sz w:val="20"/>
          <w:szCs w:val="20"/>
        </w:rPr>
        <w:t>The gradual conversion process in the DeGeL framework. (1) a free-text GL is selected for conversion to a machine-interpretable representation in some target GL-specification ontology and is uploaded to DeGeL’s knowledge-base; (2) an ontology-specific consensus is created by a knowledge engineer, who understands the ontology, and an expert physician, who is familiar with the GL’s domain; (3) the GL editor marks up (structures) portions of the GL using semantic labels from the target ontology, creating a semi-structure and, in collaboration with a knowledge engineer, a semi-formal GL representation; and (4) knowledge engineers add executable expressions in the syntax of the target ontology</w:t>
      </w:r>
      <w:r w:rsidRPr="006307FA">
        <w:rPr>
          <w:rFonts w:asciiTheme="majorBidi" w:hAnsiTheme="majorBidi" w:cstheme="majorBidi"/>
          <w:sz w:val="20"/>
          <w:szCs w:val="20"/>
        </w:rPr>
        <w:t xml:space="preserve"> (adopted from </w:t>
      </w:r>
      <w:r w:rsidRPr="006307FA">
        <w:rPr>
          <w:rFonts w:asciiTheme="majorBidi" w:hAnsiTheme="majorBidi" w:cstheme="majorBidi"/>
          <w:sz w:val="20"/>
          <w:szCs w:val="20"/>
        </w:rPr>
        <w:fldChar w:fldCharType="begin"/>
      </w:r>
      <w:r w:rsidRPr="006307FA">
        <w:rPr>
          <w:rFonts w:asciiTheme="majorBidi" w:hAnsiTheme="majorBidi" w:cstheme="majorBidi"/>
          <w:sz w:val="20"/>
          <w:szCs w:val="20"/>
        </w:rPr>
        <w:instrText>ADDIN RW.CITE{{133 Young, O. 2006}}</w:instrText>
      </w:r>
      <w:r w:rsidRPr="006307FA">
        <w:rPr>
          <w:rFonts w:asciiTheme="majorBidi" w:hAnsiTheme="majorBidi" w:cstheme="majorBidi"/>
          <w:sz w:val="20"/>
          <w:szCs w:val="20"/>
        </w:rPr>
        <w:fldChar w:fldCharType="separate"/>
      </w:r>
      <w:r w:rsidRPr="006307FA">
        <w:rPr>
          <w:rFonts w:asciiTheme="majorBidi" w:hAnsiTheme="majorBidi" w:cstheme="majorBidi"/>
          <w:sz w:val="20"/>
          <w:szCs w:val="20"/>
        </w:rPr>
        <w:t>[Young. 2006]</w:t>
      </w:r>
      <w:r w:rsidRPr="006307FA">
        <w:rPr>
          <w:rFonts w:asciiTheme="majorBidi" w:hAnsiTheme="majorBidi" w:cstheme="majorBidi"/>
          <w:sz w:val="20"/>
          <w:szCs w:val="20"/>
        </w:rPr>
        <w:fldChar w:fldCharType="end"/>
      </w:r>
      <w:r w:rsidRPr="006307FA">
        <w:rPr>
          <w:rFonts w:asciiTheme="majorBidi" w:hAnsiTheme="majorBidi" w:cstheme="majorBidi"/>
          <w:sz w:val="20"/>
          <w:szCs w:val="20"/>
        </w:rPr>
        <w:t>)</w:t>
      </w:r>
      <w:bookmarkEnd w:id="38"/>
    </w:p>
    <w:p w:rsidR="000D0B2B" w:rsidRPr="006307FA" w:rsidRDefault="000D0B2B" w:rsidP="000D0B2B">
      <w:pPr>
        <w:pStyle w:val="Heading3"/>
        <w:ind w:left="540"/>
      </w:pPr>
      <w:bookmarkStart w:id="39" w:name="_Toc131078457"/>
      <w:bookmarkStart w:id="40" w:name="_Toc131083701"/>
      <w:bookmarkStart w:id="41" w:name="_Toc131083875"/>
      <w:bookmarkStart w:id="42" w:name="_Toc131692454"/>
      <w:bookmarkStart w:id="43" w:name="_Toc335942169"/>
      <w:bookmarkStart w:id="44" w:name="_Toc353062997"/>
      <w:bookmarkStart w:id="45" w:name="_Toc353063537"/>
      <w:r w:rsidRPr="006307FA">
        <w:t>The Asbru Language and its Knowledge Roles</w:t>
      </w:r>
      <w:bookmarkEnd w:id="39"/>
      <w:bookmarkEnd w:id="40"/>
      <w:bookmarkEnd w:id="41"/>
      <w:bookmarkEnd w:id="42"/>
      <w:bookmarkEnd w:id="43"/>
      <w:bookmarkEnd w:id="44"/>
      <w:bookmarkEnd w:id="45"/>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As part of the Asgaard comprehensive GL application and critiquing project, an expressive guideline-representation language, Asbru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RW.CITE{{71 Miksch, S. 1997}}</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[Miksch, et al. 1997]</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was designed. Asbru is a state-driven language, i.e., a plan transits from one state to another based on the evaluation of certain conditions (e.g., a filter-precondition). The different states can be grouped into two main phases of the plan</w:t>
      </w:r>
      <w:r w:rsidRPr="006307FA">
        <w:rPr>
          <w:rFonts w:asciiTheme="majorBidi" w:hAnsiTheme="majorBidi" w:cstheme="majorBidi" w:hint="cs"/>
          <w:sz w:val="24"/>
          <w:szCs w:val="24"/>
        </w:rPr>
        <w:t>’</w:t>
      </w:r>
      <w:r w:rsidRPr="006307FA">
        <w:rPr>
          <w:rFonts w:asciiTheme="majorBidi" w:hAnsiTheme="majorBidi" w:cstheme="majorBidi"/>
          <w:sz w:val="24"/>
          <w:szCs w:val="24"/>
        </w:rPr>
        <w:t xml:space="preserve">s lifecycle: the selection phase and the execution phase. Figure 27 shows the different Asbru states. </w:t>
      </w:r>
    </w:p>
    <w:p w:rsidR="000D0B2B" w:rsidRPr="006307FA" w:rsidRDefault="000D0B2B" w:rsidP="000D0B2B">
      <w:pPr>
        <w:keepNext/>
        <w:spacing w:before="120" w:after="120"/>
        <w:jc w:val="center"/>
      </w:pPr>
      <w:r w:rsidRPr="006307FA">
        <w:rPr>
          <w:rFonts w:asciiTheme="majorBidi" w:hAnsiTheme="majorBidi" w:cstheme="majorBidi"/>
          <w:noProof/>
          <w:sz w:val="24"/>
          <w:szCs w:val="24"/>
        </w:rPr>
        <w:drawing>
          <wp:inline distT="0" distB="0" distL="0" distR="0" wp14:anchorId="0BF288BC" wp14:editId="7274599A">
            <wp:extent cx="5124871" cy="1962150"/>
            <wp:effectExtent l="0" t="0" r="0" b="0"/>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7266" cy="1966895"/>
                    </a:xfrm>
                    <a:prstGeom prst="rect">
                      <a:avLst/>
                    </a:prstGeom>
                    <a:noFill/>
                    <a:ln>
                      <a:noFill/>
                    </a:ln>
                  </pic:spPr>
                </pic:pic>
              </a:graphicData>
            </a:graphic>
          </wp:inline>
        </w:drawing>
      </w:r>
    </w:p>
    <w:p w:rsidR="000D0B2B" w:rsidRPr="006307FA" w:rsidRDefault="000D0B2B" w:rsidP="000D0B2B">
      <w:pPr>
        <w:pStyle w:val="Caption"/>
        <w:jc w:val="center"/>
        <w:outlineLvl w:val="0"/>
        <w:rPr>
          <w:rFonts w:asciiTheme="majorBidi" w:hAnsiTheme="majorBidi" w:cstheme="majorBidi"/>
          <w:sz w:val="24"/>
          <w:szCs w:val="24"/>
        </w:rPr>
      </w:pPr>
      <w:bookmarkStart w:id="46" w:name="_Toc335942170"/>
      <w:bookmarkStart w:id="47" w:name="_Toc337581053"/>
      <w:bookmarkStart w:id="48" w:name="_Toc337582344"/>
      <w:bookmarkStart w:id="49" w:name="_Toc353062998"/>
      <w:bookmarkStart w:id="50" w:name="_Toc353063538"/>
      <w:r w:rsidRPr="006307FA">
        <w:t xml:space="preserve">Figure </w:t>
      </w:r>
      <w:r w:rsidRPr="006307FA">
        <w:fldChar w:fldCharType="begin"/>
      </w:r>
      <w:r w:rsidRPr="006307FA">
        <w:instrText xml:space="preserve"> SEQ Figure \* ARABIC </w:instrText>
      </w:r>
      <w:r w:rsidRPr="006307FA">
        <w:fldChar w:fldCharType="separate"/>
      </w:r>
      <w:r>
        <w:rPr>
          <w:noProof/>
        </w:rPr>
        <w:t>27</w:t>
      </w:r>
      <w:r w:rsidRPr="006307FA">
        <w:rPr>
          <w:noProof/>
        </w:rPr>
        <w:fldChar w:fldCharType="end"/>
      </w:r>
      <w:r w:rsidRPr="006307FA">
        <w:t>.</w:t>
      </w:r>
      <w:r w:rsidRPr="006307FA">
        <w:rPr>
          <w:noProof/>
        </w:rPr>
        <w:t xml:space="preserve"> </w:t>
      </w:r>
      <w:r w:rsidRPr="006307FA">
        <w:rPr>
          <w:b w:val="0"/>
          <w:noProof/>
        </w:rPr>
        <w:t xml:space="preserve">The state transition model of an Asbru plan  (adopted from </w:t>
      </w:r>
      <w:r w:rsidRPr="006307FA">
        <w:rPr>
          <w:b w:val="0"/>
          <w:noProof/>
        </w:rPr>
        <w:fldChar w:fldCharType="begin"/>
      </w:r>
      <w:r w:rsidRPr="006307FA">
        <w:rPr>
          <w:b w:val="0"/>
          <w:noProof/>
        </w:rPr>
        <w:instrText>ADDIN RW.CITE{{133 Young, O. 2006}}</w:instrText>
      </w:r>
      <w:r w:rsidRPr="006307FA">
        <w:rPr>
          <w:b w:val="0"/>
          <w:noProof/>
        </w:rPr>
        <w:fldChar w:fldCharType="separate"/>
      </w:r>
      <w:r w:rsidRPr="006307FA">
        <w:rPr>
          <w:b w:val="0"/>
          <w:noProof/>
        </w:rPr>
        <w:t>[Young. 2006]</w:t>
      </w:r>
      <w:r w:rsidRPr="006307FA">
        <w:rPr>
          <w:b w:val="0"/>
          <w:noProof/>
        </w:rPr>
        <w:fldChar w:fldCharType="end"/>
      </w:r>
      <w:r w:rsidRPr="006307FA">
        <w:rPr>
          <w:b w:val="0"/>
          <w:noProof/>
        </w:rPr>
        <w:t>)</w:t>
      </w:r>
      <w:bookmarkEnd w:id="46"/>
      <w:bookmarkEnd w:id="47"/>
      <w:bookmarkEnd w:id="48"/>
      <w:bookmarkEnd w:id="49"/>
      <w:bookmarkEnd w:id="50"/>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However, over the years, some knowledge roles (KRs) were added to support additional requirements which were missing in the original Asbru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RW.CITE{{161 Seyfang, A. 2000}}</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[Seyfang, et al. 2000]</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Following is a complete list of Asbru guideline specification language used for specification of GLs:</w:t>
      </w:r>
    </w:p>
    <w:p w:rsidR="000D0B2B" w:rsidRPr="006307FA" w:rsidRDefault="000D0B2B" w:rsidP="000D0B2B">
      <w:pPr>
        <w:numPr>
          <w:ilvl w:val="0"/>
          <w:numId w:val="2"/>
        </w:numPr>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lastRenderedPageBreak/>
        <w:t xml:space="preserve"> Semantic indices—</w:t>
      </w:r>
      <w:proofErr w:type="gramStart"/>
      <w:r w:rsidRPr="006307FA">
        <w:rPr>
          <w:rFonts w:asciiTheme="majorBidi" w:hAnsiTheme="majorBidi" w:cstheme="majorBidi"/>
          <w:sz w:val="24"/>
          <w:szCs w:val="24"/>
        </w:rPr>
        <w:t>The</w:t>
      </w:r>
      <w:proofErr w:type="gramEnd"/>
      <w:r w:rsidRPr="006307FA">
        <w:rPr>
          <w:rFonts w:asciiTheme="majorBidi" w:hAnsiTheme="majorBidi" w:cstheme="majorBidi"/>
          <w:sz w:val="24"/>
          <w:szCs w:val="24"/>
        </w:rPr>
        <w:t xml:space="preserve"> guideline classification according to DeGeL's semantic axes. </w:t>
      </w:r>
    </w:p>
    <w:p w:rsidR="000D0B2B" w:rsidRPr="006307FA" w:rsidRDefault="000D0B2B" w:rsidP="000D0B2B">
      <w:pPr>
        <w:numPr>
          <w:ilvl w:val="0"/>
          <w:numId w:val="2"/>
        </w:numPr>
        <w:tabs>
          <w:tab w:val="right" w:pos="252"/>
        </w:tabs>
        <w:spacing w:after="0" w:line="240" w:lineRule="auto"/>
        <w:jc w:val="both"/>
        <w:rPr>
          <w:rFonts w:asciiTheme="majorBidi" w:hAnsiTheme="majorBidi" w:cstheme="majorBidi"/>
          <w:sz w:val="24"/>
          <w:szCs w:val="24"/>
        </w:rPr>
      </w:pPr>
      <w:r w:rsidRPr="006307FA">
        <w:rPr>
          <w:rFonts w:asciiTheme="majorBidi" w:hAnsiTheme="majorBidi" w:cstheme="majorBidi"/>
          <w:i/>
          <w:iCs/>
          <w:sz w:val="24"/>
          <w:szCs w:val="24"/>
        </w:rPr>
        <w:t>Guideline knowledge</w:t>
      </w:r>
      <w:r w:rsidRPr="006307FA">
        <w:rPr>
          <w:rFonts w:asciiTheme="majorBidi" w:hAnsiTheme="majorBidi" w:cstheme="majorBidi"/>
          <w:sz w:val="24"/>
          <w:szCs w:val="24"/>
        </w:rPr>
        <w:t xml:space="preserve">—Contains definitions of medical concepts which might be re-used in several plans such as: clinical parameters, their definitions and their classification criteria. (e.g., the definition of anemia in the context of a guideline for treatment of HIV).  </w:t>
      </w:r>
    </w:p>
    <w:p w:rsidR="000D0B2B" w:rsidRPr="006307FA" w:rsidRDefault="000D0B2B" w:rsidP="000D0B2B">
      <w:pPr>
        <w:numPr>
          <w:ilvl w:val="0"/>
          <w:numId w:val="2"/>
        </w:numPr>
        <w:spacing w:after="0" w:line="240" w:lineRule="auto"/>
        <w:ind w:left="714" w:hanging="357"/>
        <w:jc w:val="both"/>
        <w:rPr>
          <w:rFonts w:asciiTheme="majorBidi" w:hAnsiTheme="majorBidi" w:cstheme="majorBidi"/>
          <w:sz w:val="24"/>
          <w:szCs w:val="24"/>
        </w:rPr>
      </w:pPr>
      <w:r w:rsidRPr="006307FA">
        <w:rPr>
          <w:rFonts w:asciiTheme="majorBidi" w:hAnsiTheme="majorBidi" w:cstheme="majorBidi"/>
          <w:i/>
          <w:iCs/>
          <w:sz w:val="24"/>
          <w:szCs w:val="24"/>
        </w:rPr>
        <w:t>Level of evidence—</w:t>
      </w:r>
      <w:proofErr w:type="gramStart"/>
      <w:r w:rsidRPr="006307FA">
        <w:rPr>
          <w:rFonts w:asciiTheme="majorBidi" w:hAnsiTheme="majorBidi" w:cstheme="majorBidi"/>
          <w:sz w:val="24"/>
          <w:szCs w:val="24"/>
        </w:rPr>
        <w:t>The</w:t>
      </w:r>
      <w:proofErr w:type="gramEnd"/>
      <w:r w:rsidRPr="006307FA">
        <w:rPr>
          <w:rFonts w:asciiTheme="majorBidi" w:hAnsiTheme="majorBidi" w:cstheme="majorBidi"/>
          <w:sz w:val="24"/>
          <w:szCs w:val="24"/>
        </w:rPr>
        <w:t xml:space="preserve"> grades of evidenced-based research on which a plan can be based.</w:t>
      </w:r>
    </w:p>
    <w:p w:rsidR="000D0B2B" w:rsidRPr="006307FA" w:rsidRDefault="000D0B2B" w:rsidP="000D0B2B">
      <w:pPr>
        <w:numPr>
          <w:ilvl w:val="0"/>
          <w:numId w:val="2"/>
        </w:numPr>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t>Strength of recommendation—</w:t>
      </w:r>
      <w:proofErr w:type="gramStart"/>
      <w:r w:rsidRPr="006307FA">
        <w:rPr>
          <w:rFonts w:asciiTheme="majorBidi" w:hAnsiTheme="majorBidi" w:cstheme="majorBidi"/>
          <w:sz w:val="24"/>
          <w:szCs w:val="24"/>
        </w:rPr>
        <w:t>The</w:t>
      </w:r>
      <w:proofErr w:type="gramEnd"/>
      <w:r w:rsidRPr="006307FA">
        <w:rPr>
          <w:rFonts w:asciiTheme="majorBidi" w:hAnsiTheme="majorBidi" w:cstheme="majorBidi"/>
          <w:sz w:val="24"/>
          <w:szCs w:val="24"/>
        </w:rPr>
        <w:t xml:space="preserve"> level of recommendation of a plan.</w:t>
      </w:r>
    </w:p>
    <w:p w:rsidR="000D0B2B" w:rsidRPr="006307FA" w:rsidRDefault="000D0B2B" w:rsidP="000D0B2B">
      <w:pPr>
        <w:numPr>
          <w:ilvl w:val="0"/>
          <w:numId w:val="2"/>
        </w:numPr>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t>Actors</w:t>
      </w:r>
      <w:r w:rsidRPr="006307FA">
        <w:rPr>
          <w:rFonts w:asciiTheme="majorBidi" w:hAnsiTheme="majorBidi" w:cstheme="majorBidi"/>
          <w:sz w:val="24"/>
          <w:szCs w:val="24"/>
        </w:rPr>
        <w:t>— Specifies who is responsible for taking part in performing the GL actions, for example: a nurse, gynecologist, etc.</w:t>
      </w:r>
    </w:p>
    <w:p w:rsidR="000D0B2B" w:rsidRPr="006307FA" w:rsidRDefault="000D0B2B" w:rsidP="000D0B2B">
      <w:pPr>
        <w:numPr>
          <w:ilvl w:val="0"/>
          <w:numId w:val="2"/>
        </w:numPr>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t>Clinical context—</w:t>
      </w:r>
      <w:proofErr w:type="gramStart"/>
      <w:r w:rsidRPr="006307FA">
        <w:rPr>
          <w:rFonts w:asciiTheme="majorBidi" w:hAnsiTheme="majorBidi" w:cstheme="majorBidi"/>
          <w:sz w:val="24"/>
          <w:szCs w:val="24"/>
        </w:rPr>
        <w:t>Specifies</w:t>
      </w:r>
      <w:proofErr w:type="gramEnd"/>
      <w:r w:rsidRPr="006307FA">
        <w:rPr>
          <w:rFonts w:asciiTheme="majorBidi" w:hAnsiTheme="majorBidi" w:cstheme="majorBidi"/>
          <w:sz w:val="24"/>
          <w:szCs w:val="24"/>
        </w:rPr>
        <w:t xml:space="preserve"> where in the clinical setting the patient is being seen, for example: ER, ICU, extended care, outpatient clinic, etc.</w:t>
      </w:r>
    </w:p>
    <w:p w:rsidR="000D0B2B" w:rsidRPr="006307FA" w:rsidRDefault="000D0B2B" w:rsidP="000D0B2B">
      <w:pPr>
        <w:numPr>
          <w:ilvl w:val="0"/>
          <w:numId w:val="2"/>
        </w:numPr>
        <w:spacing w:after="0" w:line="240" w:lineRule="auto"/>
        <w:ind w:left="714" w:hanging="357"/>
        <w:jc w:val="both"/>
        <w:rPr>
          <w:rFonts w:asciiTheme="majorBidi" w:hAnsiTheme="majorBidi" w:cstheme="majorBidi"/>
          <w:sz w:val="24"/>
          <w:szCs w:val="24"/>
        </w:rPr>
      </w:pPr>
      <w:r w:rsidRPr="006307FA">
        <w:rPr>
          <w:rFonts w:asciiTheme="majorBidi" w:hAnsiTheme="majorBidi" w:cstheme="majorBidi"/>
          <w:i/>
          <w:iCs/>
          <w:sz w:val="24"/>
          <w:szCs w:val="24"/>
        </w:rPr>
        <w:t>Preferences</w:t>
      </w:r>
      <w:r w:rsidRPr="006307FA">
        <w:rPr>
          <w:rFonts w:asciiTheme="majorBidi" w:hAnsiTheme="majorBidi" w:cstheme="majorBidi"/>
          <w:sz w:val="24"/>
          <w:szCs w:val="24"/>
        </w:rPr>
        <w:t xml:space="preserve">—Supports the selection of a plan when more than one option exists. Preferences bias or constrain the selection of a plan to achieve a given goal. For example: (1) </w:t>
      </w:r>
      <w:r w:rsidRPr="006307FA">
        <w:rPr>
          <w:rFonts w:asciiTheme="majorBidi" w:hAnsiTheme="majorBidi" w:cstheme="majorBidi"/>
          <w:i/>
          <w:iCs/>
          <w:sz w:val="24"/>
          <w:szCs w:val="24"/>
        </w:rPr>
        <w:t>select-method</w:t>
      </w:r>
      <w:r w:rsidRPr="006307FA">
        <w:rPr>
          <w:rFonts w:asciiTheme="majorBidi" w:hAnsiTheme="majorBidi" w:cstheme="majorBidi"/>
          <w:sz w:val="24"/>
          <w:szCs w:val="24"/>
        </w:rPr>
        <w:t xml:space="preserve">, a matching heuristic to determine the applicability of the entire plan (e.g., </w:t>
      </w:r>
      <w:r w:rsidRPr="006307FA">
        <w:rPr>
          <w:rFonts w:asciiTheme="majorBidi" w:hAnsiTheme="majorBidi" w:cstheme="majorBidi"/>
          <w:i/>
          <w:iCs/>
          <w:sz w:val="24"/>
          <w:szCs w:val="24"/>
        </w:rPr>
        <w:t>exact-fit</w:t>
      </w:r>
      <w:r w:rsidRPr="006307FA">
        <w:rPr>
          <w:rFonts w:asciiTheme="majorBidi" w:hAnsiTheme="majorBidi" w:cstheme="majorBidi"/>
          <w:sz w:val="24"/>
          <w:szCs w:val="24"/>
        </w:rPr>
        <w:t xml:space="preserve"> or </w:t>
      </w:r>
      <w:r w:rsidRPr="006307FA">
        <w:rPr>
          <w:rFonts w:asciiTheme="majorBidi" w:hAnsiTheme="majorBidi" w:cstheme="majorBidi"/>
          <w:i/>
          <w:iCs/>
          <w:sz w:val="24"/>
          <w:szCs w:val="24"/>
        </w:rPr>
        <w:t>roughly-fit</w:t>
      </w:r>
      <w:r w:rsidRPr="006307FA">
        <w:rPr>
          <w:rFonts w:asciiTheme="majorBidi" w:hAnsiTheme="majorBidi" w:cstheme="majorBidi"/>
          <w:sz w:val="24"/>
          <w:szCs w:val="24"/>
        </w:rPr>
        <w:t xml:space="preserve">); (2) </w:t>
      </w:r>
      <w:r w:rsidRPr="006307FA">
        <w:rPr>
          <w:rFonts w:asciiTheme="majorBidi" w:hAnsiTheme="majorBidi" w:cstheme="majorBidi"/>
          <w:i/>
          <w:iCs/>
          <w:sz w:val="24"/>
          <w:szCs w:val="24"/>
        </w:rPr>
        <w:t xml:space="preserve">resources, </w:t>
      </w:r>
      <w:r w:rsidRPr="006307FA">
        <w:rPr>
          <w:rFonts w:asciiTheme="majorBidi" w:hAnsiTheme="majorBidi" w:cstheme="majorBidi"/>
          <w:sz w:val="24"/>
          <w:szCs w:val="24"/>
        </w:rPr>
        <w:t xml:space="preserve">a specification of prohibited or mandatory resources relevant to the current plan (e.g., in certain cases of a pulmonary infection treatment, surgery is prohibited while antibiotics are mandatory). </w:t>
      </w:r>
    </w:p>
    <w:p w:rsidR="000D0B2B" w:rsidRPr="006307FA" w:rsidRDefault="000D0B2B" w:rsidP="000D0B2B">
      <w:pPr>
        <w:numPr>
          <w:ilvl w:val="0"/>
          <w:numId w:val="2"/>
        </w:numPr>
        <w:spacing w:after="0" w:line="240" w:lineRule="auto"/>
        <w:ind w:left="714" w:hanging="357"/>
        <w:jc w:val="both"/>
        <w:rPr>
          <w:rFonts w:asciiTheme="majorBidi" w:hAnsiTheme="majorBidi" w:cstheme="majorBidi"/>
          <w:sz w:val="24"/>
          <w:szCs w:val="24"/>
        </w:rPr>
      </w:pPr>
      <w:r w:rsidRPr="006307FA">
        <w:rPr>
          <w:rFonts w:asciiTheme="majorBidi" w:hAnsiTheme="majorBidi" w:cstheme="majorBidi"/>
          <w:i/>
          <w:iCs/>
          <w:sz w:val="24"/>
          <w:szCs w:val="24"/>
        </w:rPr>
        <w:t>Effects</w:t>
      </w:r>
      <w:r w:rsidRPr="006307FA">
        <w:rPr>
          <w:rFonts w:asciiTheme="majorBidi" w:hAnsiTheme="majorBidi" w:cstheme="majorBidi"/>
          <w:sz w:val="24"/>
          <w:szCs w:val="24"/>
        </w:rPr>
        <w:t xml:space="preserve">—Similar to preferences, it too supports the selection of a plan by describing its expected implications if applied in a probabilistic manner and with temporal constraints. For example: (1) </w:t>
      </w:r>
      <w:r w:rsidRPr="006307FA">
        <w:rPr>
          <w:rFonts w:asciiTheme="majorBidi" w:hAnsiTheme="majorBidi" w:cstheme="majorBidi"/>
          <w:i/>
          <w:iCs/>
          <w:sz w:val="24"/>
          <w:szCs w:val="24"/>
        </w:rPr>
        <w:t>argument-dependency</w:t>
      </w:r>
      <w:r w:rsidRPr="006307FA">
        <w:rPr>
          <w:rFonts w:asciiTheme="majorBidi" w:hAnsiTheme="majorBidi" w:cstheme="majorBidi"/>
          <w:sz w:val="24"/>
          <w:szCs w:val="24"/>
        </w:rPr>
        <w:t xml:space="preserve">, describes the relationship between plan arguments and measurable effects by means of mathematical functions (e.g., in the context of a gestational diabetes mellitus Type-II GDM, the dose of insulin has a negative monotonic relationship to the blood-glucose level with likelihood of is 80 %); (2) </w:t>
      </w:r>
      <w:r w:rsidRPr="006307FA">
        <w:rPr>
          <w:rFonts w:asciiTheme="majorBidi" w:hAnsiTheme="majorBidi" w:cstheme="majorBidi"/>
          <w:i/>
          <w:iCs/>
          <w:sz w:val="24"/>
          <w:szCs w:val="24"/>
        </w:rPr>
        <w:t>plan-effect</w:t>
      </w:r>
      <w:r w:rsidRPr="006307FA">
        <w:rPr>
          <w:rFonts w:asciiTheme="majorBidi" w:hAnsiTheme="majorBidi" w:cstheme="majorBidi"/>
          <w:sz w:val="24"/>
          <w:szCs w:val="24"/>
        </w:rPr>
        <w:t>, describes the overall effect of the plan on patient outcomes (e.g., in the context of a gestational diabetes mellitus Type-II GDM, a treatment plan might decrease the blood-glucose level with a likelihood of 0.97 after 10 to 60 minutes from the start of the plan).</w:t>
      </w:r>
    </w:p>
    <w:p w:rsidR="000D0B2B" w:rsidRPr="006307FA" w:rsidRDefault="000D0B2B" w:rsidP="000D0B2B">
      <w:pPr>
        <w:numPr>
          <w:ilvl w:val="0"/>
          <w:numId w:val="2"/>
        </w:numPr>
        <w:tabs>
          <w:tab w:val="num" w:pos="-2400"/>
        </w:tabs>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t>Intentions—</w:t>
      </w:r>
      <w:r w:rsidRPr="006307FA">
        <w:rPr>
          <w:rFonts w:asciiTheme="majorBidi" w:hAnsiTheme="majorBidi" w:cstheme="majorBidi"/>
          <w:sz w:val="24"/>
          <w:szCs w:val="24"/>
        </w:rPr>
        <w:t xml:space="preserve"> Supports intelligent retrospective quality assessment by representing the guideline’s intermediate and overall goals regarding care-provider actions and patient outcomes that should be maintained, achieved or avoided as temporal- patterns at multiple levels of abstraction.  Four types of intentions can be specified: (1)  </w:t>
      </w:r>
      <w:r w:rsidRPr="006307FA">
        <w:rPr>
          <w:rFonts w:asciiTheme="majorBidi" w:hAnsiTheme="majorBidi" w:cstheme="majorBidi"/>
          <w:i/>
          <w:iCs/>
          <w:sz w:val="24"/>
          <w:szCs w:val="24"/>
        </w:rPr>
        <w:t xml:space="preserve">Intermediate state - </w:t>
      </w:r>
      <w:r w:rsidRPr="006307FA">
        <w:rPr>
          <w:rFonts w:asciiTheme="majorBidi" w:hAnsiTheme="majorBidi" w:cstheme="majorBidi"/>
          <w:sz w:val="24"/>
          <w:szCs w:val="24"/>
        </w:rPr>
        <w:t xml:space="preserve">the patient state(s) that should be maintained, achieved or avoided during the application of the plan (e.g. weight gain levels should be slightly low to slightly high);  (2) </w:t>
      </w:r>
      <w:r w:rsidRPr="006307FA">
        <w:rPr>
          <w:rFonts w:asciiTheme="majorBidi" w:hAnsiTheme="majorBidi" w:cstheme="majorBidi"/>
          <w:i/>
          <w:iCs/>
          <w:sz w:val="24"/>
          <w:szCs w:val="24"/>
        </w:rPr>
        <w:t>Intermediate action</w:t>
      </w:r>
      <w:r w:rsidRPr="006307FA">
        <w:rPr>
          <w:rFonts w:asciiTheme="majorBidi" w:hAnsiTheme="majorBidi" w:cstheme="majorBidi"/>
          <w:sz w:val="24"/>
          <w:szCs w:val="24"/>
        </w:rPr>
        <w:t xml:space="preserve"> - the care-provider actions to perform during the application of the plan (e.g. monitor blood glucose once a day);  (3) </w:t>
      </w:r>
      <w:r w:rsidRPr="006307FA">
        <w:rPr>
          <w:rFonts w:asciiTheme="majorBidi" w:hAnsiTheme="majorBidi" w:cstheme="majorBidi"/>
          <w:i/>
          <w:iCs/>
          <w:sz w:val="24"/>
          <w:szCs w:val="24"/>
        </w:rPr>
        <w:t>Overall state pattern</w:t>
      </w:r>
      <w:r w:rsidRPr="006307FA">
        <w:rPr>
          <w:rFonts w:asciiTheme="majorBidi" w:hAnsiTheme="majorBidi" w:cstheme="majorBidi"/>
          <w:sz w:val="24"/>
          <w:szCs w:val="24"/>
        </w:rPr>
        <w:t xml:space="preserve"> - the overall pattern of patient states that should hold after the application of the plan (e.g. patient has an adequate glucose level);  (4) </w:t>
      </w:r>
      <w:r w:rsidRPr="006307FA">
        <w:rPr>
          <w:rFonts w:asciiTheme="majorBidi" w:hAnsiTheme="majorBidi" w:cstheme="majorBidi"/>
          <w:i/>
          <w:iCs/>
          <w:sz w:val="24"/>
          <w:szCs w:val="24"/>
        </w:rPr>
        <w:t>Overall action pattern</w:t>
      </w:r>
      <w:r w:rsidRPr="006307FA">
        <w:rPr>
          <w:rFonts w:asciiTheme="majorBidi" w:hAnsiTheme="majorBidi" w:cstheme="majorBidi"/>
          <w:sz w:val="24"/>
          <w:szCs w:val="24"/>
        </w:rPr>
        <w:t xml:space="preserve"> - the overall pattern of care-provider actions that should hold after the application of the plan (e.g. patient has visited dietician regularly for at least three months).</w:t>
      </w:r>
    </w:p>
    <w:p w:rsidR="000D0B2B" w:rsidRPr="006307FA" w:rsidRDefault="000D0B2B" w:rsidP="000D0B2B">
      <w:pPr>
        <w:numPr>
          <w:ilvl w:val="0"/>
          <w:numId w:val="2"/>
        </w:numPr>
        <w:spacing w:after="0" w:line="240" w:lineRule="auto"/>
        <w:ind w:left="714" w:hanging="357"/>
        <w:jc w:val="both"/>
        <w:rPr>
          <w:rFonts w:asciiTheme="majorBidi" w:hAnsiTheme="majorBidi" w:cstheme="majorBidi"/>
          <w:sz w:val="24"/>
          <w:szCs w:val="24"/>
        </w:rPr>
      </w:pPr>
      <w:r w:rsidRPr="006307FA">
        <w:rPr>
          <w:rFonts w:asciiTheme="majorBidi" w:hAnsiTheme="majorBidi" w:cstheme="majorBidi"/>
          <w:i/>
          <w:iCs/>
          <w:sz w:val="24"/>
          <w:szCs w:val="24"/>
        </w:rPr>
        <w:t>Conditions—</w:t>
      </w:r>
      <w:r w:rsidRPr="006307FA">
        <w:rPr>
          <w:rFonts w:asciiTheme="majorBidi" w:hAnsiTheme="majorBidi" w:cstheme="majorBidi"/>
          <w:sz w:val="24"/>
          <w:szCs w:val="24"/>
        </w:rPr>
        <w:t xml:space="preserve"> govern the lifecycle of the plan in perspective of its state transitions.  Similar to intentions, conditions are also temporal-patterns at multiple levels of abstraction of patient state (e.g., if the patient has more than two episodes of severe anemia, each episode for a period of at least two weeks,  since the start of the plan then abort the guideline) that should be evaluated during plan execution.  Some of the condition should be evaluated during the selection phase of a plan:</w:t>
      </w:r>
    </w:p>
    <w:p w:rsidR="000D0B2B" w:rsidRPr="006307FA" w:rsidRDefault="000D0B2B" w:rsidP="000D0B2B">
      <w:pPr>
        <w:numPr>
          <w:ilvl w:val="1"/>
          <w:numId w:val="2"/>
        </w:numPr>
        <w:spacing w:after="0" w:line="240" w:lineRule="auto"/>
        <w:ind w:left="1434" w:hanging="357"/>
        <w:jc w:val="both"/>
        <w:rPr>
          <w:rFonts w:asciiTheme="majorBidi" w:hAnsiTheme="majorBidi" w:cstheme="majorBidi"/>
          <w:i/>
          <w:iCs/>
          <w:sz w:val="24"/>
          <w:szCs w:val="24"/>
        </w:rPr>
      </w:pPr>
      <w:r w:rsidRPr="006307FA">
        <w:rPr>
          <w:rFonts w:asciiTheme="majorBidi" w:hAnsiTheme="majorBidi" w:cstheme="majorBidi"/>
          <w:i/>
          <w:iCs/>
          <w:sz w:val="24"/>
          <w:szCs w:val="24"/>
        </w:rPr>
        <w:t>Filter-precondition</w:t>
      </w:r>
      <w:r w:rsidRPr="006307FA">
        <w:rPr>
          <w:rFonts w:asciiTheme="majorBidi" w:hAnsiTheme="majorBidi" w:cstheme="majorBidi"/>
          <w:sz w:val="24"/>
          <w:szCs w:val="24"/>
        </w:rPr>
        <w:t xml:space="preserve">—must be true for the plan to transit from the </w:t>
      </w:r>
      <w:r w:rsidRPr="006307FA">
        <w:rPr>
          <w:rFonts w:asciiTheme="majorBidi" w:hAnsiTheme="majorBidi" w:cstheme="majorBidi"/>
          <w:i/>
          <w:iCs/>
          <w:sz w:val="24"/>
          <w:szCs w:val="24"/>
        </w:rPr>
        <w:t>considered</w:t>
      </w:r>
      <w:r w:rsidRPr="006307FA">
        <w:rPr>
          <w:rFonts w:asciiTheme="majorBidi" w:hAnsiTheme="majorBidi" w:cstheme="majorBidi"/>
          <w:sz w:val="24"/>
          <w:szCs w:val="24"/>
        </w:rPr>
        <w:t xml:space="preserve"> state to the </w:t>
      </w:r>
      <w:r w:rsidRPr="006307FA">
        <w:rPr>
          <w:rFonts w:asciiTheme="majorBidi" w:hAnsiTheme="majorBidi" w:cstheme="majorBidi"/>
          <w:i/>
          <w:iCs/>
          <w:sz w:val="24"/>
          <w:szCs w:val="24"/>
        </w:rPr>
        <w:t>possible</w:t>
      </w:r>
      <w:r w:rsidRPr="006307FA">
        <w:rPr>
          <w:rFonts w:asciiTheme="majorBidi" w:hAnsiTheme="majorBidi" w:cstheme="majorBidi"/>
          <w:sz w:val="24"/>
          <w:szCs w:val="24"/>
        </w:rPr>
        <w:t xml:space="preserve"> state (i.e., the eligibility criteria). If the filter-precondition evaluated </w:t>
      </w:r>
      <w:r w:rsidRPr="006307FA">
        <w:rPr>
          <w:rFonts w:asciiTheme="majorBidi" w:hAnsiTheme="majorBidi" w:cstheme="majorBidi"/>
          <w:sz w:val="24"/>
          <w:szCs w:val="24"/>
        </w:rPr>
        <w:lastRenderedPageBreak/>
        <w:t xml:space="preserve">to false, the plan transits to the </w:t>
      </w:r>
      <w:r w:rsidRPr="006307FA">
        <w:rPr>
          <w:rFonts w:asciiTheme="majorBidi" w:hAnsiTheme="majorBidi" w:cstheme="majorBidi"/>
          <w:i/>
          <w:iCs/>
          <w:sz w:val="24"/>
          <w:szCs w:val="24"/>
        </w:rPr>
        <w:t>rejected</w:t>
      </w:r>
      <w:r w:rsidRPr="006307FA">
        <w:rPr>
          <w:rFonts w:asciiTheme="majorBidi" w:hAnsiTheme="majorBidi" w:cstheme="majorBidi"/>
          <w:sz w:val="24"/>
          <w:szCs w:val="24"/>
        </w:rPr>
        <w:t xml:space="preserve"> state and cannot be applied for that particular patient.</w:t>
      </w:r>
    </w:p>
    <w:p w:rsidR="000D0B2B" w:rsidRPr="006307FA" w:rsidRDefault="000D0B2B" w:rsidP="000D0B2B">
      <w:pPr>
        <w:numPr>
          <w:ilvl w:val="1"/>
          <w:numId w:val="2"/>
        </w:numPr>
        <w:spacing w:after="0" w:line="240" w:lineRule="auto"/>
        <w:ind w:left="1434" w:hanging="357"/>
        <w:jc w:val="both"/>
        <w:rPr>
          <w:rFonts w:asciiTheme="majorBidi" w:hAnsiTheme="majorBidi" w:cstheme="majorBidi"/>
          <w:i/>
          <w:iCs/>
          <w:sz w:val="24"/>
          <w:szCs w:val="24"/>
        </w:rPr>
      </w:pPr>
      <w:r w:rsidRPr="006307FA">
        <w:rPr>
          <w:rFonts w:asciiTheme="majorBidi" w:hAnsiTheme="majorBidi" w:cstheme="majorBidi"/>
          <w:i/>
          <w:iCs/>
          <w:sz w:val="24"/>
          <w:szCs w:val="24"/>
        </w:rPr>
        <w:t>Setup-precondition—</w:t>
      </w:r>
      <w:r w:rsidRPr="006307FA">
        <w:rPr>
          <w:rFonts w:asciiTheme="majorBidi" w:hAnsiTheme="majorBidi" w:cstheme="majorBidi"/>
          <w:sz w:val="24"/>
          <w:szCs w:val="24"/>
        </w:rPr>
        <w:t xml:space="preserve">must be true before the plan transits to the </w:t>
      </w:r>
      <w:r w:rsidRPr="006307FA">
        <w:rPr>
          <w:rFonts w:asciiTheme="majorBidi" w:hAnsiTheme="majorBidi" w:cstheme="majorBidi"/>
          <w:i/>
          <w:iCs/>
          <w:sz w:val="24"/>
          <w:szCs w:val="24"/>
        </w:rPr>
        <w:t>selected</w:t>
      </w:r>
      <w:r w:rsidRPr="006307FA">
        <w:rPr>
          <w:rFonts w:asciiTheme="majorBidi" w:hAnsiTheme="majorBidi" w:cstheme="majorBidi"/>
          <w:sz w:val="24"/>
          <w:szCs w:val="24"/>
        </w:rPr>
        <w:t xml:space="preserve"> state.  Unlike the filter-precondition, if the setup-precondition is false when first checked it is possible to define a </w:t>
      </w:r>
      <w:r w:rsidRPr="006307FA">
        <w:rPr>
          <w:rFonts w:asciiTheme="majorBidi" w:hAnsiTheme="majorBidi" w:cstheme="majorBidi"/>
          <w:i/>
          <w:iCs/>
          <w:sz w:val="24"/>
          <w:szCs w:val="24"/>
        </w:rPr>
        <w:t>waiting-period</w:t>
      </w:r>
      <w:r w:rsidRPr="006307FA">
        <w:rPr>
          <w:rFonts w:asciiTheme="majorBidi" w:hAnsiTheme="majorBidi" w:cstheme="majorBidi"/>
          <w:sz w:val="24"/>
          <w:szCs w:val="24"/>
        </w:rPr>
        <w:t xml:space="preserve"> in which it may turn true (e.g., the patient had a glucose-tolerance test taken no later than one month before starting the guideline). If the setup-precondition evaluates to false and the waiting period has elapsed, the plan transits to the </w:t>
      </w:r>
      <w:r w:rsidRPr="006307FA">
        <w:rPr>
          <w:rFonts w:asciiTheme="majorBidi" w:hAnsiTheme="majorBidi" w:cstheme="majorBidi"/>
          <w:i/>
          <w:iCs/>
          <w:sz w:val="24"/>
          <w:szCs w:val="24"/>
        </w:rPr>
        <w:t>rejected</w:t>
      </w:r>
      <w:r w:rsidRPr="006307FA">
        <w:rPr>
          <w:rFonts w:asciiTheme="majorBidi" w:hAnsiTheme="majorBidi" w:cstheme="majorBidi"/>
          <w:sz w:val="24"/>
          <w:szCs w:val="24"/>
        </w:rPr>
        <w:t xml:space="preserve"> state</w:t>
      </w:r>
      <w:r w:rsidRPr="006307FA">
        <w:rPr>
          <w:rFonts w:asciiTheme="majorBidi" w:hAnsiTheme="majorBidi" w:cstheme="majorBidi"/>
          <w:i/>
          <w:iCs/>
          <w:sz w:val="24"/>
          <w:szCs w:val="24"/>
        </w:rPr>
        <w:t>.</w:t>
      </w:r>
      <w:r w:rsidRPr="006307FA">
        <w:rPr>
          <w:rFonts w:asciiTheme="majorBidi" w:hAnsiTheme="majorBidi" w:cstheme="majorBidi"/>
          <w:sz w:val="24"/>
          <w:szCs w:val="24"/>
        </w:rPr>
        <w:t xml:space="preserve"> Thus, the setup-precondition is useful to ensure the existence of optimal circumstances prior to the activation of the guideline for a particular patient.</w:t>
      </w:r>
    </w:p>
    <w:p w:rsidR="000D0B2B" w:rsidRPr="006307FA" w:rsidRDefault="000D0B2B" w:rsidP="000D0B2B">
      <w:pPr>
        <w:tabs>
          <w:tab w:val="num" w:pos="1440"/>
        </w:tabs>
        <w:spacing w:after="0" w:line="240" w:lineRule="auto"/>
        <w:ind w:left="720"/>
        <w:jc w:val="both"/>
        <w:rPr>
          <w:rFonts w:asciiTheme="majorBidi" w:hAnsiTheme="majorBidi" w:cstheme="majorBidi"/>
          <w:sz w:val="24"/>
          <w:szCs w:val="24"/>
        </w:rPr>
      </w:pPr>
      <w:r w:rsidRPr="006307FA">
        <w:rPr>
          <w:rFonts w:asciiTheme="majorBidi" w:hAnsiTheme="majorBidi" w:cstheme="majorBidi"/>
          <w:sz w:val="24"/>
          <w:szCs w:val="24"/>
        </w:rPr>
        <w:t>Other conditions should be continuously monitored during plan execution:</w:t>
      </w:r>
    </w:p>
    <w:p w:rsidR="000D0B2B" w:rsidRPr="006307FA" w:rsidRDefault="000D0B2B" w:rsidP="000D0B2B">
      <w:pPr>
        <w:numPr>
          <w:ilvl w:val="1"/>
          <w:numId w:val="2"/>
        </w:numPr>
        <w:spacing w:after="0" w:line="240" w:lineRule="auto"/>
        <w:ind w:left="1434" w:hanging="357"/>
        <w:jc w:val="both"/>
        <w:rPr>
          <w:rFonts w:asciiTheme="majorBidi" w:hAnsiTheme="majorBidi" w:cstheme="majorBidi"/>
          <w:i/>
          <w:iCs/>
          <w:sz w:val="24"/>
          <w:szCs w:val="24"/>
        </w:rPr>
      </w:pPr>
      <w:r w:rsidRPr="006307FA">
        <w:rPr>
          <w:rFonts w:asciiTheme="majorBidi" w:hAnsiTheme="majorBidi" w:cstheme="majorBidi"/>
          <w:i/>
          <w:iCs/>
          <w:sz w:val="24"/>
          <w:szCs w:val="24"/>
        </w:rPr>
        <w:t>Suspend-condition</w:t>
      </w:r>
      <w:r w:rsidRPr="006307FA">
        <w:rPr>
          <w:rFonts w:asciiTheme="majorBidi" w:hAnsiTheme="majorBidi" w:cstheme="majorBidi"/>
          <w:sz w:val="24"/>
          <w:szCs w:val="24"/>
        </w:rPr>
        <w:t xml:space="preserve">—if the suspend-condition holds the plan transits to the </w:t>
      </w:r>
      <w:r w:rsidRPr="006307FA">
        <w:rPr>
          <w:rFonts w:asciiTheme="majorBidi" w:hAnsiTheme="majorBidi" w:cstheme="majorBidi"/>
          <w:i/>
          <w:iCs/>
          <w:sz w:val="24"/>
          <w:szCs w:val="24"/>
        </w:rPr>
        <w:t>suspended</w:t>
      </w:r>
      <w:r w:rsidRPr="006307FA">
        <w:rPr>
          <w:rFonts w:asciiTheme="majorBidi" w:hAnsiTheme="majorBidi" w:cstheme="majorBidi"/>
          <w:sz w:val="24"/>
          <w:szCs w:val="24"/>
        </w:rPr>
        <w:t xml:space="preserve"> state, hence its application is suspended and cannot continue for the meantime.  Note that the application of the plan’s sub plans should be suspended as well.  In addition, an optional recommendation, named </w:t>
      </w:r>
      <w:r w:rsidRPr="006307FA">
        <w:rPr>
          <w:rFonts w:asciiTheme="majorBidi" w:hAnsiTheme="majorBidi" w:cstheme="majorBidi"/>
          <w:i/>
          <w:iCs/>
          <w:sz w:val="24"/>
          <w:szCs w:val="24"/>
        </w:rPr>
        <w:t>on-suspend</w:t>
      </w:r>
      <w:r w:rsidRPr="006307FA">
        <w:rPr>
          <w:rFonts w:asciiTheme="majorBidi" w:hAnsiTheme="majorBidi" w:cstheme="majorBidi"/>
          <w:sz w:val="24"/>
          <w:szCs w:val="24"/>
        </w:rPr>
        <w:t>, can be used to specify an action to do when a plan suspends (e.g., in case of elevated TSH value suspend the plan and refer the patient to endocrinologist specialist).</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proofErr w:type="gramStart"/>
      <w:r w:rsidRPr="006307FA">
        <w:rPr>
          <w:rFonts w:asciiTheme="majorBidi" w:hAnsiTheme="majorBidi" w:cstheme="majorBidi"/>
          <w:i/>
          <w:iCs/>
          <w:sz w:val="24"/>
          <w:szCs w:val="24"/>
        </w:rPr>
        <w:t>Reactivate(</w:t>
      </w:r>
      <w:proofErr w:type="gramEnd"/>
      <w:r w:rsidRPr="006307FA">
        <w:rPr>
          <w:rFonts w:asciiTheme="majorBidi" w:hAnsiTheme="majorBidi" w:cstheme="majorBidi"/>
          <w:i/>
          <w:iCs/>
          <w:sz w:val="24"/>
          <w:szCs w:val="24"/>
        </w:rPr>
        <w:t>Restart)-condition</w:t>
      </w:r>
      <w:r w:rsidRPr="006307FA">
        <w:t>—</w:t>
      </w:r>
      <w:r w:rsidRPr="006307FA">
        <w:rPr>
          <w:rFonts w:asciiTheme="majorBidi" w:hAnsiTheme="majorBidi" w:cstheme="majorBidi"/>
          <w:sz w:val="24"/>
          <w:szCs w:val="24"/>
        </w:rPr>
        <w:t>after a plan has been suspended, its reactivate-condition should be monitored to check whether the plan can be reactivated.  If the reactivate-condition holds, the plan transits back to its previous activated state. Note that the reactivate-condition cannot be checked as long as the on-suspend recommendation has not finished yet. In addition, when a plan reactivates it should reactivate its sub plans as well.</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Complete-condition—</w:t>
      </w:r>
      <w:r w:rsidRPr="006307FA">
        <w:rPr>
          <w:rFonts w:asciiTheme="majorBidi" w:hAnsiTheme="majorBidi" w:cstheme="majorBidi"/>
          <w:sz w:val="24"/>
          <w:szCs w:val="24"/>
        </w:rPr>
        <w:t xml:space="preserve">while the plan is in the </w:t>
      </w:r>
      <w:r w:rsidRPr="006307FA">
        <w:rPr>
          <w:rFonts w:asciiTheme="majorBidi" w:hAnsiTheme="majorBidi" w:cstheme="majorBidi"/>
          <w:i/>
          <w:iCs/>
          <w:sz w:val="24"/>
          <w:szCs w:val="24"/>
        </w:rPr>
        <w:t>activated</w:t>
      </w:r>
      <w:r w:rsidRPr="006307FA">
        <w:rPr>
          <w:rFonts w:asciiTheme="majorBidi" w:hAnsiTheme="majorBidi" w:cstheme="majorBidi"/>
          <w:sz w:val="24"/>
          <w:szCs w:val="24"/>
        </w:rPr>
        <w:t xml:space="preserve"> state, the complete-condition should be monitored continuously.  If the condition holds, the plan transits to the </w:t>
      </w:r>
      <w:r w:rsidRPr="006307FA">
        <w:rPr>
          <w:rFonts w:asciiTheme="majorBidi" w:hAnsiTheme="majorBidi" w:cstheme="majorBidi"/>
          <w:i/>
          <w:iCs/>
          <w:sz w:val="24"/>
          <w:szCs w:val="24"/>
        </w:rPr>
        <w:t>completed</w:t>
      </w:r>
      <w:r w:rsidRPr="006307FA">
        <w:rPr>
          <w:rFonts w:asciiTheme="majorBidi" w:hAnsiTheme="majorBidi" w:cstheme="majorBidi"/>
          <w:sz w:val="24"/>
          <w:szCs w:val="24"/>
        </w:rPr>
        <w:t xml:space="preserve"> state and its application is terminated successfully.</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Abort-condition—</w:t>
      </w:r>
      <w:r w:rsidRPr="006307FA">
        <w:rPr>
          <w:rFonts w:asciiTheme="majorBidi" w:hAnsiTheme="majorBidi" w:cstheme="majorBidi"/>
          <w:sz w:val="24"/>
          <w:szCs w:val="24"/>
        </w:rPr>
        <w:t xml:space="preserve">while the plan is in either the </w:t>
      </w:r>
      <w:r w:rsidRPr="006307FA">
        <w:rPr>
          <w:rFonts w:asciiTheme="majorBidi" w:hAnsiTheme="majorBidi" w:cstheme="majorBidi"/>
          <w:i/>
          <w:iCs/>
          <w:sz w:val="24"/>
          <w:szCs w:val="24"/>
        </w:rPr>
        <w:t xml:space="preserve">activated </w:t>
      </w:r>
      <w:r w:rsidRPr="006307FA">
        <w:rPr>
          <w:rFonts w:asciiTheme="majorBidi" w:hAnsiTheme="majorBidi" w:cstheme="majorBidi"/>
          <w:sz w:val="24"/>
          <w:szCs w:val="24"/>
        </w:rPr>
        <w:t>state or</w:t>
      </w:r>
      <w:r w:rsidRPr="006307FA">
        <w:rPr>
          <w:rFonts w:asciiTheme="majorBidi" w:hAnsiTheme="majorBidi" w:cstheme="majorBidi"/>
          <w:i/>
          <w:iCs/>
          <w:sz w:val="24"/>
          <w:szCs w:val="24"/>
        </w:rPr>
        <w:t xml:space="preserve"> the suspended</w:t>
      </w:r>
      <w:r w:rsidRPr="006307FA">
        <w:rPr>
          <w:rFonts w:asciiTheme="majorBidi" w:hAnsiTheme="majorBidi" w:cstheme="majorBidi"/>
          <w:sz w:val="24"/>
          <w:szCs w:val="24"/>
        </w:rPr>
        <w:t xml:space="preserve"> state, the abort-condition should be monitored continuously.  If the condition holds</w:t>
      </w:r>
      <w:r w:rsidRPr="006307FA">
        <w:rPr>
          <w:rFonts w:asciiTheme="majorBidi" w:hAnsiTheme="majorBidi" w:cstheme="majorBidi"/>
          <w:sz w:val="24"/>
          <w:szCs w:val="24"/>
          <w:vertAlign w:val="superscript"/>
        </w:rPr>
        <w:t>3</w:t>
      </w:r>
      <w:r w:rsidRPr="006307FA">
        <w:rPr>
          <w:rFonts w:asciiTheme="majorBidi" w:hAnsiTheme="majorBidi" w:cstheme="majorBidi"/>
          <w:sz w:val="24"/>
          <w:szCs w:val="24"/>
        </w:rPr>
        <w:t xml:space="preserve">, the plan transits to the </w:t>
      </w:r>
      <w:r w:rsidRPr="006307FA">
        <w:rPr>
          <w:rFonts w:asciiTheme="majorBidi" w:hAnsiTheme="majorBidi" w:cstheme="majorBidi"/>
          <w:i/>
          <w:iCs/>
          <w:sz w:val="24"/>
          <w:szCs w:val="24"/>
        </w:rPr>
        <w:t>aborted</w:t>
      </w:r>
      <w:r w:rsidRPr="006307FA">
        <w:rPr>
          <w:rFonts w:asciiTheme="majorBidi" w:hAnsiTheme="majorBidi" w:cstheme="majorBidi"/>
          <w:sz w:val="24"/>
          <w:szCs w:val="24"/>
        </w:rPr>
        <w:t xml:space="preserve"> state and its application has terminated unsuccessfully. In addition, an optional recommendation, named </w:t>
      </w:r>
      <w:r w:rsidRPr="006307FA">
        <w:rPr>
          <w:rFonts w:asciiTheme="majorBidi" w:hAnsiTheme="majorBidi" w:cstheme="majorBidi"/>
          <w:i/>
          <w:iCs/>
          <w:sz w:val="24"/>
          <w:szCs w:val="24"/>
        </w:rPr>
        <w:t>on-abort</w:t>
      </w:r>
      <w:r w:rsidRPr="006307FA">
        <w:rPr>
          <w:rFonts w:asciiTheme="majorBidi" w:hAnsiTheme="majorBidi" w:cstheme="majorBidi"/>
          <w:sz w:val="24"/>
          <w:szCs w:val="24"/>
        </w:rPr>
        <w:t>, can be used to specify an action to do when a plan aborts (e.g., admit patient to the ICU if patient’s respiratory rate deteriorates).</w:t>
      </w:r>
    </w:p>
    <w:p w:rsidR="000D0B2B" w:rsidRPr="006307FA" w:rsidRDefault="000D0B2B" w:rsidP="000D0B2B">
      <w:pPr>
        <w:numPr>
          <w:ilvl w:val="0"/>
          <w:numId w:val="2"/>
        </w:numPr>
        <w:spacing w:after="0" w:line="240" w:lineRule="auto"/>
        <w:ind w:left="714" w:hanging="357"/>
        <w:jc w:val="both"/>
        <w:rPr>
          <w:rFonts w:asciiTheme="majorBidi" w:hAnsiTheme="majorBidi" w:cstheme="majorBidi"/>
          <w:i/>
          <w:iCs/>
          <w:sz w:val="24"/>
          <w:szCs w:val="24"/>
        </w:rPr>
      </w:pPr>
      <w:r w:rsidRPr="006307FA">
        <w:rPr>
          <w:rFonts w:asciiTheme="majorBidi" w:hAnsiTheme="majorBidi" w:cstheme="majorBidi"/>
          <w:i/>
          <w:iCs/>
          <w:sz w:val="24"/>
          <w:szCs w:val="24"/>
        </w:rPr>
        <w:t>Plan-body—</w:t>
      </w:r>
      <w:r w:rsidRPr="006307FA">
        <w:rPr>
          <w:rFonts w:asciiTheme="majorBidi" w:hAnsiTheme="majorBidi" w:cstheme="majorBidi"/>
          <w:sz w:val="24"/>
          <w:szCs w:val="24"/>
        </w:rPr>
        <w:t>contains the recommended actions according to the guideline.  As mentioned before, the Asbru language support the specification of complex controls structures using the plan-body knowledge-role.  The types of plan-body elements include for example:</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Sub plans—</w:t>
      </w:r>
      <w:r w:rsidRPr="006307FA">
        <w:rPr>
          <w:rFonts w:asciiTheme="majorBidi" w:hAnsiTheme="majorBidi" w:cstheme="majorBidi"/>
          <w:sz w:val="24"/>
          <w:szCs w:val="24"/>
        </w:rPr>
        <w:t xml:space="preserve">allows grouping of two or more actions to be performed either in sequence, in a restricted order or in any order, or in parallel by setting the attribute </w:t>
      </w:r>
      <w:r w:rsidRPr="006307FA">
        <w:rPr>
          <w:rFonts w:asciiTheme="majorBidi" w:hAnsiTheme="majorBidi" w:cstheme="majorBidi"/>
          <w:i/>
          <w:iCs/>
          <w:sz w:val="24"/>
          <w:szCs w:val="24"/>
        </w:rPr>
        <w:t>type</w:t>
      </w:r>
      <w:r w:rsidRPr="006307FA">
        <w:rPr>
          <w:rFonts w:asciiTheme="majorBidi" w:hAnsiTheme="majorBidi" w:cstheme="majorBidi"/>
          <w:sz w:val="24"/>
          <w:szCs w:val="24"/>
        </w:rPr>
        <w:t xml:space="preserve"> to one of the following values: </w:t>
      </w:r>
      <w:r w:rsidRPr="006307FA">
        <w:rPr>
          <w:rFonts w:asciiTheme="majorBidi" w:hAnsiTheme="majorBidi" w:cstheme="majorBidi"/>
          <w:i/>
          <w:iCs/>
          <w:sz w:val="24"/>
          <w:szCs w:val="24"/>
        </w:rPr>
        <w:t xml:space="preserve">sequentially, any-order, parallel </w:t>
      </w:r>
      <w:r w:rsidRPr="006307FA">
        <w:rPr>
          <w:rFonts w:asciiTheme="majorBidi" w:hAnsiTheme="majorBidi" w:cstheme="majorBidi"/>
          <w:sz w:val="24"/>
          <w:szCs w:val="24"/>
        </w:rPr>
        <w:t>and</w:t>
      </w:r>
      <w:r w:rsidRPr="006307FA">
        <w:rPr>
          <w:rFonts w:asciiTheme="majorBidi" w:hAnsiTheme="majorBidi" w:cstheme="majorBidi"/>
          <w:i/>
          <w:iCs/>
          <w:sz w:val="24"/>
          <w:szCs w:val="24"/>
        </w:rPr>
        <w:t xml:space="preserve"> unordered.</w:t>
      </w:r>
      <w:r w:rsidRPr="006307FA">
        <w:rPr>
          <w:rFonts w:asciiTheme="majorBidi" w:hAnsiTheme="majorBidi" w:cstheme="majorBidi"/>
          <w:sz w:val="24"/>
          <w:szCs w:val="24"/>
        </w:rPr>
        <w:t xml:space="preserve">  In addition, the sub plans element contains a special element, also known as the </w:t>
      </w:r>
      <w:r w:rsidRPr="006307FA">
        <w:rPr>
          <w:rFonts w:asciiTheme="majorBidi" w:hAnsiTheme="majorBidi" w:cstheme="majorBidi"/>
          <w:i/>
          <w:iCs/>
          <w:sz w:val="24"/>
          <w:szCs w:val="24"/>
        </w:rPr>
        <w:t>continuation-specification</w:t>
      </w:r>
      <w:r w:rsidRPr="006307FA">
        <w:rPr>
          <w:rFonts w:asciiTheme="majorBidi" w:hAnsiTheme="majorBidi" w:cstheme="majorBidi"/>
          <w:sz w:val="24"/>
          <w:szCs w:val="24"/>
        </w:rPr>
        <w:t xml:space="preserve"> (in Asbru 7.3 it was redefined as two elements: </w:t>
      </w:r>
      <w:r w:rsidRPr="006307FA">
        <w:rPr>
          <w:rFonts w:asciiTheme="majorBidi" w:hAnsiTheme="majorBidi" w:cstheme="majorBidi"/>
          <w:i/>
          <w:iCs/>
          <w:sz w:val="24"/>
          <w:szCs w:val="24"/>
        </w:rPr>
        <w:t>wait-for</w:t>
      </w:r>
      <w:r w:rsidRPr="006307FA">
        <w:rPr>
          <w:rFonts w:asciiTheme="majorBidi" w:hAnsiTheme="majorBidi" w:cstheme="majorBidi"/>
          <w:sz w:val="24"/>
          <w:szCs w:val="24"/>
        </w:rPr>
        <w:t xml:space="preserve"> and </w:t>
      </w:r>
      <w:r w:rsidRPr="006307FA">
        <w:rPr>
          <w:rFonts w:asciiTheme="majorBidi" w:hAnsiTheme="majorBidi" w:cstheme="majorBidi"/>
          <w:i/>
          <w:iCs/>
          <w:sz w:val="24"/>
          <w:szCs w:val="24"/>
        </w:rPr>
        <w:t>abort-if</w:t>
      </w:r>
      <w:r w:rsidRPr="006307FA">
        <w:rPr>
          <w:rFonts w:asciiTheme="majorBidi" w:hAnsiTheme="majorBidi" w:cstheme="majorBidi"/>
          <w:sz w:val="24"/>
          <w:szCs w:val="24"/>
        </w:rPr>
        <w:t>)</w:t>
      </w:r>
      <w:r w:rsidRPr="006307FA">
        <w:rPr>
          <w:rFonts w:asciiTheme="majorBidi" w:hAnsiTheme="majorBidi" w:cstheme="majorBidi"/>
          <w:i/>
          <w:iCs/>
          <w:sz w:val="24"/>
          <w:szCs w:val="24"/>
        </w:rPr>
        <w:t xml:space="preserve">, </w:t>
      </w:r>
      <w:r w:rsidRPr="006307FA">
        <w:rPr>
          <w:rFonts w:asciiTheme="majorBidi" w:hAnsiTheme="majorBidi" w:cstheme="majorBidi"/>
          <w:sz w:val="24"/>
          <w:szCs w:val="24"/>
        </w:rPr>
        <w:t>that enable to specify which of the actions are mandatory (i.e., required to complete successfully in order for the parent plan to complete successfully too).</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Plan-Activation</w:t>
      </w:r>
      <w:r w:rsidRPr="006307FA">
        <w:rPr>
          <w:rFonts w:asciiTheme="majorBidi" w:hAnsiTheme="majorBidi" w:cstheme="majorBidi"/>
          <w:sz w:val="24"/>
          <w:szCs w:val="24"/>
        </w:rPr>
        <w:t>—activation of another plan</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sz w:val="24"/>
          <w:szCs w:val="24"/>
        </w:rPr>
        <w:t xml:space="preserve">Simple Action—An atomic plan with simple semantics ,Suitable for defining plans with one action such as take drug  </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lastRenderedPageBreak/>
        <w:t>Switch-Case</w:t>
      </w:r>
      <w:r w:rsidRPr="006307FA">
        <w:rPr>
          <w:rFonts w:asciiTheme="majorBidi" w:hAnsiTheme="majorBidi" w:cstheme="majorBidi"/>
          <w:sz w:val="24"/>
          <w:szCs w:val="24"/>
        </w:rPr>
        <w:t>—</w:t>
      </w:r>
      <w:proofErr w:type="gramStart"/>
      <w:r w:rsidRPr="006307FA">
        <w:rPr>
          <w:rFonts w:asciiTheme="majorBidi" w:hAnsiTheme="majorBidi" w:cstheme="majorBidi"/>
          <w:sz w:val="24"/>
          <w:szCs w:val="24"/>
        </w:rPr>
        <w:t>When</w:t>
      </w:r>
      <w:proofErr w:type="gramEnd"/>
      <w:r w:rsidRPr="006307FA">
        <w:rPr>
          <w:rFonts w:asciiTheme="majorBidi" w:hAnsiTheme="majorBidi" w:cstheme="majorBidi"/>
          <w:sz w:val="24"/>
          <w:szCs w:val="24"/>
        </w:rPr>
        <w:t xml:space="preserve"> criteria has some possible values. For each value, a plan should be defined</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If-Then-Else—</w:t>
      </w:r>
      <w:r w:rsidRPr="006307FA">
        <w:rPr>
          <w:rFonts w:asciiTheme="majorBidi" w:hAnsiTheme="majorBidi" w:cstheme="majorBidi"/>
          <w:sz w:val="24"/>
          <w:szCs w:val="24"/>
        </w:rPr>
        <w:t xml:space="preserve">branching statement to reflect various options based on either patient sate or plan execution. </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sz w:val="24"/>
          <w:szCs w:val="24"/>
        </w:rPr>
      </w:pPr>
      <w:r w:rsidRPr="006307FA">
        <w:rPr>
          <w:rFonts w:asciiTheme="majorBidi" w:hAnsiTheme="majorBidi" w:cstheme="majorBidi"/>
          <w:i/>
          <w:iCs/>
          <w:sz w:val="24"/>
          <w:szCs w:val="24"/>
        </w:rPr>
        <w:t>Cyclical-plan—</w:t>
      </w:r>
      <w:r w:rsidRPr="006307FA">
        <w:rPr>
          <w:rFonts w:asciiTheme="majorBidi" w:hAnsiTheme="majorBidi" w:cstheme="majorBidi"/>
          <w:sz w:val="24"/>
          <w:szCs w:val="24"/>
        </w:rPr>
        <w:t xml:space="preserve">allows specifying an action that should be performed repeatedly.  In order to control the start time, frequency settings and finish time of the repeated action the following elements are used: (1) </w:t>
      </w:r>
      <w:r w:rsidRPr="006307FA">
        <w:rPr>
          <w:rFonts w:asciiTheme="majorBidi" w:hAnsiTheme="majorBidi" w:cstheme="majorBidi"/>
          <w:i/>
          <w:iCs/>
          <w:sz w:val="24"/>
          <w:szCs w:val="24"/>
        </w:rPr>
        <w:t>start-specification—</w:t>
      </w:r>
      <w:r w:rsidRPr="006307FA">
        <w:rPr>
          <w:rFonts w:asciiTheme="majorBidi" w:hAnsiTheme="majorBidi" w:cstheme="majorBidi"/>
          <w:sz w:val="24"/>
          <w:szCs w:val="24"/>
        </w:rPr>
        <w:t xml:space="preserve">determines the time-point, based on patient state or plan execution state, at which the repeating action is executed for the first time; (2) </w:t>
      </w:r>
      <w:r w:rsidRPr="006307FA">
        <w:rPr>
          <w:rFonts w:asciiTheme="majorBidi" w:hAnsiTheme="majorBidi" w:cstheme="majorBidi"/>
          <w:i/>
          <w:iCs/>
          <w:sz w:val="24"/>
          <w:szCs w:val="24"/>
        </w:rPr>
        <w:t xml:space="preserve">repeat-specification— </w:t>
      </w:r>
      <w:r w:rsidRPr="006307FA">
        <w:rPr>
          <w:rFonts w:asciiTheme="majorBidi" w:hAnsiTheme="majorBidi" w:cstheme="majorBidi"/>
          <w:sz w:val="24"/>
          <w:szCs w:val="24"/>
        </w:rPr>
        <w:t xml:space="preserve">defines the times at which repeated actions take place (e.g., waiting periods between consequent activations); (3) </w:t>
      </w:r>
      <w:r w:rsidRPr="006307FA">
        <w:rPr>
          <w:rFonts w:asciiTheme="majorBidi" w:hAnsiTheme="majorBidi" w:cstheme="majorBidi"/>
          <w:i/>
          <w:iCs/>
          <w:sz w:val="24"/>
          <w:szCs w:val="24"/>
        </w:rPr>
        <w:t>finish-specification</w:t>
      </w:r>
      <w:r w:rsidRPr="006307FA">
        <w:rPr>
          <w:rFonts w:asciiTheme="majorBidi" w:hAnsiTheme="majorBidi" w:cstheme="majorBidi"/>
          <w:sz w:val="24"/>
          <w:szCs w:val="24"/>
        </w:rPr>
        <w:t xml:space="preserve"> – describes the time at which a cyclical plan should end (e.g., after fix number of activations). </w:t>
      </w:r>
    </w:p>
    <w:p w:rsidR="000D0B2B" w:rsidRPr="006307FA" w:rsidRDefault="000D0B2B" w:rsidP="000D0B2B">
      <w:pPr>
        <w:numPr>
          <w:ilvl w:val="1"/>
          <w:numId w:val="2"/>
        </w:numPr>
        <w:tabs>
          <w:tab w:val="num" w:pos="1224"/>
        </w:tabs>
        <w:spacing w:after="0" w:line="240" w:lineRule="auto"/>
        <w:jc w:val="both"/>
        <w:rPr>
          <w:rFonts w:asciiTheme="majorBidi" w:hAnsiTheme="majorBidi" w:cstheme="majorBidi"/>
          <w:i/>
          <w:iCs/>
          <w:sz w:val="24"/>
          <w:szCs w:val="24"/>
        </w:rPr>
      </w:pPr>
      <w:r w:rsidRPr="006307FA">
        <w:rPr>
          <w:rFonts w:asciiTheme="majorBidi" w:hAnsiTheme="majorBidi" w:cstheme="majorBidi"/>
          <w:i/>
          <w:iCs/>
          <w:sz w:val="24"/>
          <w:szCs w:val="24"/>
        </w:rPr>
        <w:t>To-Be-Defined</w:t>
      </w:r>
      <w:r w:rsidRPr="006307FA">
        <w:rPr>
          <w:rFonts w:asciiTheme="majorBidi" w:hAnsiTheme="majorBidi" w:cstheme="majorBidi"/>
          <w:sz w:val="24"/>
          <w:szCs w:val="24"/>
        </w:rPr>
        <w:t>—The plan needed to be define later</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There are other knowledge-roles in the Asbru ontology not mentioned in this review.  For example, the Asbru ontology provides the knowledge-roles </w:t>
      </w:r>
      <w:r w:rsidRPr="006307FA">
        <w:rPr>
          <w:rFonts w:asciiTheme="majorBidi" w:hAnsiTheme="majorBidi" w:cstheme="majorBidi"/>
          <w:i/>
          <w:iCs/>
          <w:sz w:val="24"/>
          <w:szCs w:val="24"/>
        </w:rPr>
        <w:t>library-definitions</w:t>
      </w:r>
      <w:r w:rsidRPr="006307FA">
        <w:rPr>
          <w:rFonts w:asciiTheme="majorBidi" w:hAnsiTheme="majorBidi" w:cstheme="majorBidi"/>
          <w:sz w:val="24"/>
          <w:szCs w:val="24"/>
        </w:rPr>
        <w:t xml:space="preserve"> and </w:t>
      </w:r>
      <w:r w:rsidRPr="006307FA">
        <w:rPr>
          <w:rFonts w:asciiTheme="majorBidi" w:hAnsiTheme="majorBidi" w:cstheme="majorBidi"/>
          <w:i/>
          <w:iCs/>
          <w:sz w:val="24"/>
          <w:szCs w:val="24"/>
        </w:rPr>
        <w:t>domain-knowledge</w:t>
      </w:r>
      <w:r w:rsidRPr="006307FA">
        <w:rPr>
          <w:rFonts w:asciiTheme="majorBidi" w:hAnsiTheme="majorBidi" w:cstheme="majorBidi"/>
          <w:sz w:val="24"/>
          <w:szCs w:val="24"/>
        </w:rPr>
        <w:t xml:space="preserve">.  </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In addition, each Asbru plan can store its own information, get information from other plans or pass information to other plans using mechanisms similar to ones used in modern programming language of variables and arguments of functions.  The Asbru’s constructs used for this purpose are:</w:t>
      </w:r>
    </w:p>
    <w:p w:rsidR="000D0B2B" w:rsidRPr="006307FA" w:rsidRDefault="000D0B2B" w:rsidP="000D0B2B">
      <w:pPr>
        <w:numPr>
          <w:ilvl w:val="0"/>
          <w:numId w:val="2"/>
        </w:numPr>
        <w:spacing w:after="0" w:line="240" w:lineRule="auto"/>
        <w:jc w:val="both"/>
        <w:rPr>
          <w:rFonts w:asciiTheme="majorBidi" w:hAnsiTheme="majorBidi" w:cstheme="majorBidi"/>
          <w:sz w:val="24"/>
          <w:szCs w:val="24"/>
        </w:rPr>
      </w:pPr>
      <w:r w:rsidRPr="006307FA">
        <w:rPr>
          <w:rFonts w:asciiTheme="majorBidi" w:hAnsiTheme="majorBidi" w:cstheme="majorBidi"/>
          <w:i/>
          <w:iCs/>
          <w:sz w:val="24"/>
          <w:szCs w:val="24"/>
        </w:rPr>
        <w:t>Variables—</w:t>
      </w:r>
      <w:proofErr w:type="gramStart"/>
      <w:r w:rsidRPr="006307FA">
        <w:rPr>
          <w:rFonts w:asciiTheme="majorBidi" w:hAnsiTheme="majorBidi" w:cstheme="majorBidi"/>
          <w:sz w:val="24"/>
          <w:szCs w:val="24"/>
        </w:rPr>
        <w:t>A</w:t>
      </w:r>
      <w:proofErr w:type="gramEnd"/>
      <w:r w:rsidRPr="006307FA">
        <w:rPr>
          <w:rFonts w:asciiTheme="majorBidi" w:hAnsiTheme="majorBidi" w:cstheme="majorBidi"/>
          <w:sz w:val="24"/>
          <w:szCs w:val="24"/>
        </w:rPr>
        <w:t xml:space="preserve"> variable is s value whose temporal dimension is ignored.  Like variables in any programming language, it has scope constraints, local for variables declared for a specific plan and global variables for variables declared for a library of plans using the library-definitions knowledge-role.</w:t>
      </w:r>
    </w:p>
    <w:p w:rsidR="000D0B2B" w:rsidRPr="006307FA" w:rsidRDefault="000D0B2B" w:rsidP="000D0B2B">
      <w:pPr>
        <w:numPr>
          <w:ilvl w:val="0"/>
          <w:numId w:val="2"/>
        </w:numPr>
        <w:spacing w:after="0" w:line="240" w:lineRule="auto"/>
        <w:jc w:val="both"/>
        <w:rPr>
          <w:rFonts w:asciiTheme="majorBidi" w:hAnsiTheme="majorBidi" w:cstheme="majorBidi"/>
          <w:sz w:val="24"/>
          <w:szCs w:val="24"/>
        </w:rPr>
      </w:pPr>
      <w:r w:rsidRPr="006307FA">
        <w:rPr>
          <w:rFonts w:asciiTheme="majorBidi" w:hAnsiTheme="majorBidi" w:cstheme="majorBidi"/>
          <w:i/>
          <w:iCs/>
          <w:sz w:val="24"/>
          <w:szCs w:val="24"/>
        </w:rPr>
        <w:t>Parameters—</w:t>
      </w:r>
      <w:r w:rsidRPr="006307FA">
        <w:rPr>
          <w:rFonts w:asciiTheme="majorBidi" w:hAnsiTheme="majorBidi" w:cstheme="majorBidi"/>
          <w:sz w:val="24"/>
          <w:szCs w:val="24"/>
        </w:rPr>
        <w:t>As opposed to variables, parameters are observed over time. Their values may be based on other parameters values thus supporting abstracted parameters.  Similar to variables, parameters also haves scope and can be declared or globally.</w:t>
      </w:r>
    </w:p>
    <w:p w:rsidR="000D0B2B" w:rsidRPr="006307FA" w:rsidRDefault="000D0B2B" w:rsidP="000D0B2B">
      <w:pPr>
        <w:numPr>
          <w:ilvl w:val="0"/>
          <w:numId w:val="2"/>
        </w:numPr>
        <w:spacing w:after="0" w:line="240" w:lineRule="auto"/>
        <w:jc w:val="both"/>
        <w:rPr>
          <w:rFonts w:asciiTheme="majorBidi" w:hAnsiTheme="majorBidi" w:cstheme="majorBidi"/>
          <w:sz w:val="24"/>
          <w:szCs w:val="24"/>
        </w:rPr>
      </w:pPr>
      <w:r w:rsidRPr="006307FA">
        <w:rPr>
          <w:rFonts w:asciiTheme="majorBidi" w:hAnsiTheme="majorBidi" w:cstheme="majorBidi"/>
          <w:i/>
          <w:iCs/>
          <w:sz w:val="24"/>
          <w:szCs w:val="24"/>
        </w:rPr>
        <w:t>Arguments—</w:t>
      </w:r>
      <w:proofErr w:type="gramStart"/>
      <w:r w:rsidRPr="006307FA">
        <w:rPr>
          <w:rFonts w:asciiTheme="majorBidi" w:hAnsiTheme="majorBidi" w:cstheme="majorBidi"/>
          <w:sz w:val="24"/>
          <w:szCs w:val="24"/>
        </w:rPr>
        <w:t>Are</w:t>
      </w:r>
      <w:proofErr w:type="gramEnd"/>
      <w:r w:rsidRPr="006307FA">
        <w:rPr>
          <w:rFonts w:asciiTheme="majorBidi" w:hAnsiTheme="majorBidi" w:cstheme="majorBidi"/>
          <w:sz w:val="24"/>
          <w:szCs w:val="24"/>
        </w:rPr>
        <w:t xml:space="preserve"> used to pass information to a plan or out of a plan</w:t>
      </w:r>
      <w:r w:rsidRPr="006307FA">
        <w:rPr>
          <w:rFonts w:asciiTheme="majorBidi" w:hAnsiTheme="majorBidi" w:cstheme="majorBidi"/>
          <w:i/>
          <w:iCs/>
          <w:sz w:val="24"/>
          <w:szCs w:val="24"/>
        </w:rPr>
        <w:t xml:space="preserve">. </w:t>
      </w:r>
      <w:r w:rsidRPr="006307FA">
        <w:rPr>
          <w:rFonts w:asciiTheme="majorBidi" w:hAnsiTheme="majorBidi" w:cstheme="majorBidi"/>
          <w:sz w:val="24"/>
          <w:szCs w:val="24"/>
        </w:rPr>
        <w:t xml:space="preserve">The Arguments of a plan have the same scope as local variables (i.e., they are valid for this plan only). There are two kinds of arguments, </w:t>
      </w:r>
      <w:r w:rsidRPr="006307FA">
        <w:rPr>
          <w:rFonts w:asciiTheme="majorBidi" w:hAnsiTheme="majorBidi" w:cstheme="majorBidi"/>
          <w:i/>
          <w:iCs/>
          <w:sz w:val="24"/>
          <w:szCs w:val="24"/>
        </w:rPr>
        <w:t>input</w:t>
      </w:r>
      <w:r w:rsidRPr="006307FA">
        <w:rPr>
          <w:rFonts w:asciiTheme="majorBidi" w:hAnsiTheme="majorBidi" w:cstheme="majorBidi"/>
          <w:sz w:val="24"/>
          <w:szCs w:val="24"/>
        </w:rPr>
        <w:t xml:space="preserve"> and </w:t>
      </w:r>
      <w:r w:rsidRPr="006307FA">
        <w:rPr>
          <w:rFonts w:asciiTheme="majorBidi" w:hAnsiTheme="majorBidi" w:cstheme="majorBidi"/>
          <w:i/>
          <w:iCs/>
          <w:sz w:val="24"/>
          <w:szCs w:val="24"/>
        </w:rPr>
        <w:t>output</w:t>
      </w:r>
      <w:r w:rsidRPr="006307FA">
        <w:rPr>
          <w:rFonts w:asciiTheme="majorBidi" w:hAnsiTheme="majorBidi" w:cstheme="majorBidi"/>
          <w:sz w:val="24"/>
          <w:szCs w:val="24"/>
        </w:rPr>
        <w:t xml:space="preserve"> arguments (i.e., similar to values passed and returned from functions). </w:t>
      </w:r>
    </w:p>
    <w:p w:rsidR="000D0B2B" w:rsidRPr="006307FA" w:rsidRDefault="000D0B2B" w:rsidP="000D0B2B">
      <w:pPr>
        <w:spacing w:after="0" w:line="240" w:lineRule="auto"/>
        <w:ind w:firstLine="360"/>
        <w:jc w:val="both"/>
        <w:rPr>
          <w:rFonts w:asciiTheme="majorBidi" w:hAnsiTheme="majorBidi" w:cstheme="majorBidi"/>
          <w:sz w:val="24"/>
          <w:szCs w:val="24"/>
        </w:rPr>
      </w:pPr>
      <w:r w:rsidRPr="006307FA">
        <w:rPr>
          <w:rFonts w:asciiTheme="majorBidi" w:hAnsiTheme="majorBidi" w:cstheme="majorBidi"/>
          <w:sz w:val="24"/>
          <w:szCs w:val="24"/>
        </w:rPr>
        <w:t xml:space="preserve">Finally, the knowledge-role </w:t>
      </w:r>
      <w:r w:rsidRPr="006307FA">
        <w:rPr>
          <w:rFonts w:asciiTheme="majorBidi" w:hAnsiTheme="majorBidi" w:cstheme="majorBidi"/>
          <w:i/>
          <w:iCs/>
          <w:sz w:val="24"/>
          <w:szCs w:val="24"/>
        </w:rPr>
        <w:t>Defaults</w:t>
      </w:r>
      <w:r w:rsidRPr="006307FA">
        <w:rPr>
          <w:rFonts w:asciiTheme="majorBidi" w:hAnsiTheme="majorBidi" w:cstheme="majorBidi"/>
          <w:sz w:val="24"/>
          <w:szCs w:val="24"/>
        </w:rPr>
        <w:t xml:space="preserve"> is used to store various definitions such as the typical duration of the time required to apply a plan, any temporal constraint on the application of the plan (e.g., when to start or finish the plan) and the optional recommendations to apply when the plan aborts or suspends.  Note that these definitions can be override by a plan invoking another plan.</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We have created a hybrid-Asbru ontology, whose semi-structured level is used by the EPs in the first phase of the conversion process. In the </w:t>
      </w:r>
      <w:r w:rsidRPr="006307FA">
        <w:rPr>
          <w:rFonts w:asciiTheme="majorBidi" w:hAnsiTheme="majorBidi" w:cstheme="majorBidi"/>
          <w:i/>
          <w:iCs/>
          <w:sz w:val="24"/>
          <w:szCs w:val="24"/>
        </w:rPr>
        <w:t>Asbru semi-structured hybrid ontology</w:t>
      </w:r>
      <w:r w:rsidRPr="006307FA">
        <w:rPr>
          <w:rFonts w:asciiTheme="majorBidi" w:hAnsiTheme="majorBidi" w:cstheme="majorBidi"/>
          <w:sz w:val="24"/>
          <w:szCs w:val="24"/>
        </w:rPr>
        <w:t xml:space="preserve">, we have included key entities such as </w:t>
      </w:r>
      <w:r w:rsidRPr="006307FA">
        <w:rPr>
          <w:rFonts w:asciiTheme="majorBidi" w:hAnsiTheme="majorBidi" w:cstheme="majorBidi"/>
          <w:i/>
          <w:iCs/>
          <w:sz w:val="24"/>
          <w:szCs w:val="24"/>
        </w:rPr>
        <w:t>conditions</w:t>
      </w:r>
      <w:r w:rsidRPr="006307FA">
        <w:rPr>
          <w:rFonts w:asciiTheme="majorBidi" w:hAnsiTheme="majorBidi" w:cstheme="majorBidi"/>
          <w:sz w:val="24"/>
          <w:szCs w:val="24"/>
        </w:rPr>
        <w:t xml:space="preserve">, </w:t>
      </w:r>
      <w:r w:rsidRPr="006307FA">
        <w:rPr>
          <w:rFonts w:asciiTheme="majorBidi" w:hAnsiTheme="majorBidi" w:cstheme="majorBidi"/>
          <w:i/>
          <w:iCs/>
          <w:sz w:val="24"/>
          <w:szCs w:val="24"/>
        </w:rPr>
        <w:t>intentions, effects, preferences</w:t>
      </w:r>
      <w:r w:rsidRPr="006307FA">
        <w:rPr>
          <w:rFonts w:asciiTheme="majorBidi" w:hAnsiTheme="majorBidi" w:cstheme="majorBidi"/>
          <w:sz w:val="24"/>
          <w:szCs w:val="24"/>
        </w:rPr>
        <w:t xml:space="preserve"> and </w:t>
      </w:r>
      <w:r w:rsidRPr="006307FA">
        <w:rPr>
          <w:rFonts w:asciiTheme="majorBidi" w:hAnsiTheme="majorBidi" w:cstheme="majorBidi"/>
          <w:i/>
          <w:iCs/>
          <w:sz w:val="24"/>
          <w:szCs w:val="24"/>
        </w:rPr>
        <w:t>plan body</w:t>
      </w:r>
      <w:r w:rsidRPr="006307FA">
        <w:rPr>
          <w:rFonts w:asciiTheme="majorBidi" w:hAnsiTheme="majorBidi" w:cstheme="majorBidi"/>
          <w:sz w:val="24"/>
          <w:szCs w:val="24"/>
        </w:rPr>
        <w:t xml:space="preserve">, but left out low-level knowledge roles that require deeper understanding of Asbru semantics. </w:t>
      </w:r>
    </w:p>
    <w:p w:rsidR="000D0B2B" w:rsidRPr="006307FA" w:rsidRDefault="000D0B2B" w:rsidP="000D0B2B">
      <w:pPr>
        <w:spacing w:after="0" w:line="240" w:lineRule="auto"/>
        <w:jc w:val="both"/>
        <w:rPr>
          <w:rFonts w:asciiTheme="majorBidi" w:hAnsiTheme="majorBidi" w:cstheme="majorBidi"/>
          <w:sz w:val="24"/>
          <w:szCs w:val="24"/>
        </w:rPr>
      </w:pP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After introducing the DeGeL framework and the GL specification language it uses, ASBRU, I will now explain how the DeGeL framework implements the different tasks of computerized GL life-cycle that I described in section 2.4. </w:t>
      </w:r>
    </w:p>
    <w:p w:rsidR="000D0B2B" w:rsidRPr="006307FA" w:rsidRDefault="000D0B2B" w:rsidP="000D0B2B">
      <w:pPr>
        <w:spacing w:after="0" w:line="240" w:lineRule="auto"/>
        <w:jc w:val="both"/>
        <w:rPr>
          <w:rFonts w:asciiTheme="majorBidi" w:hAnsiTheme="majorBidi" w:cstheme="majorBidi"/>
          <w:sz w:val="24"/>
          <w:szCs w:val="24"/>
        </w:rPr>
      </w:pPr>
    </w:p>
    <w:p w:rsidR="000D0B2B" w:rsidRPr="006307FA" w:rsidRDefault="000D0B2B" w:rsidP="000D0B2B">
      <w:pPr>
        <w:pStyle w:val="Heading2"/>
        <w:numPr>
          <w:ilvl w:val="1"/>
          <w:numId w:val="1"/>
        </w:numPr>
        <w:tabs>
          <w:tab w:val="right" w:pos="540"/>
          <w:tab w:val="num" w:pos="792"/>
        </w:tabs>
        <w:ind w:left="544" w:hanging="544"/>
        <w:jc w:val="both"/>
        <w:rPr>
          <w:sz w:val="26"/>
          <w:szCs w:val="26"/>
        </w:rPr>
      </w:pPr>
      <w:bookmarkStart w:id="51" w:name="_Toc335942171"/>
      <w:bookmarkStart w:id="52" w:name="_Toc353062999"/>
      <w:bookmarkStart w:id="53" w:name="_Toc353063539"/>
      <w:r w:rsidRPr="006307FA">
        <w:lastRenderedPageBreak/>
        <w:t>Implementation of the computerized guideline life-cycle within the DEGEL framework</w:t>
      </w:r>
      <w:bookmarkEnd w:id="51"/>
      <w:bookmarkEnd w:id="52"/>
      <w:bookmarkEnd w:id="53"/>
    </w:p>
    <w:p w:rsidR="000D0B2B" w:rsidRPr="006307FA" w:rsidRDefault="000D0B2B" w:rsidP="000D0B2B">
      <w:pPr>
        <w:pStyle w:val="Heading3"/>
        <w:ind w:left="540"/>
      </w:pPr>
      <w:bookmarkStart w:id="54" w:name="_Toc335942172"/>
      <w:bookmarkStart w:id="55" w:name="_Toc353063000"/>
      <w:bookmarkStart w:id="56" w:name="_Toc353063540"/>
      <w:r w:rsidRPr="006307FA">
        <w:t>Guideline Knowledge Acquisition</w:t>
      </w:r>
      <w:bookmarkEnd w:id="54"/>
      <w:bookmarkEnd w:id="55"/>
      <w:bookmarkEnd w:id="56"/>
      <w:r w:rsidRPr="006307FA">
        <w:t xml:space="preserve"> </w:t>
      </w:r>
    </w:p>
    <w:p w:rsidR="000D0B2B" w:rsidRPr="006307FA" w:rsidRDefault="000D0B2B" w:rsidP="000D0B2B">
      <w:pPr>
        <w:pStyle w:val="ListParagraph"/>
        <w:autoSpaceDE w:val="0"/>
        <w:autoSpaceDN w:val="0"/>
        <w:adjustRightInd w:val="0"/>
        <w:spacing w:after="0" w:line="240" w:lineRule="auto"/>
        <w:ind w:left="0"/>
        <w:jc w:val="both"/>
        <w:rPr>
          <w:rFonts w:asciiTheme="majorBidi" w:hAnsiTheme="majorBidi" w:cstheme="majorBidi"/>
          <w:sz w:val="24"/>
          <w:szCs w:val="24"/>
        </w:rPr>
      </w:pPr>
      <w:r w:rsidRPr="006307FA">
        <w:rPr>
          <w:rFonts w:asciiTheme="majorBidi" w:hAnsiTheme="majorBidi" w:cstheme="majorBidi"/>
          <w:sz w:val="24"/>
          <w:szCs w:val="24"/>
        </w:rPr>
        <w:t xml:space="preserve">The process of acquiring the knowledge is called Knowledge Acquisition (KA). Musen defined KA as "transformation of knowledge from the forms in which it is available in the world into forms that can be used by a knowledge system"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RW.CITE{{135 Musen, M.A. 1987}}</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[Musen, et al. 1987]</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and make a distinction between tacit knowledge (knowing how) and conscious, explicit knowledge (knowing that). When experts first solve a task, they have </w:t>
      </w:r>
      <w:r w:rsidRPr="006307FA">
        <w:rPr>
          <w:rFonts w:asciiTheme="majorBidi" w:hAnsiTheme="majorBidi" w:cstheme="majorBidi"/>
          <w:i/>
          <w:iCs/>
          <w:sz w:val="24"/>
          <w:szCs w:val="24"/>
        </w:rPr>
        <w:t>declarative knowledge</w:t>
      </w:r>
      <w:r w:rsidRPr="006307FA">
        <w:rPr>
          <w:rFonts w:asciiTheme="majorBidi" w:hAnsiTheme="majorBidi" w:cstheme="majorBidi"/>
          <w:sz w:val="24"/>
          <w:szCs w:val="24"/>
        </w:rPr>
        <w:t xml:space="preserve"> about the application area of the task (e.g. the definition of "High blood pressure") , but as they become experienced with the application the knowledge becomes to be </w:t>
      </w:r>
      <w:r w:rsidRPr="006307FA">
        <w:rPr>
          <w:rFonts w:asciiTheme="majorBidi" w:hAnsiTheme="majorBidi" w:cstheme="majorBidi"/>
          <w:i/>
          <w:iCs/>
          <w:sz w:val="24"/>
          <w:szCs w:val="24"/>
        </w:rPr>
        <w:t>procedural knowledge</w:t>
      </w:r>
      <w:r w:rsidRPr="006307FA">
        <w:rPr>
          <w:rFonts w:asciiTheme="majorBidi" w:hAnsiTheme="majorBidi" w:cstheme="majorBidi"/>
          <w:sz w:val="24"/>
          <w:szCs w:val="24"/>
        </w:rPr>
        <w:t xml:space="preserve"> (e.g., defining taking a drug plan, or daily work-up plan) . Consequently, the tacit knowledge is the kind we would most likely want to incorporate into our knowledge base (KB). For example, in clinical GLs much of the knowledge comprising the GL is implicit, and should be defined explicit through the KA process, which usually performed by KEs who are familiar with the KB domain, in collaboration with EPs who are familiar with the clinical domain. The goal in this process is to use those domain experts to make the GL's knowledge explicit, according to GL representation language, such as Asbru. For this task the might use KA tools and methodology. This process usually done after the GL is developed by GL health organization such as the US Centers for Disease Control and Prevention (CDC)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RW.CITE{{136 CDC}}</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[CDC. ]</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or the American Congress of Obstetricians and Gynecologists (ACOG)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RW.CITE{{89 the American College of Obstetricians and Gynecologist (ACOG)}}</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[the American College of Obstetricians and Gynecologist (ACOG). ]</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however report that performing specification in parallel to GL development is feasible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RW.CITE{{137 Goud, R. 2009}}</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[Goud, et al. 2009]</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The output of this phase is the GL specify in a machine comprehensive language.</w:t>
      </w:r>
    </w:p>
    <w:p w:rsidR="000D0B2B" w:rsidRPr="006307FA" w:rsidRDefault="000D0B2B" w:rsidP="000D0B2B">
      <w:pPr>
        <w:pStyle w:val="ListParagraph"/>
        <w:autoSpaceDE w:val="0"/>
        <w:autoSpaceDN w:val="0"/>
        <w:adjustRightInd w:val="0"/>
        <w:spacing w:after="0" w:line="240" w:lineRule="auto"/>
        <w:ind w:left="0"/>
        <w:jc w:val="both"/>
        <w:rPr>
          <w:rFonts w:asciiTheme="majorBidi" w:hAnsiTheme="majorBidi" w:cstheme="majorBidi"/>
          <w:sz w:val="24"/>
          <w:szCs w:val="24"/>
        </w:rPr>
      </w:pPr>
    </w:p>
    <w:p w:rsidR="000D0B2B" w:rsidRPr="006307FA" w:rsidRDefault="000D0B2B" w:rsidP="000D0B2B">
      <w:pPr>
        <w:pStyle w:val="ListParagraph"/>
        <w:autoSpaceDE w:val="0"/>
        <w:autoSpaceDN w:val="0"/>
        <w:adjustRightInd w:val="0"/>
        <w:spacing w:after="0" w:line="240" w:lineRule="auto"/>
        <w:ind w:left="0"/>
        <w:jc w:val="both"/>
        <w:rPr>
          <w:rFonts w:asciiTheme="majorBidi" w:hAnsiTheme="majorBidi" w:cstheme="majorBidi"/>
          <w:sz w:val="24"/>
          <w:szCs w:val="24"/>
        </w:rPr>
      </w:pPr>
      <w:r w:rsidRPr="006307FA">
        <w:rPr>
          <w:rFonts w:asciiTheme="majorBidi" w:hAnsiTheme="majorBidi" w:cstheme="majorBidi"/>
          <w:sz w:val="24"/>
          <w:szCs w:val="24"/>
        </w:rPr>
        <w:t xml:space="preserve">Within DeGeL, in my Master thesis I developed KA tools and </w:t>
      </w:r>
      <w:r w:rsidRPr="006307FA">
        <w:rPr>
          <w:rFonts w:asciiTheme="majorBidi" w:hAnsiTheme="majorBidi" w:cstheme="majorBidi" w:hint="eastAsia"/>
          <w:sz w:val="24"/>
          <w:szCs w:val="24"/>
        </w:rPr>
        <w:t xml:space="preserve">a three-phase, nine-step </w:t>
      </w:r>
      <w:r w:rsidRPr="006307FA">
        <w:rPr>
          <w:rFonts w:asciiTheme="majorBidi" w:hAnsiTheme="majorBidi" w:cstheme="majorBidi"/>
          <w:sz w:val="24"/>
          <w:szCs w:val="24"/>
        </w:rPr>
        <w:t xml:space="preserve">KA </w:t>
      </w:r>
      <w:r w:rsidRPr="006307FA">
        <w:rPr>
          <w:rFonts w:asciiTheme="majorBidi" w:hAnsiTheme="majorBidi" w:cstheme="majorBidi" w:hint="eastAsia"/>
          <w:sz w:val="24"/>
          <w:szCs w:val="24"/>
        </w:rPr>
        <w:t xml:space="preserve">methodology for specification of GLs by </w:t>
      </w:r>
      <w:r w:rsidRPr="006307FA">
        <w:rPr>
          <w:rFonts w:asciiTheme="majorBidi" w:hAnsiTheme="majorBidi" w:cstheme="majorBidi"/>
          <w:sz w:val="24"/>
          <w:szCs w:val="24"/>
        </w:rPr>
        <w:t>EPs</w:t>
      </w:r>
      <w:r w:rsidRPr="006307FA">
        <w:rPr>
          <w:rFonts w:asciiTheme="majorBidi" w:hAnsiTheme="majorBidi" w:cstheme="majorBidi" w:hint="eastAsia"/>
          <w:sz w:val="24"/>
          <w:szCs w:val="24"/>
        </w:rPr>
        <w:t>, clinical editors</w:t>
      </w:r>
      <w:r w:rsidRPr="006307FA">
        <w:rPr>
          <w:rFonts w:asciiTheme="majorBidi" w:hAnsiTheme="majorBidi" w:cstheme="majorBidi"/>
          <w:sz w:val="24"/>
          <w:szCs w:val="24"/>
        </w:rPr>
        <w:t xml:space="preserve"> (CEs)</w:t>
      </w:r>
      <w:r w:rsidRPr="006307FA">
        <w:rPr>
          <w:rFonts w:asciiTheme="majorBidi" w:hAnsiTheme="majorBidi" w:cstheme="majorBidi" w:hint="eastAsia"/>
          <w:sz w:val="24"/>
          <w:szCs w:val="24"/>
        </w:rPr>
        <w:t xml:space="preserve">, and </w:t>
      </w:r>
      <w:r w:rsidRPr="006307FA">
        <w:rPr>
          <w:rFonts w:asciiTheme="majorBidi" w:hAnsiTheme="majorBidi" w:cstheme="majorBidi"/>
          <w:sz w:val="24"/>
          <w:szCs w:val="24"/>
        </w:rPr>
        <w:t xml:space="preserve">KEs and conducted </w:t>
      </w:r>
      <w:r w:rsidRPr="006307FA">
        <w:rPr>
          <w:rFonts w:asciiTheme="majorBidi" w:hAnsiTheme="majorBidi" w:cstheme="majorBidi" w:hint="eastAsia"/>
          <w:sz w:val="24"/>
          <w:szCs w:val="24"/>
        </w:rPr>
        <w:t xml:space="preserve">quantitative </w:t>
      </w:r>
      <w:r w:rsidRPr="006307FA">
        <w:rPr>
          <w:rFonts w:asciiTheme="majorBidi" w:hAnsiTheme="majorBidi" w:cstheme="majorBidi"/>
          <w:sz w:val="24"/>
          <w:szCs w:val="24"/>
        </w:rPr>
        <w:t xml:space="preserve">and qualitative </w:t>
      </w:r>
      <w:r w:rsidRPr="006307FA">
        <w:rPr>
          <w:rFonts w:asciiTheme="majorBidi" w:hAnsiTheme="majorBidi" w:cstheme="majorBidi" w:hint="eastAsia"/>
          <w:sz w:val="24"/>
          <w:szCs w:val="24"/>
        </w:rPr>
        <w:t>evaluation</w:t>
      </w:r>
      <w:r w:rsidRPr="006307FA">
        <w:rPr>
          <w:rFonts w:asciiTheme="majorBidi" w:hAnsiTheme="majorBidi" w:cstheme="majorBidi"/>
          <w:sz w:val="24"/>
          <w:szCs w:val="24"/>
        </w:rPr>
        <w:t>.</w:t>
      </w:r>
      <w:r w:rsidRPr="006307FA">
        <w:t xml:space="preserve"> </w:t>
      </w:r>
      <w:r w:rsidRPr="006307FA">
        <w:rPr>
          <w:rFonts w:asciiTheme="majorBidi" w:hAnsiTheme="majorBidi" w:cstheme="majorBidi"/>
          <w:sz w:val="24"/>
          <w:szCs w:val="24"/>
        </w:rPr>
        <w:t xml:space="preserve">The results showed that given an ontology specific consensus (An ontology specific consensus is a structured document that describes schematically the interpretation of the GL agreed upon by both the EPs and the KE, and includes the clinical directives of the GL and the semantic logic of the specification language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RW.CITE{{138 Shalom, E. 2006}}</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 xml:space="preserve"> Shalom, et al. 2006]</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  and a textual representation of a GL, any EP with some ontological training (not necessarily domain expert) can structure and specify its knowledge in a semi-formal representation completely. However, to structure and specify it correctly, we should select an EP with good computational skills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RW.CITE{{68 Shalom, E. 2008}}</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[Shalom, et al. 2008]</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Figure 28 describes this methodology. Creating a local ontology-specific consensus is important because 1) some actions that don’t appear in the GL are still considered correct by some physicians, and 2) not all physicians will necessarily consider everything in the GL as relevant and applicable to the patient. Thus, it is crucial to create a local version of the GL in terms of the local settings in which it is going to be applied.</w:t>
      </w:r>
    </w:p>
    <w:p w:rsidR="000D0B2B" w:rsidRPr="006307FA" w:rsidRDefault="000D0B2B" w:rsidP="000D0B2B">
      <w:pPr>
        <w:pStyle w:val="ListParagraph"/>
        <w:autoSpaceDE w:val="0"/>
        <w:autoSpaceDN w:val="0"/>
        <w:adjustRightInd w:val="0"/>
        <w:spacing w:after="0" w:line="240" w:lineRule="auto"/>
        <w:ind w:left="0"/>
        <w:jc w:val="both"/>
        <w:rPr>
          <w:rFonts w:asciiTheme="majorBidi" w:hAnsiTheme="majorBidi" w:cstheme="majorBidi"/>
          <w:sz w:val="24"/>
          <w:szCs w:val="24"/>
        </w:rPr>
      </w:pPr>
      <w:r w:rsidRPr="006307FA">
        <w:rPr>
          <w:rFonts w:asciiTheme="majorBidi" w:hAnsiTheme="majorBidi" w:cstheme="majorBidi"/>
          <w:sz w:val="24"/>
          <w:szCs w:val="24"/>
        </w:rPr>
        <w:t xml:space="preserve">I conducted a subjective research as well to test the perception of guideline editor to the KA process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RW.CITE{{69 Shalom, E. 2009}}</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[Shalom, et al. 2009]</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The results showed that aspects considered important for formation of a clinical consensus differ from those for structuring of guidelines. Understanding the features of a structuring ontology is positively correlated with the reported ease of using these features, but neither of these subjective reports correlated with the actual objective quality of the structuring using these features.</w:t>
      </w:r>
    </w:p>
    <w:p w:rsidR="000D0B2B" w:rsidRPr="006307FA" w:rsidRDefault="000D0B2B" w:rsidP="000D0B2B">
      <w:pPr>
        <w:keepNext/>
        <w:spacing w:after="0" w:line="300" w:lineRule="atLeast"/>
        <w:textAlignment w:val="baseline"/>
      </w:pPr>
      <w:r w:rsidRPr="006307FA">
        <w:rPr>
          <w:rFonts w:ascii="Arial Unicode MS" w:eastAsia="Arial Unicode MS" w:hAnsi="Arial Unicode MS" w:cs="Arial Unicode MS"/>
          <w:noProof/>
          <w:color w:val="5C5C5C"/>
          <w:sz w:val="20"/>
          <w:szCs w:val="20"/>
          <w:bdr w:val="none" w:sz="0" w:space="0" w:color="auto" w:frame="1"/>
        </w:rPr>
        <w:lastRenderedPageBreak/>
        <w:drawing>
          <wp:inline distT="0" distB="0" distL="0" distR="0" wp14:anchorId="749E69D2" wp14:editId="7C4E874F">
            <wp:extent cx="5105400" cy="1423038"/>
            <wp:effectExtent l="19050" t="19050" r="19050" b="24762"/>
            <wp:docPr id="254" name="תמונה 254" descr="Full-size image">
              <a:hlinkClick xmlns:a="http://schemas.openxmlformats.org/drawingml/2006/main" r:id="rId8" tooltip="&quot;Full-size image (52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size image">
                      <a:hlinkClick r:id="rId8" tooltip="&quot;Full-size image (52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5400" cy="1423038"/>
                    </a:xfrm>
                    <a:prstGeom prst="rect">
                      <a:avLst/>
                    </a:prstGeom>
                    <a:noFill/>
                    <a:ln>
                      <a:solidFill>
                        <a:schemeClr val="accent1"/>
                      </a:solidFill>
                    </a:ln>
                  </pic:spPr>
                </pic:pic>
              </a:graphicData>
            </a:graphic>
          </wp:inline>
        </w:drawing>
      </w:r>
    </w:p>
    <w:p w:rsidR="000D0B2B" w:rsidRPr="006307FA" w:rsidRDefault="000D0B2B" w:rsidP="000D0B2B">
      <w:pPr>
        <w:pStyle w:val="Caption"/>
        <w:ind w:firstLine="0"/>
        <w:rPr>
          <w:b w:val="0"/>
          <w:bCs w:val="0"/>
          <w:noProof/>
        </w:rPr>
      </w:pPr>
      <w:bookmarkStart w:id="57" w:name="_Toc337582345"/>
      <w:r w:rsidRPr="006307FA">
        <w:t xml:space="preserve">Figure </w:t>
      </w:r>
      <w:r w:rsidRPr="006307FA">
        <w:fldChar w:fldCharType="begin"/>
      </w:r>
      <w:r w:rsidRPr="006307FA">
        <w:instrText xml:space="preserve"> SEQ Figure \* ARABIC </w:instrText>
      </w:r>
      <w:r w:rsidRPr="006307FA">
        <w:fldChar w:fldCharType="separate"/>
      </w:r>
      <w:r>
        <w:rPr>
          <w:noProof/>
        </w:rPr>
        <w:t>28</w:t>
      </w:r>
      <w:r w:rsidRPr="006307FA">
        <w:rPr>
          <w:noProof/>
        </w:rPr>
        <w:fldChar w:fldCharType="end"/>
      </w:r>
      <w:r w:rsidRPr="006307FA">
        <w:rPr>
          <w:noProof/>
        </w:rPr>
        <w:t xml:space="preserve">. </w:t>
      </w:r>
      <w:r w:rsidRPr="006307FA">
        <w:rPr>
          <w:b w:val="0"/>
          <w:bCs w:val="0"/>
          <w:noProof/>
        </w:rPr>
        <w:t xml:space="preserve"> The three main phases of the overall specification and evaluation methodology, before, during and after the mark-up, and the activities in each phase. Note the descriptions under each activity. Activity six (creation of a gold standard) can be </w:t>
      </w:r>
      <w:r w:rsidRPr="006307FA">
        <w:rPr>
          <w:rFonts w:hint="eastAsia"/>
          <w:b w:val="0"/>
          <w:bCs w:val="0"/>
          <w:noProof/>
        </w:rPr>
        <w:t>(creation of a gold standard) can be performed at the beginning or in parallel with activities seven and eight (editors’ mark-up). Note also the participants in each activity</w:t>
      </w:r>
      <w:r w:rsidRPr="006307FA">
        <w:rPr>
          <w:b w:val="0"/>
          <w:bCs w:val="0"/>
          <w:noProof/>
        </w:rPr>
        <w:t xml:space="preserve"> (adopted from</w:t>
      </w:r>
      <w:r w:rsidRPr="006307FA">
        <w:rPr>
          <w:b w:val="0"/>
          <w:bCs w:val="0"/>
          <w:noProof/>
        </w:rPr>
        <w:fldChar w:fldCharType="begin"/>
      </w:r>
      <w:r w:rsidRPr="006307FA">
        <w:rPr>
          <w:b w:val="0"/>
          <w:bCs w:val="0"/>
          <w:noProof/>
        </w:rPr>
        <w:instrText>ADDIN RW.CITE{{68 Shalom, E. 2008}}</w:instrText>
      </w:r>
      <w:r w:rsidRPr="006307FA">
        <w:rPr>
          <w:b w:val="0"/>
          <w:bCs w:val="0"/>
          <w:noProof/>
        </w:rPr>
        <w:fldChar w:fldCharType="separate"/>
      </w:r>
      <w:r w:rsidRPr="006307FA">
        <w:rPr>
          <w:b w:val="0"/>
          <w:bCs w:val="0"/>
          <w:noProof/>
        </w:rPr>
        <w:t>[Shalom, et al. 2008]</w:t>
      </w:r>
      <w:r w:rsidRPr="006307FA">
        <w:rPr>
          <w:b w:val="0"/>
          <w:bCs w:val="0"/>
          <w:noProof/>
        </w:rPr>
        <w:fldChar w:fldCharType="end"/>
      </w:r>
      <w:r w:rsidRPr="006307FA">
        <w:rPr>
          <w:b w:val="0"/>
          <w:bCs w:val="0"/>
          <w:noProof/>
        </w:rPr>
        <w:t>)</w:t>
      </w:r>
      <w:bookmarkEnd w:id="57"/>
    </w:p>
    <w:p w:rsidR="000D0B2B" w:rsidRPr="006307FA" w:rsidRDefault="000D0B2B" w:rsidP="000D0B2B">
      <w:pPr>
        <w:pStyle w:val="ListParagraph"/>
        <w:autoSpaceDE w:val="0"/>
        <w:autoSpaceDN w:val="0"/>
        <w:adjustRightInd w:val="0"/>
        <w:spacing w:after="0" w:line="240" w:lineRule="auto"/>
        <w:ind w:left="0"/>
        <w:jc w:val="both"/>
        <w:rPr>
          <w:rFonts w:asciiTheme="majorBidi" w:hAnsiTheme="majorBidi" w:cstheme="majorBidi"/>
          <w:sz w:val="24"/>
          <w:szCs w:val="24"/>
        </w:rPr>
      </w:pPr>
      <w:r w:rsidRPr="006307FA">
        <w:rPr>
          <w:rFonts w:asciiTheme="majorBidi" w:hAnsiTheme="majorBidi" w:cstheme="majorBidi"/>
          <w:sz w:val="24"/>
          <w:szCs w:val="24"/>
        </w:rPr>
        <w:t xml:space="preserve">The same results were shown in a later study which tested specification quality in </w:t>
      </w:r>
      <w:r w:rsidRPr="006307FA">
        <w:rPr>
          <w:rStyle w:val="Emphasis"/>
          <w:rFonts w:asciiTheme="majorBidi" w:hAnsiTheme="majorBidi" w:cstheme="majorBidi"/>
          <w:color w:val="000000"/>
          <w:sz w:val="24"/>
          <w:szCs w:val="24"/>
          <w:bdr w:val="none" w:sz="0" w:space="0" w:color="auto" w:frame="1"/>
          <w:shd w:val="clear" w:color="auto" w:fill="FFFFFF"/>
        </w:rPr>
        <w:t>Gesher</w:t>
      </w:r>
      <w:r w:rsidRPr="006307FA">
        <w:rPr>
          <w:rFonts w:asciiTheme="majorBidi" w:hAnsiTheme="majorBidi" w:cstheme="majorBidi"/>
          <w:sz w:val="24"/>
          <w:szCs w:val="24"/>
        </w:rPr>
        <w:t xml:space="preserve">—a new graphical framework for GL KA </w:t>
      </w:r>
      <w:proofErr w:type="gramStart"/>
      <w:r w:rsidRPr="006307FA">
        <w:rPr>
          <w:rFonts w:asciiTheme="majorBidi" w:hAnsiTheme="majorBidi" w:cstheme="majorBidi"/>
          <w:sz w:val="24"/>
          <w:szCs w:val="24"/>
        </w:rPr>
        <w:t>by</w:t>
      </w:r>
      <w:proofErr w:type="gramEnd"/>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RW.CITE{{139 Hatsek, A. 2010}}</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[Hatsek, et al. 2010]</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shown in figure 29. </w:t>
      </w:r>
      <w:r w:rsidRPr="006307FA">
        <w:rPr>
          <w:rStyle w:val="Emphasis"/>
          <w:rFonts w:asciiTheme="majorBidi" w:hAnsiTheme="majorBidi" w:cstheme="majorBidi"/>
          <w:color w:val="000000"/>
          <w:sz w:val="24"/>
          <w:szCs w:val="24"/>
          <w:bdr w:val="none" w:sz="0" w:space="0" w:color="auto" w:frame="1"/>
          <w:shd w:val="clear" w:color="auto" w:fill="FFFFFF"/>
        </w:rPr>
        <w:t>Gesher</w:t>
      </w:r>
      <w:r w:rsidRPr="006307FA">
        <w:rPr>
          <w:rStyle w:val="apple-converted-space"/>
          <w:rFonts w:asciiTheme="majorBidi" w:hAnsiTheme="majorBidi" w:cstheme="majorBidi"/>
          <w:color w:val="000000"/>
          <w:sz w:val="24"/>
          <w:szCs w:val="24"/>
          <w:shd w:val="clear" w:color="auto" w:fill="FFFFFF"/>
        </w:rPr>
        <w:t> </w:t>
      </w:r>
      <w:r w:rsidRPr="006307FA">
        <w:rPr>
          <w:rFonts w:asciiTheme="majorBidi" w:hAnsiTheme="majorBidi" w:cstheme="majorBidi"/>
          <w:sz w:val="24"/>
          <w:szCs w:val="24"/>
        </w:rPr>
        <w:t xml:space="preserve">is </w:t>
      </w:r>
      <w:r w:rsidRPr="006307FA">
        <w:rPr>
          <w:rFonts w:asciiTheme="majorBidi" w:hAnsiTheme="majorBidi" w:cstheme="majorBidi"/>
          <w:color w:val="000000"/>
          <w:sz w:val="24"/>
          <w:szCs w:val="24"/>
          <w:shd w:val="clear" w:color="auto" w:fill="FFFFFF"/>
        </w:rPr>
        <w:t>a client application designed to support the process of incremental guideline specification at multiple representation levels according to multiple target specification ontologies. To achieve a high quality specification in a reasonable time,</w:t>
      </w:r>
      <w:r w:rsidRPr="006307FA">
        <w:rPr>
          <w:rStyle w:val="apple-converted-space"/>
          <w:rFonts w:asciiTheme="majorBidi" w:hAnsiTheme="majorBidi" w:cstheme="majorBidi"/>
          <w:color w:val="000000"/>
          <w:sz w:val="24"/>
          <w:szCs w:val="24"/>
          <w:shd w:val="clear" w:color="auto" w:fill="FFFFFF"/>
        </w:rPr>
        <w:t> </w:t>
      </w:r>
      <w:r w:rsidRPr="006307FA">
        <w:rPr>
          <w:rStyle w:val="Emphasis"/>
          <w:rFonts w:asciiTheme="majorBidi" w:hAnsiTheme="majorBidi" w:cstheme="majorBidi"/>
          <w:color w:val="000000"/>
          <w:sz w:val="24"/>
          <w:szCs w:val="24"/>
          <w:bdr w:val="none" w:sz="0" w:space="0" w:color="auto" w:frame="1"/>
          <w:shd w:val="clear" w:color="auto" w:fill="FFFFFF"/>
        </w:rPr>
        <w:t>Gesher</w:t>
      </w:r>
      <w:r w:rsidRPr="006307FA">
        <w:rPr>
          <w:rStyle w:val="apple-converted-space"/>
          <w:rFonts w:asciiTheme="majorBidi" w:hAnsiTheme="majorBidi" w:cstheme="majorBidi"/>
          <w:color w:val="000000"/>
          <w:sz w:val="24"/>
          <w:szCs w:val="24"/>
          <w:shd w:val="clear" w:color="auto" w:fill="FFFFFF"/>
        </w:rPr>
        <w:t> </w:t>
      </w:r>
      <w:r w:rsidRPr="006307FA">
        <w:rPr>
          <w:rFonts w:asciiTheme="majorBidi" w:hAnsiTheme="majorBidi" w:cstheme="majorBidi"/>
          <w:color w:val="000000"/>
          <w:sz w:val="24"/>
          <w:szCs w:val="24"/>
          <w:shd w:val="clear" w:color="auto" w:fill="FFFFFF"/>
        </w:rPr>
        <w:t>supports the collaboration of the expert physicians, clinical editors and knowledge engineers.</w:t>
      </w:r>
      <w:r w:rsidRPr="006307FA">
        <w:rPr>
          <w:rStyle w:val="apple-converted-space"/>
          <w:rFonts w:asciiTheme="majorBidi" w:hAnsiTheme="majorBidi" w:cstheme="majorBidi"/>
          <w:color w:val="000000"/>
          <w:sz w:val="24"/>
          <w:szCs w:val="24"/>
          <w:shd w:val="clear" w:color="auto" w:fill="FFFFFF"/>
        </w:rPr>
        <w:t> </w:t>
      </w:r>
      <w:r w:rsidRPr="006307FA">
        <w:rPr>
          <w:rStyle w:val="Emphasis"/>
          <w:rFonts w:asciiTheme="majorBidi" w:hAnsiTheme="majorBidi" w:cstheme="majorBidi"/>
          <w:color w:val="000000"/>
          <w:sz w:val="24"/>
          <w:szCs w:val="24"/>
          <w:bdr w:val="none" w:sz="0" w:space="0" w:color="auto" w:frame="1"/>
          <w:shd w:val="clear" w:color="auto" w:fill="FFFFFF"/>
        </w:rPr>
        <w:t>Gesher</w:t>
      </w:r>
      <w:r w:rsidRPr="006307FA">
        <w:rPr>
          <w:rStyle w:val="apple-converted-space"/>
          <w:rFonts w:asciiTheme="majorBidi" w:hAnsiTheme="majorBidi" w:cstheme="majorBidi"/>
          <w:color w:val="000000"/>
          <w:sz w:val="24"/>
          <w:szCs w:val="24"/>
          <w:shd w:val="clear" w:color="auto" w:fill="FFFFFF"/>
        </w:rPr>
        <w:t> </w:t>
      </w:r>
      <w:r w:rsidRPr="006307FA">
        <w:rPr>
          <w:rFonts w:asciiTheme="majorBidi" w:hAnsiTheme="majorBidi" w:cstheme="majorBidi"/>
          <w:color w:val="000000"/>
          <w:sz w:val="24"/>
          <w:szCs w:val="24"/>
          <w:shd w:val="clear" w:color="auto" w:fill="FFFFFF"/>
        </w:rPr>
        <w:t>supports this gradual specification process through all of the steps of creating a formal representation of the guideline. Note that the capability for effective gradual specification also supports maintenance and modification of the clinical-guideline’s knowledge. Although</w:t>
      </w:r>
      <w:r w:rsidRPr="006307FA">
        <w:rPr>
          <w:rStyle w:val="Emphasis"/>
          <w:rFonts w:asciiTheme="majorBidi" w:hAnsiTheme="majorBidi" w:cstheme="majorBidi"/>
          <w:color w:val="000000"/>
          <w:sz w:val="24"/>
          <w:szCs w:val="24"/>
          <w:bdr w:val="none" w:sz="0" w:space="0" w:color="auto" w:frame="1"/>
          <w:shd w:val="clear" w:color="auto" w:fill="FFFFFF"/>
        </w:rPr>
        <w:t xml:space="preserve"> Gesher</w:t>
      </w:r>
      <w:r w:rsidRPr="006307FA">
        <w:rPr>
          <w:rStyle w:val="apple-converted-space"/>
          <w:rFonts w:asciiTheme="majorBidi" w:hAnsiTheme="majorBidi" w:cstheme="majorBidi"/>
          <w:color w:val="000000"/>
          <w:sz w:val="24"/>
          <w:szCs w:val="24"/>
          <w:shd w:val="clear" w:color="auto" w:fill="FFFFFF"/>
        </w:rPr>
        <w:t> </w:t>
      </w:r>
      <w:r w:rsidRPr="006307FA">
        <w:rPr>
          <w:rFonts w:asciiTheme="majorBidi" w:hAnsiTheme="majorBidi" w:cstheme="majorBidi"/>
          <w:color w:val="000000"/>
          <w:sz w:val="24"/>
          <w:szCs w:val="24"/>
          <w:shd w:val="clear" w:color="auto" w:fill="FFFFFF"/>
        </w:rPr>
        <w:t>supports specification into multiple target ontologies and is not restricted to a specific one, we used the Asbru ontology for the formal level of representation and the components we developed for this level are used to generate a representation according to the Asbru language</w:t>
      </w:r>
      <w:r w:rsidRPr="006307FA">
        <w:rPr>
          <w:rFonts w:asciiTheme="majorBidi" w:hAnsiTheme="majorBidi" w:cstheme="majorBidi"/>
          <w:sz w:val="24"/>
          <w:szCs w:val="24"/>
        </w:rPr>
        <w:t xml:space="preserve">. </w:t>
      </w:r>
      <w:r w:rsidRPr="006307FA">
        <w:rPr>
          <w:rFonts w:asciiTheme="majorBidi" w:hAnsiTheme="majorBidi" w:cstheme="majorBidi"/>
          <w:color w:val="000000"/>
          <w:sz w:val="24"/>
          <w:szCs w:val="24"/>
          <w:shd w:val="clear" w:color="auto" w:fill="FFFFFF"/>
        </w:rPr>
        <w:t xml:space="preserve">The evaluation of </w:t>
      </w:r>
      <w:r w:rsidRPr="006307FA">
        <w:rPr>
          <w:rStyle w:val="Emphasis"/>
          <w:rFonts w:asciiTheme="majorBidi" w:hAnsiTheme="majorBidi" w:cstheme="majorBidi"/>
          <w:color w:val="000000"/>
          <w:sz w:val="24"/>
          <w:szCs w:val="24"/>
          <w:bdr w:val="none" w:sz="0" w:space="0" w:color="auto" w:frame="1"/>
          <w:shd w:val="clear" w:color="auto" w:fill="FFFFFF"/>
        </w:rPr>
        <w:t>Gesher</w:t>
      </w:r>
      <w:r w:rsidRPr="006307FA">
        <w:rPr>
          <w:rStyle w:val="apple-converted-space"/>
          <w:rFonts w:asciiTheme="majorBidi" w:hAnsiTheme="majorBidi" w:cstheme="majorBidi"/>
          <w:color w:val="000000"/>
          <w:sz w:val="24"/>
          <w:szCs w:val="24"/>
          <w:shd w:val="clear" w:color="auto" w:fill="FFFFFF"/>
        </w:rPr>
        <w:t> </w:t>
      </w:r>
      <w:r w:rsidRPr="006307FA">
        <w:rPr>
          <w:rFonts w:asciiTheme="majorBidi" w:hAnsiTheme="majorBidi" w:cstheme="majorBidi"/>
          <w:color w:val="000000"/>
          <w:sz w:val="24"/>
          <w:szCs w:val="24"/>
          <w:shd w:val="clear" w:color="auto" w:fill="FFFFFF"/>
        </w:rPr>
        <w:t>showed high levels of completeness and correctness of the guideline specification process by both the clinicians and the knowledge engineers, although the best results, in the case of declarative-knowledge specification, were achieved by teams including a clinician and a knowledge engineer. The usability scores were high as well, although the clinicians’ assessment was significantly lower than the assessment of the knowledge engineers.</w:t>
      </w:r>
    </w:p>
    <w:p w:rsidR="000D0B2B" w:rsidRPr="006307FA" w:rsidRDefault="000D0B2B" w:rsidP="000D0B2B">
      <w:pPr>
        <w:shd w:val="clear" w:color="auto" w:fill="FFFFFF"/>
        <w:spacing w:after="0" w:line="240" w:lineRule="auto"/>
        <w:jc w:val="both"/>
        <w:textAlignment w:val="baseline"/>
        <w:rPr>
          <w:rStyle w:val="Hyperlink"/>
          <w:rFonts w:ascii="Georgia" w:hAnsi="Georgia"/>
          <w:color w:val="642A8F"/>
          <w:sz w:val="20"/>
          <w:szCs w:val="20"/>
          <w:bdr w:val="single" w:sz="6" w:space="0" w:color="C0C0C0" w:frame="1"/>
        </w:rPr>
      </w:pPr>
      <w:r w:rsidRPr="006307FA">
        <w:rPr>
          <w:rFonts w:ascii="Georgia" w:hAnsi="Georgia"/>
          <w:color w:val="000000"/>
          <w:sz w:val="20"/>
          <w:szCs w:val="20"/>
        </w:rPr>
        <w:fldChar w:fldCharType="begin"/>
      </w:r>
      <w:r w:rsidRPr="006307FA">
        <w:rPr>
          <w:rFonts w:ascii="Georgia" w:hAnsi="Georgia"/>
          <w:color w:val="000000"/>
          <w:sz w:val="20"/>
          <w:szCs w:val="20"/>
        </w:rPr>
        <w:instrText xml:space="preserve"> HYPERLINK "http://www.ncbi.nlm.nih.gov/core/lw/2.0/html/tileshop_pmc/tileshop_pmc_inline.html?title=Click%20on%20image%20to%20zoom&amp;p=PMC3&amp;id=3099486_TOMINFOJ-4-255_F2.jpg" \t "tileshopwindow" </w:instrText>
      </w:r>
      <w:r w:rsidRPr="006307FA">
        <w:rPr>
          <w:rFonts w:ascii="Georgia" w:hAnsi="Georgia"/>
          <w:color w:val="000000"/>
          <w:sz w:val="20"/>
          <w:szCs w:val="20"/>
        </w:rPr>
        <w:fldChar w:fldCharType="separate"/>
      </w:r>
    </w:p>
    <w:p w:rsidR="000D0B2B" w:rsidRPr="006307FA" w:rsidRDefault="000D0B2B" w:rsidP="000D0B2B">
      <w:pPr>
        <w:keepNext/>
        <w:shd w:val="clear" w:color="auto" w:fill="FFFFFF"/>
        <w:spacing w:after="0" w:line="240" w:lineRule="auto"/>
        <w:jc w:val="center"/>
        <w:textAlignment w:val="baseline"/>
        <w:rPr>
          <w:sz w:val="20"/>
          <w:szCs w:val="20"/>
        </w:rPr>
      </w:pPr>
      <w:r w:rsidRPr="006307FA">
        <w:rPr>
          <w:rFonts w:ascii="Georgia" w:hAnsi="Georgia"/>
          <w:noProof/>
          <w:color w:val="642A8F"/>
          <w:sz w:val="20"/>
          <w:szCs w:val="20"/>
          <w:bdr w:val="single" w:sz="6" w:space="0" w:color="C0C0C0" w:frame="1"/>
        </w:rPr>
        <w:lastRenderedPageBreak/>
        <w:drawing>
          <wp:inline distT="0" distB="0" distL="0" distR="0" wp14:anchorId="6BA9E2CC" wp14:editId="6F6EAB1C">
            <wp:extent cx="4152900" cy="3128396"/>
            <wp:effectExtent l="0" t="0" r="0" b="0"/>
            <wp:docPr id="255" name="תמונה 255" descr="An external file that holds a picture, illustration, etc.&#10;Object name is TOMINFOJ-4-255_F2.jpg Object name is TOMINFOJ-4-255_F2.jpg">
              <a:hlinkClick xmlns:a="http://schemas.openxmlformats.org/drawingml/2006/main" r:id="rId10"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xternal file that holds a picture, illustration, etc.&#10;Object name is TOMINFOJ-4-255_F2.jpg Object name is TOMINFOJ-4-255_F2.jpg">
                      <a:hlinkClick r:id="rId10" tgtFrame="&quot;tileshopwindow&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2900" cy="3128396"/>
                    </a:xfrm>
                    <a:prstGeom prst="rect">
                      <a:avLst/>
                    </a:prstGeom>
                    <a:noFill/>
                    <a:ln>
                      <a:noFill/>
                    </a:ln>
                  </pic:spPr>
                </pic:pic>
              </a:graphicData>
            </a:graphic>
          </wp:inline>
        </w:drawing>
      </w:r>
    </w:p>
    <w:p w:rsidR="000D0B2B" w:rsidRPr="006307FA" w:rsidRDefault="000D0B2B" w:rsidP="000D0B2B">
      <w:pPr>
        <w:pStyle w:val="Caption"/>
        <w:spacing w:before="0" w:after="0"/>
        <w:ind w:firstLine="0"/>
        <w:rPr>
          <w:rFonts w:asciiTheme="majorBidi" w:hAnsiTheme="majorBidi" w:cstheme="majorBidi"/>
          <w:b w:val="0"/>
          <w:bCs w:val="0"/>
          <w:color w:val="000000"/>
        </w:rPr>
      </w:pPr>
      <w:bookmarkStart w:id="58" w:name="_Toc337582346"/>
      <w:proofErr w:type="gramStart"/>
      <w:r w:rsidRPr="006307FA">
        <w:t>Figure</w:t>
      </w:r>
      <w:proofErr w:type="gramEnd"/>
      <w:r w:rsidRPr="006307FA">
        <w:t xml:space="preserve"> </w:t>
      </w:r>
      <w:r w:rsidRPr="006307FA">
        <w:fldChar w:fldCharType="begin"/>
      </w:r>
      <w:r w:rsidRPr="006307FA">
        <w:instrText xml:space="preserve"> SEQ Figure \* ARABIC </w:instrText>
      </w:r>
      <w:r w:rsidRPr="006307FA">
        <w:fldChar w:fldCharType="separate"/>
      </w:r>
      <w:r>
        <w:rPr>
          <w:noProof/>
        </w:rPr>
        <w:t>29</w:t>
      </w:r>
      <w:r w:rsidRPr="006307FA">
        <w:rPr>
          <w:noProof/>
        </w:rPr>
        <w:fldChar w:fldCharType="end"/>
      </w:r>
      <w:r w:rsidRPr="006307FA">
        <w:rPr>
          <w:b w:val="0"/>
          <w:bCs w:val="0"/>
          <w:sz w:val="16"/>
          <w:szCs w:val="16"/>
        </w:rPr>
        <w:t>.</w:t>
      </w:r>
      <w:r w:rsidRPr="006307FA">
        <w:rPr>
          <w:b w:val="0"/>
          <w:bCs w:val="0"/>
        </w:rPr>
        <w:t xml:space="preserve">  The hierarchical plan builder in Gesher that</w:t>
      </w:r>
      <w:r w:rsidRPr="006307FA">
        <w:rPr>
          <w:rFonts w:ascii="Georgia" w:hAnsi="Georgia"/>
          <w:b w:val="0"/>
          <w:bCs w:val="0"/>
          <w:color w:val="000000"/>
        </w:rPr>
        <w:fldChar w:fldCharType="end"/>
      </w:r>
      <w:r w:rsidRPr="006307FA">
        <w:rPr>
          <w:rFonts w:asciiTheme="majorBidi" w:hAnsiTheme="majorBidi" w:cstheme="majorBidi"/>
          <w:b w:val="0"/>
          <w:bCs w:val="0"/>
          <w:color w:val="000000"/>
        </w:rPr>
        <w:t xml:space="preserve"> the expert physicians use for specifying the procedural aspects of the guideline. In this case the "Management and Treatment" plan, of the PET guideline, composed of evaluating the patient's state (severe or mild preeclampsia) and applying the matching treatment. The user selects plans from different types (frame 1) and adds them to the hierarchical flow chart (frame2).  For each plan, several properties can be defined (frame 3); for composite plans the procedural aspect are specified (frame 4). The sub-plan hierarchy is displayed in a tree-view display (frame 5).  In this phase the expert also defines a list of declarative concepts that will be further specified in the following phases (frame 6) (adopted from </w:t>
      </w:r>
      <w:r w:rsidRPr="006307FA">
        <w:rPr>
          <w:rFonts w:asciiTheme="majorBidi" w:hAnsiTheme="majorBidi" w:cstheme="majorBidi"/>
          <w:b w:val="0"/>
          <w:bCs w:val="0"/>
          <w:color w:val="000000"/>
        </w:rPr>
        <w:fldChar w:fldCharType="begin"/>
      </w:r>
      <w:r w:rsidRPr="006307FA">
        <w:rPr>
          <w:rFonts w:asciiTheme="majorBidi" w:hAnsiTheme="majorBidi" w:cstheme="majorBidi"/>
          <w:b w:val="0"/>
          <w:bCs w:val="0"/>
          <w:color w:val="000000"/>
        </w:rPr>
        <w:instrText>ADDIN RW.CITE{{139 Hatsek, A. 2010}}</w:instrText>
      </w:r>
      <w:r w:rsidRPr="006307FA">
        <w:rPr>
          <w:rFonts w:asciiTheme="majorBidi" w:hAnsiTheme="majorBidi" w:cstheme="majorBidi"/>
          <w:b w:val="0"/>
          <w:bCs w:val="0"/>
          <w:color w:val="000000"/>
        </w:rPr>
        <w:fldChar w:fldCharType="separate"/>
      </w:r>
      <w:r w:rsidRPr="006307FA">
        <w:rPr>
          <w:rFonts w:asciiTheme="majorBidi" w:hAnsiTheme="majorBidi" w:cstheme="majorBidi"/>
          <w:b w:val="0"/>
          <w:bCs w:val="0"/>
          <w:color w:val="000000"/>
        </w:rPr>
        <w:t>[Hatsek, et al. 2010]</w:t>
      </w:r>
      <w:r w:rsidRPr="006307FA">
        <w:rPr>
          <w:rFonts w:asciiTheme="majorBidi" w:hAnsiTheme="majorBidi" w:cstheme="majorBidi"/>
          <w:b w:val="0"/>
          <w:bCs w:val="0"/>
          <w:color w:val="000000"/>
        </w:rPr>
        <w:fldChar w:fldCharType="end"/>
      </w:r>
      <w:r w:rsidRPr="006307FA">
        <w:rPr>
          <w:rFonts w:asciiTheme="majorBidi" w:hAnsiTheme="majorBidi" w:cstheme="majorBidi"/>
          <w:b w:val="0"/>
          <w:bCs w:val="0"/>
          <w:color w:val="000000"/>
        </w:rPr>
        <w:t>)</w:t>
      </w:r>
      <w:bookmarkEnd w:id="58"/>
    </w:p>
    <w:p w:rsidR="000D0B2B" w:rsidRPr="006307FA" w:rsidRDefault="000D0B2B" w:rsidP="000D0B2B">
      <w:pPr>
        <w:pStyle w:val="Heading3"/>
        <w:ind w:left="540"/>
      </w:pPr>
      <w:bookmarkStart w:id="59" w:name="_Toc335942173"/>
      <w:bookmarkStart w:id="60" w:name="_Toc353063001"/>
      <w:bookmarkStart w:id="61" w:name="_Toc353063541"/>
      <w:r w:rsidRPr="006307FA">
        <w:t>Guideline Simulation</w:t>
      </w:r>
      <w:bookmarkEnd w:id="59"/>
      <w:bookmarkEnd w:id="60"/>
      <w:bookmarkEnd w:id="61"/>
      <w:r w:rsidRPr="006307FA">
        <w:t xml:space="preserve"> </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RW.CITE{{67 Greenes, R.A. 2001; 17 de Clercq, P.A. 2004}}</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[de Clercq, et al. 2004, Greenes, et al. 2001]</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 xml:space="preserve"> relate this task with validation and testing tasks, aimed to determine that the structured elements of the GL are precise, unambiguous, syntactically and semantically correct. They suggest testing the GL using an existing patient records, but they are not suggesting a methodology to perform this validation. In addition, not always patient records are available, especially not in the phase of GL specification process. In fact, after, or during the GL specification (or even during its development) there is a need to "debug" its quality in computational means, i.e. to make sure that all the scenarios applied by the GL application engine are correct  (i.e., all recommendation are correct) and complete (i.e. the engine not misses some recommendations). Although this task wasn’t one of the objective in developing </w:t>
      </w:r>
      <w:proofErr w:type="gramStart"/>
      <w:r w:rsidRPr="006307FA">
        <w:rPr>
          <w:rFonts w:asciiTheme="majorBidi" w:hAnsiTheme="majorBidi" w:cstheme="majorBidi"/>
          <w:sz w:val="24"/>
          <w:szCs w:val="24"/>
        </w:rPr>
        <w:t>the  semi</w:t>
      </w:r>
      <w:proofErr w:type="gramEnd"/>
      <w:r w:rsidRPr="006307FA">
        <w:rPr>
          <w:rFonts w:asciiTheme="majorBidi" w:hAnsiTheme="majorBidi" w:cstheme="majorBidi"/>
          <w:sz w:val="24"/>
          <w:szCs w:val="24"/>
        </w:rPr>
        <w:t>-formal GL application tool Spock (see section 2.3.12), one of the surprising discoveries was that Spock system can be used as a simulation framework when developing new GLs, or for medical-education purposes (whether for medical students or clinical residents), by using it as a platform for illustrating common clinical scenarios.</w:t>
      </w:r>
    </w:p>
    <w:p w:rsidR="000D0B2B" w:rsidRPr="006307FA" w:rsidRDefault="000D0B2B" w:rsidP="000D0B2B">
      <w:pPr>
        <w:spacing w:after="0" w:line="240" w:lineRule="auto"/>
        <w:jc w:val="both"/>
        <w:rPr>
          <w:rFonts w:asciiTheme="majorBidi" w:hAnsiTheme="majorBidi" w:cstheme="majorBidi"/>
          <w:sz w:val="24"/>
          <w:szCs w:val="24"/>
        </w:rPr>
      </w:pPr>
      <w:r w:rsidRPr="006307FA">
        <w:rPr>
          <w:rFonts w:asciiTheme="majorBidi" w:hAnsiTheme="majorBidi" w:cstheme="majorBidi"/>
          <w:sz w:val="24"/>
          <w:szCs w:val="24"/>
        </w:rPr>
        <w:t xml:space="preserve">Thus, we started to develop a simulation engine for continues application of the GL which can generate complete set of GL scenarios and corresponding longitudinal simulated patient data. This data is used to "debug" the GL in the specification process by the GL application engine. Note that no comprehensive previous work was done regarding GL simulation. Thus, this work is the provision of another Master thesis </w:t>
      </w:r>
      <w:r w:rsidRPr="006307FA">
        <w:rPr>
          <w:rFonts w:asciiTheme="majorBidi" w:hAnsiTheme="majorBidi" w:cstheme="majorBidi"/>
          <w:sz w:val="24"/>
          <w:szCs w:val="24"/>
        </w:rPr>
        <w:fldChar w:fldCharType="begin"/>
      </w:r>
      <w:r w:rsidRPr="006307FA">
        <w:rPr>
          <w:rFonts w:asciiTheme="majorBidi" w:hAnsiTheme="majorBidi" w:cstheme="majorBidi"/>
          <w:sz w:val="24"/>
          <w:szCs w:val="24"/>
        </w:rPr>
        <w:instrText>ADDIN RW.CITE{{73 Freidman, I. 2012}}</w:instrText>
      </w:r>
      <w:r w:rsidRPr="006307FA">
        <w:rPr>
          <w:rFonts w:asciiTheme="majorBidi" w:hAnsiTheme="majorBidi" w:cstheme="majorBidi"/>
          <w:sz w:val="24"/>
          <w:szCs w:val="24"/>
        </w:rPr>
        <w:fldChar w:fldCharType="separate"/>
      </w:r>
      <w:r w:rsidRPr="006307FA">
        <w:rPr>
          <w:rFonts w:asciiTheme="majorBidi" w:hAnsiTheme="majorBidi" w:cstheme="majorBidi"/>
          <w:sz w:val="24"/>
          <w:szCs w:val="24"/>
        </w:rPr>
        <w:t>[Freidman. 2012]</w:t>
      </w:r>
      <w:r w:rsidRPr="006307FA">
        <w:rPr>
          <w:rFonts w:asciiTheme="majorBidi" w:hAnsiTheme="majorBidi" w:cstheme="majorBidi"/>
          <w:sz w:val="24"/>
          <w:szCs w:val="24"/>
        </w:rPr>
        <w:fldChar w:fldCharType="end"/>
      </w:r>
      <w:r w:rsidRPr="006307FA">
        <w:rPr>
          <w:rFonts w:asciiTheme="majorBidi" w:hAnsiTheme="majorBidi" w:cstheme="majorBidi"/>
          <w:sz w:val="24"/>
          <w:szCs w:val="24"/>
        </w:rPr>
        <w:t>.</w:t>
      </w:r>
    </w:p>
    <w:p w:rsidR="000D0B2B" w:rsidRPr="006307FA" w:rsidRDefault="000D0B2B" w:rsidP="000D0B2B">
      <w:pPr>
        <w:pStyle w:val="Heading3"/>
        <w:ind w:left="540"/>
      </w:pPr>
      <w:bookmarkStart w:id="62" w:name="_Toc335942174"/>
      <w:bookmarkStart w:id="63" w:name="_Toc353063002"/>
      <w:bookmarkStart w:id="64" w:name="_Toc353063542"/>
      <w:r w:rsidRPr="006307FA">
        <w:lastRenderedPageBreak/>
        <w:t>Monitoring &amp; alerting</w:t>
      </w:r>
      <w:bookmarkEnd w:id="62"/>
      <w:bookmarkEnd w:id="63"/>
      <w:bookmarkEnd w:id="64"/>
      <w:r w:rsidRPr="006307FA">
        <w:t xml:space="preserve"> </w:t>
      </w:r>
    </w:p>
    <w:p w:rsidR="000D0B2B" w:rsidRPr="006307FA" w:rsidRDefault="000D0B2B" w:rsidP="000D0B2B">
      <w:pPr>
        <w:pStyle w:val="Default"/>
        <w:contextualSpacing/>
        <w:jc w:val="both"/>
        <w:rPr>
          <w:rFonts w:ascii="Times" w:hAnsi="Times" w:cs="Times"/>
        </w:rPr>
      </w:pPr>
      <w:r w:rsidRPr="006307FA">
        <w:rPr>
          <w:rFonts w:asciiTheme="majorBidi" w:eastAsiaTheme="minorEastAsia" w:hAnsiTheme="majorBidi" w:cstheme="majorBidi"/>
        </w:rPr>
        <w:t xml:space="preserve">The specification of the GL’s declarative knowledge, although integrated with its procedural knowledge is represented, conceptually, within a closely associated knowledge base that uses the knowledge-based temporal-abstraction (KBTA) ontology </w:t>
      </w:r>
      <w:r w:rsidRPr="006307FA">
        <w:rPr>
          <w:rFonts w:asciiTheme="majorBidi" w:eastAsiaTheme="minorEastAsia" w:hAnsiTheme="majorBidi" w:cstheme="majorBidi"/>
        </w:rPr>
        <w:fldChar w:fldCharType="begin"/>
      </w:r>
      <w:r w:rsidRPr="006307FA">
        <w:rPr>
          <w:rFonts w:asciiTheme="majorBidi" w:eastAsiaTheme="minorEastAsia" w:hAnsiTheme="majorBidi" w:cstheme="majorBidi"/>
        </w:rPr>
        <w:instrText>ADDIN RW.CITE{{140 Shahar, Y. 1997}}</w:instrText>
      </w:r>
      <w:r w:rsidRPr="006307FA">
        <w:rPr>
          <w:rFonts w:asciiTheme="majorBidi" w:eastAsiaTheme="minorEastAsia" w:hAnsiTheme="majorBidi" w:cstheme="majorBidi"/>
        </w:rPr>
        <w:fldChar w:fldCharType="separate"/>
      </w:r>
      <w:r w:rsidRPr="006307FA">
        <w:rPr>
          <w:rFonts w:asciiTheme="majorBidi" w:eastAsiaTheme="minorEastAsia" w:hAnsiTheme="majorBidi" w:cstheme="majorBidi"/>
        </w:rPr>
        <w:t>[Shahar. 1997]</w:t>
      </w:r>
      <w:r w:rsidRPr="006307FA">
        <w:rPr>
          <w:rFonts w:asciiTheme="majorBidi" w:eastAsiaTheme="minorEastAsia" w:hAnsiTheme="majorBidi" w:cstheme="majorBidi"/>
        </w:rPr>
        <w:fldChar w:fldCharType="end"/>
      </w:r>
      <w:r w:rsidRPr="006307FA">
        <w:rPr>
          <w:rFonts w:asciiTheme="majorBidi" w:eastAsiaTheme="minorEastAsia" w:hAnsiTheme="majorBidi" w:cstheme="majorBidi"/>
        </w:rPr>
        <w:t xml:space="preserve">. </w:t>
      </w:r>
      <w:r w:rsidRPr="006307FA">
        <w:rPr>
          <w:rFonts w:ascii="Times" w:hAnsi="Times" w:cs="Times"/>
        </w:rPr>
        <w:t xml:space="preserve">Thus, previously, we implemented a computational module that uses KBTA to perform temporal abstraction such as the ALMA inference engine of time-oriented database </w:t>
      </w:r>
      <w:r w:rsidRPr="006307FA">
        <w:rPr>
          <w:rFonts w:ascii="Times" w:hAnsi="Times" w:cs="Times"/>
        </w:rPr>
        <w:fldChar w:fldCharType="begin"/>
      </w:r>
      <w:r w:rsidRPr="006307FA">
        <w:rPr>
          <w:rFonts w:ascii="Times" w:hAnsi="Times" w:cs="Times"/>
        </w:rPr>
        <w:instrText>ADDIN RW.CITE{{144 Boaz, D. 2003}}</w:instrText>
      </w:r>
      <w:r w:rsidRPr="006307FA">
        <w:rPr>
          <w:rFonts w:ascii="Times" w:hAnsi="Times" w:cs="Times"/>
        </w:rPr>
        <w:fldChar w:fldCharType="separate"/>
      </w:r>
      <w:r w:rsidRPr="006307FA">
        <w:rPr>
          <w:rFonts w:ascii="Times" w:hAnsi="Times" w:cs="Times"/>
        </w:rPr>
        <w:t>[Boaz, et al. 2003]</w:t>
      </w:r>
      <w:r w:rsidRPr="006307FA">
        <w:rPr>
          <w:rFonts w:ascii="Times" w:hAnsi="Times" w:cs="Times"/>
        </w:rPr>
        <w:fldChar w:fldCharType="end"/>
      </w:r>
      <w:r w:rsidRPr="006307FA">
        <w:rPr>
          <w:rFonts w:ascii="Times" w:hAnsi="Times" w:cs="Times"/>
        </w:rPr>
        <w:t xml:space="preserve">, which is a component module within the goal-directed IDAN architecture </w:t>
      </w:r>
      <w:r w:rsidRPr="006307FA">
        <w:rPr>
          <w:rFonts w:ascii="Times" w:hAnsi="Times" w:cs="Times"/>
        </w:rPr>
        <w:fldChar w:fldCharType="begin"/>
      </w:r>
      <w:r w:rsidRPr="006307FA">
        <w:rPr>
          <w:rFonts w:ascii="Times" w:hAnsi="Times" w:cs="Times"/>
        </w:rPr>
        <w:instrText>ADDIN RW.CITE{{143 Boaz, D. 2005}}</w:instrText>
      </w:r>
      <w:r w:rsidRPr="006307FA">
        <w:rPr>
          <w:rFonts w:ascii="Times" w:hAnsi="Times" w:cs="Times"/>
        </w:rPr>
        <w:fldChar w:fldCharType="separate"/>
      </w:r>
      <w:r w:rsidRPr="006307FA">
        <w:rPr>
          <w:rFonts w:ascii="Times" w:hAnsi="Times" w:cs="Times"/>
        </w:rPr>
        <w:t>[Boaz, et al. 2005]</w:t>
      </w:r>
      <w:r w:rsidRPr="006307FA">
        <w:rPr>
          <w:rFonts w:ascii="Times" w:hAnsi="Times" w:cs="Times"/>
        </w:rPr>
        <w:fldChar w:fldCharType="end"/>
      </w:r>
      <w:r w:rsidRPr="006307FA">
        <w:rPr>
          <w:rFonts w:ascii="Times" w:hAnsi="Times" w:cs="Times"/>
        </w:rPr>
        <w:t xml:space="preserve">.  </w:t>
      </w:r>
      <w:r w:rsidRPr="006307FA">
        <w:t>Figure 30</w:t>
      </w:r>
      <w:r w:rsidRPr="006307FA">
        <w:rPr>
          <w:b/>
          <w:bCs/>
        </w:rPr>
        <w:t xml:space="preserve"> </w:t>
      </w:r>
      <w:r w:rsidRPr="006307FA">
        <w:rPr>
          <w:rFonts w:ascii="Times" w:hAnsi="Times" w:cs="Times"/>
        </w:rPr>
        <w:t xml:space="preserve">displays the architecture of the IDAN temporal-abstraction mediator. The mediator’s controller effectively mediates a complex, knowledge-based query involving several domain-specific clinical abstractions by retrieving the relevant medical knowledge and clinical time-stamped data; the temporal-abstraction service then applies the appropriate context-sensitive knowledge to the relevant clinical data. The IDAN architecture is capable of accessing heterogeneous EMRs as well as providing sophisticated services for querying a patient’s raw data and derived abstract concepts. Another important component of the IDAN architecture is the MEIDA </w:t>
      </w:r>
      <w:r w:rsidRPr="006307FA">
        <w:rPr>
          <w:rFonts w:ascii="Times" w:hAnsi="Times" w:cs="Times"/>
        </w:rPr>
        <w:fldChar w:fldCharType="begin"/>
      </w:r>
      <w:r w:rsidRPr="006307FA">
        <w:rPr>
          <w:rFonts w:ascii="Times" w:hAnsi="Times" w:cs="Times"/>
        </w:rPr>
        <w:instrText>ADDIN RW.CITE{{145 German, E. 2009}}</w:instrText>
      </w:r>
      <w:r w:rsidRPr="006307FA">
        <w:rPr>
          <w:rFonts w:ascii="Times" w:hAnsi="Times" w:cs="Times"/>
        </w:rPr>
        <w:fldChar w:fldCharType="separate"/>
      </w:r>
      <w:r w:rsidRPr="006307FA">
        <w:rPr>
          <w:rFonts w:ascii="Times" w:hAnsi="Times" w:cs="Times"/>
        </w:rPr>
        <w:t>[German, et al. 2009]</w:t>
      </w:r>
      <w:r w:rsidRPr="006307FA">
        <w:rPr>
          <w:rFonts w:ascii="Times" w:hAnsi="Times" w:cs="Times"/>
        </w:rPr>
        <w:fldChar w:fldCharType="end"/>
      </w:r>
      <w:r w:rsidRPr="006307FA">
        <w:rPr>
          <w:rFonts w:ascii="Times" w:hAnsi="Times" w:cs="Times"/>
        </w:rPr>
        <w:t xml:space="preserve"> system, which includes a vocabulary server and a standard term search engine. The use of standardized vocabularies and terms enables referral of queries by the GL runtime application system to </w:t>
      </w:r>
      <w:r w:rsidRPr="006307FA">
        <w:rPr>
          <w:rFonts w:ascii="Times" w:hAnsi="Times" w:cs="Times"/>
          <w:i/>
          <w:iCs/>
        </w:rPr>
        <w:t>Temporal Abstraction Mediator</w:t>
      </w:r>
      <w:r w:rsidRPr="006307FA">
        <w:rPr>
          <w:rFonts w:ascii="Times" w:hAnsi="Times" w:cs="Times"/>
        </w:rPr>
        <w:t xml:space="preserve">, such as the IDAN architecture, regardless of the terminology used in each local clinical database. Similarly, the MOMENTUM module is an active time-oriented database within the incremental temporal abstraction architecture for intelligent abstraction, exploration and analysis of clinical data </w:t>
      </w:r>
      <w:r w:rsidRPr="006307FA">
        <w:rPr>
          <w:rFonts w:ascii="Times" w:hAnsi="Times" w:cs="Times"/>
        </w:rPr>
        <w:fldChar w:fldCharType="begin"/>
      </w:r>
      <w:r w:rsidRPr="006307FA">
        <w:rPr>
          <w:rFonts w:ascii="Times" w:hAnsi="Times" w:cs="Times"/>
        </w:rPr>
        <w:instrText>ADDIN RW.CITE{{146 Spokoiny, A. 2007}}</w:instrText>
      </w:r>
      <w:r w:rsidRPr="006307FA">
        <w:rPr>
          <w:rFonts w:ascii="Times" w:hAnsi="Times" w:cs="Times"/>
        </w:rPr>
        <w:fldChar w:fldCharType="separate"/>
      </w:r>
      <w:r w:rsidRPr="006307FA">
        <w:rPr>
          <w:rFonts w:ascii="Times" w:hAnsi="Times" w:cs="Times"/>
        </w:rPr>
        <w:t>[Spokoiny, et al. 2007]</w:t>
      </w:r>
      <w:r w:rsidRPr="006307FA">
        <w:rPr>
          <w:rFonts w:ascii="Times" w:hAnsi="Times" w:cs="Times"/>
        </w:rPr>
        <w:fldChar w:fldCharType="end"/>
      </w:r>
      <w:r w:rsidRPr="006307FA">
        <w:rPr>
          <w:rFonts w:ascii="Times" w:hAnsi="Times" w:cs="Times"/>
        </w:rPr>
        <w:t>.</w:t>
      </w:r>
    </w:p>
    <w:p w:rsidR="000D0B2B" w:rsidRPr="006307FA" w:rsidRDefault="000D0B2B" w:rsidP="000D0B2B">
      <w:pPr>
        <w:pStyle w:val="BodyChar"/>
        <w:keepNext/>
        <w:spacing w:before="0" w:line="360" w:lineRule="auto"/>
        <w:jc w:val="center"/>
      </w:pPr>
      <w:r w:rsidRPr="006307FA">
        <w:rPr>
          <w:rFonts w:ascii="Times" w:hAnsi="Times" w:cs="Times"/>
          <w:noProof/>
          <w:sz w:val="24"/>
          <w:szCs w:val="24"/>
          <w:lang w:eastAsia="en-US" w:bidi="he-IL"/>
        </w:rPr>
        <w:drawing>
          <wp:inline distT="0" distB="0" distL="0" distR="0" wp14:anchorId="03A74CE2" wp14:editId="443D2962">
            <wp:extent cx="3328416" cy="1907407"/>
            <wp:effectExtent l="0" t="0" r="5715" b="0"/>
            <wp:docPr id="256" name="תמונה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8416" cy="1907407"/>
                    </a:xfrm>
                    <a:prstGeom prst="rect">
                      <a:avLst/>
                    </a:prstGeom>
                    <a:noFill/>
                    <a:ln>
                      <a:noFill/>
                    </a:ln>
                  </pic:spPr>
                </pic:pic>
              </a:graphicData>
            </a:graphic>
          </wp:inline>
        </w:drawing>
      </w:r>
    </w:p>
    <w:p w:rsidR="000D0B2B" w:rsidRPr="006307FA" w:rsidRDefault="000D0B2B" w:rsidP="000D0B2B">
      <w:pPr>
        <w:pStyle w:val="Caption"/>
        <w:ind w:firstLine="0"/>
        <w:rPr>
          <w:rFonts w:asciiTheme="majorBidi" w:hAnsiTheme="majorBidi" w:cstheme="majorBidi"/>
        </w:rPr>
      </w:pPr>
      <w:bookmarkStart w:id="65" w:name="_Toc337582347"/>
      <w:r w:rsidRPr="006307FA">
        <w:rPr>
          <w:rFonts w:asciiTheme="majorBidi" w:hAnsiTheme="majorBidi" w:cstheme="majorBidi"/>
        </w:rPr>
        <w:t xml:space="preserve">Figure </w:t>
      </w:r>
      <w:r w:rsidRPr="006307FA">
        <w:rPr>
          <w:rFonts w:asciiTheme="majorBidi" w:hAnsiTheme="majorBidi" w:cstheme="majorBidi"/>
        </w:rPr>
        <w:fldChar w:fldCharType="begin"/>
      </w:r>
      <w:r w:rsidRPr="006307FA">
        <w:rPr>
          <w:rFonts w:asciiTheme="majorBidi" w:hAnsiTheme="majorBidi" w:cstheme="majorBidi"/>
        </w:rPr>
        <w:instrText xml:space="preserve"> SEQ Figure \* ARABIC </w:instrText>
      </w:r>
      <w:r w:rsidRPr="006307FA">
        <w:rPr>
          <w:rFonts w:asciiTheme="majorBidi" w:hAnsiTheme="majorBidi" w:cstheme="majorBidi"/>
        </w:rPr>
        <w:fldChar w:fldCharType="separate"/>
      </w:r>
      <w:r>
        <w:rPr>
          <w:rFonts w:asciiTheme="majorBidi" w:hAnsiTheme="majorBidi" w:cstheme="majorBidi"/>
          <w:noProof/>
        </w:rPr>
        <w:t>30</w:t>
      </w:r>
      <w:r w:rsidRPr="006307FA">
        <w:rPr>
          <w:rFonts w:asciiTheme="majorBidi" w:hAnsiTheme="majorBidi" w:cstheme="majorBidi"/>
        </w:rPr>
        <w:fldChar w:fldCharType="end"/>
      </w:r>
      <w:r w:rsidRPr="006307FA">
        <w:rPr>
          <w:rFonts w:asciiTheme="majorBidi" w:hAnsiTheme="majorBidi" w:cstheme="majorBidi"/>
        </w:rPr>
        <w:t xml:space="preserve">. </w:t>
      </w:r>
      <w:r w:rsidRPr="006307FA">
        <w:rPr>
          <w:rFonts w:asciiTheme="majorBidi" w:hAnsiTheme="majorBidi" w:cstheme="majorBidi"/>
          <w:b w:val="0"/>
          <w:bCs w:val="0"/>
        </w:rPr>
        <w:t>The architecture of the IDAN knowledge-based temporal-abstraction mediator. A clinical user accesses a medical decision support system (DSS), such as for guideline application or for intelligent exploration of patient data. The (abstract) query is answered by applying relevant temporal-abstraction knowledge to appropriate time-oriented clinical data</w:t>
      </w:r>
      <w:bookmarkEnd w:id="65"/>
    </w:p>
    <w:p w:rsidR="000D0B2B" w:rsidRPr="006307FA" w:rsidRDefault="000D0B2B" w:rsidP="000D0B2B">
      <w:pPr>
        <w:pStyle w:val="Heading3"/>
        <w:ind w:left="540"/>
      </w:pPr>
      <w:bookmarkStart w:id="66" w:name="_Toc335942175"/>
      <w:bookmarkStart w:id="67" w:name="_Toc353063003"/>
      <w:bookmarkStart w:id="68" w:name="_Toc353063543"/>
      <w:r w:rsidRPr="006307FA">
        <w:t>Quality assurance by GL Application</w:t>
      </w:r>
      <w:bookmarkEnd w:id="66"/>
      <w:bookmarkEnd w:id="67"/>
      <w:bookmarkEnd w:id="68"/>
    </w:p>
    <w:p w:rsidR="000D0B2B" w:rsidRPr="006307FA" w:rsidRDefault="000D0B2B" w:rsidP="000D0B2B">
      <w:pPr>
        <w:autoSpaceDE w:val="0"/>
        <w:autoSpaceDN w:val="0"/>
        <w:adjustRightInd w:val="0"/>
        <w:spacing w:after="0" w:line="240" w:lineRule="auto"/>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As explained in section 2.3.12, the goal of the Spock system is to assist a care provider to apply GLs over extended time periods in an intermittent fashion at the point of care. The Spock system was designed to support the application process of machine-interpretable GLs represented using the Asbru GL-specification ontology, regardless of the representation level and whether an EMR is available or not. Although the original Asbru ontology includes only the formal representation level, the hybrid GL-representation model of the DeGeL framework also includes the intermediate representation formats (semi-structured and semi-formal). Hence, a hybrid version of the Asbru ontology, named Hybrid-Asbru, which also includes the intermediate representation levels, was developed according to DeGeL</w:t>
      </w:r>
      <w:r w:rsidRPr="006307FA">
        <w:rPr>
          <w:rFonts w:asciiTheme="majorBidi" w:eastAsia="Times New Roman" w:hAnsiTheme="majorBidi" w:cstheme="majorBidi" w:hint="cs"/>
          <w:color w:val="222222"/>
          <w:sz w:val="24"/>
          <w:szCs w:val="24"/>
        </w:rPr>
        <w:t>’</w:t>
      </w:r>
      <w:r w:rsidRPr="006307FA">
        <w:rPr>
          <w:rFonts w:asciiTheme="majorBidi" w:eastAsia="Times New Roman" w:hAnsiTheme="majorBidi" w:cstheme="majorBidi"/>
          <w:color w:val="222222"/>
          <w:sz w:val="24"/>
          <w:szCs w:val="24"/>
        </w:rPr>
        <w:t xml:space="preserve">s. </w:t>
      </w:r>
    </w:p>
    <w:p w:rsidR="000D0B2B" w:rsidRPr="006307FA" w:rsidRDefault="000D0B2B" w:rsidP="000D0B2B">
      <w:pPr>
        <w:autoSpaceDE w:val="0"/>
        <w:autoSpaceDN w:val="0"/>
        <w:adjustRightInd w:val="0"/>
        <w:spacing w:after="0" w:line="240" w:lineRule="auto"/>
        <w:jc w:val="both"/>
        <w:rPr>
          <w:rFonts w:asciiTheme="majorBidi" w:eastAsia="Times New Roman" w:hAnsiTheme="majorBidi" w:cstheme="majorBidi"/>
          <w:color w:val="222222"/>
          <w:sz w:val="24"/>
          <w:szCs w:val="24"/>
        </w:rPr>
      </w:pPr>
    </w:p>
    <w:p w:rsidR="000D0B2B" w:rsidRPr="006307FA" w:rsidRDefault="000D0B2B" w:rsidP="000D0B2B">
      <w:pPr>
        <w:autoSpaceDE w:val="0"/>
        <w:autoSpaceDN w:val="0"/>
        <w:adjustRightInd w:val="0"/>
        <w:spacing w:after="0" w:line="240" w:lineRule="auto"/>
        <w:jc w:val="both"/>
        <w:rPr>
          <w:rFonts w:asciiTheme="majorBidi" w:eastAsia="Times New Roman" w:hAnsiTheme="majorBidi" w:cstheme="majorBidi"/>
          <w:color w:val="222222"/>
          <w:sz w:val="24"/>
          <w:szCs w:val="24"/>
        </w:rPr>
      </w:pPr>
      <w:r w:rsidRPr="006307FA">
        <w:rPr>
          <w:rFonts w:asciiTheme="majorBidi" w:eastAsia="Times New Roman" w:hAnsiTheme="majorBidi" w:cstheme="majorBidi"/>
          <w:color w:val="222222"/>
          <w:sz w:val="24"/>
          <w:szCs w:val="24"/>
        </w:rPr>
        <w:t>The GL application scenario matrix of the Spock system is shown in Figure 31. There are four possible scenarios for applying a guideline. If the GL's content is fully formalized and there is no connection to an EMR, it cannot be applied. However, if the GL's content is represented in a semi-formal format, then regardless of whether an EMR is available, an automated application can be applied to some extent with active involvement of the care provider who is applying it. For the full description of Spock, see section 2.3.12.</w:t>
      </w:r>
    </w:p>
    <w:p w:rsidR="000D0B2B" w:rsidRPr="006307FA" w:rsidRDefault="000D0B2B" w:rsidP="000D0B2B">
      <w:pPr>
        <w:keepNext/>
        <w:autoSpaceDE w:val="0"/>
        <w:autoSpaceDN w:val="0"/>
        <w:adjustRightInd w:val="0"/>
        <w:spacing w:after="0" w:line="240" w:lineRule="auto"/>
        <w:jc w:val="center"/>
      </w:pPr>
      <w:r w:rsidRPr="006307FA">
        <w:rPr>
          <w:rFonts w:asciiTheme="majorBidi" w:eastAsia="Times New Roman" w:hAnsiTheme="majorBidi" w:cstheme="majorBidi"/>
          <w:noProof/>
          <w:color w:val="222222"/>
          <w:sz w:val="24"/>
          <w:szCs w:val="24"/>
        </w:rPr>
        <w:drawing>
          <wp:inline distT="0" distB="0" distL="0" distR="0" wp14:anchorId="79695FAD" wp14:editId="5A887033">
            <wp:extent cx="3429000" cy="1543147"/>
            <wp:effectExtent l="0" t="0" r="0" b="0"/>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8515" cy="1542929"/>
                    </a:xfrm>
                    <a:prstGeom prst="rect">
                      <a:avLst/>
                    </a:prstGeom>
                    <a:noFill/>
                    <a:ln>
                      <a:noFill/>
                    </a:ln>
                  </pic:spPr>
                </pic:pic>
              </a:graphicData>
            </a:graphic>
          </wp:inline>
        </w:drawing>
      </w:r>
    </w:p>
    <w:p w:rsidR="000D0B2B" w:rsidRPr="006307FA" w:rsidRDefault="000D0B2B" w:rsidP="000D0B2B">
      <w:pPr>
        <w:pStyle w:val="Caption"/>
        <w:outlineLvl w:val="0"/>
        <w:rPr>
          <w:rFonts w:asciiTheme="majorBidi" w:hAnsiTheme="majorBidi" w:cstheme="majorBidi"/>
          <w:b w:val="0"/>
          <w:bCs w:val="0"/>
          <w:color w:val="222222"/>
        </w:rPr>
      </w:pPr>
      <w:bookmarkStart w:id="69" w:name="_Toc335942176"/>
      <w:bookmarkStart w:id="70" w:name="_Toc337581059"/>
      <w:bookmarkStart w:id="71" w:name="_Toc337582348"/>
      <w:bookmarkStart w:id="72" w:name="_Toc353063004"/>
      <w:bookmarkStart w:id="73" w:name="_Toc353063544"/>
      <w:r w:rsidRPr="006307FA">
        <w:t xml:space="preserve">Figure </w:t>
      </w:r>
      <w:r w:rsidRPr="006307FA">
        <w:fldChar w:fldCharType="begin"/>
      </w:r>
      <w:r w:rsidRPr="006307FA">
        <w:instrText xml:space="preserve"> SEQ Figure \* ARABIC </w:instrText>
      </w:r>
      <w:r w:rsidRPr="006307FA">
        <w:fldChar w:fldCharType="separate"/>
      </w:r>
      <w:r>
        <w:rPr>
          <w:noProof/>
        </w:rPr>
        <w:t>31</w:t>
      </w:r>
      <w:r w:rsidRPr="006307FA">
        <w:rPr>
          <w:noProof/>
        </w:rPr>
        <w:fldChar w:fldCharType="end"/>
      </w:r>
      <w:r w:rsidRPr="006307FA">
        <w:rPr>
          <w:bCs w:val="0"/>
          <w:noProof/>
        </w:rPr>
        <w:t>.</w:t>
      </w:r>
      <w:r w:rsidRPr="006307FA">
        <w:rPr>
          <w:b w:val="0"/>
          <w:bCs w:val="0"/>
          <w:noProof/>
        </w:rPr>
        <w:t xml:space="preserve"> Spock system application matrix (adopted from </w:t>
      </w:r>
      <w:r w:rsidRPr="006307FA">
        <w:rPr>
          <w:b w:val="0"/>
          <w:bCs w:val="0"/>
          <w:noProof/>
        </w:rPr>
        <w:fldChar w:fldCharType="begin"/>
      </w:r>
      <w:r w:rsidRPr="006307FA">
        <w:rPr>
          <w:b w:val="0"/>
          <w:bCs w:val="0"/>
          <w:noProof/>
        </w:rPr>
        <w:instrText>ADDIN RW.CITE{{133 Young, O. 2006}}</w:instrText>
      </w:r>
      <w:r w:rsidRPr="006307FA">
        <w:rPr>
          <w:b w:val="0"/>
          <w:bCs w:val="0"/>
          <w:noProof/>
        </w:rPr>
        <w:fldChar w:fldCharType="separate"/>
      </w:r>
      <w:r w:rsidRPr="006307FA">
        <w:rPr>
          <w:b w:val="0"/>
          <w:bCs w:val="0"/>
          <w:noProof/>
        </w:rPr>
        <w:t>[Young. 2006]</w:t>
      </w:r>
      <w:r w:rsidRPr="006307FA">
        <w:rPr>
          <w:b w:val="0"/>
          <w:bCs w:val="0"/>
          <w:noProof/>
        </w:rPr>
        <w:fldChar w:fldCharType="end"/>
      </w:r>
      <w:r w:rsidRPr="006307FA">
        <w:rPr>
          <w:b w:val="0"/>
          <w:bCs w:val="0"/>
          <w:noProof/>
        </w:rPr>
        <w:t>)</w:t>
      </w:r>
      <w:bookmarkEnd w:id="69"/>
      <w:bookmarkEnd w:id="70"/>
      <w:bookmarkEnd w:id="71"/>
      <w:bookmarkEnd w:id="72"/>
      <w:bookmarkEnd w:id="73"/>
    </w:p>
    <w:p w:rsidR="000D0B2B" w:rsidRPr="006307FA" w:rsidRDefault="000D0B2B" w:rsidP="000D0B2B">
      <w:pPr>
        <w:pStyle w:val="Caption"/>
        <w:ind w:firstLine="0"/>
        <w:rPr>
          <w:rFonts w:asciiTheme="majorBidi" w:hAnsiTheme="majorBidi" w:cstheme="majorBidi"/>
          <w:b w:val="0"/>
          <w:bCs w:val="0"/>
          <w:color w:val="222222"/>
          <w:sz w:val="24"/>
          <w:szCs w:val="24"/>
        </w:rPr>
      </w:pPr>
      <w:r w:rsidRPr="006307FA">
        <w:rPr>
          <w:rFonts w:asciiTheme="majorBidi" w:hAnsiTheme="majorBidi" w:cstheme="majorBidi"/>
          <w:b w:val="0"/>
          <w:bCs w:val="0"/>
          <w:color w:val="222222"/>
          <w:sz w:val="24"/>
          <w:szCs w:val="24"/>
        </w:rPr>
        <w:t xml:space="preserve">These insights were the motivation for the desiderata presented in my thesis (see section 1.2) because, as explained before, a realistic application cannot assume full EMR and knowledge. In addition, Spock only works in synchronous mode, and it is a desktop tool. This was a good base-line for my thesis as I extended Spock’s capability to work as a server side component that supports asynchronous calls. Thus, in evolutionary fashion, Spock lived inside PICARD-DSS.   </w:t>
      </w:r>
    </w:p>
    <w:p w:rsidR="000D0B2B" w:rsidRPr="006307FA" w:rsidRDefault="000D0B2B" w:rsidP="000D0B2B">
      <w:pPr>
        <w:pStyle w:val="Heading3"/>
        <w:ind w:left="540"/>
      </w:pPr>
      <w:bookmarkStart w:id="74" w:name="_Toc335942177"/>
      <w:bookmarkStart w:id="75" w:name="_Toc353063005"/>
      <w:bookmarkStart w:id="76" w:name="_Toc353063545"/>
      <w:r w:rsidRPr="006307FA">
        <w:t>Visualization &amp; exploration</w:t>
      </w:r>
      <w:bookmarkEnd w:id="74"/>
      <w:bookmarkEnd w:id="75"/>
      <w:bookmarkEnd w:id="76"/>
      <w:r w:rsidRPr="006307FA">
        <w:t xml:space="preserve"> </w:t>
      </w:r>
    </w:p>
    <w:p w:rsidR="000D0B2B" w:rsidRPr="006307FA" w:rsidRDefault="000D0B2B" w:rsidP="000D0B2B">
      <w:pPr>
        <w:shd w:val="clear" w:color="auto" w:fill="FFFFFF"/>
        <w:spacing w:after="120" w:line="240" w:lineRule="auto"/>
        <w:jc w:val="both"/>
        <w:rPr>
          <w:rFonts w:asciiTheme="majorBidi" w:eastAsia="Times New Roman" w:hAnsiTheme="majorBidi" w:cstheme="majorBidi"/>
          <w:sz w:val="24"/>
          <w:szCs w:val="24"/>
        </w:rPr>
      </w:pPr>
      <w:r w:rsidRPr="006307FA">
        <w:rPr>
          <w:rFonts w:asciiTheme="majorBidi" w:eastAsia="Times New Roman" w:hAnsiTheme="majorBidi" w:cstheme="majorBidi"/>
          <w:color w:val="222222"/>
          <w:sz w:val="24"/>
          <w:szCs w:val="24"/>
        </w:rPr>
        <w:t xml:space="preserve">Visual representation such as intelligent graphs and charts which make direct logical computation reduce of the logical computation, the time to search of information, and the time to make decisions </w:t>
      </w:r>
      <w:r w:rsidRPr="006307FA">
        <w:rPr>
          <w:rFonts w:asciiTheme="majorBidi" w:eastAsia="Times New Roman" w:hAnsiTheme="majorBidi" w:cstheme="majorBidi"/>
          <w:color w:val="222222"/>
          <w:sz w:val="24"/>
          <w:szCs w:val="24"/>
        </w:rPr>
        <w:fldChar w:fldCharType="begin"/>
      </w:r>
      <w:r w:rsidRPr="006307FA">
        <w:rPr>
          <w:rFonts w:asciiTheme="majorBidi" w:eastAsia="Times New Roman" w:hAnsiTheme="majorBidi" w:cstheme="majorBidi"/>
          <w:color w:val="222222"/>
          <w:sz w:val="24"/>
          <w:szCs w:val="24"/>
        </w:rPr>
        <w:instrText>ADDIN RW.CITE{{151 Larkin, J.H. 1987; 147 Martins, S.B. 2008}}</w:instrText>
      </w:r>
      <w:r w:rsidRPr="006307FA">
        <w:rPr>
          <w:rFonts w:asciiTheme="majorBidi" w:eastAsia="Times New Roman" w:hAnsiTheme="majorBidi" w:cstheme="majorBidi"/>
          <w:color w:val="222222"/>
          <w:sz w:val="24"/>
          <w:szCs w:val="24"/>
        </w:rPr>
        <w:fldChar w:fldCharType="separate"/>
      </w:r>
      <w:r w:rsidRPr="006307FA">
        <w:rPr>
          <w:rFonts w:asciiTheme="majorBidi" w:eastAsia="Times New Roman" w:hAnsiTheme="majorBidi" w:cstheme="majorBidi"/>
          <w:color w:val="222222"/>
          <w:sz w:val="24"/>
          <w:szCs w:val="24"/>
        </w:rPr>
        <w:t>[Larkin, et al. 1987, Martins, et al. 2008]</w:t>
      </w:r>
      <w:r w:rsidRPr="006307FA">
        <w:rPr>
          <w:rFonts w:asciiTheme="majorBidi" w:eastAsia="Times New Roman" w:hAnsiTheme="majorBidi" w:cstheme="majorBidi"/>
          <w:color w:val="222222"/>
          <w:sz w:val="24"/>
          <w:szCs w:val="24"/>
        </w:rPr>
        <w:fldChar w:fldCharType="end"/>
      </w:r>
      <w:r w:rsidRPr="006307FA">
        <w:rPr>
          <w:rFonts w:asciiTheme="majorBidi" w:eastAsia="Times New Roman" w:hAnsiTheme="majorBidi" w:cstheme="majorBidi"/>
          <w:color w:val="222222"/>
          <w:sz w:val="24"/>
          <w:szCs w:val="24"/>
        </w:rPr>
        <w:t xml:space="preserve">. </w:t>
      </w:r>
      <w:r w:rsidRPr="006307FA">
        <w:rPr>
          <w:rFonts w:asciiTheme="majorBidi" w:eastAsia="Times New Roman" w:hAnsiTheme="majorBidi" w:cstheme="majorBidi"/>
          <w:sz w:val="24"/>
          <w:szCs w:val="24"/>
        </w:rPr>
        <w:t>A full support for visualization and exploration of high-level temporal abstractions (computed as needed by the KBTA method) at multiple temporal granularities (from seconds to decades) is provided through an ontology-driven interface developed previously at our research center, known as </w:t>
      </w:r>
      <w:r w:rsidRPr="006307FA">
        <w:rPr>
          <w:rFonts w:asciiTheme="majorBidi" w:eastAsia="Times New Roman" w:hAnsiTheme="majorBidi" w:cstheme="majorBidi"/>
          <w:i/>
          <w:iCs/>
          <w:sz w:val="24"/>
          <w:szCs w:val="24"/>
        </w:rPr>
        <w:t>KNAVE-II</w:t>
      </w:r>
      <w:r w:rsidRPr="006307FA">
        <w:rPr>
          <w:rFonts w:asciiTheme="majorBidi" w:eastAsia="Times New Roman" w:hAnsiTheme="majorBidi" w:cstheme="majorBidi"/>
          <w:sz w:val="24"/>
          <w:szCs w:val="24"/>
        </w:rPr>
        <w:t xml:space="preserve"> project </w:t>
      </w:r>
      <w:r w:rsidRPr="006307FA">
        <w:rPr>
          <w:rFonts w:asciiTheme="majorBidi" w:eastAsia="Times New Roman" w:hAnsiTheme="majorBidi" w:cstheme="majorBidi"/>
          <w:sz w:val="24"/>
          <w:szCs w:val="24"/>
        </w:rPr>
        <w:fldChar w:fldCharType="begin"/>
      </w:r>
      <w:r w:rsidRPr="006307FA">
        <w:rPr>
          <w:rFonts w:asciiTheme="majorBidi" w:eastAsia="Times New Roman" w:hAnsiTheme="majorBidi" w:cstheme="majorBidi"/>
          <w:sz w:val="24"/>
          <w:szCs w:val="24"/>
        </w:rPr>
        <w:instrText>ADDIN RW.CITE{{152 Shahar, Y. 1997}}</w:instrText>
      </w:r>
      <w:r w:rsidRPr="006307FA">
        <w:rPr>
          <w:rFonts w:asciiTheme="majorBidi" w:eastAsia="Times New Roman" w:hAnsiTheme="majorBidi" w:cstheme="majorBidi"/>
          <w:sz w:val="24"/>
          <w:szCs w:val="24"/>
        </w:rPr>
        <w:fldChar w:fldCharType="separate"/>
      </w:r>
      <w:r w:rsidRPr="006307FA">
        <w:rPr>
          <w:rFonts w:asciiTheme="majorBidi" w:eastAsia="Times New Roman" w:hAnsiTheme="majorBidi" w:cstheme="majorBidi"/>
          <w:sz w:val="24"/>
          <w:szCs w:val="24"/>
        </w:rPr>
        <w:t>[Shahar. 1997]</w:t>
      </w:r>
      <w:r w:rsidRPr="006307FA">
        <w:rPr>
          <w:rFonts w:asciiTheme="majorBidi" w:eastAsia="Times New Roman" w:hAnsiTheme="majorBidi" w:cstheme="majorBidi"/>
          <w:sz w:val="24"/>
          <w:szCs w:val="24"/>
        </w:rPr>
        <w:fldChar w:fldCharType="end"/>
      </w:r>
      <w:r w:rsidRPr="006307FA">
        <w:rPr>
          <w:rFonts w:asciiTheme="majorBidi" w:eastAsia="Times New Roman" w:hAnsiTheme="majorBidi" w:cstheme="majorBidi"/>
          <w:sz w:val="24"/>
          <w:szCs w:val="24"/>
        </w:rPr>
        <w:t xml:space="preserve"> </w:t>
      </w:r>
      <w:bookmarkStart w:id="77" w:name="1388aae482176b18_OLE_LINK76"/>
      <w:r w:rsidRPr="006307FA">
        <w:rPr>
          <w:rFonts w:asciiTheme="majorBidi" w:eastAsia="Times New Roman" w:hAnsiTheme="majorBidi" w:cstheme="majorBidi"/>
          <w:sz w:val="24"/>
          <w:szCs w:val="24"/>
        </w:rPr>
        <w:t xml:space="preserve"> (figure 32</w:t>
      </w:r>
      <w:proofErr w:type="gramStart"/>
      <w:r w:rsidRPr="006307FA">
        <w:rPr>
          <w:rFonts w:asciiTheme="majorBidi" w:eastAsia="Times New Roman" w:hAnsiTheme="majorBidi" w:cstheme="majorBidi"/>
          <w:sz w:val="24"/>
          <w:szCs w:val="24"/>
        </w:rPr>
        <w:t>) ,</w:t>
      </w:r>
      <w:proofErr w:type="gramEnd"/>
      <w:r w:rsidRPr="006307FA">
        <w:rPr>
          <w:rFonts w:asciiTheme="majorBidi" w:eastAsia="Times New Roman" w:hAnsiTheme="majorBidi" w:cstheme="majorBidi"/>
          <w:sz w:val="24"/>
          <w:szCs w:val="24"/>
        </w:rPr>
        <w:t xml:space="preserve"> rigorously evaluated by clinicians in the oncology domain </w:t>
      </w:r>
      <w:bookmarkEnd w:id="77"/>
      <w:r w:rsidRPr="006307FA">
        <w:rPr>
          <w:rFonts w:asciiTheme="majorBidi" w:eastAsia="Times New Roman" w:hAnsiTheme="majorBidi" w:cstheme="majorBidi"/>
          <w:sz w:val="24"/>
          <w:szCs w:val="24"/>
        </w:rPr>
        <w:fldChar w:fldCharType="begin"/>
      </w:r>
      <w:r w:rsidRPr="006307FA">
        <w:rPr>
          <w:rFonts w:asciiTheme="majorBidi" w:eastAsia="Times New Roman" w:hAnsiTheme="majorBidi" w:cstheme="majorBidi"/>
          <w:sz w:val="24"/>
          <w:szCs w:val="24"/>
        </w:rPr>
        <w:instrText>ADDIN RW.CITE{{147 Martins, S.B. 2008}}</w:instrText>
      </w:r>
      <w:r w:rsidRPr="006307FA">
        <w:rPr>
          <w:rFonts w:asciiTheme="majorBidi" w:eastAsia="Times New Roman" w:hAnsiTheme="majorBidi" w:cstheme="majorBidi"/>
          <w:sz w:val="24"/>
          <w:szCs w:val="24"/>
        </w:rPr>
        <w:fldChar w:fldCharType="separate"/>
      </w:r>
      <w:r w:rsidRPr="006307FA">
        <w:rPr>
          <w:rFonts w:asciiTheme="majorBidi" w:eastAsia="Times New Roman" w:hAnsiTheme="majorBidi" w:cstheme="majorBidi"/>
          <w:sz w:val="24"/>
          <w:szCs w:val="24"/>
        </w:rPr>
        <w:t>[Martins, et al. 2008]</w:t>
      </w:r>
      <w:r w:rsidRPr="006307FA">
        <w:rPr>
          <w:rFonts w:asciiTheme="majorBidi" w:eastAsia="Times New Roman" w:hAnsiTheme="majorBidi" w:cstheme="majorBidi"/>
          <w:sz w:val="24"/>
          <w:szCs w:val="24"/>
        </w:rPr>
        <w:fldChar w:fldCharType="end"/>
      </w:r>
      <w:r w:rsidRPr="006307FA">
        <w:rPr>
          <w:rFonts w:asciiTheme="majorBidi" w:eastAsia="Times New Roman" w:hAnsiTheme="majorBidi" w:cstheme="majorBidi"/>
          <w:sz w:val="24"/>
          <w:szCs w:val="24"/>
        </w:rPr>
        <w:t>. The </w:t>
      </w:r>
      <w:r w:rsidRPr="006307FA">
        <w:rPr>
          <w:rFonts w:asciiTheme="majorBidi" w:eastAsia="Times New Roman" w:hAnsiTheme="majorBidi" w:cstheme="majorBidi"/>
          <w:i/>
          <w:iCs/>
          <w:sz w:val="24"/>
          <w:szCs w:val="24"/>
        </w:rPr>
        <w:t>VISITORS</w:t>
      </w:r>
      <w:r w:rsidRPr="006307FA">
        <w:rPr>
          <w:rFonts w:asciiTheme="majorBidi" w:eastAsia="Times New Roman" w:hAnsiTheme="majorBidi" w:cstheme="majorBidi"/>
          <w:sz w:val="24"/>
          <w:szCs w:val="24"/>
        </w:rPr>
        <w:t xml:space="preserve"> project </w:t>
      </w:r>
      <w:r w:rsidRPr="006307FA">
        <w:rPr>
          <w:rFonts w:asciiTheme="majorBidi" w:eastAsia="Times New Roman" w:hAnsiTheme="majorBidi" w:cstheme="majorBidi"/>
          <w:sz w:val="24"/>
          <w:szCs w:val="24"/>
        </w:rPr>
        <w:fldChar w:fldCharType="begin"/>
      </w:r>
      <w:r w:rsidRPr="006307FA">
        <w:rPr>
          <w:rFonts w:asciiTheme="majorBidi" w:eastAsia="Times New Roman" w:hAnsiTheme="majorBidi" w:cstheme="majorBidi"/>
          <w:sz w:val="24"/>
          <w:szCs w:val="24"/>
        </w:rPr>
        <w:instrText>ADDIN RW.CITE{{148 Klimov, D. 2007; 149 Klimov, D. 2010; 150 Klimov, D. 2010}}</w:instrText>
      </w:r>
      <w:r w:rsidRPr="006307FA">
        <w:rPr>
          <w:rFonts w:asciiTheme="majorBidi" w:eastAsia="Times New Roman" w:hAnsiTheme="majorBidi" w:cstheme="majorBidi"/>
          <w:sz w:val="24"/>
          <w:szCs w:val="24"/>
        </w:rPr>
        <w:fldChar w:fldCharType="separate"/>
      </w:r>
      <w:r w:rsidRPr="006307FA">
        <w:rPr>
          <w:rFonts w:asciiTheme="majorBidi" w:eastAsia="Times New Roman" w:hAnsiTheme="majorBidi" w:cstheme="majorBidi"/>
          <w:sz w:val="24"/>
          <w:szCs w:val="24"/>
        </w:rPr>
        <w:t>[Klimov, et al. 2010, Klimov, et al. 2007, Klimov, et al. 2010]</w:t>
      </w:r>
      <w:r w:rsidRPr="006307FA">
        <w:rPr>
          <w:rFonts w:asciiTheme="majorBidi" w:eastAsia="Times New Roman" w:hAnsiTheme="majorBidi" w:cstheme="majorBidi"/>
          <w:sz w:val="24"/>
          <w:szCs w:val="24"/>
        </w:rPr>
        <w:fldChar w:fldCharType="end"/>
      </w:r>
      <w:r w:rsidRPr="006307FA">
        <w:rPr>
          <w:rFonts w:asciiTheme="majorBidi" w:eastAsia="Times New Roman" w:hAnsiTheme="majorBidi" w:cstheme="majorBidi"/>
          <w:sz w:val="24"/>
          <w:szCs w:val="24"/>
        </w:rPr>
        <w:t xml:space="preserve"> (Figure 33) significantly extended the KNAVE-II system to enable visual display and exploration of multiple  raw data and temporal-abstraction concepts of patient </w:t>
      </w:r>
      <w:r w:rsidRPr="006307FA">
        <w:rPr>
          <w:rFonts w:asciiTheme="majorBidi" w:eastAsia="Times New Roman" w:hAnsiTheme="majorBidi" w:cstheme="majorBidi"/>
          <w:i/>
          <w:iCs/>
          <w:sz w:val="24"/>
          <w:szCs w:val="24"/>
        </w:rPr>
        <w:t>populations</w:t>
      </w:r>
      <w:r w:rsidRPr="006307FA">
        <w:rPr>
          <w:rFonts w:asciiTheme="majorBidi" w:eastAsia="Times New Roman" w:hAnsiTheme="majorBidi" w:cstheme="majorBidi"/>
          <w:sz w:val="24"/>
          <w:szCs w:val="24"/>
        </w:rPr>
        <w:t> at multiple temporal granularity levels, including the formation of complex queries for patient sets satisfying certain temporal and value constraints, and the exploration of probabilistic temporal associations among pairs of concepts over time.</w:t>
      </w:r>
    </w:p>
    <w:p w:rsidR="000D0B2B" w:rsidRPr="006307FA" w:rsidRDefault="000D0B2B" w:rsidP="000D0B2B">
      <w:pPr>
        <w:keepNext/>
        <w:jc w:val="center"/>
      </w:pPr>
      <w:r w:rsidRPr="006307FA">
        <w:rPr>
          <w:noProof/>
        </w:rPr>
        <w:lastRenderedPageBreak/>
        <w:drawing>
          <wp:inline distT="0" distB="0" distL="0" distR="0" wp14:anchorId="3F453436" wp14:editId="5CF0D3BB">
            <wp:extent cx="4078029" cy="3057525"/>
            <wp:effectExtent l="0" t="0" r="0" b="0"/>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029" cy="3057525"/>
                    </a:xfrm>
                    <a:prstGeom prst="rect">
                      <a:avLst/>
                    </a:prstGeom>
                    <a:noFill/>
                    <a:ln>
                      <a:noFill/>
                    </a:ln>
                  </pic:spPr>
                </pic:pic>
              </a:graphicData>
            </a:graphic>
          </wp:inline>
        </w:drawing>
      </w:r>
    </w:p>
    <w:p w:rsidR="000D0B2B" w:rsidRPr="006307FA" w:rsidRDefault="000D0B2B" w:rsidP="000D0B2B">
      <w:pPr>
        <w:pStyle w:val="Caption"/>
        <w:jc w:val="center"/>
        <w:outlineLvl w:val="0"/>
      </w:pPr>
      <w:bookmarkStart w:id="78" w:name="_Toc335942178"/>
      <w:bookmarkStart w:id="79" w:name="_Toc337581061"/>
      <w:bookmarkStart w:id="80" w:name="_Toc337582349"/>
      <w:bookmarkStart w:id="81" w:name="_Toc353063006"/>
      <w:bookmarkStart w:id="82" w:name="_Toc353063546"/>
      <w:r w:rsidRPr="006307FA">
        <w:t xml:space="preserve">Figure </w:t>
      </w:r>
      <w:r w:rsidRPr="006307FA">
        <w:fldChar w:fldCharType="begin"/>
      </w:r>
      <w:r w:rsidRPr="006307FA">
        <w:instrText xml:space="preserve"> SEQ Figure \* ARABIC </w:instrText>
      </w:r>
      <w:r w:rsidRPr="006307FA">
        <w:fldChar w:fldCharType="separate"/>
      </w:r>
      <w:r>
        <w:rPr>
          <w:noProof/>
        </w:rPr>
        <w:t>32</w:t>
      </w:r>
      <w:r w:rsidRPr="006307FA">
        <w:rPr>
          <w:noProof/>
        </w:rPr>
        <w:fldChar w:fldCharType="end"/>
      </w:r>
      <w:r w:rsidRPr="006307FA">
        <w:rPr>
          <w:noProof/>
        </w:rPr>
        <w:t xml:space="preserve">. </w:t>
      </w:r>
      <w:r w:rsidRPr="006307FA">
        <w:rPr>
          <w:b w:val="0"/>
          <w:bCs w:val="0"/>
          <w:noProof/>
        </w:rPr>
        <w:t>The main interface of the KNAVE-II system for individual-record exploration</w:t>
      </w:r>
      <w:bookmarkEnd w:id="78"/>
      <w:bookmarkEnd w:id="79"/>
      <w:bookmarkEnd w:id="80"/>
      <w:bookmarkEnd w:id="81"/>
      <w:bookmarkEnd w:id="82"/>
    </w:p>
    <w:p w:rsidR="000D0B2B" w:rsidRPr="006307FA" w:rsidRDefault="000D0B2B" w:rsidP="000D0B2B">
      <w:pPr>
        <w:keepNext/>
        <w:jc w:val="center"/>
      </w:pPr>
      <w:r w:rsidRPr="006307FA">
        <w:rPr>
          <w:noProof/>
        </w:rPr>
        <w:drawing>
          <wp:inline distT="0" distB="0" distL="0" distR="0" wp14:anchorId="1DF79E27" wp14:editId="3F7B0341">
            <wp:extent cx="3960756" cy="3067050"/>
            <wp:effectExtent l="0" t="0" r="0" b="0"/>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1033" cy="3067264"/>
                    </a:xfrm>
                    <a:prstGeom prst="rect">
                      <a:avLst/>
                    </a:prstGeom>
                    <a:noFill/>
                    <a:ln>
                      <a:noFill/>
                    </a:ln>
                  </pic:spPr>
                </pic:pic>
              </a:graphicData>
            </a:graphic>
          </wp:inline>
        </w:drawing>
      </w:r>
    </w:p>
    <w:p w:rsidR="000D0B2B" w:rsidRPr="006307FA" w:rsidRDefault="000D0B2B" w:rsidP="000D0B2B">
      <w:pPr>
        <w:pStyle w:val="Caption"/>
        <w:jc w:val="center"/>
        <w:outlineLvl w:val="0"/>
      </w:pPr>
      <w:bookmarkStart w:id="83" w:name="_Toc335942179"/>
      <w:bookmarkStart w:id="84" w:name="_Toc337581062"/>
      <w:bookmarkStart w:id="85" w:name="_Toc337582350"/>
      <w:bookmarkStart w:id="86" w:name="_Toc353063007"/>
      <w:bookmarkStart w:id="87" w:name="_Toc353063547"/>
      <w:r w:rsidRPr="006307FA">
        <w:t xml:space="preserve">Figure </w:t>
      </w:r>
      <w:r w:rsidRPr="006307FA">
        <w:fldChar w:fldCharType="begin"/>
      </w:r>
      <w:r w:rsidRPr="006307FA">
        <w:instrText xml:space="preserve"> SEQ Figure \* ARABIC </w:instrText>
      </w:r>
      <w:r w:rsidRPr="006307FA">
        <w:fldChar w:fldCharType="separate"/>
      </w:r>
      <w:r>
        <w:rPr>
          <w:noProof/>
        </w:rPr>
        <w:t>33</w:t>
      </w:r>
      <w:r w:rsidRPr="006307FA">
        <w:rPr>
          <w:noProof/>
        </w:rPr>
        <w:fldChar w:fldCharType="end"/>
      </w:r>
      <w:r w:rsidRPr="006307FA">
        <w:rPr>
          <w:noProof/>
        </w:rPr>
        <w:t xml:space="preserve">. </w:t>
      </w:r>
      <w:r w:rsidRPr="006307FA">
        <w:rPr>
          <w:b w:val="0"/>
          <w:bCs w:val="0"/>
          <w:noProof/>
        </w:rPr>
        <w:t>The main interface of the VISITORS system for multiple-record exploration</w:t>
      </w:r>
      <w:bookmarkEnd w:id="83"/>
      <w:bookmarkEnd w:id="84"/>
      <w:bookmarkEnd w:id="85"/>
      <w:bookmarkEnd w:id="86"/>
      <w:bookmarkEnd w:id="87"/>
    </w:p>
    <w:p w:rsidR="000D0B2B" w:rsidRPr="006307FA" w:rsidRDefault="000D0B2B" w:rsidP="000D0B2B">
      <w:pPr>
        <w:pStyle w:val="Heading3"/>
        <w:ind w:left="540"/>
      </w:pPr>
      <w:bookmarkStart w:id="88" w:name="_Toc335942180"/>
      <w:bookmarkStart w:id="89" w:name="_Toc353063008"/>
      <w:bookmarkStart w:id="90" w:name="_Toc353063548"/>
      <w:r w:rsidRPr="006307FA">
        <w:t>Retrospective Quality Assessment</w:t>
      </w:r>
      <w:bookmarkEnd w:id="88"/>
      <w:bookmarkEnd w:id="89"/>
      <w:bookmarkEnd w:id="90"/>
      <w:r w:rsidRPr="006307FA">
        <w:t xml:space="preserve"> </w:t>
      </w:r>
    </w:p>
    <w:p w:rsidR="000D0B2B" w:rsidRPr="006307FA" w:rsidRDefault="000D0B2B" w:rsidP="000D0B2B">
      <w:pPr>
        <w:pStyle w:val="Default"/>
        <w:jc w:val="both"/>
        <w:rPr>
          <w:rFonts w:asciiTheme="majorBidi" w:eastAsia="Times New Roman" w:hAnsiTheme="majorBidi" w:cstheme="majorBidi"/>
          <w:color w:val="222222"/>
        </w:rPr>
      </w:pPr>
      <w:r w:rsidRPr="006307FA">
        <w:rPr>
          <w:rFonts w:asciiTheme="majorBidi" w:eastAsia="Times New Roman" w:hAnsiTheme="majorBidi" w:cstheme="majorBidi"/>
          <w:color w:val="222222"/>
        </w:rPr>
        <w:t xml:space="preserve">Not many studies were performed regarding this task. An example of a system performing the retrospective quality assessment task is the Intelligent Guideline Recognition (IGR) framework </w:t>
      </w:r>
      <w:r w:rsidRPr="006307FA">
        <w:rPr>
          <w:rFonts w:asciiTheme="majorBidi" w:eastAsia="Times New Roman" w:hAnsiTheme="majorBidi" w:cstheme="majorBidi"/>
          <w:color w:val="222222"/>
        </w:rPr>
        <w:fldChar w:fldCharType="begin"/>
      </w:r>
      <w:r w:rsidRPr="006307FA">
        <w:rPr>
          <w:rFonts w:asciiTheme="majorBidi" w:eastAsia="Times New Roman" w:hAnsiTheme="majorBidi" w:cstheme="majorBidi"/>
          <w:color w:val="222222"/>
        </w:rPr>
        <w:instrText>ADDIN RW.CITE{{153 Boldo, I. 2007}}</w:instrText>
      </w:r>
      <w:r w:rsidRPr="006307FA">
        <w:rPr>
          <w:rFonts w:asciiTheme="majorBidi" w:eastAsia="Times New Roman" w:hAnsiTheme="majorBidi" w:cstheme="majorBidi"/>
          <w:color w:val="222222"/>
        </w:rPr>
        <w:fldChar w:fldCharType="separate"/>
      </w:r>
      <w:r w:rsidRPr="006307FA">
        <w:rPr>
          <w:rFonts w:asciiTheme="majorBidi" w:eastAsia="Times New Roman" w:hAnsiTheme="majorBidi" w:cstheme="majorBidi"/>
          <w:color w:val="222222"/>
        </w:rPr>
        <w:t>[Boldo. 2007]</w:t>
      </w:r>
      <w:r w:rsidRPr="006307FA">
        <w:rPr>
          <w:rFonts w:asciiTheme="majorBidi" w:eastAsia="Times New Roman" w:hAnsiTheme="majorBidi" w:cstheme="majorBidi"/>
          <w:color w:val="222222"/>
        </w:rPr>
        <w:fldChar w:fldCharType="end"/>
      </w:r>
      <w:r w:rsidRPr="006307FA">
        <w:rPr>
          <w:rFonts w:asciiTheme="majorBidi" w:eastAsia="Times New Roman" w:hAnsiTheme="majorBidi" w:cstheme="majorBidi"/>
          <w:color w:val="222222"/>
        </w:rPr>
        <w:t xml:space="preserve"> which was developed to determine, given the patient's longitudinal record, which guideline the patient was most likely to have been treated by, and what the degree of adherence to the GL represented in a simplified version of Asbru is. The degree of a partial match between the </w:t>
      </w:r>
      <w:r w:rsidRPr="006307FA">
        <w:rPr>
          <w:rFonts w:asciiTheme="majorBidi" w:eastAsia="Times New Roman" w:hAnsiTheme="majorBidi" w:cstheme="majorBidi"/>
          <w:color w:val="222222"/>
        </w:rPr>
        <w:lastRenderedPageBreak/>
        <w:t xml:space="preserve">patient record and the GL was determined using fuzzy logic functions for values such as medication doses and temporal durations of administration of the drug.  </w:t>
      </w:r>
    </w:p>
    <w:p w:rsidR="000D0B2B" w:rsidRPr="006307FA" w:rsidRDefault="000D0B2B" w:rsidP="000D0B2B">
      <w:pPr>
        <w:pStyle w:val="Default"/>
        <w:jc w:val="both"/>
        <w:rPr>
          <w:rFonts w:asciiTheme="majorBidi" w:eastAsia="Times New Roman" w:hAnsiTheme="majorBidi" w:cstheme="majorBidi"/>
          <w:color w:val="222222"/>
        </w:rPr>
      </w:pPr>
      <w:r w:rsidRPr="006307FA">
        <w:rPr>
          <w:rFonts w:asciiTheme="majorBidi" w:eastAsia="Times New Roman" w:hAnsiTheme="majorBidi" w:cstheme="majorBidi"/>
          <w:color w:val="222222"/>
        </w:rPr>
        <w:t>This topic is an ongoing research area within the BGU Medical Informatics Research Center.</w:t>
      </w:r>
    </w:p>
    <w:p w:rsidR="000D0B2B" w:rsidRPr="006307FA" w:rsidRDefault="000D0B2B" w:rsidP="000D0B2B">
      <w:pPr>
        <w:pStyle w:val="Default"/>
        <w:jc w:val="both"/>
        <w:rPr>
          <w:rFonts w:asciiTheme="majorBidi" w:eastAsia="Times New Roman" w:hAnsiTheme="majorBidi" w:cstheme="majorBidi"/>
          <w:color w:val="222222"/>
        </w:rPr>
      </w:pPr>
    </w:p>
    <w:p w:rsidR="000D0B2B" w:rsidRPr="006307FA" w:rsidRDefault="000D0B2B" w:rsidP="000D0B2B">
      <w:pPr>
        <w:pStyle w:val="Default"/>
        <w:jc w:val="both"/>
        <w:rPr>
          <w:rFonts w:asciiTheme="majorBidi" w:hAnsiTheme="majorBidi" w:cstheme="majorBidi"/>
        </w:rPr>
      </w:pPr>
      <w:r w:rsidRPr="006307FA">
        <w:rPr>
          <w:rFonts w:asciiTheme="majorBidi" w:hAnsiTheme="majorBidi" w:cstheme="majorBidi"/>
        </w:rPr>
        <w:t>In the next chapter, I explain in detail the design and implementation of the PICARD-DSS engine, a multi-dimensional realistic GL-application engine.</w:t>
      </w:r>
    </w:p>
    <w:p w:rsidR="00350541" w:rsidRDefault="00350541">
      <w:bookmarkStart w:id="91" w:name="_GoBack"/>
      <w:bookmarkEnd w:id="91"/>
    </w:p>
    <w:sectPr w:rsidR="00350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12AB"/>
    <w:multiLevelType w:val="multilevel"/>
    <w:tmpl w:val="14C8B1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3771E9"/>
    <w:multiLevelType w:val="hybridMultilevel"/>
    <w:tmpl w:val="4C90B8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2B"/>
    <w:rsid w:val="000D0B2B"/>
    <w:rsid w:val="003505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34E843-DB4A-4361-B7EB-FA59199CA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B2B"/>
    <w:pPr>
      <w:spacing w:after="200" w:line="276" w:lineRule="auto"/>
    </w:pPr>
    <w:rPr>
      <w:rFonts w:eastAsiaTheme="minorEastAsia"/>
    </w:rPr>
  </w:style>
  <w:style w:type="paragraph" w:styleId="Heading2">
    <w:name w:val="heading 2"/>
    <w:basedOn w:val="Normal"/>
    <w:next w:val="Normal"/>
    <w:link w:val="Heading2Char"/>
    <w:qFormat/>
    <w:rsid w:val="000D0B2B"/>
    <w:pPr>
      <w:keepNext/>
      <w:spacing w:before="240" w:after="60" w:line="240" w:lineRule="auto"/>
      <w:outlineLvl w:val="1"/>
    </w:pPr>
    <w:rPr>
      <w:rFonts w:ascii="Arial" w:eastAsia="Times New Roman" w:hAnsi="Arial" w:cs="Arial"/>
      <w:b/>
      <w:bCs/>
      <w:i/>
      <w:iCs/>
      <w:sz w:val="28"/>
      <w:szCs w:val="28"/>
      <w:lang w:bidi="ar-SA"/>
    </w:rPr>
  </w:style>
  <w:style w:type="paragraph" w:styleId="Heading3">
    <w:name w:val="heading 3"/>
    <w:basedOn w:val="Normal"/>
    <w:next w:val="Normal"/>
    <w:link w:val="Heading3Char"/>
    <w:autoRedefine/>
    <w:unhideWhenUsed/>
    <w:qFormat/>
    <w:rsid w:val="000D0B2B"/>
    <w:pPr>
      <w:keepNext/>
      <w:numPr>
        <w:ilvl w:val="2"/>
        <w:numId w:val="1"/>
      </w:numPr>
      <w:tabs>
        <w:tab w:val="left" w:pos="810"/>
        <w:tab w:val="left" w:pos="1080"/>
      </w:tabs>
      <w:spacing w:before="240" w:after="60" w:line="240" w:lineRule="auto"/>
      <w:jc w:val="both"/>
      <w:outlineLvl w:val="2"/>
    </w:pPr>
    <w:rPr>
      <w:rFonts w:ascii="Arial" w:eastAsia="Times New Roman" w:hAnsi="Arial" w:cs="Arial"/>
      <w:b/>
      <w:bCs/>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D0B2B"/>
    <w:rPr>
      <w:rFonts w:ascii="Arial" w:eastAsia="Times New Roman" w:hAnsi="Arial" w:cs="Arial"/>
      <w:b/>
      <w:bCs/>
      <w:i/>
      <w:iCs/>
      <w:sz w:val="28"/>
      <w:szCs w:val="28"/>
      <w:lang w:bidi="ar-SA"/>
    </w:rPr>
  </w:style>
  <w:style w:type="character" w:customStyle="1" w:styleId="Heading3Char">
    <w:name w:val="Heading 3 Char"/>
    <w:basedOn w:val="DefaultParagraphFont"/>
    <w:link w:val="Heading3"/>
    <w:rsid w:val="000D0B2B"/>
    <w:rPr>
      <w:rFonts w:ascii="Arial" w:eastAsia="Times New Roman" w:hAnsi="Arial" w:cs="Arial"/>
      <w:b/>
      <w:bCs/>
      <w:sz w:val="26"/>
      <w:szCs w:val="26"/>
      <w:lang w:bidi="ar-SA"/>
    </w:rPr>
  </w:style>
  <w:style w:type="paragraph" w:styleId="ListParagraph">
    <w:name w:val="List Paragraph"/>
    <w:basedOn w:val="Normal"/>
    <w:uiPriority w:val="99"/>
    <w:qFormat/>
    <w:rsid w:val="000D0B2B"/>
    <w:pPr>
      <w:ind w:left="720"/>
      <w:contextualSpacing/>
    </w:pPr>
  </w:style>
  <w:style w:type="paragraph" w:styleId="Caption">
    <w:name w:val="caption"/>
    <w:basedOn w:val="Normal"/>
    <w:next w:val="Normal"/>
    <w:qFormat/>
    <w:rsid w:val="000D0B2B"/>
    <w:pPr>
      <w:overflowPunct w:val="0"/>
      <w:autoSpaceDE w:val="0"/>
      <w:autoSpaceDN w:val="0"/>
      <w:adjustRightInd w:val="0"/>
      <w:spacing w:before="120" w:after="120" w:line="240" w:lineRule="auto"/>
      <w:ind w:firstLine="227"/>
      <w:jc w:val="both"/>
      <w:textAlignment w:val="baseline"/>
    </w:pPr>
    <w:rPr>
      <w:rFonts w:ascii="Times" w:eastAsia="Times New Roman" w:hAnsi="Times" w:cs="Times"/>
      <w:b/>
      <w:bCs/>
      <w:sz w:val="20"/>
      <w:szCs w:val="20"/>
    </w:rPr>
  </w:style>
  <w:style w:type="character" w:styleId="Emphasis">
    <w:name w:val="Emphasis"/>
    <w:basedOn w:val="DefaultParagraphFont"/>
    <w:qFormat/>
    <w:rsid w:val="000D0B2B"/>
    <w:rPr>
      <w:i/>
      <w:iCs/>
    </w:rPr>
  </w:style>
  <w:style w:type="character" w:styleId="Hyperlink">
    <w:name w:val="Hyperlink"/>
    <w:basedOn w:val="DefaultParagraphFont"/>
    <w:uiPriority w:val="99"/>
    <w:unhideWhenUsed/>
    <w:rsid w:val="000D0B2B"/>
    <w:rPr>
      <w:color w:val="0000FF"/>
      <w:u w:val="single"/>
    </w:rPr>
  </w:style>
  <w:style w:type="character" w:customStyle="1" w:styleId="apple-converted-space">
    <w:name w:val="apple-converted-space"/>
    <w:basedOn w:val="DefaultParagraphFont"/>
    <w:rsid w:val="000D0B2B"/>
  </w:style>
  <w:style w:type="paragraph" w:customStyle="1" w:styleId="BodyChar">
    <w:name w:val="Body Char"/>
    <w:basedOn w:val="Normal"/>
    <w:rsid w:val="000D0B2B"/>
    <w:pPr>
      <w:overflowPunct w:val="0"/>
      <w:autoSpaceDE w:val="0"/>
      <w:autoSpaceDN w:val="0"/>
      <w:adjustRightInd w:val="0"/>
      <w:spacing w:before="60" w:after="60" w:line="240" w:lineRule="auto"/>
      <w:jc w:val="both"/>
      <w:textAlignment w:val="baseline"/>
    </w:pPr>
    <w:rPr>
      <w:rFonts w:ascii="Times New Roman" w:eastAsia="Times New Roman" w:hAnsi="Times New Roman" w:cs="Times New Roman"/>
      <w:sz w:val="20"/>
      <w:szCs w:val="20"/>
      <w:lang w:eastAsia="fr-FR" w:bidi="ar-SA"/>
    </w:rPr>
  </w:style>
  <w:style w:type="paragraph" w:customStyle="1" w:styleId="Default">
    <w:name w:val="Default"/>
    <w:rsid w:val="000D0B2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ncedirect.com/science/article/pii/S1532046408000609#gr2" TargetMode="External"/><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emf"/><Relationship Id="rId10" Type="http://schemas.openxmlformats.org/officeDocument/2006/relationships/hyperlink" Target="http://www.ncbi.nlm.nih.gov/core/lw/2.0/html/tileshop_pmc/tileshop_pmc_inline.html?title=Click%20on%20image%20to%20zoom&amp;p=PMC3&amp;id=3099486_TOMINFOJ-4-255_F2.jp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5723</Words>
  <Characters>32623</Characters>
  <Application>Microsoft Office Word</Application>
  <DocSecurity>0</DocSecurity>
  <Lines>271</Lines>
  <Paragraphs>76</Paragraphs>
  <ScaleCrop>false</ScaleCrop>
  <Company/>
  <LinksUpToDate>false</LinksUpToDate>
  <CharactersWithSpaces>38270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Shalom Erez</dc:creator>
  <cp:keywords/>
  <dc:description/>
  <cp:lastModifiedBy>Shalom Erez</cp:lastModifiedBy>
  <cp:revision>1</cp:revision>
  <dcterms:created xsi:type="dcterms:W3CDTF">2014-05-25T10:04:00Z</dcterms:created>
  <dcterms:modified xsi:type="dcterms:W3CDTF">2014-05-25T10:05:00Z</dcterms:modified>
</cp:coreProperties>
</file>