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Type</w:t>
      </w:r>
    </w:p>
    <w:p w:rsidR="00000000" w:rsidDel="00000000" w:rsidP="00000000" w:rsidRDefault="00000000" w:rsidRPr="00000000" w14:paraId="00000001">
      <w:pPr>
        <w:contextualSpacing w:val="0"/>
        <w:rPr/>
      </w:pPr>
      <w:r w:rsidDel="00000000" w:rsidR="00000000" w:rsidRPr="00000000">
        <w:rPr>
          <w:rtl w:val="0"/>
        </w:rPr>
        <w:t xml:space="preserve">&gt;&gt;&gt; nohup python ./poisson_2d.py &gt; poisson_2d.out &amp;</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Once the job is complete, type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&gt;&gt;&gt; gnuplot</w:t>
      </w:r>
    </w:p>
    <w:p w:rsidR="00000000" w:rsidDel="00000000" w:rsidP="00000000" w:rsidRDefault="00000000" w:rsidRPr="00000000" w14:paraId="00000006">
      <w:pPr>
        <w:contextualSpacing w:val="0"/>
        <w:rPr/>
      </w:pPr>
      <w:r w:rsidDel="00000000" w:rsidR="00000000" w:rsidRPr="00000000">
        <w:rPr>
          <w:rtl w:val="0"/>
        </w:rPr>
        <w:t xml:space="preserve">&gt;&gt;&gt; splot ‘poisson_2d.out’ u 1:2:3 with lines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Poisson’s equation dictates that the charge in the middle will cause an elevated hill in the potential at the unit square where the charge resides.  On the edges, we have defined the boundary conditions as 1 volt.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drawing>
          <wp:inline distB="114300" distT="114300" distL="114300" distR="114300">
            <wp:extent cx="5943600" cy="320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