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04F01" w14:textId="17D723E7" w:rsidR="00D558EC" w:rsidRDefault="00D558EC">
      <w:pPr>
        <w:contextualSpacing w:val="0"/>
      </w:pPr>
      <w:r>
        <w:t xml:space="preserve">The </w:t>
      </w:r>
      <w:proofErr w:type="spellStart"/>
      <w:r>
        <w:t>Ising</w:t>
      </w:r>
      <w:proofErr w:type="spellEnd"/>
      <w:r>
        <w:t xml:space="preserve"> model has a Hamiltonian of</w:t>
      </w:r>
    </w:p>
    <w:p w14:paraId="33890852" w14:textId="2B10FC7F" w:rsidR="00D558EC" w:rsidRDefault="00D558EC">
      <w:pPr>
        <w:contextualSpacing w:val="0"/>
      </w:pPr>
    </w:p>
    <w:p w14:paraId="45B34B49" w14:textId="40F87E19" w:rsidR="00D558EC" w:rsidRPr="00D558EC" w:rsidRDefault="00D558EC">
      <w:pPr>
        <w:contextualSpacing w:val="0"/>
      </w:pPr>
      <m:oMathPara>
        <m:oMath>
          <m:r>
            <w:rPr>
              <w:rFonts w:ascii="Cambria Math" w:hAnsi="Cambria Math"/>
            </w:rPr>
            <m:t>H=J</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-h</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p w14:paraId="180A576E" w14:textId="5FC8E256" w:rsidR="00D558EC" w:rsidRDefault="00D558EC">
      <w:pPr>
        <w:contextualSpacing w:val="0"/>
      </w:pPr>
    </w:p>
    <w:p w14:paraId="389FF31B" w14:textId="1C656112" w:rsidR="00D558EC" w:rsidRDefault="00D558EC" w:rsidP="00410106">
      <w:pPr>
        <w:ind w:firstLine="720"/>
        <w:contextualSpacing w:val="0"/>
      </w:pPr>
      <w:r>
        <w:t xml:space="preserve">J is the exchange interaction and h </w:t>
      </w:r>
      <w:proofErr w:type="gramStart"/>
      <w:r>
        <w:t>is</w:t>
      </w:r>
      <w:proofErr w:type="gramEnd"/>
      <w:r>
        <w:t xml:space="preserve"> the magnetic field.  The first term is summed over all near-neighbor interactions.  </w:t>
      </w:r>
      <m:oMath>
        <m:r>
          <w:rPr>
            <w:rFonts w:ascii="Cambria Math" w:hAnsi="Cambria Math"/>
          </w:rPr>
          <m:t>s</m:t>
        </m:r>
      </m:oMath>
      <w:r>
        <w:t xml:space="preserve"> is the spin at site </w:t>
      </w:r>
      <m:oMath>
        <m:r>
          <w:rPr>
            <w:rFonts w:ascii="Cambria Math" w:hAnsi="Cambria Math"/>
          </w:rPr>
          <m:t>i,j</m:t>
        </m:r>
      </m:oMath>
      <w:r>
        <w:t xml:space="preserve"> and can take on values of +1 or </w:t>
      </w:r>
      <w:proofErr w:type="gramStart"/>
      <w:r>
        <w:t>-1.</w:t>
      </w:r>
      <w:proofErr w:type="gramEnd"/>
    </w:p>
    <w:p w14:paraId="6FDFCC1D" w14:textId="77777777" w:rsidR="00410106" w:rsidRDefault="00410106" w:rsidP="00410106">
      <w:pPr>
        <w:contextualSpacing w:val="0"/>
      </w:pPr>
    </w:p>
    <w:p w14:paraId="3FA2F839" w14:textId="6A1983BD" w:rsidR="00410106" w:rsidRDefault="00410106" w:rsidP="00410106">
      <w:pPr>
        <w:ind w:firstLine="720"/>
        <w:contextualSpacing w:val="0"/>
      </w:pPr>
      <w:r>
        <w:t xml:space="preserve">To successfully create the </w:t>
      </w:r>
      <w:proofErr w:type="spellStart"/>
      <w:r>
        <w:t>Ising</w:t>
      </w:r>
      <w:proofErr w:type="spellEnd"/>
      <w:r>
        <w:t xml:space="preserve"> model numerically, the Hastings-Metropolis algorithm was used.  At its core, the energy cost of a randomly flipped state from +1 to -1 is calculated based on the temperature and a uniformly random distribution.  If the cost is favorable, i.e. less than the previous state, the spin state is accepted.  Otherwise, the random distribution decides </w:t>
      </w:r>
      <w:proofErr w:type="gramStart"/>
      <w:r>
        <w:t>whether or not</w:t>
      </w:r>
      <w:proofErr w:type="gramEnd"/>
      <w:r>
        <w:t xml:space="preserve"> a state change is accepted.  This is iterated until all the spins in the system are tested, known as one unit of Monte Carlo time.  From here on, the average magnetization and energies are calculated periodically until the system has met its equilibrium state.</w:t>
      </w:r>
    </w:p>
    <w:p w14:paraId="7849BB4A" w14:textId="77777777" w:rsidR="00410106" w:rsidRDefault="00410106">
      <w:pPr>
        <w:contextualSpacing w:val="0"/>
      </w:pPr>
    </w:p>
    <w:p w14:paraId="3077B97A" w14:textId="77777777" w:rsidR="00D558EC" w:rsidRDefault="00D558EC">
      <w:pPr>
        <w:contextualSpacing w:val="0"/>
      </w:pPr>
    </w:p>
    <w:p w14:paraId="29F5F9FD" w14:textId="35F3BEF6" w:rsidR="003D024E" w:rsidRDefault="000A056F">
      <w:pPr>
        <w:contextualSpacing w:val="0"/>
      </w:pPr>
      <w:r>
        <w:t xml:space="preserve">Before starting, please ensure the </w:t>
      </w:r>
      <w:proofErr w:type="spellStart"/>
      <w:r>
        <w:t>numpy</w:t>
      </w:r>
      <w:proofErr w:type="spellEnd"/>
      <w:r>
        <w:t xml:space="preserve"> package is loaded.  I used the </w:t>
      </w:r>
      <w:proofErr w:type="spellStart"/>
      <w:r>
        <w:t>Conda</w:t>
      </w:r>
      <w:proofErr w:type="spellEnd"/>
      <w:r>
        <w:t xml:space="preserve"> </w:t>
      </w:r>
      <w:proofErr w:type="gramStart"/>
      <w:r>
        <w:t>environment</w:t>
      </w:r>
      <w:proofErr w:type="gramEnd"/>
      <w:r>
        <w:t xml:space="preserve"> but I am new to the packaging techniques in Python so I’m not sure that it worked correctly.</w:t>
      </w:r>
    </w:p>
    <w:p w14:paraId="66381F23" w14:textId="77777777" w:rsidR="000A056F" w:rsidRDefault="000A056F">
      <w:pPr>
        <w:contextualSpacing w:val="0"/>
        <w:rPr>
          <w:b/>
        </w:rPr>
      </w:pPr>
    </w:p>
    <w:p w14:paraId="62F1C453" w14:textId="61B13481" w:rsidR="000A056F" w:rsidRPr="000A056F" w:rsidRDefault="000A056F">
      <w:pPr>
        <w:contextualSpacing w:val="0"/>
        <w:rPr>
          <w:b/>
        </w:rPr>
      </w:pPr>
      <w:r w:rsidRPr="000A056F">
        <w:rPr>
          <w:b/>
        </w:rPr>
        <w:t>Code to run:</w:t>
      </w:r>
    </w:p>
    <w:p w14:paraId="5C843740" w14:textId="77777777" w:rsidR="003D024E" w:rsidRDefault="003D024E">
      <w:pPr>
        <w:contextualSpacing w:val="0"/>
      </w:pPr>
    </w:p>
    <w:p w14:paraId="57487202" w14:textId="77777777" w:rsidR="003D024E" w:rsidRDefault="000A056F">
      <w:pPr>
        <w:contextualSpacing w:val="0"/>
      </w:pPr>
      <w:r>
        <w:t xml:space="preserve">&gt;&gt;&gt; </w:t>
      </w:r>
      <w:proofErr w:type="spellStart"/>
      <w:r>
        <w:t>nohup</w:t>
      </w:r>
      <w:proofErr w:type="spellEnd"/>
      <w:r>
        <w:t xml:space="preserve"> </w:t>
      </w:r>
      <w:proofErr w:type="gramStart"/>
      <w:r>
        <w:t>python .</w:t>
      </w:r>
      <w:proofErr w:type="gramEnd"/>
      <w:r>
        <w:t xml:space="preserve">/Ising.py &gt; </w:t>
      </w:r>
      <w:proofErr w:type="spellStart"/>
      <w:r>
        <w:t>Ising.out</w:t>
      </w:r>
      <w:proofErr w:type="spellEnd"/>
      <w:r>
        <w:t xml:space="preserve"> &amp;</w:t>
      </w:r>
    </w:p>
    <w:p w14:paraId="114A95D0" w14:textId="77777777" w:rsidR="003D024E" w:rsidRDefault="003D024E">
      <w:pPr>
        <w:contextualSpacing w:val="0"/>
      </w:pPr>
    </w:p>
    <w:p w14:paraId="7562134B" w14:textId="77777777" w:rsidR="003D024E" w:rsidRDefault="000A056F">
      <w:pPr>
        <w:contextualSpacing w:val="0"/>
      </w:pPr>
      <w:r>
        <w:t xml:space="preserve">&gt;&gt;&gt; </w:t>
      </w:r>
      <w:proofErr w:type="spellStart"/>
      <w:r>
        <w:t>gnuplot</w:t>
      </w:r>
      <w:proofErr w:type="spellEnd"/>
    </w:p>
    <w:p w14:paraId="4E8B1011" w14:textId="77777777" w:rsidR="003D024E" w:rsidRDefault="000A056F">
      <w:pPr>
        <w:contextualSpacing w:val="0"/>
      </w:pPr>
      <w:r>
        <w:t>&gt;&gt;&gt; plot ‘</w:t>
      </w:r>
      <w:proofErr w:type="spellStart"/>
      <w:r>
        <w:t>Ising.o</w:t>
      </w:r>
      <w:r>
        <w:t>ut</w:t>
      </w:r>
      <w:proofErr w:type="spellEnd"/>
      <w:r>
        <w:t>’ using 1:2 w p</w:t>
      </w:r>
    </w:p>
    <w:p w14:paraId="47F444B3" w14:textId="77777777" w:rsidR="003D024E" w:rsidRDefault="000A056F">
      <w:pPr>
        <w:contextualSpacing w:val="0"/>
      </w:pPr>
      <w:r>
        <w:t>&gt;&gt;&gt; plot ‘</w:t>
      </w:r>
      <w:proofErr w:type="spellStart"/>
      <w:r>
        <w:t>Ising.out</w:t>
      </w:r>
      <w:proofErr w:type="spellEnd"/>
      <w:r>
        <w:t>’ using 1:3 w p</w:t>
      </w:r>
    </w:p>
    <w:p w14:paraId="00FC6FC8" w14:textId="77777777" w:rsidR="003D024E" w:rsidRDefault="000A056F">
      <w:pPr>
        <w:contextualSpacing w:val="0"/>
      </w:pPr>
      <w:r>
        <w:t>&gt;&gt;&gt; plot ‘</w:t>
      </w:r>
      <w:proofErr w:type="spellStart"/>
      <w:r>
        <w:t>Ising.out</w:t>
      </w:r>
      <w:proofErr w:type="spellEnd"/>
      <w:r>
        <w:t>’ using 1:4 w p</w:t>
      </w:r>
    </w:p>
    <w:p w14:paraId="6F58FC95" w14:textId="77777777" w:rsidR="003D024E" w:rsidRDefault="000A056F">
      <w:pPr>
        <w:contextualSpacing w:val="0"/>
      </w:pPr>
      <w:r>
        <w:t>&gt;&gt;&gt; plot ‘</w:t>
      </w:r>
      <w:proofErr w:type="spellStart"/>
      <w:r>
        <w:t>Ising.out</w:t>
      </w:r>
      <w:proofErr w:type="spellEnd"/>
      <w:r>
        <w:t>’ using 1:5 w p</w:t>
      </w:r>
    </w:p>
    <w:p w14:paraId="43DED16C" w14:textId="77777777" w:rsidR="003D024E" w:rsidRDefault="003D024E">
      <w:pPr>
        <w:contextualSpacing w:val="0"/>
      </w:pPr>
    </w:p>
    <w:p w14:paraId="5614F3D3" w14:textId="77777777" w:rsidR="003D024E" w:rsidRDefault="000A056F">
      <w:pPr>
        <w:contextualSpacing w:val="0"/>
      </w:pPr>
      <w:r>
        <w:t>These will plot the average energies, magnetization, specific heat, and susceptibility with respect to temperature.</w:t>
      </w:r>
    </w:p>
    <w:p w14:paraId="7CDACC73" w14:textId="77777777" w:rsidR="003D024E" w:rsidRDefault="003D024E">
      <w:pPr>
        <w:contextualSpacing w:val="0"/>
      </w:pPr>
    </w:p>
    <w:p w14:paraId="378C7BF7" w14:textId="77777777" w:rsidR="003D024E" w:rsidRDefault="003D024E">
      <w:pPr>
        <w:contextualSpacing w:val="0"/>
      </w:pPr>
    </w:p>
    <w:p w14:paraId="237C7C16" w14:textId="77777777" w:rsidR="003D024E" w:rsidRDefault="000A056F">
      <w:pPr>
        <w:contextualSpacing w:val="0"/>
      </w:pPr>
      <w:r>
        <w:t>For a zero magnetic field and unity exchange interaction, we have the following results:</w:t>
      </w:r>
    </w:p>
    <w:p w14:paraId="79B12B29" w14:textId="77777777" w:rsidR="003D024E" w:rsidRDefault="003D024E">
      <w:pPr>
        <w:contextualSpacing w:val="0"/>
      </w:pPr>
    </w:p>
    <w:p w14:paraId="0287071F" w14:textId="77777777" w:rsidR="00B0436E" w:rsidRDefault="00B0436E">
      <w:r>
        <w:br w:type="page"/>
      </w:r>
    </w:p>
    <w:p w14:paraId="1CD1B590" w14:textId="4919EC32" w:rsidR="003D024E" w:rsidRPr="00B0436E" w:rsidRDefault="000A056F">
      <w:pPr>
        <w:contextualSpacing w:val="0"/>
        <w:rPr>
          <w:b/>
        </w:rPr>
      </w:pPr>
      <w:r w:rsidRPr="00B0436E">
        <w:rPr>
          <w:b/>
        </w:rPr>
        <w:lastRenderedPageBreak/>
        <w:t>Average Energy:</w:t>
      </w:r>
    </w:p>
    <w:p w14:paraId="342F1DEB" w14:textId="77777777" w:rsidR="003D024E" w:rsidRDefault="000A056F">
      <w:pPr>
        <w:contextualSpacing w:val="0"/>
      </w:pPr>
      <w:r>
        <w:rPr>
          <w:noProof/>
        </w:rPr>
        <w:drawing>
          <wp:inline distT="114300" distB="114300" distL="114300" distR="114300" wp14:anchorId="297DEE8B" wp14:editId="5F351772">
            <wp:extent cx="5943600" cy="320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3200400"/>
                    </a:xfrm>
                    <a:prstGeom prst="rect">
                      <a:avLst/>
                    </a:prstGeom>
                    <a:ln/>
                  </pic:spPr>
                </pic:pic>
              </a:graphicData>
            </a:graphic>
          </wp:inline>
        </w:drawing>
      </w:r>
    </w:p>
    <w:p w14:paraId="0E9B9A97" w14:textId="77777777" w:rsidR="003D024E" w:rsidRDefault="003D024E">
      <w:pPr>
        <w:contextualSpacing w:val="0"/>
      </w:pPr>
    </w:p>
    <w:p w14:paraId="02863AA5" w14:textId="77777777" w:rsidR="003D024E" w:rsidRDefault="000A056F">
      <w:pPr>
        <w:contextualSpacing w:val="0"/>
      </w:pPr>
      <w:r>
        <w:t>The energy levels a</w:t>
      </w:r>
      <w:r>
        <w:t>re quantized and evenly spaced.</w:t>
      </w:r>
    </w:p>
    <w:p w14:paraId="728490B9" w14:textId="77777777" w:rsidR="003D024E" w:rsidRDefault="003D024E">
      <w:pPr>
        <w:contextualSpacing w:val="0"/>
      </w:pPr>
    </w:p>
    <w:p w14:paraId="62B0FFAB" w14:textId="6617D977" w:rsidR="003D024E" w:rsidRPr="00B0436E" w:rsidRDefault="000A056F">
      <w:pPr>
        <w:contextualSpacing w:val="0"/>
        <w:rPr>
          <w:b/>
        </w:rPr>
      </w:pPr>
      <w:r w:rsidRPr="00B0436E">
        <w:rPr>
          <w:b/>
        </w:rPr>
        <w:t xml:space="preserve">Average </w:t>
      </w:r>
      <w:r w:rsidR="00B0436E">
        <w:rPr>
          <w:b/>
        </w:rPr>
        <w:t>M</w:t>
      </w:r>
      <w:r w:rsidRPr="00B0436E">
        <w:rPr>
          <w:b/>
        </w:rPr>
        <w:t>agnetization:</w:t>
      </w:r>
    </w:p>
    <w:p w14:paraId="3B4D3AA2" w14:textId="77777777" w:rsidR="003D024E" w:rsidRDefault="000A056F">
      <w:pPr>
        <w:contextualSpacing w:val="0"/>
      </w:pPr>
      <w:r>
        <w:rPr>
          <w:noProof/>
        </w:rPr>
        <w:drawing>
          <wp:inline distT="114300" distB="114300" distL="114300" distR="114300" wp14:anchorId="12D15F29" wp14:editId="053C6D35">
            <wp:extent cx="5943600" cy="3200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200400"/>
                    </a:xfrm>
                    <a:prstGeom prst="rect">
                      <a:avLst/>
                    </a:prstGeom>
                    <a:ln/>
                  </pic:spPr>
                </pic:pic>
              </a:graphicData>
            </a:graphic>
          </wp:inline>
        </w:drawing>
      </w:r>
    </w:p>
    <w:p w14:paraId="1CCF27D4" w14:textId="77777777" w:rsidR="003D024E" w:rsidRDefault="003D024E">
      <w:pPr>
        <w:contextualSpacing w:val="0"/>
      </w:pPr>
    </w:p>
    <w:p w14:paraId="5237B4B9" w14:textId="77777777" w:rsidR="003D024E" w:rsidRDefault="000A056F">
      <w:pPr>
        <w:contextualSpacing w:val="0"/>
      </w:pPr>
      <w:r>
        <w:t>The average magnetization appears to have no correlation with temperature.</w:t>
      </w:r>
    </w:p>
    <w:p w14:paraId="3E1D0CB3" w14:textId="77777777" w:rsidR="003D024E" w:rsidRDefault="003D024E">
      <w:pPr>
        <w:contextualSpacing w:val="0"/>
      </w:pPr>
    </w:p>
    <w:p w14:paraId="7B7D13A7" w14:textId="77777777" w:rsidR="003D024E" w:rsidRDefault="000A056F">
      <w:pPr>
        <w:contextualSpacing w:val="0"/>
      </w:pPr>
      <w:r w:rsidRPr="000A056F">
        <w:rPr>
          <w:b/>
        </w:rPr>
        <w:lastRenderedPageBreak/>
        <w:t>Specific heat:</w:t>
      </w:r>
      <w:r>
        <w:rPr>
          <w:noProof/>
        </w:rPr>
        <w:drawing>
          <wp:inline distT="114300" distB="114300" distL="114300" distR="114300" wp14:anchorId="7A363E67" wp14:editId="0E04DF72">
            <wp:extent cx="5943600" cy="3200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200400"/>
                    </a:xfrm>
                    <a:prstGeom prst="rect">
                      <a:avLst/>
                    </a:prstGeom>
                    <a:ln/>
                  </pic:spPr>
                </pic:pic>
              </a:graphicData>
            </a:graphic>
          </wp:inline>
        </w:drawing>
      </w:r>
    </w:p>
    <w:p w14:paraId="0867EBB3" w14:textId="77777777" w:rsidR="003D024E" w:rsidRDefault="000A056F">
      <w:pPr>
        <w:contextualSpacing w:val="0"/>
      </w:pPr>
      <w:r>
        <w:t>The specific heat of the system, however, has a negative regression as T increases.  Similarly, for the s</w:t>
      </w:r>
      <w:r>
        <w:t>usceptibility, we have a negative trend.</w:t>
      </w:r>
    </w:p>
    <w:p w14:paraId="397A88C4" w14:textId="77777777" w:rsidR="00B0436E" w:rsidRDefault="00B0436E">
      <w:pPr>
        <w:contextualSpacing w:val="0"/>
      </w:pPr>
    </w:p>
    <w:p w14:paraId="15C9F996" w14:textId="12D611EE" w:rsidR="003D024E" w:rsidRDefault="000A056F">
      <w:pPr>
        <w:contextualSpacing w:val="0"/>
      </w:pPr>
      <w:r w:rsidRPr="000A056F">
        <w:rPr>
          <w:b/>
        </w:rPr>
        <w:t>Susceptibility:</w:t>
      </w:r>
      <w:r>
        <w:rPr>
          <w:noProof/>
        </w:rPr>
        <w:drawing>
          <wp:inline distT="114300" distB="114300" distL="114300" distR="114300" wp14:anchorId="6BFCCCC9" wp14:editId="5C4939F2">
            <wp:extent cx="5943600" cy="3200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200400"/>
                    </a:xfrm>
                    <a:prstGeom prst="rect">
                      <a:avLst/>
                    </a:prstGeom>
                    <a:ln/>
                  </pic:spPr>
                </pic:pic>
              </a:graphicData>
            </a:graphic>
          </wp:inline>
        </w:drawing>
      </w:r>
    </w:p>
    <w:p w14:paraId="0078B4E1" w14:textId="77777777" w:rsidR="003D024E" w:rsidRDefault="003D024E">
      <w:pPr>
        <w:contextualSpacing w:val="0"/>
      </w:pPr>
    </w:p>
    <w:p w14:paraId="31BFD6DC" w14:textId="77777777" w:rsidR="003D024E" w:rsidRDefault="000A056F">
      <w:pPr>
        <w:contextualSpacing w:val="0"/>
      </w:pPr>
      <w:r>
        <w:t>At the critical temperature, Tc = 2.269 K, there should be a sharper slope for the specific heat phase transition.  This is not seen in the graphs.  More data points and a longer thermalization time would allow for more accuracy to show this transition.</w:t>
      </w:r>
    </w:p>
    <w:p w14:paraId="27A27577" w14:textId="77777777" w:rsidR="003D024E" w:rsidRDefault="003D024E">
      <w:pPr>
        <w:contextualSpacing w:val="0"/>
      </w:pPr>
    </w:p>
    <w:p w14:paraId="1E811669" w14:textId="77777777" w:rsidR="003D024E" w:rsidRDefault="000A056F">
      <w:pPr>
        <w:contextualSpacing w:val="0"/>
      </w:pPr>
      <w:r>
        <w:t>A</w:t>
      </w:r>
      <w:r>
        <w:t>s the magnetic field increases, the magnetization becomes biased towards the polarity of the magnetic field.  The stronger the field, the more difficult it is for phase changes to occur.</w:t>
      </w:r>
    </w:p>
    <w:p w14:paraId="59457081" w14:textId="77777777" w:rsidR="003D024E" w:rsidRDefault="003D024E">
      <w:pPr>
        <w:contextualSpacing w:val="0"/>
      </w:pPr>
    </w:p>
    <w:p w14:paraId="57F9E974" w14:textId="77777777" w:rsidR="003D024E" w:rsidRDefault="000A056F">
      <w:pPr>
        <w:contextualSpacing w:val="0"/>
      </w:pPr>
      <w:r>
        <w:t>If the exchange interaction is positive, the material is ferromagnet</w:t>
      </w:r>
      <w:r>
        <w:t>ic.  In the case of negative values, the material is antiferromagnetic.  Only positive interactions were considered in this model.</w:t>
      </w:r>
      <w:bookmarkStart w:id="0" w:name="_GoBack"/>
      <w:bookmarkEnd w:id="0"/>
    </w:p>
    <w:sectPr w:rsidR="003D02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D024E"/>
    <w:rsid w:val="000A056F"/>
    <w:rsid w:val="003D024E"/>
    <w:rsid w:val="00410106"/>
    <w:rsid w:val="00984D43"/>
    <w:rsid w:val="00B0436E"/>
    <w:rsid w:val="00D5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D93A"/>
  <w15:docId w15:val="{626302DB-7EA7-497B-B81A-6549477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D55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Crowder</cp:lastModifiedBy>
  <cp:revision>6</cp:revision>
  <dcterms:created xsi:type="dcterms:W3CDTF">2018-12-05T13:28:00Z</dcterms:created>
  <dcterms:modified xsi:type="dcterms:W3CDTF">2018-12-05T13:31:00Z</dcterms:modified>
</cp:coreProperties>
</file>