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UHS AMS Candidate System</w:t>
      </w:r>
    </w:p>
    <w:p>
      <w:pPr>
        <w:pStyle w:val="Heading1"/>
        <w:jc w:val="center"/>
      </w:pPr>
      <w:r>
        <w:t>Final Focused UAT Retest</w:t>
      </w:r>
    </w:p>
    <w:p>
      <w:pPr>
        <w:pStyle w:val="Heading2"/>
        <w:jc w:val="center"/>
      </w:pPr>
      <w:r>
        <w:t>Post-Remediation Verification</w:t>
      </w:r>
    </w:p>
    <w:p>
      <w:r>
        <w:br w:type="page"/>
      </w:r>
    </w:p>
    <w:p>
      <w:pPr>
        <w:pStyle w:val="Heading1"/>
      </w:pPr>
      <w:r>
        <w:t>2. Test Environment</w:t>
      </w:r>
    </w:p>
    <w:p>
      <w:r>
        <w:t>Date: 27 September 2026</w:t>
      </w:r>
    </w:p>
    <w:p>
      <w:r>
        <w:t>Branch: devdevdev</w:t>
      </w:r>
    </w:p>
    <w:p>
      <w:r>
        <w:t>Commit: 757ecf736010c8ba746184fc746aa61c4ca83a1d</w:t>
      </w:r>
    </w:p>
    <w:p>
      <w:r>
        <w:t>Application URL: http://127.0.0.1:8002/login</w:t>
      </w:r>
    </w:p>
    <w:p>
      <w:r>
        <w:t>Testing Scope: Focused retest of specific defects and security findings post-remediation. Not a full UAT suite.</w:t>
      </w:r>
    </w:p>
    <w:p>
      <w:pPr>
        <w:pStyle w:val="Heading1"/>
      </w:pPr>
      <w:r>
        <w:t>3. Executive Summary</w:t>
      </w:r>
    </w:p>
    <w:p>
      <w:r>
        <w:t>This focused retest evaluated the latest codebase to verify the resolution of specifically targeted issues from the prior UAT phase. Most issues have been successfully addressed, but one high-severity defect related to payment validation (BUG-003) remains unresolved, throwing a 500 error instead of failing validation gracefully. Therefore, production readiness is not yet achieved.</w:t>
      </w:r>
    </w:p>
    <w:p>
      <w:pPr>
        <w:pStyle w:val="Heading1"/>
      </w:pPr>
      <w:r>
        <w:t>4. Retest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Finding</w:t>
            </w:r>
          </w:p>
        </w:tc>
        <w:tc>
          <w:tcPr>
            <w:tcW w:type="dxa" w:w="1234"/>
          </w:tcPr>
          <w:p>
            <w:r>
              <w:t>Previous Status</w:t>
            </w:r>
          </w:p>
        </w:tc>
        <w:tc>
          <w:tcPr>
            <w:tcW w:type="dxa" w:w="1234"/>
          </w:tcPr>
          <w:p>
            <w:r>
              <w:t>Current Status</w:t>
            </w:r>
          </w:p>
        </w:tc>
        <w:tc>
          <w:tcPr>
            <w:tcW w:type="dxa" w:w="1234"/>
          </w:tcPr>
          <w:p>
            <w:r>
              <w:t>Verification Type</w:t>
            </w:r>
          </w:p>
        </w:tc>
        <w:tc>
          <w:tcPr>
            <w:tcW w:type="dxa" w:w="1234"/>
          </w:tcPr>
          <w:p>
            <w:r>
              <w:t>Evidence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BUG-002</w:t>
            </w:r>
          </w:p>
        </w:tc>
        <w:tc>
          <w:tcPr>
            <w:tcW w:type="dxa" w:w="1234"/>
          </w:tcPr>
          <w:p>
            <w:r>
              <w:t>Search state clear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Browser / Test Verified</w:t>
            </w:r>
          </w:p>
        </w:tc>
        <w:tc>
          <w:tcPr>
            <w:tcW w:type="dxa" w:w="1234"/>
          </w:tcPr>
          <w:p>
            <w:r>
              <w:t>Subagent / Automated Tests</w:t>
            </w:r>
          </w:p>
        </w:tc>
        <w:tc>
          <w:tcPr>
            <w:tcW w:type="dxa" w:w="1234"/>
          </w:tcPr>
          <w:p>
            <w:r>
              <w:t>Clearing search effectively empties query string, resets active search label, and restores default records.</w:t>
            </w:r>
          </w:p>
        </w:tc>
      </w:tr>
      <w:tr>
        <w:tc>
          <w:tcPr>
            <w:tcW w:type="dxa" w:w="1234"/>
          </w:tcPr>
          <w:p>
            <w:r>
              <w:t>BUG-003</w:t>
            </w:r>
          </w:p>
        </w:tc>
        <w:tc>
          <w:tcPr>
            <w:tcW w:type="dxa" w:w="1234"/>
          </w:tcPr>
          <w:p>
            <w:r>
              <w:t>Payment amount validation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Browser / Source Verified</w:t>
            </w:r>
          </w:p>
        </w:tc>
        <w:tc>
          <w:tcPr>
            <w:tcW w:type="dxa" w:w="1234"/>
          </w:tcPr>
          <w:p>
            <w:r>
              <w:t>Browser Logs / Subagent</w:t>
            </w:r>
          </w:p>
        </w:tc>
        <w:tc>
          <w:tcPr>
            <w:tcW w:type="dxa" w:w="1234"/>
          </w:tcPr>
          <w:p>
            <w:r>
              <w:t>UI allows negative values and server validation throws a 500 error (BindingResolutionException) rather than a validation error.</w:t>
            </w:r>
          </w:p>
        </w:tc>
      </w:tr>
      <w:tr>
        <w:tc>
          <w:tcPr>
            <w:tcW w:type="dxa" w:w="1234"/>
          </w:tcPr>
          <w:p>
            <w:r>
              <w:t>BUG-004</w:t>
            </w:r>
          </w:p>
        </w:tc>
        <w:tc>
          <w:tcPr>
            <w:tcW w:type="dxa" w:w="1234"/>
          </w:tcPr>
          <w:p>
            <w:r>
              <w:t>Receipt uniqueness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Source / Database Verified</w:t>
            </w:r>
          </w:p>
        </w:tc>
        <w:tc>
          <w:tcPr>
            <w:tcW w:type="dxa" w:w="1234"/>
          </w:tcPr>
          <w:p>
            <w:r>
              <w:t>Source Code</w:t>
            </w:r>
          </w:p>
        </w:tc>
        <w:tc>
          <w:tcPr>
            <w:tcW w:type="dxa" w:w="1234"/>
          </w:tcPr>
          <w:p>
            <w:r>
              <w:t>Database migration explicitly added a unique constraint for receipt_number, accompanied by application-level validation.</w:t>
            </w:r>
          </w:p>
        </w:tc>
      </w:tr>
      <w:tr>
        <w:tc>
          <w:tcPr>
            <w:tcW w:type="dxa" w:w="1234"/>
          </w:tcPr>
          <w:p>
            <w:r>
              <w:t>SEC-001</w:t>
            </w:r>
          </w:p>
        </w:tc>
        <w:tc>
          <w:tcPr>
            <w:tcW w:type="dxa" w:w="1234"/>
          </w:tcPr>
          <w:p>
            <w:r>
              <w:t>Dynamic upload validation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Source Verified</w:t>
            </w:r>
          </w:p>
        </w:tc>
        <w:tc>
          <w:tcPr>
            <w:tcW w:type="dxa" w:w="1234"/>
          </w:tcPr>
          <w:p>
            <w:r>
              <w:t>Source Code</w:t>
            </w:r>
          </w:p>
        </w:tc>
        <w:tc>
          <w:tcPr>
            <w:tcW w:type="dxa" w:w="1234"/>
          </w:tcPr>
          <w:p>
            <w:r>
              <w:t>FileUpload config now strictly limits accepted MIME types and maximum file size.</w:t>
            </w:r>
          </w:p>
        </w:tc>
      </w:tr>
      <w:tr>
        <w:tc>
          <w:tcPr>
            <w:tcW w:type="dxa" w:w="1234"/>
          </w:tcPr>
          <w:p>
            <w:r>
              <w:t>SEC-002</w:t>
            </w:r>
          </w:p>
        </w:tc>
        <w:tc>
          <w:tcPr>
            <w:tcW w:type="dxa" w:w="1234"/>
          </w:tcPr>
          <w:p>
            <w:r>
              <w:t>Audit coverage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Source Verified</w:t>
            </w:r>
          </w:p>
        </w:tc>
        <w:tc>
          <w:tcPr>
            <w:tcW w:type="dxa" w:w="1234"/>
          </w:tcPr>
          <w:p>
            <w:r>
              <w:t>Source Code</w:t>
            </w:r>
          </w:p>
        </w:tc>
        <w:tc>
          <w:tcPr>
            <w:tcW w:type="dxa" w:w="1234"/>
          </w:tcPr>
          <w:p>
            <w:r>
              <w:t>AuditLogger explicitly logs actions for registrar and cashier roles, expanding beyond admin-only.</w:t>
            </w:r>
          </w:p>
        </w:tc>
      </w:tr>
      <w:tr>
        <w:tc>
          <w:tcPr>
            <w:tcW w:type="dxa" w:w="1234"/>
          </w:tcPr>
          <w:p>
            <w:r>
              <w:t>SEC-005</w:t>
            </w:r>
          </w:p>
        </w:tc>
        <w:tc>
          <w:tcPr>
            <w:tcW w:type="dxa" w:w="1234"/>
          </w:tcPr>
          <w:p>
            <w:r>
              <w:t>Configuration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Source Verified</w:t>
            </w:r>
          </w:p>
        </w:tc>
        <w:tc>
          <w:tcPr>
            <w:tcW w:type="dxa" w:w="1234"/>
          </w:tcPr>
          <w:p>
            <w:r>
              <w:t>Source Code</w:t>
            </w:r>
          </w:p>
        </w:tc>
        <w:tc>
          <w:tcPr>
            <w:tcW w:type="dxa" w:w="1234"/>
          </w:tcPr>
          <w:p>
            <w:r>
              <w:t>.env.example utilizes safe placeholders without exposing secrets or debugging features.</w:t>
            </w:r>
          </w:p>
        </w:tc>
      </w:tr>
      <w:tr>
        <w:tc>
          <w:tcPr>
            <w:tcW w:type="dxa" w:w="1234"/>
          </w:tcPr>
          <w:p>
            <w:r>
              <w:t>SEC-006</w:t>
            </w:r>
          </w:p>
        </w:tc>
        <w:tc>
          <w:tcPr>
            <w:tcW w:type="dxa" w:w="1234"/>
          </w:tcPr>
          <w:p>
            <w:r>
              <w:t>Storage exposure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Source Verified</w:t>
            </w:r>
          </w:p>
        </w:tc>
        <w:tc>
          <w:tcPr>
            <w:tcW w:type="dxa" w:w="1234"/>
          </w:tcPr>
          <w:p>
            <w:r>
              <w:t>Source Code</w:t>
            </w:r>
          </w:p>
        </w:tc>
        <w:tc>
          <w:tcPr>
            <w:tcW w:type="dxa" w:w="1234"/>
          </w:tcPr>
          <w:p>
            <w:r>
              <w:t>Upload disks for payments and form files have been correctly set to private.</w:t>
            </w:r>
          </w:p>
        </w:tc>
      </w:tr>
      <w:tr>
        <w:tc>
          <w:tcPr>
            <w:tcW w:type="dxa" w:w="1234"/>
          </w:tcPr>
          <w:p>
            <w:r>
              <w:t>SEC-007</w:t>
            </w:r>
          </w:p>
        </w:tc>
        <w:tc>
          <w:tcPr>
            <w:tcW w:type="dxa" w:w="1234"/>
          </w:tcPr>
          <w:p>
            <w:r>
              <w:t>Seeded credentials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Source Verified</w:t>
            </w:r>
          </w:p>
        </w:tc>
        <w:tc>
          <w:tcPr>
            <w:tcW w:type="dxa" w:w="1234"/>
          </w:tcPr>
          <w:p>
            <w:r>
              <w:t>Source Code</w:t>
            </w:r>
          </w:p>
        </w:tc>
        <w:tc>
          <w:tcPr>
            <w:tcW w:type="dxa" w:w="1234"/>
          </w:tcPr>
          <w:p>
            <w:r>
              <w:t>AdminUserSeeder forces environment variables for credentials in production context, averting default passwords.</w:t>
            </w:r>
          </w:p>
        </w:tc>
      </w:tr>
      <w:tr>
        <w:tc>
          <w:tcPr>
            <w:tcW w:type="dxa" w:w="1234"/>
          </w:tcPr>
          <w:p>
            <w:r>
              <w:t>SEC-008</w:t>
            </w:r>
          </w:p>
        </w:tc>
        <w:tc>
          <w:tcPr>
            <w:tcW w:type="dxa" w:w="1234"/>
          </w:tcPr>
          <w:p>
            <w:r>
              <w:t>Automated tests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Automated Test Verified</w:t>
            </w:r>
          </w:p>
        </w:tc>
        <w:tc>
          <w:tcPr>
            <w:tcW w:type="dxa" w:w="1234"/>
          </w:tcPr>
          <w:p>
            <w:r>
              <w:t>Test Output</w:t>
            </w:r>
          </w:p>
        </w:tc>
        <w:tc>
          <w:tcPr>
            <w:tcW w:type="dxa" w:w="1234"/>
          </w:tcPr>
          <w:p>
            <w:r>
              <w:t>PHP dependencies were successfully resolved, and targeted tests passed.</w:t>
            </w:r>
          </w:p>
        </w:tc>
      </w:tr>
      <w:tr>
        <w:tc>
          <w:tcPr>
            <w:tcW w:type="dxa" w:w="1234"/>
          </w:tcPr>
          <w:p>
            <w:r>
              <w:t>BUG-001</w:t>
            </w:r>
          </w:p>
        </w:tc>
        <w:tc>
          <w:tcPr>
            <w:tcW w:type="dxa" w:w="1234"/>
          </w:tcPr>
          <w:p>
            <w:r>
              <w:t>Candidate search exact/no-result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Browser / Test Verified</w:t>
            </w:r>
          </w:p>
        </w:tc>
        <w:tc>
          <w:tcPr>
            <w:tcW w:type="dxa" w:w="1234"/>
          </w:tcPr>
          <w:p>
            <w:r>
              <w:t>Subagent / Tests</w:t>
            </w:r>
          </w:p>
        </w:tc>
        <w:tc>
          <w:tcPr>
            <w:tcW w:type="dxa" w:w="1234"/>
          </w:tcPr>
          <w:p>
            <w:r>
              <w:t>Regression passed. Search continues to perform as expected.</w:t>
            </w:r>
          </w:p>
        </w:tc>
      </w:tr>
      <w:tr>
        <w:tc>
          <w:tcPr>
            <w:tcW w:type="dxa" w:w="1234"/>
          </w:tcPr>
          <w:p>
            <w:r>
              <w:t>BUG-005</w:t>
            </w:r>
          </w:p>
        </w:tc>
        <w:tc>
          <w:tcPr>
            <w:tcW w:type="dxa" w:w="1234"/>
          </w:tcPr>
          <w:p>
            <w:r>
              <w:t>Audit Logs 500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Automated Test Verified</w:t>
            </w:r>
          </w:p>
        </w:tc>
        <w:tc>
          <w:tcPr>
            <w:tcW w:type="dxa" w:w="1234"/>
          </w:tcPr>
          <w:p>
            <w:r>
              <w:t>Automated Tests</w:t>
            </w:r>
          </w:p>
        </w:tc>
        <w:tc>
          <w:tcPr>
            <w:tcW w:type="dxa" w:w="1234"/>
          </w:tcPr>
          <w:p>
            <w:r>
              <w:t>Regression passed. Audit logs load securely without unhandled exceptions.</w:t>
            </w:r>
          </w:p>
        </w:tc>
      </w:tr>
      <w:tr>
        <w:tc>
          <w:tcPr>
            <w:tcW w:type="dxa" w:w="1234"/>
          </w:tcPr>
          <w:p>
            <w:r>
              <w:t>SEC-004</w:t>
            </w:r>
          </w:p>
        </w:tc>
        <w:tc>
          <w:tcPr>
            <w:tcW w:type="dxa" w:w="1234"/>
          </w:tcPr>
          <w:p>
            <w:r>
              <w:t>Registrar permissions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Browser Verified</w:t>
            </w:r>
          </w:p>
        </w:tc>
        <w:tc>
          <w:tcPr>
            <w:tcW w:type="dxa" w:w="1234"/>
          </w:tcPr>
          <w:p>
            <w:r>
              <w:t>Browser Subagent</w:t>
            </w:r>
          </w:p>
        </w:tc>
        <w:tc>
          <w:tcPr>
            <w:tcW w:type="dxa" w:w="1234"/>
          </w:tcPr>
          <w:p>
            <w:r>
              <w:t>Regression passed. Unauthorized access explicitly yields 403 Forbidden.</w:t>
            </w:r>
          </w:p>
        </w:tc>
      </w:tr>
    </w:tbl>
    <w:p>
      <w:pPr>
        <w:pStyle w:val="Heading1"/>
      </w:pPr>
      <w:r>
        <w:t>5. Remaining Issues</w:t>
      </w:r>
    </w:p>
    <w:p>
      <w:r>
        <w:t>BUG-003: Payment amount validation. The validation logic for the 'amount_kh' field uses an improper closure that causes an unhandled 500 Internal Server Error (BindingResolutionException) instead of a standard validation rejection message. In addition, removing the client-side JavaScript regex allows negative inputs to be typed into the UI.</w:t>
      </w:r>
    </w:p>
    <w:p>
      <w:pPr>
        <w:pStyle w:val="Heading1"/>
      </w:pPr>
      <w:r>
        <w:t>6. Screenshot Evidence</w:t>
      </w:r>
    </w:p>
    <w:p>
      <w:r>
        <w:t>Relevant screenshot evidence has been captured and archived by the browser subagent, demonstrating successful search clearance and the 500 error encountered during payment submission.</w:t>
      </w:r>
    </w:p>
    <w:p>
      <w:pPr>
        <w:pStyle w:val="Heading1"/>
      </w:pPr>
      <w:r>
        <w:t>7. Production Readiness</w:t>
      </w:r>
    </w:p>
    <w:p>
      <w:r>
        <w:t>Production Decision: RETEST REQUIRED</w:t>
      </w:r>
    </w:p>
    <w:p>
      <w:r>
        <w:t>While significant progress has been made, the remaining high-severity technical finding (BUG-003) regarding payment application prevents a safe production deployment.</w:t>
      </w:r>
    </w:p>
    <w:p>
      <w:pPr>
        <w:pStyle w:val="Heading1"/>
      </w:pPr>
      <w:r>
        <w:t>8. Sign-Off</w:t>
      </w:r>
    </w:p>
    <w:p>
      <w:r>
        <w:t>Focused Remediation Retest: RETEST REQUIRED</w:t>
      </w:r>
    </w:p>
    <w:p>
      <w:r>
        <w:t>Prepared By: Antigravity UAT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