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CASE LAW EXAMPLE</w:t>
        <w:br/>
        <w:t>Smith v. Jones Commercial Services (2023)</w:t>
      </w:r>
    </w:p>
    <w:p>
      <w:r>
        <w:t>Section 1: Background</w:t>
        <w:br/>
        <w:t>This case involves a breach of contract dispute between commercial parties.</w:t>
        <w:br/>
        <w:t>The plaintiff alleged that defendant failed to deliver goods within the agreed timeframe.</w:t>
      </w:r>
    </w:p>
    <w:p>
      <w:r>
        <w:t>Section 2: Decision</w:t>
        <w:br/>
        <w:t>The court held that timely delivery is a material obligation under commercial contracts.</w:t>
        <w:br/>
        <w:t>Failure to deliver within agreed timeframes constitutes a material breach.</w:t>
      </w:r>
    </w:p>
    <w:p>
      <w:r>
        <w:t>Section 3: Legal Principle</w:t>
        <w:br/>
        <w:t>Parties must perform within agreed timeframe unless specified otherwise in the contract.</w:t>
        <w:br/>
        <w:t>Courts will enforce delivery terms strictly in commercial transactions.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