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COMMERCIAL TRANSACTIONS ACT, 2023</w:t>
      </w:r>
    </w:p>
    <w:p>
      <w:r>
        <w:t>Section 10: Payment Obligations</w:t>
        <w:br/>
        <w:t>All commercial payments must be made within 45 days unless agreed in writing.</w:t>
        <w:br/>
        <w:t>Late payments shall incur interest at the statutory rate.</w:t>
      </w:r>
    </w:p>
    <w:p>
      <w:r>
        <w:t>Section 15: Delivery</w:t>
        <w:br/>
        <w:t>Goods must be delivered within 30 days unless contract specifies otherwise.</w:t>
        <w:br/>
        <w:t>Sellers have a duty to provide reasonable notice of delivery delays.</w:t>
      </w:r>
    </w:p>
    <w:p>
      <w:r>
        <w:t>Section 20: Termination Rights</w:t>
        <w:br/>
        <w:t>Parties may terminate with reasonable notice not less than 7 days.</w:t>
        <w:br/>
        <w:t>Termination rights are subject to the terms of the specific agreement.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