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标定过程可视化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6115(0x17E3)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robot_other_calib_allinone2_req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标定过程可视化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根据插件定义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75"/>
        <w:gridCol w:w="1575"/>
        <w:gridCol w:w="3240"/>
        <w:gridCol w:w="1890"/>
      </w:tblGrid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json字符串，具体根据标定插件的定义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文件二进制数据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文件二进制数据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文件二进制数据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/>
    <w:tbl>
      <w:tblPr>
        <w:tblW w:w="0" w:type="auto"/>
        <w:tblInd w:w="0" w:type="dxa"/>
        <w:tblBorders>
          <w:top w:val="single" w:color="f98e8b"/>
          <w:left w:val="single" w:color="f98e8b"/>
          <w:bottom w:val="single" w:color="f98e8b"/>
          <w:right w:val="single" w:color="f98e8b"/>
          <w:insideH w:val="single" w:color="f98e8b"/>
          <w:insideV w:val="single" w:color="f98e8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de2e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需要注意，此 API 数据区分为两个部分： 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json数据区以及文件二进制数据区 </w:t>
            </w:r>
            <w:r>
              <w:rPr>
                <w:rFonts w:eastAsia="等线" w:ascii="Arial" w:cs="Arial" w:hAnsi="Arial"/>
                <w:sz w:val="22"/>
              </w:rPr>
              <w:t xml:space="preserve">。两种数据需要紧密排列。排列顺序为：json数据+文件二进制区。在此情况下，包头中的 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数据区长度 </w:t>
            </w:r>
            <w:r>
              <w:rPr>
                <w:rFonts w:eastAsia="等线" w:ascii="Arial" w:cs="Arial" w:hAnsi="Arial"/>
                <w:sz w:val="22"/>
              </w:rPr>
              <w:t xml:space="preserve">为json数据长度+文件二进制数据长度。包头中的 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内部使用区域 </w:t>
            </w:r>
            <w:r>
              <w:rPr>
                <w:rFonts w:eastAsia="等线" w:ascii="Arial" w:cs="Arial" w:hAnsi="Arial"/>
                <w:sz w:val="22"/>
              </w:rPr>
              <w:t>中的第2位和第3位需要设置为json数据区的长度。</w:t>
            </w:r>
          </w:p>
        </w:tc>
      </w:tr>
    </w:tbl>
    <w:p/>
    <w:tbl>
      <w:tblPr>
        <w:tblW w:w="0" w:type="auto"/>
        <w:tblInd w:w="0" w:type="dxa"/>
        <w:tblBorders>
          <w:top w:val="single" w:color="f98e8b"/>
          <w:left w:val="single" w:color="f98e8b"/>
          <w:bottom w:val="single" w:color="f98e8b"/>
          <w:right w:val="single" w:color="f98e8b"/>
          <w:insideH w:val="single" w:color="f98e8b"/>
          <w:insideV w:val="single" w:color="f98e8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de2e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包头详情可见 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此处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，其中的 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内部使用区域 </w:t>
            </w:r>
            <w:r>
              <w:rPr>
                <w:rFonts w:eastAsia="等线" w:ascii="Arial" w:cs="Arial" w:hAnsi="Arial"/>
                <w:sz w:val="22"/>
              </w:rPr>
              <w:t>有6位，编号从0开始。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示例可参考</w:t>
      </w:r>
      <w:hyperlink r:id="rId6">
        <w:r>
          <w:rPr>
            <w:rFonts w:eastAsia="等线" w:ascii="Arial" w:cs="Arial" w:hAnsi="Arial"/>
            <w:color w:val="3370ff"/>
            <w:sz w:val="22"/>
          </w:rPr>
          <w:t>上传机器人文件</w:t>
        </w:r>
      </w:hyperlink>
      <w:r>
        <w:rPr>
          <w:rFonts w:eastAsia="等线" w:ascii="Arial" w:cs="Arial" w:hAnsi="Arial"/>
          <w:sz w:val="22"/>
        </w:rPr>
        <w:t>中python请求示例。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</w:t>
      </w:r>
      <w:hyperlink r:id="rId7">
        <w:r>
          <w:rPr>
            <w:rFonts w:eastAsia="等线" w:ascii="Arial" w:cs="Arial" w:hAnsi="Arial"/>
            <w:color w:val="3370ff"/>
            <w:sz w:val="22"/>
          </w:rPr>
          <w:t>见上方</w:t>
        </w:r>
      </w:hyperlink>
      <w:r>
        <w:rPr>
          <w:rFonts w:eastAsia="等线" w:ascii="Arial" w:cs="Arial" w:hAnsi="Arial"/>
          <w:sz w:val="22"/>
        </w:rPr>
        <w:t>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16115(0x3EF3)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robot_other_calib_allinone2_res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标定过程可视化的响应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传回收到的请求json，具体字段根据插件定义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文件二进制数据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文件二进制数据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文件二进制数据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/>
    <w:tbl>
      <w:tblPr>
        <w:tblW w:w="0" w:type="auto"/>
        <w:tblInd w:w="0" w:type="dxa"/>
        <w:tblBorders>
          <w:top w:val="single" w:color="f98e8b"/>
          <w:left w:val="single" w:color="f98e8b"/>
          <w:bottom w:val="single" w:color="f98e8b"/>
          <w:right w:val="single" w:color="f98e8b"/>
          <w:insideH w:val="single" w:color="f98e8b"/>
          <w:insideV w:val="single" w:color="f98e8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de2e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需要注意，此 API 数据区分为两个部分： 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json数据区以及文件二进制数据区 </w:t>
            </w:r>
            <w:r>
              <w:rPr>
                <w:rFonts w:eastAsia="等线" w:ascii="Arial" w:cs="Arial" w:hAnsi="Arial"/>
                <w:sz w:val="22"/>
              </w:rPr>
              <w:t xml:space="preserve">。两种数据紧密排列。排列顺序为：json数据+文件二进制区。在此情况下，包头中的 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数据区长度 </w:t>
            </w:r>
            <w:r>
              <w:rPr>
                <w:rFonts w:eastAsia="等线" w:ascii="Arial" w:cs="Arial" w:hAnsi="Arial"/>
                <w:sz w:val="22"/>
              </w:rPr>
              <w:t xml:space="preserve">为json数据长度+文件二进制数据长度。包头中的 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内部使用区域 </w:t>
            </w:r>
            <w:r>
              <w:rPr>
                <w:rFonts w:eastAsia="等线" w:ascii="Arial" w:cs="Arial" w:hAnsi="Arial"/>
                <w:sz w:val="22"/>
              </w:rPr>
              <w:t>中的第2位和第3位为json数据区的长度。</w:t>
            </w:r>
          </w:p>
        </w:tc>
      </w:tr>
    </w:tbl>
    <w:p/>
    <w:tbl>
      <w:tblPr>
        <w:tblW w:w="0" w:type="auto"/>
        <w:tblInd w:w="0" w:type="dxa"/>
        <w:tblBorders>
          <w:top w:val="single" w:color="f98e8b"/>
          <w:left w:val="single" w:color="f98e8b"/>
          <w:bottom w:val="single" w:color="f98e8b"/>
          <w:right w:val="single" w:color="f98e8b"/>
          <w:insideH w:val="single" w:color="f98e8b"/>
          <w:insideV w:val="single" w:color="f98e8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de2e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包头详情可见 </w:t>
            </w: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此处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，其中的 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内部使用区域 </w:t>
            </w:r>
            <w:r>
              <w:rPr>
                <w:rFonts w:eastAsia="等线" w:ascii="Arial" w:cs="Arial" w:hAnsi="Arial"/>
                <w:sz w:val="22"/>
              </w:rPr>
              <w:t>有6位，编号从0开始。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新增机制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当网络插件订阅到 Message_CalibrationData 消息时，请求方会持续收到响应，报文编号为17001，json区为空，数据区为序列化的 Message_CalibrationData 消息。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75671">
    <w:lvl>
      <w:numFmt w:val="bullet"/>
      <w:suff w:val="tab"/>
      <w:lvlText w:val="•"/>
      <w:rPr>
        <w:color w:val="3370ff"/>
      </w:rPr>
    </w:lvl>
  </w:abstractNum>
  <w:abstractNum w:abstractNumId="975672">
    <w:lvl>
      <w:numFmt w:val="bullet"/>
      <w:suff w:val="tab"/>
      <w:lvlText w:val="•"/>
      <w:rPr>
        <w:color w:val="3370ff"/>
      </w:rPr>
    </w:lvl>
  </w:abstractNum>
  <w:abstractNum w:abstractNumId="975673">
    <w:lvl>
      <w:numFmt w:val="bullet"/>
      <w:suff w:val="tab"/>
      <w:lvlText w:val="•"/>
      <w:rPr>
        <w:color w:val="3370ff"/>
      </w:rPr>
    </w:lvl>
  </w:abstractNum>
  <w:abstractNum w:abstractNumId="975674">
    <w:lvl>
      <w:numFmt w:val="bullet"/>
      <w:suff w:val="tab"/>
      <w:lvlText w:val="•"/>
      <w:rPr>
        <w:color w:val="3370ff"/>
      </w:rPr>
    </w:lvl>
  </w:abstractNum>
  <w:abstractNum w:abstractNumId="975675">
    <w:lvl>
      <w:numFmt w:val="bullet"/>
      <w:suff w:val="tab"/>
      <w:lvlText w:val="•"/>
      <w:rPr>
        <w:color w:val="3370ff"/>
      </w:rPr>
    </w:lvl>
  </w:abstractNum>
  <w:abstractNum w:abstractNumId="975676">
    <w:lvl>
      <w:numFmt w:val="bullet"/>
      <w:suff w:val="tab"/>
      <w:lvlText w:val="•"/>
      <w:rPr>
        <w:color w:val="3370ff"/>
      </w:rPr>
    </w:lvl>
  </w:abstractNum>
  <w:abstractNum w:abstractNumId="975677">
    <w:lvl>
      <w:numFmt w:val="bullet"/>
      <w:suff w:val="tab"/>
      <w:lvlText w:val="•"/>
      <w:rPr>
        <w:color w:val="3370ff"/>
      </w:rPr>
    </w:lvl>
  </w:abstractNum>
  <w:abstractNum w:abstractNumId="975678">
    <w:lvl>
      <w:numFmt w:val="bullet"/>
      <w:suff w:val="tab"/>
      <w:lvlText w:val="•"/>
      <w:rPr>
        <w:color w:val="3370ff"/>
      </w:rPr>
    </w:lvl>
  </w:abstractNum>
  <w:num w:numId="1">
    <w:abstractNumId w:val="975671"/>
  </w:num>
  <w:num w:numId="2">
    <w:abstractNumId w:val="975672"/>
  </w:num>
  <w:num w:numId="3">
    <w:abstractNumId w:val="975673"/>
  </w:num>
  <w:num w:numId="4">
    <w:abstractNumId w:val="975674"/>
  </w:num>
  <w:num w:numId="5">
    <w:abstractNumId w:val="975675"/>
  </w:num>
  <w:num w:numId="6">
    <w:abstractNumId w:val="975676"/>
  </w:num>
  <w:num w:numId="7">
    <w:abstractNumId w:val="975677"/>
  </w:num>
  <w:num w:numId="8">
    <w:abstractNumId w:val="97567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seer-group.feishu.cn/wiki/KQ0Ew2M03irklwkqrNJchk5EnFb" TargetMode="External" Type="http://schemas.openxmlformats.org/officeDocument/2006/relationships/hyperlink"/><Relationship Id="rId6" Target="https://seer-group.feishu.cn/wiki/CYmjwvXNXiXFS1kxRzMcimS1nxc" TargetMode="External" Type="http://schemas.openxmlformats.org/officeDocument/2006/relationships/hyperlink"/><Relationship Id="rId7" Target="https://ocn3rbr2m923.feishu.cn/docx/V31dd9Jo3of2X1xljbOcl0KAnmg#doxcnjPBzftJKzDWWA70FmrO6Jb" TargetMode="External" Type="http://schemas.openxmlformats.org/officeDocument/2006/relationships/hyperlink"/><Relationship Id="rId8" Target="https://seer-group.feishu.cn/wiki/KQ0Ew2M03irklwkqrNJchk5EnFb" TargetMode="External" Type="http://schemas.openxmlformats.org/officeDocument/2006/relationships/hyperlink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2026-08-05T09:23:36Z</dcterms:created>
  <dc:creator>Apache POI</dc:creator>
</cp:coreProperties>
</file>