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字段名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约束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取值范围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宋体" w:hAnsi="宋体" w:eastAsia="宋体"/>
                <w:sz w:val="21"/>
              </w:rPr>
              <w:t>业务含义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config_id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主键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正整数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配置ID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config_key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非空，唯一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≤100字符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配置键，如system_name、qa_timeout、post_audit_enabled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config_value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配置值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任意文本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配置说明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update_admin_id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外键，可空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存在于t_user且role=admin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最后修改配置的管理员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create_time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创建时间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update_time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默认当前时间，更新时刷新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时间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21"/>
              </w:rPr>
              <w:t>更新时间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