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ny431cpy7vq3" w:id="0"/>
      <w:bookmarkEnd w:id="0"/>
      <w:r w:rsidDel="00000000" w:rsidR="00000000" w:rsidRPr="00000000">
        <w:rPr>
          <w:sz w:val="44"/>
          <w:szCs w:val="44"/>
          <w:rtl w:val="0"/>
        </w:rPr>
        <w:t xml:space="preserve">Core: guía común de integración</w:t>
      </w:r>
    </w:p>
    <w:p w:rsidR="00000000" w:rsidDel="00000000" w:rsidP="00000000" w:rsidRDefault="00000000" w:rsidRPr="00000000" w14:paraId="00000002">
      <w:pPr>
        <w:pStyle w:val="Subtitle"/>
        <w:rPr>
          <w:sz w:val="26"/>
          <w:szCs w:val="26"/>
        </w:rPr>
      </w:pPr>
      <w:bookmarkStart w:colFirst="0" w:colLast="0" w:name="_sljixne16av1" w:id="1"/>
      <w:bookmarkEnd w:id="1"/>
      <w:r w:rsidDel="00000000" w:rsidR="00000000" w:rsidRPr="00000000">
        <w:rPr>
          <w:sz w:val="26"/>
          <w:szCs w:val="26"/>
          <w:rtl w:val="0"/>
        </w:rPr>
        <w:t xml:space="preserve">Borrador para revisión · 20 de octubre de 2026 · Desarrollo de Aplicaciones II</w:t>
      </w:r>
    </w:p>
    <w:p w:rsidR="00000000" w:rsidDel="00000000" w:rsidP="00000000" w:rsidRDefault="00000000" w:rsidRPr="00000000" w14:paraId="00000003">
      <w:pPr>
        <w:spacing w:after="120" w:lineRule="auto"/>
        <w:rPr/>
      </w:pPr>
      <w:r w:rsidDel="00000000" w:rsidR="00000000" w:rsidRPr="00000000">
        <w:rPr>
          <w:rtl w:val="0"/>
        </w:rPr>
        <w:t xml:space="preserve">Core está desplegado en AWS. Esta guía explica cómo conectar el backend de cada módulo y entrar al dashboard. No contiene contraseñas y no habilita acceso por sí sola: cada equipo recibe una ficha privada y coordina su primera prueba con Core.</w:t>
      </w:r>
    </w:p>
    <w:p w:rsidR="00000000" w:rsidDel="00000000" w:rsidP="00000000" w:rsidRDefault="00000000" w:rsidRPr="00000000" w14:paraId="00000004">
      <w:pPr>
        <w:pStyle w:val="heading1"/>
        <w:rPr>
          <w:sz w:val="36"/>
          <w:szCs w:val="36"/>
        </w:rPr>
      </w:pPr>
      <w:bookmarkStart w:colFirst="0" w:colLast="0" w:name="_opnjfijiwpt4" w:id="2"/>
      <w:bookmarkEnd w:id="2"/>
      <w:r w:rsidDel="00000000" w:rsidR="00000000" w:rsidRPr="00000000">
        <w:rPr>
          <w:sz w:val="36"/>
          <w:szCs w:val="36"/>
          <w:rtl w:val="0"/>
        </w:rPr>
        <w:t xml:space="preserve">1. Ambiente y datos de conexión</w:t>
      </w:r>
    </w:p>
    <w:p w:rsidR="00000000" w:rsidDel="00000000" w:rsidP="00000000" w:rsidRDefault="00000000" w:rsidRPr="00000000" w14:paraId="00000005">
      <w:pPr>
        <w:spacing w:after="120" w:lineRule="auto"/>
        <w:rPr/>
      </w:pPr>
      <w:r w:rsidDel="00000000" w:rsidR="00000000" w:rsidRPr="00000000">
        <w:rPr>
          <w:rtl w:val="0"/>
        </w:rPr>
        <w:t xml:space="preserve">Existe un único ambiente compartido, con vhost core. No hay un entorno de testing separado: los eventos de prueba pueden llegar a otros módulos suscriptos. Antes de publicar, acordar emisor, destinatarios, tipo de evento y datos ficticios de prueba.</w:t>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529"/>
        <w:tblGridChange w:id="0">
          <w:tblGrid>
            <w:gridCol w:w="2500"/>
            <w:gridCol w:w="6529"/>
          </w:tblGrid>
        </w:tblGridChange>
      </w:tblGrid>
      <w:tr>
        <w:trPr>
          <w:cantSplit w:val="0"/>
          <w:tblHeader w:val="0"/>
        </w:trPr>
        <w:tc>
          <w:tcPr>
            <w:shd w:fill="e8f0f7"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Parámetro</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https://core-uade-2026.duckdns.org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https://core-uade-2026.duckdns.org/api/v1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https://core-uade-2026.duckdns.org/health/ready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 y puerto AMQPS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core-uade-2026.duckdns.org · 5671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certificado y hostname; no usar conexión AMQP sin cifrar por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Virtual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Exchange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muni.inbox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Routing key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Cadena vacía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RabbitMQ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module_&lt;modulo&gt;; contraseña por canal privado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 de 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q.&lt;modulo&gt;; únicamente la propia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/api/v1/auth/module-token; Authorization: Bearer &lt;accessToken&gt;</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Usar el dominio para TLS. El backend debe validar el certificado y el nombre del servidor con su almacén de certificados de confianza. No desactivar la validación ni fijar el certificado actual, porque se renueva. El frontend del módulo no debe conectarse directamente a RabbitMQ ni recibir secretos de máquina.</w:t>
      </w:r>
    </w:p>
    <w:p w:rsidR="00000000" w:rsidDel="00000000" w:rsidP="00000000" w:rsidRDefault="00000000" w:rsidRPr="00000000" w14:paraId="00000021">
      <w:pPr>
        <w:pStyle w:val="heading1"/>
        <w:rPr>
          <w:sz w:val="36"/>
          <w:szCs w:val="36"/>
        </w:rPr>
      </w:pPr>
      <w:bookmarkStart w:colFirst="0" w:colLast="0" w:name="_k73o646gwbbs" w:id="3"/>
      <w:bookmarkEnd w:id="3"/>
      <w:r w:rsidDel="00000000" w:rsidR="00000000" w:rsidRPr="00000000">
        <w:rPr>
          <w:sz w:val="36"/>
          <w:szCs w:val="36"/>
          <w:rtl w:val="0"/>
        </w:rPr>
        <w:t xml:space="preserve">2. Qué debe informar cada equipo</w:t>
      </w:r>
    </w:p>
    <w:p w:rsidR="00000000" w:rsidDel="00000000" w:rsidP="00000000" w:rsidRDefault="00000000" w:rsidRPr="00000000" w14:paraId="00000022">
      <w:pPr>
        <w:numPr>
          <w:ilvl w:val="0"/>
          <w:numId w:val="3"/>
        </w:numPr>
        <w:spacing w:after="0" w:afterAutospacing="0" w:lineRule="auto"/>
        <w:ind w:left="720" w:hanging="360"/>
        <w:rPr>
          <w:u w:val="none"/>
        </w:rPr>
      </w:pPr>
      <w:r w:rsidDel="00000000" w:rsidR="00000000" w:rsidRPr="00000000">
        <w:rPr>
          <w:rtl w:val="0"/>
        </w:rPr>
        <w:t xml:space="preserve">Nombre exacto del módulo y responsable técnico con un canal de contacto.</w:t>
      </w:r>
    </w:p>
    <w:p w:rsidR="00000000" w:rsidDel="00000000" w:rsidP="00000000" w:rsidRDefault="00000000" w:rsidRPr="00000000" w14:paraId="00000023">
      <w:pPr>
        <w:numPr>
          <w:ilvl w:val="0"/>
          <w:numId w:val="3"/>
        </w:numPr>
        <w:spacing w:after="0" w:afterAutospacing="0" w:lineRule="auto"/>
        <w:ind w:left="720" w:hanging="360"/>
        <w:rPr>
          <w:u w:val="none"/>
        </w:rPr>
      </w:pPr>
      <w:r w:rsidDel="00000000" w:rsidR="00000000" w:rsidRPr="00000000">
        <w:rPr>
          <w:rtl w:val="0"/>
        </w:rPr>
        <w:t xml:space="preserve">IP pública de salida del backend que abrirá la conexión AMQPS, indicando si es fija o cambia. Si se conectarán desde varios entornos, detallar cada IP y su finalidad.</w:t>
      </w:r>
    </w:p>
    <w:p w:rsidR="00000000" w:rsidDel="00000000" w:rsidP="00000000" w:rsidRDefault="00000000" w:rsidRPr="00000000" w14:paraId="00000024">
      <w:pPr>
        <w:numPr>
          <w:ilvl w:val="0"/>
          <w:numId w:val="3"/>
        </w:numPr>
        <w:spacing w:after="0" w:afterAutospacing="0" w:lineRule="auto"/>
        <w:ind w:left="720" w:hanging="360"/>
        <w:rPr>
          <w:u w:val="none"/>
        </w:rPr>
      </w:pPr>
      <w:r w:rsidDel="00000000" w:rsidR="00000000" w:rsidRPr="00000000">
        <w:rPr>
          <w:rtl w:val="0"/>
        </w:rPr>
        <w:t xml:space="preserve">Tipos de evento que publicará y consumirá, respetando mayúsculas, escritura y versión; payload acordado, schema si corresponde y cantidad de intentos.</w:t>
      </w:r>
    </w:p>
    <w:p w:rsidR="00000000" w:rsidDel="00000000" w:rsidP="00000000" w:rsidRDefault="00000000" w:rsidRPr="00000000" w14:paraId="00000025">
      <w:pPr>
        <w:numPr>
          <w:ilvl w:val="0"/>
          <w:numId w:val="3"/>
        </w:numPr>
        <w:spacing w:after="120" w:lineRule="auto"/>
        <w:ind w:left="720" w:hanging="360"/>
        <w:rPr>
          <w:u w:val="none"/>
        </w:rPr>
      </w:pPr>
      <w:r w:rsidDel="00000000" w:rsidR="00000000" w:rsidRPr="00000000">
        <w:rPr>
          <w:rtl w:val="0"/>
        </w:rPr>
        <w:t xml:space="preserve">Disponibilidad para una prueba coordinada y necesidad de acceso humano al dashboard.</w:t>
      </w:r>
    </w:p>
    <w:p w:rsidR="00000000" w:rsidDel="00000000" w:rsidP="00000000" w:rsidRDefault="00000000" w:rsidRPr="00000000" w14:paraId="00000026">
      <w:pPr>
        <w:spacing w:after="120" w:lineRule="auto"/>
        <w:rPr/>
      </w:pPr>
      <w:r w:rsidDel="00000000" w:rsidR="00000000" w:rsidRPr="00000000">
        <w:rPr>
          <w:rtl w:val="0"/>
        </w:rPr>
        <w:t xml:space="preserve">La IP solicitada es la pública de salida, no una dirección privada como 192.168.x.x o 10.x.x. Con VPN, proxy o NAT puede ser diferente de la IP del equipo. Core habilita el puerto 5671 para los orígenes acordados. La regla SSH del servidor no controla el acceso web ni reemplaza la habilitación de AMQPS. Si la IP cambia, avisar antes de volver a probar.</w:t>
      </w:r>
    </w:p>
    <w:p w:rsidR="00000000" w:rsidDel="00000000" w:rsidP="00000000" w:rsidRDefault="00000000" w:rsidRPr="00000000" w14:paraId="00000027">
      <w:pPr>
        <w:pStyle w:val="heading1"/>
        <w:rPr>
          <w:sz w:val="36"/>
          <w:szCs w:val="36"/>
        </w:rPr>
      </w:pPr>
      <w:bookmarkStart w:colFirst="0" w:colLast="0" w:name="_bkya7g5yg46j" w:id="4"/>
      <w:bookmarkEnd w:id="4"/>
      <w:r w:rsidDel="00000000" w:rsidR="00000000" w:rsidRPr="00000000">
        <w:rPr>
          <w:sz w:val="36"/>
          <w:szCs w:val="36"/>
          <w:rtl w:val="0"/>
        </w:rPr>
        <w:t xml:space="preserve">3. Tres credenciales distintas</w:t>
      </w:r>
    </w:p>
    <w:p w:rsidR="00000000" w:rsidDel="00000000" w:rsidP="00000000" w:rsidRDefault="00000000" w:rsidRPr="00000000" w14:paraId="00000028">
      <w:pPr>
        <w:numPr>
          <w:ilvl w:val="0"/>
          <w:numId w:val="1"/>
        </w:numPr>
        <w:spacing w:after="0" w:afterAutospacing="0" w:lineRule="auto"/>
        <w:ind w:left="720" w:hanging="360"/>
        <w:rPr>
          <w:u w:val="none"/>
        </w:rPr>
      </w:pPr>
      <w:r w:rsidDel="00000000" w:rsidR="00000000" w:rsidRPr="00000000">
        <w:rPr>
          <w:rtl w:val="0"/>
        </w:rPr>
        <w:t xml:space="preserve">Dashboard: email y contraseña de una persona o cuenta del equipo. Sirve para entrar por navegador.</w:t>
      </w:r>
    </w:p>
    <w:p w:rsidR="00000000" w:rsidDel="00000000" w:rsidP="00000000" w:rsidRDefault="00000000" w:rsidRPr="00000000" w14:paraId="00000029">
      <w:pPr>
        <w:numPr>
          <w:ilvl w:val="0"/>
          <w:numId w:val="1"/>
        </w:numPr>
        <w:spacing w:after="0" w:afterAutospacing="0" w:lineRule="auto"/>
        <w:ind w:left="720" w:hanging="360"/>
        <w:rPr>
          <w:u w:val="none"/>
        </w:rPr>
      </w:pPr>
      <w:r w:rsidDel="00000000" w:rsidR="00000000" w:rsidRPr="00000000">
        <w:rPr>
          <w:rtl w:val="0"/>
        </w:rPr>
        <w:t xml:space="preserve">RabbitMQ: usuario module_&lt;modulo&gt; y su contraseña. Sirve para la conexión AMQPS del backend.</w:t>
      </w:r>
    </w:p>
    <w:p w:rsidR="00000000" w:rsidDel="00000000" w:rsidP="00000000" w:rsidRDefault="00000000" w:rsidRPr="00000000" w14:paraId="0000002A">
      <w:pPr>
        <w:numPr>
          <w:ilvl w:val="0"/>
          <w:numId w:val="1"/>
        </w:numPr>
        <w:spacing w:after="120" w:lineRule="auto"/>
        <w:ind w:left="720" w:hanging="360"/>
        <w:rPr>
          <w:u w:val="none"/>
        </w:rPr>
      </w:pPr>
      <w:r w:rsidDel="00000000" w:rsidR="00000000" w:rsidRPr="00000000">
        <w:rPr>
          <w:rtl w:val="0"/>
        </w:rPr>
        <w:t xml:space="preserve">API de máquina: nombre de módulo y secret de máquina. Se intercambian por un token para las llamadas HTTP autorizadas.</w:t>
      </w:r>
    </w:p>
    <w:p w:rsidR="00000000" w:rsidDel="00000000" w:rsidP="00000000" w:rsidRDefault="00000000" w:rsidRPr="00000000" w14:paraId="0000002B">
      <w:pPr>
        <w:spacing w:after="120" w:lineRule="auto"/>
        <w:rPr/>
      </w:pPr>
      <w:r w:rsidDel="00000000" w:rsidR="00000000" w:rsidRPr="00000000">
        <w:rPr>
          <w:rtl w:val="0"/>
        </w:rPr>
        <w:t xml:space="preserve">Las credenciales no son intercambiables. No se entrega el administrador de RabbitMQ, la clave SSH, las claves JWT ni credenciales de PostgreSQL. Cada ficha privada contiene únicamente el acceso de su módulo. Guardar secretos en la configuración privada del backend y excluirlos de Git, capturas, logs y variables públicas del frontend.</w:t>
      </w:r>
    </w:p>
    <w:p w:rsidR="00000000" w:rsidDel="00000000" w:rsidP="00000000" w:rsidRDefault="00000000" w:rsidRPr="00000000" w14:paraId="0000002C">
      <w:pPr>
        <w:pStyle w:val="heading1"/>
        <w:rPr>
          <w:sz w:val="36"/>
          <w:szCs w:val="36"/>
        </w:rPr>
      </w:pPr>
      <w:bookmarkStart w:colFirst="0" w:colLast="0" w:name="_6j8we1d15vwo" w:id="5"/>
      <w:bookmarkEnd w:id="5"/>
      <w:r w:rsidDel="00000000" w:rsidR="00000000" w:rsidRPr="00000000">
        <w:rPr>
          <w:sz w:val="36"/>
          <w:szCs w:val="36"/>
          <w:rtl w:val="0"/>
        </w:rPr>
        <w:t xml:space="preserve">4. Publicación por AMQPS</w:t>
      </w:r>
    </w:p>
    <w:p w:rsidR="00000000" w:rsidDel="00000000" w:rsidP="00000000" w:rsidRDefault="00000000" w:rsidRPr="00000000" w14:paraId="0000002D">
      <w:pPr>
        <w:spacing w:after="120" w:lineRule="auto"/>
        <w:rPr/>
      </w:pPr>
      <w:r w:rsidDel="00000000" w:rsidR="00000000" w:rsidRPr="00000000">
        <w:rPr>
          <w:rtl w:val="0"/>
        </w:rPr>
        <w:t xml:space="preserve">Publicar JSON en el exchange existente muni.inbox, con routing key vacía, content_type application/json y delivery_mode persistente. Activar publisher confirms, usar mandatory y manejar los mensajes devueltos y los errores de publicación. No declarar exchanges, colas o bindings activos: Core administra la topología.</w:t>
      </w:r>
    </w:p>
    <w:p w:rsidR="00000000" w:rsidDel="00000000" w:rsidP="00000000" w:rsidRDefault="00000000" w:rsidRPr="00000000" w14:paraId="0000002E">
      <w:pPr>
        <w:spacing w:after="120" w:lineRule="auto"/>
        <w:rPr/>
      </w:pPr>
      <w:r w:rsidDel="00000000" w:rsidR="00000000" w:rsidRPr="00000000">
        <w:rPr>
          <w:rtl w:val="0"/>
        </w:rPr>
        <w:t xml:space="preserve">El confirm acredita recepción por RabbitMQ, no validación por Core ni procesamiento por el destinatario. Conservar eventId para consultar el registro y coordinar la verificación. Ante una retransmisión del mismo hecho, conservar su eventId; no generar uno nuevo solo porque hubo timeout.</w:t>
      </w:r>
    </w:p>
    <w:p w:rsidR="00000000" w:rsidDel="00000000" w:rsidP="00000000" w:rsidRDefault="00000000" w:rsidRPr="00000000" w14:paraId="0000002F">
      <w:pPr>
        <w:pStyle w:val="heading1"/>
        <w:rPr>
          <w:sz w:val="36"/>
          <w:szCs w:val="36"/>
        </w:rPr>
      </w:pPr>
      <w:bookmarkStart w:colFirst="0" w:colLast="0" w:name="_qjbgcgoq54cu" w:id="6"/>
      <w:bookmarkEnd w:id="6"/>
      <w:r w:rsidDel="00000000" w:rsidR="00000000" w:rsidRPr="00000000">
        <w:rPr>
          <w:sz w:val="36"/>
          <w:szCs w:val="36"/>
          <w:rtl w:val="0"/>
        </w:rPr>
        <w:t xml:space="preserve">5. Sobre del evento</w:t>
      </w:r>
    </w:p>
    <w:p w:rsidR="00000000" w:rsidDel="00000000" w:rsidP="00000000" w:rsidRDefault="00000000" w:rsidRPr="00000000" w14:paraId="00000030">
      <w:pPr>
        <w:spacing w:after="120" w:lineRule="auto"/>
        <w:rPr/>
      </w:pPr>
      <w:r w:rsidDel="00000000" w:rsidR="00000000" w:rsidRPr="00000000">
        <w:rPr>
          <w:rtl w:val="0"/>
        </w:rPr>
        <w:t xml:space="preserve">Enviar los campos canónicos: eventId (UUID), eventType (nombre exacto acordado), eventVersion (por ejemplo 1.0), occurredAt (ISO-8601 con zona horaria), sourceModule (módulo registrado) y data (objeto del contrato de negocio). correlationId y causationId son UUID opcionales cuando corresponda. Los campos propios van dentro de data.</w:t>
      </w:r>
    </w:p>
    <w:p w:rsidR="00000000" w:rsidDel="00000000" w:rsidP="00000000" w:rsidRDefault="00000000" w:rsidRPr="00000000" w14:paraId="00000031">
      <w:pPr>
        <w:spacing w:after="120" w:lineRule="auto"/>
        <w:rPr/>
      </w:pPr>
      <w:r w:rsidDel="00000000" w:rsidR="00000000" w:rsidRPr="00000000">
        <w:rPr>
          <w:rtl w:val="0"/>
        </w:rPr>
        <w:t xml:space="preserve">Ejemplo ilustrativo del sobre; el payload debe acordarse antes de usarlo y los identificadores deben generarse para la prueba:</w:t>
      </w:r>
    </w:p>
    <w:p w:rsidR="00000000" w:rsidDel="00000000" w:rsidP="00000000" w:rsidRDefault="00000000" w:rsidRPr="00000000" w14:paraId="00000032">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3">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"eventId": "&lt;UUID-NUEVO&gt;",</w:t>
      </w:r>
    </w:p>
    <w:p w:rsidR="00000000" w:rsidDel="00000000" w:rsidP="00000000" w:rsidRDefault="00000000" w:rsidRPr="00000000" w14:paraId="00000034">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"eventType": "&lt;tipoAcordado&gt;",</w:t>
      </w:r>
    </w:p>
    <w:p w:rsidR="00000000" w:rsidDel="00000000" w:rsidP="00000000" w:rsidRDefault="00000000" w:rsidRPr="00000000" w14:paraId="00000035">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"eventVersion": "1.0",</w:t>
      </w:r>
    </w:p>
    <w:p w:rsidR="00000000" w:rsidDel="00000000" w:rsidP="00000000" w:rsidRDefault="00000000" w:rsidRPr="00000000" w14:paraId="00000036">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"occurredAt": "2026-10-20T15:00:00-03:00",</w:t>
      </w:r>
    </w:p>
    <w:p w:rsidR="00000000" w:rsidDel="00000000" w:rsidP="00000000" w:rsidRDefault="00000000" w:rsidRPr="00000000" w14:paraId="00000037">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"sourceModule": "&lt;modulo&gt;",</w:t>
      </w:r>
    </w:p>
    <w:p w:rsidR="00000000" w:rsidDel="00000000" w:rsidP="00000000" w:rsidRDefault="00000000" w:rsidRPr="00000000" w14:paraId="00000038">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 {"&lt;campoAcordado&gt;": "&lt;valorFicticio&gt;"}</w:t>
      </w:r>
    </w:p>
    <w:p w:rsidR="00000000" w:rsidDel="00000000" w:rsidP="00000000" w:rsidRDefault="00000000" w:rsidRPr="00000000" w14:paraId="00000039">
      <w:pPr>
        <w:spacing w:after="12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A">
      <w:pPr>
        <w:spacing w:after="120" w:lineRule="auto"/>
        <w:rPr/>
      </w:pPr>
      <w:r w:rsidDel="00000000" w:rsidR="00000000" w:rsidRPr="00000000">
        <w:rPr>
          <w:rtl w:val="0"/>
        </w:rPr>
        <w:t xml:space="preserve">Los nombres de módulo usados actualmente son ciudadanos, atencion-ciudadana, obras, habilitaciones, rentas, desarrollo-social, transito y ambiente. No convertirlos automáticamente a camelCase: esa convención se aplica a los tipos de evento, pero estos identificadores de módulo conservan su forma registrada.</w:t>
      </w:r>
    </w:p>
    <w:p w:rsidR="00000000" w:rsidDel="00000000" w:rsidP="00000000" w:rsidRDefault="00000000" w:rsidRPr="00000000" w14:paraId="0000003B">
      <w:pPr>
        <w:spacing w:after="120" w:lineRule="auto"/>
        <w:rPr/>
      </w:pPr>
      <w:r w:rsidDel="00000000" w:rsidR="00000000" w:rsidRPr="00000000">
        <w:rPr>
          <w:rtl w:val="0"/>
        </w:rPr>
        <w:t xml:space="preserve">Limitación actual: el worker AMQP no vincula el usuario RabbitMQ con sourceModule. Los permisos aíslan el consumo de colas, pero no autentican ese campo del cuerpo. Declarar exclusivamente el módulo propio; el control técnico adicional de identidad está pendiente en Core.</w:t>
      </w:r>
    </w:p>
    <w:p w:rsidR="00000000" w:rsidDel="00000000" w:rsidP="00000000" w:rsidRDefault="00000000" w:rsidRPr="00000000" w14:paraId="0000003C">
      <w:pPr>
        <w:pStyle w:val="heading1"/>
        <w:rPr>
          <w:sz w:val="36"/>
          <w:szCs w:val="36"/>
        </w:rPr>
      </w:pPr>
      <w:bookmarkStart w:colFirst="0" w:colLast="0" w:name="_xdk935h4iixz" w:id="7"/>
      <w:bookmarkEnd w:id="7"/>
      <w:r w:rsidDel="00000000" w:rsidR="00000000" w:rsidRPr="00000000">
        <w:rPr>
          <w:sz w:val="36"/>
          <w:szCs w:val="36"/>
          <w:rtl w:val="0"/>
        </w:rPr>
        <w:t xml:space="preserve">6. Consumo, confirmaciones y reintentos</w:t>
      </w:r>
    </w:p>
    <w:p w:rsidR="00000000" w:rsidDel="00000000" w:rsidP="00000000" w:rsidRDefault="00000000" w:rsidRPr="00000000" w14:paraId="0000003D">
      <w:pPr>
        <w:spacing w:after="120" w:lineRule="auto"/>
        <w:rPr/>
      </w:pPr>
      <w:r w:rsidDel="00000000" w:rsidR="00000000" w:rsidRPr="00000000">
        <w:rPr>
          <w:rtl w:val="0"/>
        </w:rPr>
        <w:t xml:space="preserve">Consumir únicamente la cola asignada, q.&lt;modulo&gt;, con confirmación manual. Se puede consultar su existencia mediante declaración pasiva, sin crear recursos. Si el cliente intenta declarar activamente o crear bindings al arrancar, debe desactivar ese comportamiento.</w:t>
      </w:r>
    </w:p>
    <w:p w:rsidR="00000000" w:rsidDel="00000000" w:rsidP="00000000" w:rsidRDefault="00000000" w:rsidRPr="00000000" w14:paraId="0000003E">
      <w:pPr>
        <w:numPr>
          <w:ilvl w:val="0"/>
          <w:numId w:val="4"/>
        </w:numPr>
        <w:spacing w:after="0" w:afterAutospacing="0" w:lineRule="auto"/>
        <w:ind w:left="720" w:hanging="360"/>
        <w:rPr>
          <w:u w:val="none"/>
        </w:rPr>
      </w:pPr>
      <w:r w:rsidDel="00000000" w:rsidR="00000000" w:rsidRPr="00000000">
        <w:rPr>
          <w:rtl w:val="0"/>
        </w:rPr>
        <w:t xml:space="preserve">Después de guardar y procesar correctamente el resultado: ack.</w:t>
      </w:r>
    </w:p>
    <w:p w:rsidR="00000000" w:rsidDel="00000000" w:rsidP="00000000" w:rsidRDefault="00000000" w:rsidRPr="00000000" w14:paraId="0000003F">
      <w:pPr>
        <w:numPr>
          <w:ilvl w:val="0"/>
          <w:numId w:val="4"/>
        </w:numPr>
        <w:spacing w:after="0" w:afterAutospacing="0" w:lineRule="auto"/>
        <w:ind w:left="720" w:hanging="360"/>
        <w:rPr>
          <w:u w:val="none"/>
        </w:rPr>
      </w:pPr>
      <w:r w:rsidDel="00000000" w:rsidR="00000000" w:rsidRPr="00000000">
        <w:rPr>
          <w:rtl w:val="0"/>
        </w:rPr>
        <w:t xml:space="preserve">Ante fallo de procesamiento: nack/reject con requeue=false, según el flujo acordado. Evitar requeue=true como estrategia automática porque puede generar un bucle.</w:t>
      </w:r>
    </w:p>
    <w:p w:rsidR="00000000" w:rsidDel="00000000" w:rsidP="00000000" w:rsidRDefault="00000000" w:rsidRPr="00000000" w14:paraId="00000040">
      <w:pPr>
        <w:numPr>
          <w:ilvl w:val="0"/>
          <w:numId w:val="4"/>
        </w:numPr>
        <w:spacing w:after="120" w:lineRule="auto"/>
        <w:ind w:left="720" w:hanging="360"/>
        <w:rPr>
          <w:u w:val="none"/>
        </w:rPr>
      </w:pPr>
      <w:r w:rsidDel="00000000" w:rsidR="00000000" w:rsidRPr="00000000">
        <w:rPr>
          <w:rtl w:val="0"/>
        </w:rPr>
        <w:t xml:space="preserve">Implementar idempotencia por eventId. Puede haber duplicados y cambios de orden; un reinicio entre guardar y confirmar puede causar una redelivery.</w:t>
      </w:r>
    </w:p>
    <w:p w:rsidR="00000000" w:rsidDel="00000000" w:rsidP="00000000" w:rsidRDefault="00000000" w:rsidRPr="00000000" w14:paraId="00000041">
      <w:pPr>
        <w:spacing w:after="120" w:lineRule="auto"/>
        <w:rPr/>
      </w:pPr>
      <w:r w:rsidDel="00000000" w:rsidR="00000000" w:rsidRPr="00000000">
        <w:rPr>
          <w:rtl w:val="0"/>
        </w:rPr>
        <w:t xml:space="preserve">Core correlaciona los rechazos con la entrega y programa reintentos. Hay escalones de 5 s, 30 s, 2 min y 10 min; los usados dependen del intento y del máximo configurado. maxAttempts=4 representa hasta cuatro intentos totales, incluido el inicial. Al agotarlos se registra una entrega fallida y una dead letter para intervención de Core. No consumir la DLQ de infraestructura ni republicar por cuenta propia en sus exchanges.</w:t>
      </w:r>
    </w:p>
    <w:p w:rsidR="00000000" w:rsidDel="00000000" w:rsidP="00000000" w:rsidRDefault="00000000" w:rsidRPr="00000000" w14:paraId="00000042">
      <w:pPr>
        <w:spacing w:after="120" w:lineRule="auto"/>
        <w:rPr/>
      </w:pPr>
      <w:r w:rsidDel="00000000" w:rsidR="00000000" w:rsidRPr="00000000">
        <w:rPr>
          <w:rtl w:val="0"/>
        </w:rPr>
        <w:t xml:space="preserve">Un rechazo AMQP no transporta por sí solo un motivo de negocio detallado. El ack, el confirm del broker y un estado de entrega de Core no deben presentarse como prueba de que terminó el trámite de negocio. Si el contrato exige un evento de error o respuesta, acordar por separado su nombre, schema, correlación y destinatario; esta guía no define un evento genérico de error.</w:t>
      </w:r>
    </w:p>
    <w:p w:rsidR="00000000" w:rsidDel="00000000" w:rsidP="00000000" w:rsidRDefault="00000000" w:rsidRPr="00000000" w14:paraId="00000043">
      <w:pPr>
        <w:pStyle w:val="heading1"/>
        <w:rPr>
          <w:sz w:val="36"/>
          <w:szCs w:val="36"/>
        </w:rPr>
      </w:pPr>
      <w:bookmarkStart w:colFirst="0" w:colLast="0" w:name="_ir5n7ncbd4ya" w:id="8"/>
      <w:bookmarkEnd w:id="8"/>
      <w:r w:rsidDel="00000000" w:rsidR="00000000" w:rsidRPr="00000000">
        <w:rPr>
          <w:sz w:val="36"/>
          <w:szCs w:val="36"/>
          <w:rtl w:val="0"/>
        </w:rPr>
        <w:t xml:space="preserve">7. Registro y consultas HTTP</w:t>
      </w:r>
    </w:p>
    <w:p w:rsidR="00000000" w:rsidDel="00000000" w:rsidP="00000000" w:rsidRDefault="00000000" w:rsidRPr="00000000" w14:paraId="00000044">
      <w:pPr>
        <w:spacing w:after="120" w:lineRule="auto"/>
        <w:rPr/>
      </w:pPr>
      <w:r w:rsidDel="00000000" w:rsidR="00000000" w:rsidRPr="00000000">
        <w:rPr>
          <w:rtl w:val="0"/>
        </w:rPr>
        <w:t xml:space="preserve">Base API: https://core-uade-2026.duckdns.org/api/v1. Obtener el token mediante POST /auth/module-token con JSON {"module":"&lt;modulo&gt;","secret":"&lt;secret-privado&gt;"}. Usar accessToken como Bearer en las llamadas siguientes y renovarlo según expiresIn; no hay refresh token.</w:t>
      </w:r>
    </w:p>
    <w:p w:rsidR="00000000" w:rsidDel="00000000" w:rsidP="00000000" w:rsidRDefault="00000000" w:rsidRPr="00000000" w14:paraId="00000045">
      <w:pPr>
        <w:spacing w:after="120" w:lineRule="auto"/>
        <w:rPr/>
      </w:pPr>
      <w:r w:rsidDel="00000000" w:rsidR="00000000" w:rsidRPr="00000000">
        <w:rPr>
          <w:rtl w:val="0"/>
        </w:rPr>
        <w:t xml:space="preserve">Consultar GET /subscriptions y GET /publications antes de registrar. Para crear una suscripción propia: POST /subscriptions con {"eventType":"&lt;tipoAcordado&gt;","maxAttempts":4}. Para declarar una publicación propia: POST /publications con {"eventType":"&lt;tipoAcordado&gt;"}. Omitir module para usar el módulo autenticado. Las publicaciones declaradas documentan el mapa de integración: no equivalen a un permiso de publicación.</w:t>
      </w:r>
    </w:p>
    <w:p w:rsidR="00000000" w:rsidDel="00000000" w:rsidP="00000000" w:rsidRDefault="00000000" w:rsidRPr="00000000" w14:paraId="00000046">
      <w:pPr>
        <w:spacing w:after="120" w:lineRule="auto"/>
        <w:rPr/>
      </w:pPr>
      <w:r w:rsidDel="00000000" w:rsidR="00000000" w:rsidRPr="00000000">
        <w:rPr>
          <w:rtl w:val="0"/>
        </w:rPr>
        <w:t xml:space="preserve">Repetir secuencialmente una declaración existente reutiliza el registro, pero tiene efectos: una suscripción vuelve a active=true y cambia maxAttempts; una publicación se reactiva. Estos POST responden 201 también al reutilizar registros. No ejecutarlos ciegamente en cada reinicio ni prometer seguridad frente a llamadas concurrentes: consultar primero y crear solo lo faltante o aplicar una actualización deliberada. Un 201 tampoco prueba que la topología ya se aplicó al broker; verificar la cola y coordinar con Core si no existe.</w:t>
      </w:r>
    </w:p>
    <w:p w:rsidR="00000000" w:rsidDel="00000000" w:rsidP="00000000" w:rsidRDefault="00000000" w:rsidRPr="00000000" w14:paraId="00000047">
      <w:pPr>
        <w:pStyle w:val="heading1"/>
        <w:rPr>
          <w:sz w:val="36"/>
          <w:szCs w:val="36"/>
        </w:rPr>
      </w:pPr>
      <w:bookmarkStart w:colFirst="0" w:colLast="0" w:name="_trxl3kh2bsqg" w:id="9"/>
      <w:bookmarkEnd w:id="9"/>
      <w:r w:rsidDel="00000000" w:rsidR="00000000" w:rsidRPr="00000000">
        <w:rPr>
          <w:sz w:val="36"/>
          <w:szCs w:val="36"/>
          <w:rtl w:val="0"/>
        </w:rPr>
        <w:t xml:space="preserve">8. Primera prueba coordinada</w:t>
      </w:r>
    </w:p>
    <w:p w:rsidR="00000000" w:rsidDel="00000000" w:rsidP="00000000" w:rsidRDefault="00000000" w:rsidRPr="00000000" w14:paraId="00000048">
      <w:pPr>
        <w:numPr>
          <w:ilvl w:val="0"/>
          <w:numId w:val="2"/>
        </w:numPr>
        <w:spacing w:after="0" w:afterAutospacing="0" w:lineRule="auto"/>
        <w:ind w:left="720" w:hanging="360"/>
        <w:rPr>
          <w:u w:val="none"/>
        </w:rPr>
      </w:pPr>
      <w:r w:rsidDel="00000000" w:rsidR="00000000" w:rsidRPr="00000000">
        <w:rPr>
          <w:rtl w:val="0"/>
        </w:rPr>
        <w:t xml:space="preserve">Core verifica credenciales del módulo y habilita las IP de salida acordadas.</w:t>
      </w:r>
    </w:p>
    <w:p w:rsidR="00000000" w:rsidDel="00000000" w:rsidP="00000000" w:rsidRDefault="00000000" w:rsidRPr="00000000" w14:paraId="00000049">
      <w:pPr>
        <w:numPr>
          <w:ilvl w:val="0"/>
          <w:numId w:val="2"/>
        </w:numPr>
        <w:spacing w:after="0" w:afterAutospacing="0" w:lineRule="auto"/>
        <w:ind w:left="720" w:hanging="360"/>
        <w:rPr>
          <w:u w:val="none"/>
        </w:rPr>
      </w:pPr>
      <w:r w:rsidDel="00000000" w:rsidR="00000000" w:rsidRPr="00000000">
        <w:rPr>
          <w:rtl w:val="0"/>
        </w:rPr>
        <w:t xml:space="preserve">El equipo verifica conexión TCP al 5671, validación TLS y autenticación AMQPS.</w:t>
      </w:r>
    </w:p>
    <w:p w:rsidR="00000000" w:rsidDel="00000000" w:rsidP="00000000" w:rsidRDefault="00000000" w:rsidRPr="00000000" w14:paraId="0000004A">
      <w:pPr>
        <w:numPr>
          <w:ilvl w:val="0"/>
          <w:numId w:val="2"/>
        </w:numPr>
        <w:spacing w:after="0" w:afterAutospacing="0" w:lineRule="auto"/>
        <w:ind w:left="720" w:hanging="360"/>
        <w:rPr>
          <w:u w:val="none"/>
        </w:rPr>
      </w:pPr>
      <w:r w:rsidDel="00000000" w:rsidR="00000000" w:rsidRPr="00000000">
        <w:rPr>
          <w:rtl w:val="0"/>
        </w:rPr>
        <w:t xml:space="preserve">El consumidor comprueba pasivamente su cola y comienza el consumo sin purgar mensajes.</w:t>
      </w:r>
    </w:p>
    <w:p w:rsidR="00000000" w:rsidDel="00000000" w:rsidP="00000000" w:rsidRDefault="00000000" w:rsidRPr="00000000" w14:paraId="0000004B">
      <w:pPr>
        <w:numPr>
          <w:ilvl w:val="0"/>
          <w:numId w:val="2"/>
        </w:numPr>
        <w:spacing w:after="0" w:afterAutospacing="0" w:lineRule="auto"/>
        <w:ind w:left="720" w:hanging="360"/>
        <w:rPr>
          <w:u w:val="none"/>
        </w:rPr>
      </w:pPr>
      <w:r w:rsidDel="00000000" w:rsidR="00000000" w:rsidRPr="00000000">
        <w:rPr>
          <w:rtl w:val="0"/>
        </w:rPr>
        <w:t xml:space="preserve">Emisor, destinatario y Core acuerdan tipo, versión, payload ficticio y horario.</w:t>
      </w:r>
    </w:p>
    <w:p w:rsidR="00000000" w:rsidDel="00000000" w:rsidP="00000000" w:rsidRDefault="00000000" w:rsidRPr="00000000" w14:paraId="0000004C">
      <w:pPr>
        <w:numPr>
          <w:ilvl w:val="0"/>
          <w:numId w:val="2"/>
        </w:numPr>
        <w:spacing w:after="0" w:afterAutospacing="0" w:lineRule="auto"/>
        <w:ind w:left="720" w:hanging="360"/>
        <w:rPr>
          <w:u w:val="none"/>
        </w:rPr>
      </w:pPr>
      <w:r w:rsidDel="00000000" w:rsidR="00000000" w:rsidRPr="00000000">
        <w:rPr>
          <w:rtl w:val="0"/>
        </w:rPr>
        <w:t xml:space="preserve">El emisor publica un evento nuevo y conserva su eventId y el resultado del publisher confirm.</w:t>
      </w:r>
    </w:p>
    <w:p w:rsidR="00000000" w:rsidDel="00000000" w:rsidP="00000000" w:rsidRDefault="00000000" w:rsidRPr="00000000" w14:paraId="0000004D">
      <w:pPr>
        <w:numPr>
          <w:ilvl w:val="0"/>
          <w:numId w:val="2"/>
        </w:numPr>
        <w:spacing w:after="0" w:afterAutospacing="0" w:lineRule="auto"/>
        <w:ind w:left="720" w:hanging="360"/>
        <w:rPr>
          <w:u w:val="none"/>
        </w:rPr>
      </w:pPr>
      <w:r w:rsidDel="00000000" w:rsidR="00000000" w:rsidRPr="00000000">
        <w:rPr>
          <w:rtl w:val="0"/>
        </w:rPr>
        <w:t xml:space="preserve">Core verifica el registro y el ruteo; el destinatario comprueba recepción y procesamiento y confirma el mensaje.</w:t>
      </w:r>
    </w:p>
    <w:p w:rsidR="00000000" w:rsidDel="00000000" w:rsidP="00000000" w:rsidRDefault="00000000" w:rsidRPr="00000000" w14:paraId="0000004E">
      <w:pPr>
        <w:numPr>
          <w:ilvl w:val="0"/>
          <w:numId w:val="2"/>
        </w:numPr>
        <w:spacing w:after="120" w:lineRule="auto"/>
        <w:ind w:left="720" w:hanging="360"/>
        <w:rPr>
          <w:u w:val="none"/>
        </w:rPr>
      </w:pPr>
      <w:r w:rsidDel="00000000" w:rsidR="00000000" w:rsidRPr="00000000">
        <w:rPr>
          <w:rtl w:val="0"/>
        </w:rPr>
        <w:t xml:space="preserve">Se registra eventId, fecha, participantes y resultado. La prueba de reintento o duplicado se hace aparte y con alcance acordado.</w:t>
      </w:r>
    </w:p>
    <w:p w:rsidR="00000000" w:rsidDel="00000000" w:rsidP="00000000" w:rsidRDefault="00000000" w:rsidRPr="00000000" w14:paraId="0000004F">
      <w:pPr>
        <w:spacing w:after="120" w:lineRule="auto"/>
        <w:rPr/>
      </w:pPr>
      <w:r w:rsidDel="00000000" w:rsidR="00000000" w:rsidRPr="00000000">
        <w:rPr>
          <w:rtl w:val="0"/>
        </w:rPr>
        <w:t xml:space="preserve">No purgar colas, consumir colas ajenas, reutilizar IDs históricos de pruebas ni enviar datos reales de ciudadanos. Ante un fallo, informar etapa, hora y zona horaria, eventId si existe y error redactado sin tokens ni contraseñas. Un timeout de conexión, un rechazo TLS, un fallo de autenticación y una denegación de permisos requieren diagnósticos diferentes.</w:t>
      </w:r>
    </w:p>
    <w:p w:rsidR="00000000" w:rsidDel="00000000" w:rsidP="00000000" w:rsidRDefault="00000000" w:rsidRPr="00000000" w14:paraId="00000050">
      <w:pPr>
        <w:pStyle w:val="heading1"/>
        <w:rPr>
          <w:sz w:val="36"/>
          <w:szCs w:val="36"/>
        </w:rPr>
      </w:pPr>
      <w:bookmarkStart w:colFirst="0" w:colLast="0" w:name="_4qqi8zro0sqr" w:id="10"/>
      <w:bookmarkEnd w:id="10"/>
      <w:r w:rsidDel="00000000" w:rsidR="00000000" w:rsidRPr="00000000">
        <w:rPr>
          <w:sz w:val="36"/>
          <w:szCs w:val="36"/>
          <w:rtl w:val="0"/>
        </w:rPr>
        <w:t xml:space="preserve">9. Pendientes antes de distribuir</w:t>
      </w:r>
    </w:p>
    <w:p w:rsidR="00000000" w:rsidDel="00000000" w:rsidP="00000000" w:rsidRDefault="00000000" w:rsidRPr="00000000" w14:paraId="00000051">
      <w:pPr>
        <w:spacing w:after="120" w:lineRule="auto"/>
        <w:rPr/>
      </w:pPr>
      <w:r w:rsidDel="00000000" w:rsidR="00000000" w:rsidRPr="00000000">
        <w:rPr>
          <w:rtl w:val="0"/>
        </w:rPr>
        <w:t xml:space="preserve">Core debe verificar las credenciales actuales y el acceso de cada equipo. Para Obras, la última consulta de base aportada confirmó diez suscripciones; falta contrastar su lista de nueve y acordar cuál difiere. Para Tránsito, resolver streetClousureEnded frente a streetClosureEnded y confirmar streetClosureActivated con los equipos involucrados. No eliminar alias, dar por aprobados esos eventos ni cambiar suscripciones como parte de esta entrega.</w:t>
      </w:r>
    </w:p>
    <w:p w:rsidR="00000000" w:rsidDel="00000000" w:rsidP="00000000" w:rsidRDefault="00000000" w:rsidRPr="00000000" w14:paraId="00000052">
      <w:pPr>
        <w:spacing w:after="120" w:lineRule="auto"/>
        <w:rPr/>
      </w:pPr>
      <w:r w:rsidDel="00000000" w:rsidR="00000000" w:rsidRPr="00000000">
        <w:rPr>
          <w:rtl w:val="0"/>
        </w:rPr>
        <w:t xml:space="preserve">Esta guía es un borrador común. La apertura de red y la prueba de cada módulo siguen pendientes hasta registrar su resultado. El despliegue y CI/CD operativos no equivalen a integración completa de los ocho grupos.</w:t>
      </w:r>
    </w:p>
    <w:p w:rsidR="00000000" w:rsidDel="00000000" w:rsidP="00000000" w:rsidRDefault="00000000" w:rsidRPr="00000000" w14:paraId="00000053">
      <w:pPr>
        <w:pStyle w:val="heading1"/>
        <w:rPr>
          <w:sz w:val="36"/>
          <w:szCs w:val="36"/>
        </w:rPr>
      </w:pPr>
      <w:bookmarkStart w:colFirst="0" w:colLast="0" w:name="_pja42jrg51p8" w:id="11"/>
      <w:bookmarkEnd w:id="11"/>
      <w:r w:rsidDel="00000000" w:rsidR="00000000" w:rsidRPr="00000000">
        <w:rPr>
          <w:sz w:val="36"/>
          <w:szCs w:val="36"/>
          <w:rtl w:val="0"/>
        </w:rPr>
        <w:t xml:space="preserve">Referencia técnica</w:t>
      </w:r>
    </w:p>
    <w:p w:rsidR="00000000" w:rsidDel="00000000" w:rsidP="00000000" w:rsidRDefault="00000000" w:rsidRPr="00000000" w14:paraId="00000054">
      <w:pPr>
        <w:spacing w:after="120" w:lineRule="auto"/>
        <w:rPr/>
      </w:pPr>
      <w:r w:rsidDel="00000000" w:rsidR="00000000" w:rsidRPr="00000000">
        <w:rPr>
          <w:rtl w:val="0"/>
        </w:rPr>
        <w:t xml:space="preserve">Configuración y código revisados: commit 2d4ff92b9ed4ed70789084eff1209a803bb56277. Guía operativa previa: docs/integracion-aws.md. Rutas y comportamiento: backend/app/api/v1/auth.py, registry.py, schemas/dto.py y services/registry_service.py. El estado del registry y los permisos reales pueden cambiar: verificarlos en el servidor antes de cada habilitación.</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