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21F78415">
      <w:pPr>
        <w:pStyle w:val="24"/>
        <w:tabs>
          <w:tab w:val="right" w:leader="dot" w:pos="8312"/>
        </w:tabs>
      </w:pPr>
      <w:bookmarkStart w:id="70" w:name="_GoBack"/>
      <w:bookmarkEnd w:id="70"/>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_Toc1190439376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_Toc1190439376 \h </w:instrText>
      </w:r>
      <w:r>
        <w:fldChar w:fldCharType="separate"/>
      </w:r>
      <w:r>
        <w:t>5</w:t>
      </w:r>
      <w:r>
        <w:fldChar w:fldCharType="end"/>
      </w:r>
      <w:r>
        <w:rPr>
          <w:rFonts w:hint="eastAsia" w:ascii="宋体" w:hAnsi="宋体"/>
        </w:rPr>
        <w:fldChar w:fldCharType="end"/>
      </w:r>
    </w:p>
    <w:p w14:paraId="538FA54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_Toc1756936980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二、 </w:t>
      </w:r>
      <w:r>
        <w:rPr>
          <w:rFonts w:ascii="黑体" w:hAnsi="黑体" w:eastAsia="黑体"/>
        </w:rPr>
        <w:t>SCOS全局供应链优化与协同系统功能描述</w:t>
      </w:r>
      <w:r>
        <w:tab/>
      </w:r>
      <w:r>
        <w:fldChar w:fldCharType="begin"/>
      </w:r>
      <w:r>
        <w:instrText xml:space="preserve"> PAGEREF _Toc1756936980 \h </w:instrText>
      </w:r>
      <w:r>
        <w:fldChar w:fldCharType="separate"/>
      </w:r>
      <w:r>
        <w:t>5</w:t>
      </w:r>
      <w:r>
        <w:fldChar w:fldCharType="end"/>
      </w:r>
      <w:r>
        <w:rPr>
          <w:rFonts w:hint="eastAsia" w:ascii="宋体" w:hAnsi="宋体" w:eastAsia="宋体"/>
          <w:kern w:val="2"/>
          <w:lang w:val="en-US" w:eastAsia="zh-CN" w:bidi="ar-SA"/>
        </w:rPr>
        <w:fldChar w:fldCharType="end"/>
      </w:r>
    </w:p>
    <w:p w14:paraId="23ADFE1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_Toc939676610 </w:instrText>
      </w:r>
      <w:r>
        <w:rPr>
          <w:rFonts w:hint="eastAsia" w:ascii="宋体" w:hAnsi="宋体" w:eastAsia="宋体"/>
          <w:kern w:val="2"/>
          <w:lang w:val="en-US" w:eastAsia="zh-CN" w:bidi="ar-SA"/>
        </w:rPr>
        <w:fldChar w:fldCharType="separate"/>
      </w:r>
      <w:r>
        <w:rPr>
          <w:rFonts w:hint="eastAsia"/>
        </w:rPr>
        <w:t xml:space="preserve">2.1 </w:t>
      </w:r>
      <w:r>
        <w:rPr>
          <w:rFonts w:ascii="黑体" w:hAnsi="黑体" w:eastAsia="黑体"/>
        </w:rPr>
        <w:t>系统定位与建设目标</w:t>
      </w:r>
      <w:r>
        <w:tab/>
      </w:r>
      <w:r>
        <w:fldChar w:fldCharType="begin"/>
      </w:r>
      <w:r>
        <w:instrText xml:space="preserve"> PAGEREF _Toc939676610 \h </w:instrText>
      </w:r>
      <w:r>
        <w:fldChar w:fldCharType="separate"/>
      </w:r>
      <w:r>
        <w:t>5</w:t>
      </w:r>
      <w:r>
        <w:fldChar w:fldCharType="end"/>
      </w:r>
      <w:r>
        <w:rPr>
          <w:rFonts w:hint="eastAsia" w:ascii="宋体" w:hAnsi="宋体" w:eastAsia="宋体"/>
          <w:kern w:val="2"/>
          <w:lang w:val="en-US" w:eastAsia="zh-CN" w:bidi="ar-SA"/>
        </w:rPr>
        <w:fldChar w:fldCharType="end"/>
      </w:r>
    </w:p>
    <w:p w14:paraId="1FA2CFA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_Toc550044232 </w:instrText>
      </w:r>
      <w:r>
        <w:rPr>
          <w:rFonts w:hint="eastAsia" w:ascii="宋体" w:hAnsi="宋体" w:eastAsia="宋体"/>
          <w:kern w:val="2"/>
          <w:lang w:val="en-US" w:eastAsia="zh-CN" w:bidi="ar-SA"/>
        </w:rPr>
        <w:fldChar w:fldCharType="separate"/>
      </w:r>
      <w:r>
        <w:rPr>
          <w:rFonts w:hint="eastAsia"/>
        </w:rPr>
        <w:t xml:space="preserve">2.2 </w:t>
      </w:r>
      <w:r>
        <w:rPr>
          <w:rFonts w:ascii="黑体" w:hAnsi="黑体" w:eastAsia="黑体"/>
        </w:rPr>
        <w:t>系统职责边界与周边系统分工</w:t>
      </w:r>
      <w:r>
        <w:tab/>
      </w:r>
      <w:r>
        <w:fldChar w:fldCharType="begin"/>
      </w:r>
      <w:r>
        <w:instrText xml:space="preserve"> PAGEREF _Toc550044232 \h </w:instrText>
      </w:r>
      <w:r>
        <w:fldChar w:fldCharType="separate"/>
      </w:r>
      <w:r>
        <w:t>5</w:t>
      </w:r>
      <w:r>
        <w:fldChar w:fldCharType="end"/>
      </w:r>
      <w:r>
        <w:rPr>
          <w:rFonts w:hint="eastAsia" w:ascii="宋体" w:hAnsi="宋体" w:eastAsia="宋体"/>
          <w:kern w:val="2"/>
          <w:lang w:val="en-US" w:eastAsia="zh-CN" w:bidi="ar-SA"/>
        </w:rPr>
        <w:fldChar w:fldCharType="end"/>
      </w:r>
    </w:p>
    <w:p w14:paraId="4897E49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_Toc1823790536 </w:instrText>
      </w:r>
      <w:r>
        <w:rPr>
          <w:rFonts w:hint="eastAsia" w:ascii="宋体" w:hAnsi="宋体" w:eastAsia="宋体"/>
          <w:kern w:val="2"/>
          <w:lang w:val="en-US" w:eastAsia="zh-CN" w:bidi="ar-SA"/>
        </w:rPr>
        <w:fldChar w:fldCharType="separate"/>
      </w:r>
      <w:r>
        <w:rPr>
          <w:rFonts w:hint="eastAsia"/>
        </w:rPr>
        <w:t xml:space="preserve">2.3 </w:t>
      </w:r>
      <w:r>
        <w:rPr>
          <w:rFonts w:ascii="黑体" w:hAnsi="黑体" w:eastAsia="黑体"/>
        </w:rPr>
        <w:t>系统功能视图</w:t>
      </w:r>
      <w:r>
        <w:tab/>
      </w:r>
      <w:r>
        <w:fldChar w:fldCharType="begin"/>
      </w:r>
      <w:r>
        <w:instrText xml:space="preserve"> PAGEREF _Toc1823790536 \h </w:instrText>
      </w:r>
      <w:r>
        <w:fldChar w:fldCharType="separate"/>
      </w:r>
      <w:r>
        <w:t>6</w:t>
      </w:r>
      <w:r>
        <w:fldChar w:fldCharType="end"/>
      </w:r>
      <w:r>
        <w:rPr>
          <w:rFonts w:hint="eastAsia" w:ascii="宋体" w:hAnsi="宋体" w:eastAsia="宋体"/>
          <w:kern w:val="2"/>
          <w:lang w:val="en-US" w:eastAsia="zh-CN" w:bidi="ar-SA"/>
        </w:rPr>
        <w:fldChar w:fldCharType="end"/>
      </w:r>
    </w:p>
    <w:p w14:paraId="420567E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_Toc1413444921 </w:instrText>
      </w:r>
      <w:r>
        <w:rPr>
          <w:rFonts w:hint="eastAsia" w:ascii="宋体" w:hAnsi="宋体" w:eastAsia="宋体"/>
          <w:kern w:val="2"/>
          <w:lang w:val="en-US" w:eastAsia="zh-CN" w:bidi="ar-SA"/>
        </w:rPr>
        <w:fldChar w:fldCharType="separate"/>
      </w:r>
      <w:r>
        <w:rPr>
          <w:rFonts w:hint="eastAsia"/>
        </w:rPr>
        <w:t xml:space="preserve">2.4 </w:t>
      </w:r>
      <w:r>
        <w:rPr>
          <w:rFonts w:ascii="黑体" w:hAnsi="黑体" w:eastAsia="黑体"/>
        </w:rPr>
        <w:t>系统一级功能清单</w:t>
      </w:r>
      <w:r>
        <w:tab/>
      </w:r>
      <w:r>
        <w:fldChar w:fldCharType="begin"/>
      </w:r>
      <w:r>
        <w:instrText xml:space="preserve"> PAGEREF _Toc1413444921 \h </w:instrText>
      </w:r>
      <w:r>
        <w:fldChar w:fldCharType="separate"/>
      </w:r>
      <w:r>
        <w:t>12</w:t>
      </w:r>
      <w:r>
        <w:fldChar w:fldCharType="end"/>
      </w:r>
      <w:r>
        <w:rPr>
          <w:rFonts w:hint="eastAsia" w:ascii="宋体" w:hAnsi="宋体" w:eastAsia="宋体"/>
          <w:kern w:val="2"/>
          <w:lang w:val="en-US" w:eastAsia="zh-CN" w:bidi="ar-SA"/>
        </w:rPr>
        <w:fldChar w:fldCharType="end"/>
      </w:r>
    </w:p>
    <w:p w14:paraId="3314EA2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_Toc304684133 </w:instrText>
      </w:r>
      <w:r>
        <w:rPr>
          <w:rFonts w:hint="eastAsia" w:ascii="宋体" w:hAnsi="宋体" w:eastAsia="宋体"/>
          <w:kern w:val="2"/>
          <w:lang w:val="en-US" w:eastAsia="zh-CN" w:bidi="ar-SA"/>
        </w:rPr>
        <w:fldChar w:fldCharType="separate"/>
      </w:r>
      <w:r>
        <w:rPr>
          <w:rFonts w:hint="eastAsia"/>
        </w:rPr>
        <w:t xml:space="preserve">2.5 </w:t>
      </w:r>
      <w:r>
        <w:rPr>
          <w:rFonts w:ascii="黑体" w:hAnsi="黑体" w:eastAsia="黑体"/>
        </w:rPr>
        <w:t>系统二级功能清单</w:t>
      </w:r>
      <w:r>
        <w:tab/>
      </w:r>
      <w:r>
        <w:fldChar w:fldCharType="begin"/>
      </w:r>
      <w:r>
        <w:instrText xml:space="preserve"> PAGEREF _Toc304684133 \h </w:instrText>
      </w:r>
      <w:r>
        <w:fldChar w:fldCharType="separate"/>
      </w:r>
      <w:r>
        <w:t>12</w:t>
      </w:r>
      <w:r>
        <w:fldChar w:fldCharType="end"/>
      </w:r>
      <w:r>
        <w:rPr>
          <w:rFonts w:hint="eastAsia" w:ascii="宋体" w:hAnsi="宋体" w:eastAsia="宋体"/>
          <w:kern w:val="2"/>
          <w:lang w:val="en-US" w:eastAsia="zh-CN" w:bidi="ar-SA"/>
        </w:rPr>
        <w:fldChar w:fldCharType="end"/>
      </w:r>
    </w:p>
    <w:p w14:paraId="09FE203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_Toc1225208883 </w:instrText>
      </w:r>
      <w:r>
        <w:rPr>
          <w:rFonts w:hint="eastAsia" w:ascii="宋体" w:hAnsi="宋体" w:eastAsia="宋体"/>
          <w:kern w:val="2"/>
          <w:lang w:val="en-US" w:eastAsia="zh-CN" w:bidi="ar-SA"/>
        </w:rPr>
        <w:fldChar w:fldCharType="separate"/>
      </w:r>
      <w:r>
        <w:rPr>
          <w:rFonts w:hint="eastAsia"/>
        </w:rPr>
        <w:t xml:space="preserve">2.6 </w:t>
      </w:r>
      <w:r>
        <w:rPr>
          <w:rFonts w:ascii="黑体" w:hAnsi="黑体" w:eastAsia="黑体"/>
        </w:rPr>
        <w:t>模块协同与端到端闭环</w:t>
      </w:r>
      <w:r>
        <w:tab/>
      </w:r>
      <w:r>
        <w:fldChar w:fldCharType="begin"/>
      </w:r>
      <w:r>
        <w:instrText xml:space="preserve"> PAGEREF _Toc1225208883 \h </w:instrText>
      </w:r>
      <w:r>
        <w:fldChar w:fldCharType="separate"/>
      </w:r>
      <w:r>
        <w:t>26</w:t>
      </w:r>
      <w:r>
        <w:fldChar w:fldCharType="end"/>
      </w:r>
      <w:r>
        <w:rPr>
          <w:rFonts w:hint="eastAsia" w:ascii="宋体" w:hAnsi="宋体" w:eastAsia="宋体"/>
          <w:kern w:val="2"/>
          <w:lang w:val="en-US" w:eastAsia="zh-CN" w:bidi="ar-SA"/>
        </w:rPr>
        <w:fldChar w:fldCharType="end"/>
      </w:r>
    </w:p>
    <w:p w14:paraId="78E8DFC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_Toc2012489145 </w:instrText>
      </w:r>
      <w:r>
        <w:rPr>
          <w:rFonts w:hint="eastAsia" w:ascii="宋体" w:hAnsi="宋体" w:eastAsia="宋体"/>
          <w:kern w:val="2"/>
          <w:lang w:val="en-US" w:eastAsia="zh-CN" w:bidi="ar-SA"/>
        </w:rPr>
        <w:fldChar w:fldCharType="separate"/>
      </w:r>
      <w:r>
        <w:rPr>
          <w:rFonts w:hint="eastAsia"/>
        </w:rPr>
        <w:t xml:space="preserve">2.7 </w:t>
      </w:r>
      <w:r>
        <w:rPr>
          <w:rFonts w:ascii="黑体" w:hAnsi="黑体" w:eastAsia="黑体"/>
        </w:rPr>
        <w:t>关键协同控制</w:t>
      </w:r>
      <w:r>
        <w:tab/>
      </w:r>
      <w:r>
        <w:fldChar w:fldCharType="begin"/>
      </w:r>
      <w:r>
        <w:instrText xml:space="preserve"> PAGEREF _Toc2012489145 \h </w:instrText>
      </w:r>
      <w:r>
        <w:fldChar w:fldCharType="separate"/>
      </w:r>
      <w:r>
        <w:t>26</w:t>
      </w:r>
      <w:r>
        <w:fldChar w:fldCharType="end"/>
      </w:r>
      <w:r>
        <w:rPr>
          <w:rFonts w:hint="eastAsia" w:ascii="宋体" w:hAnsi="宋体" w:eastAsia="宋体"/>
          <w:kern w:val="2"/>
          <w:lang w:val="en-US" w:eastAsia="zh-CN" w:bidi="ar-SA"/>
        </w:rPr>
        <w:fldChar w:fldCharType="end"/>
      </w:r>
    </w:p>
    <w:p w14:paraId="4F434D7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_Toc1037619765 </w:instrText>
      </w:r>
      <w:r>
        <w:rPr>
          <w:rFonts w:hint="eastAsia" w:ascii="宋体" w:hAnsi="宋体" w:eastAsia="宋体"/>
          <w:kern w:val="2"/>
          <w:lang w:val="en-US" w:eastAsia="zh-CN" w:bidi="ar-SA"/>
        </w:rPr>
        <w:fldChar w:fldCharType="separate"/>
      </w:r>
      <w:r>
        <w:rPr>
          <w:rFonts w:hint="eastAsia"/>
        </w:rPr>
        <w:t xml:space="preserve">2.8 </w:t>
      </w:r>
      <w:r>
        <w:rPr>
          <w:rFonts w:ascii="黑体" w:hAnsi="黑体" w:eastAsia="黑体"/>
        </w:rPr>
        <w:t>系统整体价值</w:t>
      </w:r>
      <w:r>
        <w:tab/>
      </w:r>
      <w:r>
        <w:fldChar w:fldCharType="begin"/>
      </w:r>
      <w:r>
        <w:instrText xml:space="preserve"> PAGEREF _Toc1037619765 \h </w:instrText>
      </w:r>
      <w:r>
        <w:fldChar w:fldCharType="separate"/>
      </w:r>
      <w:r>
        <w:t>27</w:t>
      </w:r>
      <w:r>
        <w:fldChar w:fldCharType="end"/>
      </w:r>
      <w:r>
        <w:rPr>
          <w:rFonts w:hint="eastAsia" w:ascii="宋体" w:hAnsi="宋体" w:eastAsia="宋体"/>
          <w:kern w:val="2"/>
          <w:lang w:val="en-US" w:eastAsia="zh-CN" w:bidi="ar-SA"/>
        </w:rPr>
        <w:fldChar w:fldCharType="end"/>
      </w:r>
    </w:p>
    <w:p w14:paraId="7E782C8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_Toc1708176715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三、 SCOS业务蓝图交付物</w:t>
      </w:r>
      <w:r>
        <w:tab/>
      </w:r>
      <w:r>
        <w:fldChar w:fldCharType="begin"/>
      </w:r>
      <w:r>
        <w:instrText xml:space="preserve"> PAGEREF _Toc1708176715 \h </w:instrText>
      </w:r>
      <w:r>
        <w:fldChar w:fldCharType="separate"/>
      </w:r>
      <w:r>
        <w:t>28</w:t>
      </w:r>
      <w:r>
        <w:fldChar w:fldCharType="end"/>
      </w:r>
      <w:r>
        <w:rPr>
          <w:rFonts w:hint="eastAsia" w:ascii="宋体" w:hAnsi="宋体" w:eastAsia="宋体"/>
          <w:kern w:val="2"/>
          <w:lang w:val="en-US" w:eastAsia="zh-CN" w:bidi="ar-SA"/>
        </w:rPr>
        <w:fldChar w:fldCharType="end"/>
      </w:r>
    </w:p>
    <w:p w14:paraId="7454BA1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_Toc1764655909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3.1 </w:t>
      </w:r>
      <w:r>
        <w:rPr>
          <w:rFonts w:hint="eastAsia" w:ascii="黑体" w:hAnsi="黑体" w:eastAsia="黑体" w:cs="黑体"/>
          <w:bCs w:val="0"/>
          <w:szCs w:val="30"/>
          <w:lang w:val="en-US" w:eastAsia="zh-CN"/>
        </w:rPr>
        <w:t>SCOS业务流程总览</w:t>
      </w:r>
      <w:r>
        <w:tab/>
      </w:r>
      <w:r>
        <w:fldChar w:fldCharType="begin"/>
      </w:r>
      <w:r>
        <w:instrText xml:space="preserve"> PAGEREF _Toc1764655909 \h </w:instrText>
      </w:r>
      <w:r>
        <w:fldChar w:fldCharType="separate"/>
      </w:r>
      <w:r>
        <w:t>28</w:t>
      </w:r>
      <w:r>
        <w:fldChar w:fldCharType="end"/>
      </w:r>
      <w:r>
        <w:rPr>
          <w:rFonts w:hint="eastAsia" w:ascii="宋体" w:hAnsi="宋体" w:eastAsia="宋体"/>
          <w:kern w:val="2"/>
          <w:lang w:val="en-US" w:eastAsia="zh-CN" w:bidi="ar-SA"/>
        </w:rPr>
        <w:fldChar w:fldCharType="end"/>
      </w:r>
    </w:p>
    <w:p w14:paraId="054798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_Toc1822697493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3.2 </w:t>
      </w:r>
      <w:r>
        <w:rPr>
          <w:rFonts w:hint="eastAsia" w:ascii="黑体" w:hAnsi="黑体" w:eastAsia="黑体" w:cs="黑体"/>
          <w:bCs w:val="0"/>
          <w:lang w:val="en-US" w:eastAsia="zh-CN"/>
        </w:rPr>
        <w:t>关键业务流程说明</w:t>
      </w:r>
      <w:r>
        <w:tab/>
      </w:r>
      <w:r>
        <w:fldChar w:fldCharType="begin"/>
      </w:r>
      <w:r>
        <w:instrText xml:space="preserve"> PAGEREF _Toc1822697493 \h </w:instrText>
      </w:r>
      <w:r>
        <w:fldChar w:fldCharType="separate"/>
      </w:r>
      <w:r>
        <w:t>30</w:t>
      </w:r>
      <w:r>
        <w:fldChar w:fldCharType="end"/>
      </w:r>
      <w:r>
        <w:rPr>
          <w:rFonts w:hint="eastAsia" w:ascii="宋体" w:hAnsi="宋体" w:eastAsia="宋体"/>
          <w:kern w:val="2"/>
          <w:lang w:val="en-US" w:eastAsia="zh-CN" w:bidi="ar-SA"/>
        </w:rPr>
        <w:fldChar w:fldCharType="end"/>
      </w:r>
    </w:p>
    <w:p w14:paraId="5B6E351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_Toc222540396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3.2.1 </w:t>
      </w:r>
      <w:r>
        <w:rPr>
          <w:rFonts w:ascii="黑体" w:hAnsi="黑体" w:eastAsia="黑体"/>
        </w:rPr>
        <w:t>供应链驾驶舱</w:t>
      </w:r>
      <w:r>
        <w:tab/>
      </w:r>
      <w:r>
        <w:fldChar w:fldCharType="begin"/>
      </w:r>
      <w:r>
        <w:instrText xml:space="preserve"> PAGEREF _Toc222540396 \h </w:instrText>
      </w:r>
      <w:r>
        <w:fldChar w:fldCharType="separate"/>
      </w:r>
      <w:r>
        <w:t>30</w:t>
      </w:r>
      <w:r>
        <w:fldChar w:fldCharType="end"/>
      </w:r>
      <w:r>
        <w:rPr>
          <w:rFonts w:hint="eastAsia" w:ascii="宋体" w:hAnsi="宋体" w:eastAsia="宋体"/>
          <w:kern w:val="2"/>
          <w:lang w:val="en-US" w:eastAsia="zh-CN" w:bidi="ar-SA"/>
        </w:rPr>
        <w:fldChar w:fldCharType="end"/>
      </w:r>
    </w:p>
    <w:p w14:paraId="2383D2A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_Toc1467406145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3.2.2 </w:t>
      </w:r>
      <w:r>
        <w:rPr>
          <w:rFonts w:ascii="黑体" w:hAnsi="黑体" w:eastAsia="黑体"/>
        </w:rPr>
        <w:t>采购决策优化模块</w:t>
      </w:r>
      <w:r>
        <w:tab/>
      </w:r>
      <w:r>
        <w:fldChar w:fldCharType="begin"/>
      </w:r>
      <w:r>
        <w:instrText xml:space="preserve"> PAGEREF _Toc1467406145 \h </w:instrText>
      </w:r>
      <w:r>
        <w:fldChar w:fldCharType="separate"/>
      </w:r>
      <w:r>
        <w:t>43</w:t>
      </w:r>
      <w:r>
        <w:fldChar w:fldCharType="end"/>
      </w:r>
      <w:r>
        <w:rPr>
          <w:rFonts w:hint="eastAsia" w:ascii="宋体" w:hAnsi="宋体" w:eastAsia="宋体"/>
          <w:kern w:val="2"/>
          <w:lang w:val="en-US" w:eastAsia="zh-CN" w:bidi="ar-SA"/>
        </w:rPr>
        <w:fldChar w:fldCharType="end"/>
      </w:r>
    </w:p>
    <w:p w14:paraId="6A9591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_Toc992876867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3.2.3 </w:t>
      </w:r>
      <w:r>
        <w:rPr>
          <w:rFonts w:ascii="黑体" w:hAnsi="黑体" w:eastAsia="黑体"/>
        </w:rPr>
        <w:t>安全库存优化模块</w:t>
      </w:r>
      <w:r>
        <w:tab/>
      </w:r>
      <w:r>
        <w:fldChar w:fldCharType="begin"/>
      </w:r>
      <w:r>
        <w:instrText xml:space="preserve"> PAGEREF _Toc992876867 \h </w:instrText>
      </w:r>
      <w:r>
        <w:fldChar w:fldCharType="separate"/>
      </w:r>
      <w:r>
        <w:t>60</w:t>
      </w:r>
      <w:r>
        <w:fldChar w:fldCharType="end"/>
      </w:r>
      <w:r>
        <w:rPr>
          <w:rFonts w:hint="eastAsia" w:ascii="宋体" w:hAnsi="宋体" w:eastAsia="宋体"/>
          <w:kern w:val="2"/>
          <w:lang w:val="en-US" w:eastAsia="zh-CN" w:bidi="ar-SA"/>
        </w:rPr>
        <w:fldChar w:fldCharType="end"/>
      </w:r>
    </w:p>
    <w:p w14:paraId="18B63D1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_Toc1333566479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3.2.4 </w:t>
      </w:r>
      <w:r>
        <w:rPr>
          <w:rFonts w:ascii="黑体" w:hAnsi="黑体" w:eastAsia="黑体"/>
        </w:rPr>
        <w:t>统计与成本核算分析模块</w:t>
      </w:r>
      <w:r>
        <w:tab/>
      </w:r>
      <w:r>
        <w:fldChar w:fldCharType="begin"/>
      </w:r>
      <w:r>
        <w:instrText xml:space="preserve"> PAGEREF _Toc1333566479 \h </w:instrText>
      </w:r>
      <w:r>
        <w:fldChar w:fldCharType="separate"/>
      </w:r>
      <w:r>
        <w:t>70</w:t>
      </w:r>
      <w:r>
        <w:fldChar w:fldCharType="end"/>
      </w:r>
      <w:r>
        <w:rPr>
          <w:rFonts w:hint="eastAsia" w:ascii="宋体" w:hAnsi="宋体" w:eastAsia="宋体"/>
          <w:kern w:val="2"/>
          <w:lang w:val="en-US" w:eastAsia="zh-CN" w:bidi="ar-SA"/>
        </w:rPr>
        <w:fldChar w:fldCharType="end"/>
      </w:r>
    </w:p>
    <w:p w14:paraId="7D291FE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_Toc2112472461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3.2.5 </w:t>
      </w:r>
      <w:r>
        <w:rPr>
          <w:rFonts w:hint="eastAsia" w:ascii="黑体" w:hAnsi="黑体" w:eastAsia="黑体" w:cs="黑体"/>
          <w:bCs w:val="0"/>
          <w:highlight w:val="none"/>
        </w:rPr>
        <w:t>系统边界与分工</w:t>
      </w:r>
      <w:r>
        <w:tab/>
      </w:r>
      <w:r>
        <w:fldChar w:fldCharType="begin"/>
      </w:r>
      <w:r>
        <w:instrText xml:space="preserve"> PAGEREF _Toc2112472461 \h </w:instrText>
      </w:r>
      <w:r>
        <w:fldChar w:fldCharType="separate"/>
      </w:r>
      <w:r>
        <w:t>84</w:t>
      </w:r>
      <w:r>
        <w:fldChar w:fldCharType="end"/>
      </w:r>
      <w:r>
        <w:rPr>
          <w:rFonts w:hint="eastAsia" w:ascii="宋体" w:hAnsi="宋体" w:eastAsia="宋体"/>
          <w:kern w:val="2"/>
          <w:lang w:val="en-US" w:eastAsia="zh-CN" w:bidi="ar-SA"/>
        </w:rPr>
        <w:fldChar w:fldCharType="end"/>
      </w:r>
    </w:p>
    <w:p w14:paraId="52CA2C1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_Toc2124999823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3.3 功能架构</w:t>
      </w:r>
      <w:r>
        <w:tab/>
      </w:r>
      <w:r>
        <w:fldChar w:fldCharType="begin"/>
      </w:r>
      <w:r>
        <w:instrText xml:space="preserve"> PAGEREF _Toc2124999823 \h </w:instrText>
      </w:r>
      <w:r>
        <w:fldChar w:fldCharType="separate"/>
      </w:r>
      <w:r>
        <w:t>86</w:t>
      </w:r>
      <w:r>
        <w:fldChar w:fldCharType="end"/>
      </w:r>
      <w:r>
        <w:rPr>
          <w:rFonts w:hint="eastAsia" w:ascii="宋体" w:hAnsi="宋体" w:eastAsia="宋体"/>
          <w:kern w:val="2"/>
          <w:lang w:val="en-US" w:eastAsia="zh-CN" w:bidi="ar-SA"/>
        </w:rPr>
        <w:fldChar w:fldCharType="end"/>
      </w:r>
    </w:p>
    <w:p w14:paraId="7FBD8F3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_Toc71491904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 SCOS角色权限矩阵</w:t>
      </w:r>
      <w:r>
        <w:tab/>
      </w:r>
      <w:r>
        <w:fldChar w:fldCharType="begin"/>
      </w:r>
      <w:r>
        <w:instrText xml:space="preserve"> PAGEREF _Toc71491904 \h </w:instrText>
      </w:r>
      <w:r>
        <w:fldChar w:fldCharType="separate"/>
      </w:r>
      <w:r>
        <w:t>99</w:t>
      </w:r>
      <w:r>
        <w:fldChar w:fldCharType="end"/>
      </w:r>
      <w:r>
        <w:rPr>
          <w:rFonts w:hint="eastAsia" w:ascii="宋体" w:hAnsi="宋体" w:eastAsia="宋体"/>
          <w:kern w:val="2"/>
          <w:lang w:val="en-US" w:eastAsia="zh-CN" w:bidi="ar-SA"/>
        </w:rPr>
        <w:fldChar w:fldCharType="end"/>
      </w:r>
    </w:p>
    <w:p w14:paraId="1EE217A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_Toc1121071855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3.4.1 角色定义</w:t>
      </w:r>
      <w:r>
        <w:tab/>
      </w:r>
      <w:r>
        <w:fldChar w:fldCharType="begin"/>
      </w:r>
      <w:r>
        <w:instrText xml:space="preserve"> PAGEREF _Toc1121071855 \h </w:instrText>
      </w:r>
      <w:r>
        <w:fldChar w:fldCharType="separate"/>
      </w:r>
      <w:r>
        <w:t>99</w:t>
      </w:r>
      <w:r>
        <w:fldChar w:fldCharType="end"/>
      </w:r>
      <w:r>
        <w:rPr>
          <w:rFonts w:hint="eastAsia" w:ascii="宋体" w:hAnsi="宋体" w:eastAsia="宋体"/>
          <w:kern w:val="2"/>
          <w:lang w:val="en-US" w:eastAsia="zh-CN" w:bidi="ar-SA"/>
        </w:rPr>
        <w:fldChar w:fldCharType="end"/>
      </w:r>
    </w:p>
    <w:p w14:paraId="234C63CF">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_Toc1980631854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3.4.2 权限矩阵</w:t>
      </w:r>
      <w:r>
        <w:tab/>
      </w:r>
      <w:r>
        <w:fldChar w:fldCharType="begin"/>
      </w:r>
      <w:r>
        <w:instrText xml:space="preserve"> PAGEREF _Toc1980631854 \h </w:instrText>
      </w:r>
      <w:r>
        <w:fldChar w:fldCharType="separate"/>
      </w:r>
      <w:r>
        <w:t>100</w:t>
      </w:r>
      <w:r>
        <w:fldChar w:fldCharType="end"/>
      </w:r>
      <w:r>
        <w:rPr>
          <w:rFonts w:hint="eastAsia" w:ascii="宋体" w:hAnsi="宋体" w:eastAsia="宋体"/>
          <w:kern w:val="2"/>
          <w:lang w:val="en-US" w:eastAsia="zh-CN" w:bidi="ar-SA"/>
        </w:rPr>
        <w:fldChar w:fldCharType="end"/>
      </w:r>
    </w:p>
    <w:p w14:paraId="3BA3225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_Toc335558031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val="en-US" w:eastAsia="zh-CN"/>
        </w:rPr>
        <w:t>SCOS业务规则清单</w:t>
      </w:r>
      <w:r>
        <w:tab/>
      </w:r>
      <w:r>
        <w:fldChar w:fldCharType="begin"/>
      </w:r>
      <w:r>
        <w:instrText xml:space="preserve"> PAGEREF _Toc335558031 \h </w:instrText>
      </w:r>
      <w:r>
        <w:fldChar w:fldCharType="separate"/>
      </w:r>
      <w:r>
        <w:t>104</w:t>
      </w:r>
      <w:r>
        <w:fldChar w:fldCharType="end"/>
      </w:r>
      <w:r>
        <w:rPr>
          <w:rFonts w:hint="eastAsia" w:ascii="宋体" w:hAnsi="宋体" w:eastAsia="宋体"/>
          <w:kern w:val="2"/>
          <w:lang w:val="en-US" w:eastAsia="zh-CN" w:bidi="ar-SA"/>
        </w:rPr>
        <w:fldChar w:fldCharType="end"/>
      </w:r>
    </w:p>
    <w:p w14:paraId="444FE1F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_Toc431769995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3.6 </w:t>
      </w:r>
      <w:r>
        <w:rPr>
          <w:rFonts w:hint="eastAsia" w:ascii="黑体" w:hAnsi="黑体" w:eastAsia="黑体" w:cs="黑体"/>
          <w:lang w:val="en-US" w:eastAsia="zh-CN"/>
        </w:rPr>
        <w:t>AB测试说明</w:t>
      </w:r>
      <w:r>
        <w:tab/>
      </w:r>
      <w:r>
        <w:fldChar w:fldCharType="begin"/>
      </w:r>
      <w:r>
        <w:instrText xml:space="preserve"> PAGEREF _Toc431769995 \h </w:instrText>
      </w:r>
      <w:r>
        <w:fldChar w:fldCharType="separate"/>
      </w:r>
      <w:r>
        <w:t>149</w:t>
      </w:r>
      <w:r>
        <w:fldChar w:fldCharType="end"/>
      </w:r>
      <w:r>
        <w:rPr>
          <w:rFonts w:hint="eastAsia" w:ascii="宋体" w:hAnsi="宋体" w:eastAsia="宋体"/>
          <w:kern w:val="2"/>
          <w:lang w:val="en-US" w:eastAsia="zh-CN" w:bidi="ar-SA"/>
        </w:rPr>
        <w:fldChar w:fldCharType="end"/>
      </w:r>
    </w:p>
    <w:p w14:paraId="20FEF12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_Toc411062752 </w:instrText>
      </w:r>
      <w:r>
        <w:rPr>
          <w:rFonts w:hint="eastAsia" w:ascii="宋体" w:hAnsi="宋体" w:eastAsia="宋体"/>
          <w:kern w:val="2"/>
          <w:lang w:val="en-US" w:eastAsia="zh-CN" w:bidi="ar-SA"/>
        </w:rPr>
        <w:fldChar w:fldCharType="separate"/>
      </w:r>
      <w:r>
        <w:rPr>
          <w:rFonts w:hint="eastAsia" w:ascii="黑体" w:hAnsi="黑体" w:eastAsia="黑体" w:cs="黑体"/>
        </w:rPr>
        <w:t>四、 SCOS智能化应用场景说明书</w:t>
      </w:r>
      <w:r>
        <w:tab/>
      </w:r>
      <w:r>
        <w:fldChar w:fldCharType="begin"/>
      </w:r>
      <w:r>
        <w:instrText xml:space="preserve"> PAGEREF _Toc411062752 \h </w:instrText>
      </w:r>
      <w:r>
        <w:fldChar w:fldCharType="separate"/>
      </w:r>
      <w:r>
        <w:t>150</w:t>
      </w:r>
      <w:r>
        <w:fldChar w:fldCharType="end"/>
      </w:r>
      <w:r>
        <w:rPr>
          <w:rFonts w:hint="eastAsia" w:ascii="宋体" w:hAnsi="宋体" w:eastAsia="宋体"/>
          <w:kern w:val="2"/>
          <w:lang w:val="en-US" w:eastAsia="zh-CN" w:bidi="ar-SA"/>
        </w:rPr>
        <w:fldChar w:fldCharType="end"/>
      </w:r>
    </w:p>
    <w:p w14:paraId="68C586B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_Toc276780465 </w:instrText>
      </w:r>
      <w:r>
        <w:rPr>
          <w:rFonts w:hint="eastAsia" w:ascii="宋体" w:hAnsi="宋体" w:eastAsia="宋体"/>
          <w:kern w:val="2"/>
          <w:lang w:val="en-US" w:eastAsia="zh-CN" w:bidi="ar-SA"/>
        </w:rPr>
        <w:fldChar w:fldCharType="separate"/>
      </w:r>
      <w:r>
        <w:rPr>
          <w:rFonts w:hint="eastAsia" w:ascii="黑体" w:hAnsi="黑体" w:eastAsia="黑体" w:cs="黑体"/>
        </w:rPr>
        <w:t>4.1 智能化场景总体说明</w:t>
      </w:r>
      <w:r>
        <w:tab/>
      </w:r>
      <w:r>
        <w:fldChar w:fldCharType="begin"/>
      </w:r>
      <w:r>
        <w:instrText xml:space="preserve"> PAGEREF _Toc276780465 \h </w:instrText>
      </w:r>
      <w:r>
        <w:fldChar w:fldCharType="separate"/>
      </w:r>
      <w:r>
        <w:t>150</w:t>
      </w:r>
      <w:r>
        <w:fldChar w:fldCharType="end"/>
      </w:r>
      <w:r>
        <w:rPr>
          <w:rFonts w:hint="eastAsia" w:ascii="宋体" w:hAnsi="宋体" w:eastAsia="宋体"/>
          <w:kern w:val="2"/>
          <w:lang w:val="en-US" w:eastAsia="zh-CN" w:bidi="ar-SA"/>
        </w:rPr>
        <w:fldChar w:fldCharType="end"/>
      </w:r>
    </w:p>
    <w:p w14:paraId="25CAD6F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_Toc399695853 </w:instrText>
      </w:r>
      <w:r>
        <w:rPr>
          <w:rFonts w:hint="eastAsia" w:ascii="宋体" w:hAnsi="宋体" w:eastAsia="宋体"/>
          <w:kern w:val="2"/>
          <w:lang w:val="en-US" w:eastAsia="zh-CN" w:bidi="ar-SA"/>
        </w:rPr>
        <w:fldChar w:fldCharType="separate"/>
      </w:r>
      <w:r>
        <w:rPr>
          <w:rFonts w:hint="eastAsia" w:ascii="黑体" w:hAnsi="黑体" w:eastAsia="黑体" w:cs="黑体"/>
        </w:rPr>
        <w:t>4.2 供应链沙盘推演</w:t>
      </w:r>
      <w:r>
        <w:rPr>
          <w:rFonts w:hint="eastAsia" w:ascii="黑体" w:hAnsi="黑体" w:eastAsia="黑体" w:cs="黑体"/>
          <w:lang w:val="en-US" w:eastAsia="zh-CN"/>
        </w:rPr>
        <w:t>（F-ZLTC-SCOS-AIZNT-002）</w:t>
      </w:r>
      <w:r>
        <w:tab/>
      </w:r>
      <w:r>
        <w:fldChar w:fldCharType="begin"/>
      </w:r>
      <w:r>
        <w:instrText xml:space="preserve"> PAGEREF _Toc399695853 \h </w:instrText>
      </w:r>
      <w:r>
        <w:fldChar w:fldCharType="separate"/>
      </w:r>
      <w:r>
        <w:t>151</w:t>
      </w:r>
      <w:r>
        <w:fldChar w:fldCharType="end"/>
      </w:r>
      <w:r>
        <w:rPr>
          <w:rFonts w:hint="eastAsia" w:ascii="宋体" w:hAnsi="宋体" w:eastAsia="宋体"/>
          <w:kern w:val="2"/>
          <w:lang w:val="en-US" w:eastAsia="zh-CN" w:bidi="ar-SA"/>
        </w:rPr>
        <w:fldChar w:fldCharType="end"/>
      </w:r>
    </w:p>
    <w:p w14:paraId="78238FB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_Toc359353555 </w:instrText>
      </w:r>
      <w:r>
        <w:rPr>
          <w:rFonts w:hint="eastAsia" w:ascii="宋体" w:hAnsi="宋体" w:eastAsia="宋体"/>
          <w:kern w:val="2"/>
          <w:lang w:val="en-US" w:eastAsia="zh-CN" w:bidi="ar-SA"/>
        </w:rPr>
        <w:fldChar w:fldCharType="separate"/>
      </w:r>
      <w:r>
        <w:rPr>
          <w:rFonts w:hint="eastAsia" w:ascii="黑体" w:hAnsi="黑体" w:eastAsia="黑体" w:cs="黑体"/>
        </w:rPr>
        <w:t>4.3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_Toc359353555 \h </w:instrText>
      </w:r>
      <w:r>
        <w:fldChar w:fldCharType="separate"/>
      </w:r>
      <w:r>
        <w:t>152</w:t>
      </w:r>
      <w:r>
        <w:fldChar w:fldCharType="end"/>
      </w:r>
      <w:r>
        <w:rPr>
          <w:rFonts w:hint="eastAsia" w:ascii="宋体" w:hAnsi="宋体" w:eastAsia="宋体"/>
          <w:kern w:val="2"/>
          <w:lang w:val="en-US" w:eastAsia="zh-CN" w:bidi="ar-SA"/>
        </w:rPr>
        <w:fldChar w:fldCharType="end"/>
      </w:r>
    </w:p>
    <w:p w14:paraId="120EBA3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_Toc931183521 </w:instrText>
      </w:r>
      <w:r>
        <w:rPr>
          <w:rFonts w:hint="eastAsia" w:ascii="宋体" w:hAnsi="宋体" w:eastAsia="宋体"/>
          <w:kern w:val="2"/>
          <w:lang w:val="en-US" w:eastAsia="zh-CN" w:bidi="ar-SA"/>
        </w:rPr>
        <w:fldChar w:fldCharType="separate"/>
      </w:r>
      <w:r>
        <w:rPr>
          <w:rFonts w:hint="eastAsia" w:ascii="黑体" w:hAnsi="黑体" w:eastAsia="黑体" w:cs="黑体"/>
        </w:rPr>
        <w:t>4.4 原料采购决策优化</w:t>
      </w:r>
      <w:r>
        <w:rPr>
          <w:rFonts w:hint="eastAsia" w:ascii="黑体" w:hAnsi="黑体" w:eastAsia="黑体" w:cs="黑体"/>
          <w:lang w:val="en-US" w:eastAsia="zh-CN"/>
        </w:rPr>
        <w:t>（F-ZLTC-SCOS-AIZNT-005）</w:t>
      </w:r>
      <w:r>
        <w:tab/>
      </w:r>
      <w:r>
        <w:fldChar w:fldCharType="begin"/>
      </w:r>
      <w:r>
        <w:instrText xml:space="preserve"> PAGEREF _Toc931183521 \h </w:instrText>
      </w:r>
      <w:r>
        <w:fldChar w:fldCharType="separate"/>
      </w:r>
      <w:r>
        <w:t>153</w:t>
      </w:r>
      <w:r>
        <w:fldChar w:fldCharType="end"/>
      </w:r>
      <w:r>
        <w:rPr>
          <w:rFonts w:hint="eastAsia" w:ascii="宋体" w:hAnsi="宋体" w:eastAsia="宋体"/>
          <w:kern w:val="2"/>
          <w:lang w:val="en-US" w:eastAsia="zh-CN" w:bidi="ar-SA"/>
        </w:rPr>
        <w:fldChar w:fldCharType="end"/>
      </w:r>
    </w:p>
    <w:p w14:paraId="11328FA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_Toc1688101758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4.5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_Toc1688101758 \h </w:instrText>
      </w:r>
      <w:r>
        <w:fldChar w:fldCharType="separate"/>
      </w:r>
      <w:r>
        <w:t>154</w:t>
      </w:r>
      <w:r>
        <w:fldChar w:fldCharType="end"/>
      </w:r>
      <w:r>
        <w:rPr>
          <w:rFonts w:hint="eastAsia" w:ascii="宋体" w:hAnsi="宋体" w:eastAsia="宋体"/>
          <w:kern w:val="2"/>
          <w:lang w:val="en-US" w:eastAsia="zh-CN" w:bidi="ar-SA"/>
        </w:rPr>
        <w:fldChar w:fldCharType="end"/>
      </w:r>
    </w:p>
    <w:p w14:paraId="747DAA6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_Toc1519786189 </w:instrText>
      </w:r>
      <w:r>
        <w:rPr>
          <w:rFonts w:hint="eastAsia" w:ascii="宋体" w:hAnsi="宋体" w:eastAsia="宋体"/>
          <w:kern w:val="2"/>
          <w:lang w:val="en-US" w:eastAsia="zh-CN" w:bidi="ar-SA"/>
        </w:rPr>
        <w:fldChar w:fldCharType="separate"/>
      </w:r>
      <w:r>
        <w:rPr>
          <w:rFonts w:hint="eastAsia" w:ascii="黑体" w:hAnsi="黑体" w:eastAsia="黑体" w:cs="黑体"/>
        </w:rPr>
        <w:t>4.6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_Toc1519786189 \h </w:instrText>
      </w:r>
      <w:r>
        <w:fldChar w:fldCharType="separate"/>
      </w:r>
      <w:r>
        <w:t>155</w:t>
      </w:r>
      <w:r>
        <w:fldChar w:fldCharType="end"/>
      </w:r>
      <w:r>
        <w:rPr>
          <w:rFonts w:hint="eastAsia" w:ascii="宋体" w:hAnsi="宋体" w:eastAsia="宋体"/>
          <w:kern w:val="2"/>
          <w:lang w:val="en-US" w:eastAsia="zh-CN" w:bidi="ar-SA"/>
        </w:rPr>
        <w:fldChar w:fldCharType="end"/>
      </w:r>
    </w:p>
    <w:p w14:paraId="5AF18EA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_Toc875981105 </w:instrText>
      </w:r>
      <w:r>
        <w:rPr>
          <w:rFonts w:hint="eastAsia" w:ascii="宋体" w:hAnsi="宋体" w:eastAsia="宋体"/>
          <w:kern w:val="2"/>
          <w:lang w:val="en-US" w:eastAsia="zh-CN" w:bidi="ar-SA"/>
        </w:rPr>
        <w:fldChar w:fldCharType="separate"/>
      </w:r>
      <w:r>
        <w:rPr>
          <w:rFonts w:hint="eastAsia" w:ascii="黑体" w:hAnsi="黑体" w:eastAsia="黑体" w:cs="黑体"/>
        </w:rPr>
        <w:t>4.7 精益生产排程与异常重排</w:t>
      </w:r>
      <w:r>
        <w:rPr>
          <w:rFonts w:hint="eastAsia" w:ascii="黑体" w:hAnsi="黑体" w:eastAsia="黑体" w:cs="黑体"/>
          <w:lang w:eastAsia="zh-CN"/>
        </w:rPr>
        <w:t>（</w:t>
      </w:r>
      <w:r>
        <w:rPr>
          <w:rFonts w:hint="eastAsia" w:ascii="黑体" w:hAnsi="黑体" w:eastAsia="黑体" w:cs="黑体"/>
          <w:lang w:val="en-US" w:eastAsia="zh-CN"/>
        </w:rPr>
        <w:t>参考精益排程部分</w:t>
      </w:r>
      <w:r>
        <w:rPr>
          <w:rFonts w:hint="eastAsia" w:ascii="黑体" w:hAnsi="黑体" w:eastAsia="黑体" w:cs="黑体"/>
          <w:lang w:eastAsia="zh-CN"/>
        </w:rPr>
        <w:t>）</w:t>
      </w:r>
      <w:r>
        <w:tab/>
      </w:r>
      <w:r>
        <w:fldChar w:fldCharType="begin"/>
      </w:r>
      <w:r>
        <w:instrText xml:space="preserve"> PAGEREF _Toc875981105 \h </w:instrText>
      </w:r>
      <w:r>
        <w:fldChar w:fldCharType="separate"/>
      </w:r>
      <w:r>
        <w:t>156</w:t>
      </w:r>
      <w:r>
        <w:fldChar w:fldCharType="end"/>
      </w:r>
      <w:r>
        <w:rPr>
          <w:rFonts w:hint="eastAsia" w:ascii="宋体" w:hAnsi="宋体" w:eastAsia="宋体"/>
          <w:kern w:val="2"/>
          <w:lang w:val="en-US" w:eastAsia="zh-CN" w:bidi="ar-SA"/>
        </w:rPr>
        <w:fldChar w:fldCharType="end"/>
      </w:r>
    </w:p>
    <w:p w14:paraId="5B92CC4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_Toc1614031550 </w:instrText>
      </w:r>
      <w:r>
        <w:rPr>
          <w:rFonts w:hint="eastAsia" w:ascii="宋体" w:hAnsi="宋体" w:eastAsia="宋体"/>
          <w:kern w:val="2"/>
          <w:lang w:val="en-US" w:eastAsia="zh-CN" w:bidi="ar-SA"/>
        </w:rPr>
        <w:fldChar w:fldCharType="separate"/>
      </w:r>
      <w:r>
        <w:rPr>
          <w:rFonts w:hint="eastAsia" w:ascii="黑体" w:hAnsi="黑体" w:eastAsia="黑体" w:cs="黑体"/>
        </w:rPr>
        <w:t>4.8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_Toc1614031550 \h </w:instrText>
      </w:r>
      <w:r>
        <w:fldChar w:fldCharType="separate"/>
      </w:r>
      <w:r>
        <w:t>156</w:t>
      </w:r>
      <w:r>
        <w:fldChar w:fldCharType="end"/>
      </w:r>
      <w:r>
        <w:rPr>
          <w:rFonts w:hint="eastAsia" w:ascii="宋体" w:hAnsi="宋体" w:eastAsia="宋体"/>
          <w:kern w:val="2"/>
          <w:lang w:val="en-US" w:eastAsia="zh-CN" w:bidi="ar-SA"/>
        </w:rPr>
        <w:fldChar w:fldCharType="end"/>
      </w:r>
    </w:p>
    <w:p w14:paraId="0CC8E85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_Toc14831946 </w:instrText>
      </w:r>
      <w:r>
        <w:rPr>
          <w:rFonts w:hint="eastAsia" w:ascii="宋体" w:hAnsi="宋体" w:eastAsia="宋体"/>
          <w:kern w:val="2"/>
          <w:lang w:val="en-US" w:eastAsia="zh-CN" w:bidi="ar-SA"/>
        </w:rPr>
        <w:fldChar w:fldCharType="separate"/>
      </w:r>
      <w:r>
        <w:rPr>
          <w:rFonts w:hint="eastAsia" w:ascii="黑体" w:hAnsi="黑体" w:eastAsia="黑体" w:cs="黑体"/>
        </w:rPr>
        <w:t>4.9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_Toc14831946 \h </w:instrText>
      </w:r>
      <w:r>
        <w:fldChar w:fldCharType="separate"/>
      </w:r>
      <w:r>
        <w:t>157</w:t>
      </w:r>
      <w:r>
        <w:fldChar w:fldCharType="end"/>
      </w:r>
      <w:r>
        <w:rPr>
          <w:rFonts w:hint="eastAsia" w:ascii="宋体" w:hAnsi="宋体" w:eastAsia="宋体"/>
          <w:kern w:val="2"/>
          <w:lang w:val="en-US" w:eastAsia="zh-CN" w:bidi="ar-SA"/>
        </w:rPr>
        <w:fldChar w:fldCharType="end"/>
      </w:r>
    </w:p>
    <w:p w14:paraId="59C9496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_Toc172413370 </w:instrText>
      </w:r>
      <w:r>
        <w:rPr>
          <w:rFonts w:hint="eastAsia" w:ascii="宋体" w:hAnsi="宋体" w:eastAsia="宋体"/>
          <w:kern w:val="2"/>
          <w:lang w:val="en-US" w:eastAsia="zh-CN" w:bidi="ar-SA"/>
        </w:rPr>
        <w:fldChar w:fldCharType="separate"/>
      </w:r>
      <w:r>
        <w:rPr>
          <w:rFonts w:hint="eastAsia" w:ascii="黑体" w:hAnsi="黑体" w:eastAsia="黑体" w:cs="黑体"/>
        </w:rPr>
        <w:t>五、 SCOS技术蓝图交付物</w:t>
      </w:r>
      <w:r>
        <w:tab/>
      </w:r>
      <w:r>
        <w:fldChar w:fldCharType="begin"/>
      </w:r>
      <w:r>
        <w:instrText xml:space="preserve"> PAGEREF _Toc172413370 \h </w:instrText>
      </w:r>
      <w:r>
        <w:fldChar w:fldCharType="separate"/>
      </w:r>
      <w:r>
        <w:t>157</w:t>
      </w:r>
      <w:r>
        <w:fldChar w:fldCharType="end"/>
      </w:r>
      <w:r>
        <w:rPr>
          <w:rFonts w:hint="eastAsia" w:ascii="宋体" w:hAnsi="宋体" w:eastAsia="宋体"/>
          <w:kern w:val="2"/>
          <w:lang w:val="en-US" w:eastAsia="zh-CN" w:bidi="ar-SA"/>
        </w:rPr>
        <w:fldChar w:fldCharType="end"/>
      </w:r>
    </w:p>
    <w:p w14:paraId="751C9D5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_Toc796069787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5.1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_Toc796069787 \h </w:instrText>
      </w:r>
      <w:r>
        <w:fldChar w:fldCharType="separate"/>
      </w:r>
      <w:r>
        <w:t>157</w:t>
      </w:r>
      <w:r>
        <w:fldChar w:fldCharType="end"/>
      </w:r>
      <w:r>
        <w:rPr>
          <w:rFonts w:hint="eastAsia" w:ascii="宋体" w:hAnsi="宋体" w:eastAsia="宋体"/>
          <w:kern w:val="2"/>
          <w:lang w:val="en-US" w:eastAsia="zh-CN" w:bidi="ar-SA"/>
        </w:rPr>
        <w:fldChar w:fldCharType="end"/>
      </w:r>
    </w:p>
    <w:p w14:paraId="7B5AEAA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_Toc721789299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_Toc721789299 \h </w:instrText>
      </w:r>
      <w:r>
        <w:fldChar w:fldCharType="separate"/>
      </w:r>
      <w:r>
        <w:t>163</w:t>
      </w:r>
      <w:r>
        <w:fldChar w:fldCharType="end"/>
      </w:r>
      <w:r>
        <w:rPr>
          <w:rFonts w:hint="eastAsia" w:ascii="宋体" w:hAnsi="宋体" w:eastAsia="宋体"/>
          <w:kern w:val="2"/>
          <w:lang w:val="en-US" w:eastAsia="zh-CN" w:bidi="ar-SA"/>
        </w:rPr>
        <w:fldChar w:fldCharType="end"/>
      </w:r>
    </w:p>
    <w:p w14:paraId="07D70C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_Toc2125110037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5.2.1 </w:t>
      </w:r>
      <w:r>
        <w:rPr>
          <w:rFonts w:ascii="黑体" w:hAnsi="黑体" w:eastAsia="黑体"/>
        </w:rPr>
        <w:t>供应链驾驶舱</w:t>
      </w:r>
      <w:r>
        <w:tab/>
      </w:r>
      <w:r>
        <w:fldChar w:fldCharType="begin"/>
      </w:r>
      <w:r>
        <w:instrText xml:space="preserve"> PAGEREF _Toc2125110037 \h </w:instrText>
      </w:r>
      <w:r>
        <w:fldChar w:fldCharType="separate"/>
      </w:r>
      <w:r>
        <w:t>163</w:t>
      </w:r>
      <w:r>
        <w:fldChar w:fldCharType="end"/>
      </w:r>
      <w:r>
        <w:rPr>
          <w:rFonts w:hint="eastAsia" w:ascii="宋体" w:hAnsi="宋体" w:eastAsia="宋体"/>
          <w:kern w:val="2"/>
          <w:lang w:val="en-US" w:eastAsia="zh-CN" w:bidi="ar-SA"/>
        </w:rPr>
        <w:fldChar w:fldCharType="end"/>
      </w:r>
    </w:p>
    <w:p w14:paraId="2BA8E8E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_Toc1923858602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5.2.2 </w:t>
      </w:r>
      <w:r>
        <w:rPr>
          <w:rFonts w:ascii="黑体" w:hAnsi="黑体" w:eastAsia="黑体"/>
        </w:rPr>
        <w:t>采购决策优化模块</w:t>
      </w:r>
      <w:r>
        <w:tab/>
      </w:r>
      <w:r>
        <w:fldChar w:fldCharType="begin"/>
      </w:r>
      <w:r>
        <w:instrText xml:space="preserve"> PAGEREF _Toc1923858602 \h </w:instrText>
      </w:r>
      <w:r>
        <w:fldChar w:fldCharType="separate"/>
      </w:r>
      <w:r>
        <w:t>175</w:t>
      </w:r>
      <w:r>
        <w:fldChar w:fldCharType="end"/>
      </w:r>
      <w:r>
        <w:rPr>
          <w:rFonts w:hint="eastAsia" w:ascii="宋体" w:hAnsi="宋体" w:eastAsia="宋体"/>
          <w:kern w:val="2"/>
          <w:lang w:val="en-US" w:eastAsia="zh-CN" w:bidi="ar-SA"/>
        </w:rPr>
        <w:fldChar w:fldCharType="end"/>
      </w:r>
    </w:p>
    <w:p w14:paraId="22F84C8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_Toc1777734582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5.2.3 </w:t>
      </w:r>
      <w:r>
        <w:rPr>
          <w:rFonts w:ascii="黑体" w:hAnsi="黑体" w:eastAsia="黑体"/>
        </w:rPr>
        <w:t>安全库存优化模块</w:t>
      </w:r>
      <w:r>
        <w:tab/>
      </w:r>
      <w:r>
        <w:fldChar w:fldCharType="begin"/>
      </w:r>
      <w:r>
        <w:instrText xml:space="preserve"> PAGEREF _Toc1777734582 \h </w:instrText>
      </w:r>
      <w:r>
        <w:fldChar w:fldCharType="separate"/>
      </w:r>
      <w:r>
        <w:t>194</w:t>
      </w:r>
      <w:r>
        <w:fldChar w:fldCharType="end"/>
      </w:r>
      <w:r>
        <w:rPr>
          <w:rFonts w:hint="eastAsia" w:ascii="宋体" w:hAnsi="宋体" w:eastAsia="宋体"/>
          <w:kern w:val="2"/>
          <w:lang w:val="en-US" w:eastAsia="zh-CN" w:bidi="ar-SA"/>
        </w:rPr>
        <w:fldChar w:fldCharType="end"/>
      </w:r>
    </w:p>
    <w:p w14:paraId="2D879D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_Toc445138963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5.2.4 </w:t>
      </w:r>
      <w:r>
        <w:rPr>
          <w:rFonts w:ascii="黑体" w:hAnsi="黑体" w:eastAsia="黑体"/>
        </w:rPr>
        <w:t>统计与成本核算分析模块</w:t>
      </w:r>
      <w:r>
        <w:tab/>
      </w:r>
      <w:r>
        <w:fldChar w:fldCharType="begin"/>
      </w:r>
      <w:r>
        <w:instrText xml:space="preserve"> PAGEREF _Toc445138963 \h </w:instrText>
      </w:r>
      <w:r>
        <w:fldChar w:fldCharType="separate"/>
      </w:r>
      <w:r>
        <w:t>202</w:t>
      </w:r>
      <w:r>
        <w:fldChar w:fldCharType="end"/>
      </w:r>
      <w:r>
        <w:rPr>
          <w:rFonts w:hint="eastAsia" w:ascii="宋体" w:hAnsi="宋体" w:eastAsia="宋体"/>
          <w:kern w:val="2"/>
          <w:lang w:val="en-US" w:eastAsia="zh-CN" w:bidi="ar-SA"/>
        </w:rPr>
        <w:fldChar w:fldCharType="end"/>
      </w:r>
    </w:p>
    <w:p w14:paraId="6CD832B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_Toc1765008640 </w:instrText>
      </w:r>
      <w:r>
        <w:rPr>
          <w:rFonts w:hint="eastAsia" w:ascii="宋体" w:hAnsi="宋体" w:eastAsia="宋体"/>
          <w:kern w:val="2"/>
          <w:lang w:val="en-US" w:eastAsia="zh-CN" w:bidi="ar-SA"/>
        </w:rPr>
        <w:fldChar w:fldCharType="separate"/>
      </w:r>
      <w:r>
        <w:rPr>
          <w:rFonts w:hint="eastAsia" w:ascii="黑体" w:hAnsi="黑体" w:eastAsia="黑体" w:cs="黑体"/>
        </w:rPr>
        <w:t>六、 SCOS集成接口规范</w:t>
      </w:r>
      <w:r>
        <w:tab/>
      </w:r>
      <w:r>
        <w:fldChar w:fldCharType="begin"/>
      </w:r>
      <w:r>
        <w:instrText xml:space="preserve"> PAGEREF _Toc1765008640 \h </w:instrText>
      </w:r>
      <w:r>
        <w:fldChar w:fldCharType="separate"/>
      </w:r>
      <w:r>
        <w:t>217</w:t>
      </w:r>
      <w:r>
        <w:fldChar w:fldCharType="end"/>
      </w:r>
      <w:r>
        <w:rPr>
          <w:rFonts w:hint="eastAsia" w:ascii="宋体" w:hAnsi="宋体" w:eastAsia="宋体"/>
          <w:kern w:val="2"/>
          <w:lang w:val="en-US" w:eastAsia="zh-CN" w:bidi="ar-SA"/>
        </w:rPr>
        <w:fldChar w:fldCharType="end"/>
      </w:r>
    </w:p>
    <w:p w14:paraId="2D878721">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_Toc1308596469 </w:instrText>
      </w:r>
      <w:r>
        <w:rPr>
          <w:rFonts w:hint="eastAsia" w:ascii="宋体" w:hAnsi="宋体" w:eastAsia="宋体"/>
          <w:kern w:val="2"/>
          <w:lang w:val="en-US" w:eastAsia="zh-CN" w:bidi="ar-SA"/>
        </w:rPr>
        <w:fldChar w:fldCharType="separate"/>
      </w:r>
      <w:r>
        <w:rPr>
          <w:rFonts w:hint="eastAsia" w:ascii="黑体" w:hAnsi="黑体" w:eastAsia="黑体" w:cs="黑体"/>
        </w:rPr>
        <w:t>七、 SCOS业务场景-智能化覆盖率映射表</w:t>
      </w:r>
      <w:r>
        <w:tab/>
      </w:r>
      <w:r>
        <w:fldChar w:fldCharType="begin"/>
      </w:r>
      <w:r>
        <w:instrText xml:space="preserve"> PAGEREF _Toc1308596469 \h </w:instrText>
      </w:r>
      <w:r>
        <w:fldChar w:fldCharType="separate"/>
      </w:r>
      <w:r>
        <w:t>221</w:t>
      </w:r>
      <w:r>
        <w:fldChar w:fldCharType="end"/>
      </w:r>
      <w:r>
        <w:rPr>
          <w:rFonts w:hint="eastAsia" w:ascii="宋体" w:hAnsi="宋体" w:eastAsia="宋体"/>
          <w:kern w:val="2"/>
          <w:lang w:val="en-US" w:eastAsia="zh-CN" w:bidi="ar-SA"/>
        </w:rPr>
        <w:fldChar w:fldCharType="end"/>
      </w:r>
    </w:p>
    <w:p w14:paraId="589B3A2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_Toc1200825556 </w:instrText>
      </w:r>
      <w:r>
        <w:rPr>
          <w:rFonts w:hint="eastAsia" w:ascii="宋体" w:hAnsi="宋体" w:eastAsia="宋体"/>
          <w:kern w:val="2"/>
          <w:lang w:val="en-US" w:eastAsia="zh-CN" w:bidi="ar-SA"/>
        </w:rPr>
        <w:fldChar w:fldCharType="separate"/>
      </w:r>
      <w:r>
        <w:rPr>
          <w:rFonts w:hint="eastAsia" w:ascii="黑体" w:hAnsi="黑体" w:eastAsia="黑体" w:cs="黑体"/>
        </w:rPr>
        <w:t>7.1 智能化场景清单</w:t>
      </w:r>
      <w:r>
        <w:tab/>
      </w:r>
      <w:r>
        <w:fldChar w:fldCharType="begin"/>
      </w:r>
      <w:r>
        <w:instrText xml:space="preserve"> PAGEREF _Toc1200825556 \h </w:instrText>
      </w:r>
      <w:r>
        <w:fldChar w:fldCharType="separate"/>
      </w:r>
      <w:r>
        <w:t>221</w:t>
      </w:r>
      <w:r>
        <w:fldChar w:fldCharType="end"/>
      </w:r>
      <w:r>
        <w:rPr>
          <w:rFonts w:hint="eastAsia" w:ascii="宋体" w:hAnsi="宋体" w:eastAsia="宋体"/>
          <w:kern w:val="2"/>
          <w:lang w:val="en-US" w:eastAsia="zh-CN" w:bidi="ar-SA"/>
        </w:rPr>
        <w:fldChar w:fldCharType="end"/>
      </w:r>
    </w:p>
    <w:p w14:paraId="0C45088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_Toc223805186 </w:instrText>
      </w:r>
      <w:r>
        <w:rPr>
          <w:rFonts w:hint="eastAsia" w:ascii="宋体" w:hAnsi="宋体" w:eastAsia="宋体"/>
          <w:kern w:val="2"/>
          <w:lang w:val="en-US" w:eastAsia="zh-CN" w:bidi="ar-SA"/>
        </w:rPr>
        <w:fldChar w:fldCharType="separate"/>
      </w:r>
      <w:r>
        <w:rPr>
          <w:rFonts w:hint="eastAsia" w:ascii="黑体" w:hAnsi="黑体" w:eastAsia="黑体" w:cs="黑体"/>
        </w:rPr>
        <w:t>7.2 场景验收指标</w:t>
      </w:r>
      <w:r>
        <w:tab/>
      </w:r>
      <w:r>
        <w:fldChar w:fldCharType="begin"/>
      </w:r>
      <w:r>
        <w:instrText xml:space="preserve"> PAGEREF _Toc223805186 \h </w:instrText>
      </w:r>
      <w:r>
        <w:fldChar w:fldCharType="separate"/>
      </w:r>
      <w:r>
        <w:t>221</w:t>
      </w:r>
      <w:r>
        <w:fldChar w:fldCharType="end"/>
      </w:r>
      <w:r>
        <w:rPr>
          <w:rFonts w:hint="eastAsia" w:ascii="宋体" w:hAnsi="宋体" w:eastAsia="宋体"/>
          <w:kern w:val="2"/>
          <w:lang w:val="en-US" w:eastAsia="zh-CN" w:bidi="ar-SA"/>
        </w:rPr>
        <w:fldChar w:fldCharType="end"/>
      </w:r>
    </w:p>
    <w:p w14:paraId="2980797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_Toc1249895205 </w:instrText>
      </w:r>
      <w:r>
        <w:rPr>
          <w:rFonts w:hint="eastAsia" w:ascii="宋体" w:hAnsi="宋体" w:eastAsia="宋体"/>
          <w:kern w:val="2"/>
          <w:lang w:val="en-US" w:eastAsia="zh-CN" w:bidi="ar-SA"/>
        </w:rPr>
        <w:fldChar w:fldCharType="separate"/>
      </w:r>
      <w:r>
        <w:rPr>
          <w:rFonts w:hint="eastAsia" w:ascii="黑体" w:hAnsi="黑体" w:eastAsia="黑体" w:cs="黑体"/>
        </w:rPr>
        <w:t>7.3 智能化场景覆盖率</w:t>
      </w:r>
      <w:r>
        <w:tab/>
      </w:r>
      <w:r>
        <w:fldChar w:fldCharType="begin"/>
      </w:r>
      <w:r>
        <w:instrText xml:space="preserve"> PAGEREF _Toc1249895205 \h </w:instrText>
      </w:r>
      <w:r>
        <w:fldChar w:fldCharType="separate"/>
      </w:r>
      <w:r>
        <w:t>223</w:t>
      </w:r>
      <w:r>
        <w:fldChar w:fldCharType="end"/>
      </w:r>
      <w:r>
        <w:rPr>
          <w:rFonts w:hint="eastAsia" w:ascii="宋体" w:hAnsi="宋体" w:eastAsia="宋体"/>
          <w:kern w:val="2"/>
          <w:lang w:val="en-US" w:eastAsia="zh-CN" w:bidi="ar-SA"/>
        </w:rPr>
        <w:fldChar w:fldCharType="end"/>
      </w:r>
    </w:p>
    <w:p w14:paraId="763CF16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_Toc303675481 </w:instrText>
      </w:r>
      <w:r>
        <w:rPr>
          <w:rFonts w:hint="eastAsia" w:ascii="宋体" w:hAnsi="宋体" w:eastAsia="宋体"/>
          <w:kern w:val="2"/>
          <w:lang w:val="en-US" w:eastAsia="zh-CN" w:bidi="ar-SA"/>
        </w:rPr>
        <w:fldChar w:fldCharType="separate"/>
      </w:r>
      <w:r>
        <w:rPr>
          <w:rFonts w:hint="eastAsia" w:ascii="黑体" w:hAnsi="黑体" w:eastAsia="黑体" w:cs="黑体"/>
        </w:rPr>
        <w:t>八、 SCOS非功能性需求响应表</w:t>
      </w:r>
      <w:r>
        <w:tab/>
      </w:r>
      <w:r>
        <w:fldChar w:fldCharType="begin"/>
      </w:r>
      <w:r>
        <w:instrText xml:space="preserve"> PAGEREF _Toc303675481 \h </w:instrText>
      </w:r>
      <w:r>
        <w:fldChar w:fldCharType="separate"/>
      </w:r>
      <w:r>
        <w:t>224</w:t>
      </w:r>
      <w:r>
        <w:fldChar w:fldCharType="end"/>
      </w:r>
      <w:r>
        <w:rPr>
          <w:rFonts w:hint="eastAsia" w:ascii="宋体" w:hAnsi="宋体" w:eastAsia="宋体"/>
          <w:kern w:val="2"/>
          <w:lang w:val="en-US" w:eastAsia="zh-CN" w:bidi="ar-SA"/>
        </w:rPr>
        <w:fldChar w:fldCharType="end"/>
      </w:r>
    </w:p>
    <w:p w14:paraId="36C92225">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_Toc1452663895 </w:instrText>
      </w:r>
      <w:r>
        <w:rPr>
          <w:rFonts w:hint="eastAsia" w:ascii="宋体" w:hAnsi="宋体" w:eastAsia="宋体"/>
          <w:kern w:val="2"/>
          <w:lang w:val="en-US" w:eastAsia="zh-CN" w:bidi="ar-SA"/>
        </w:rPr>
        <w:fldChar w:fldCharType="separate"/>
      </w:r>
      <w:r>
        <w:rPr>
          <w:rFonts w:hint="eastAsia" w:ascii="黑体" w:hAnsi="黑体" w:eastAsia="黑体" w:cs="黑体"/>
        </w:rPr>
        <w:t>九、 SCOS蓝图交付物清单</w:t>
      </w:r>
      <w:r>
        <w:tab/>
      </w:r>
      <w:r>
        <w:fldChar w:fldCharType="begin"/>
      </w:r>
      <w:r>
        <w:instrText xml:space="preserve"> PAGEREF _Toc1452663895 \h </w:instrText>
      </w:r>
      <w:r>
        <w:fldChar w:fldCharType="separate"/>
      </w:r>
      <w:r>
        <w:t>225</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0" w:name="_Toc1190439376"/>
      <w:r>
        <w:rPr>
          <w:rFonts w:hint="eastAsia" w:ascii="黑体" w:hAnsi="黑体" w:eastAsia="黑体" w:cs="黑体"/>
          <w:b/>
          <w:bCs w:val="0"/>
          <w:kern w:val="2"/>
          <w:lang w:val="en-US" w:eastAsia="zh-CN" w:bidi="ar-SA"/>
        </w:rPr>
        <w:t>前言</w:t>
      </w:r>
      <w:bookmarkEnd w:id="0"/>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4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ascii="宋体" w:hAnsi="宋体" w:eastAsia="宋体"/>
          <w:b w:val="0"/>
          <w:sz w:val="22"/>
        </w:rPr>
        <w:t>本蓝图适用于中粮生物科技太仓项目供应链运营中心及全局供应链优化协同全流程，覆盖优化数据准备与模型服务模块、供应链驾驶舱、采购决策优化模块、安全库存优化模块、精益生产排程模块、统计与成本核算分析模块、供应链全程追溯与协同分析模块等核心业务能力的智能化设计。</w:t>
      </w:r>
    </w:p>
    <w:p w14:paraId="1A70F8B6">
      <w:pPr>
        <w:pStyle w:val="2"/>
        <w:bidi w:val="0"/>
        <w:rPr>
          <w:rFonts w:hint="eastAsia" w:ascii="黑体" w:hAnsi="黑体" w:eastAsia="黑体" w:cs="黑体"/>
          <w:b/>
          <w:bCs w:val="0"/>
          <w:lang w:val="en-US" w:eastAsia="zh-CN"/>
        </w:rPr>
      </w:pPr>
      <w:bookmarkStart w:id="1" w:name="_Toc1756936980"/>
      <w:r>
        <w:rPr>
          <w:rFonts w:ascii="黑体" w:hAnsi="黑体" w:eastAsia="黑体"/>
          <w:b/>
          <w:color w:val="000000"/>
          <w:sz w:val="32"/>
        </w:rPr>
        <w:t>SCOS全局供应链优化与协同系统功能描述</w:t>
      </w:r>
      <w:bookmarkEnd w:id="1"/>
    </w:p>
    <w:p w14:paraId="6A00644B">
      <w:pPr>
        <w:pStyle w:val="3"/>
      </w:pPr>
      <w:bookmarkStart w:id="2" w:name="_Toc939676610"/>
      <w:r>
        <w:rPr>
          <w:rFonts w:ascii="黑体" w:hAnsi="黑体" w:eastAsia="黑体"/>
          <w:b/>
          <w:color w:val="000000"/>
          <w:sz w:val="30"/>
        </w:rPr>
        <w:t>系统定位与建设目标</w:t>
      </w:r>
      <w:bookmarkEnd w:id="2"/>
    </w:p>
    <w:p w14:paraId="2467CE87">
      <w:pPr>
        <w:keepNext w:val="0"/>
        <w:keepLines w:val="0"/>
        <w:spacing w:before="0" w:after="0" w:line="480" w:lineRule="exact"/>
        <w:ind w:left="0" w:right="0" w:firstLine="440"/>
        <w:jc w:val="left"/>
      </w:pPr>
      <w:r>
        <w:rPr>
          <w:rFonts w:ascii="宋体" w:hAnsi="宋体" w:eastAsia="宋体"/>
          <w:b w:val="0"/>
          <w:color w:val="000000"/>
          <w:sz w:val="22"/>
        </w:rPr>
        <w:t>SCOS定位为工厂级全局供应链优化与协同决策平台，在统一数据服务层、实时数据平台及现有业务系统之上，连接需求、采购、库存、生产、成本、质量、物流和客户交付信息，形成“数据准备—模型计算—方案比较—人工评审—审批发布—执行反馈—持续改进”的端到端闭环。系统面向管理层、计划、采购、生产、仓储、物流、质量、财务和信息化运维等角色，提供可解释、可审批、可追溯的决策支持。</w:t>
      </w:r>
    </w:p>
    <w:p w14:paraId="174C19C3">
      <w:pPr>
        <w:keepNext w:val="0"/>
        <w:keepLines w:val="0"/>
        <w:spacing w:before="0" w:after="0" w:line="480" w:lineRule="exact"/>
        <w:ind w:left="0" w:right="0" w:firstLine="440"/>
        <w:jc w:val="left"/>
      </w:pPr>
      <w:r>
        <w:rPr>
          <w:rFonts w:ascii="宋体" w:hAnsi="宋体" w:eastAsia="宋体"/>
          <w:b w:val="0"/>
          <w:color w:val="000000"/>
          <w:sz w:val="22"/>
        </w:rPr>
        <w:t>系统建设以全局成本、客户服务、资源利用、供应保障和风险韧性的综合最优为目标。各专业模块保持高内聚、松耦合，通过统一数据和标准接口共享业务事实；所有模型结果均保留数据版本、参数、约束、候选方案、人工调整、审批和执行反馈，确保方案能够复核、审计和持续优化。</w:t>
      </w:r>
    </w:p>
    <w:p w14:paraId="2835517B">
      <w:pPr>
        <w:pStyle w:val="3"/>
      </w:pPr>
      <w:bookmarkStart w:id="3" w:name="_Toc550044232"/>
      <w:r>
        <w:rPr>
          <w:rFonts w:ascii="黑体" w:hAnsi="黑体" w:eastAsia="黑体"/>
          <w:b/>
          <w:color w:val="000000"/>
          <w:sz w:val="30"/>
        </w:rPr>
        <w:t>系统职责边界与周边系统分工</w:t>
      </w:r>
      <w:bookmarkEnd w:id="3"/>
    </w:p>
    <w:p w14:paraId="3FE48C5E">
      <w:pPr>
        <w:keepNext w:val="0"/>
        <w:keepLines w:val="0"/>
        <w:spacing w:before="0" w:after="0" w:line="480" w:lineRule="exact"/>
        <w:ind w:left="0" w:right="0" w:firstLine="440"/>
        <w:jc w:val="left"/>
      </w:pPr>
      <w:r>
        <w:rPr>
          <w:rFonts w:ascii="宋体" w:hAnsi="宋体" w:eastAsia="宋体"/>
          <w:b w:val="0"/>
          <w:color w:val="000000"/>
          <w:sz w:val="22"/>
        </w:rPr>
        <w:t>SCOS负责数据消费与场景化准备、模型计算、方案比较、风险预警、审批发布和跨部门协同，不替代SAP、E采、MES、WMS、TMS、QMS/LIMS、EAM/EMS等系统的主数据、正式交易、车间执行、仓储作业、运输调度、质量检验和财务核算职责。专业建议只有在完成权限校验和业务审批后才能形成正式发布结果，并由权威执行系统承接。</w:t>
      </w:r>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2"/>
        <w:gridCol w:w="2376"/>
        <w:gridCol w:w="2376"/>
        <w:gridCol w:w="2045"/>
      </w:tblGrid>
      <w:tr w14:paraId="19EC9B43">
        <w:trPr>
          <w:tblHeader/>
        </w:trPr>
        <w:tc>
          <w:tcPr>
            <w:tcW w:w="2078" w:type="dxa"/>
            <w:tcMar>
              <w:top w:w="80" w:type="dxa"/>
              <w:left w:w="80" w:type="dxa"/>
              <w:bottom w:w="80" w:type="dxa"/>
              <w:right w:w="80" w:type="dxa"/>
            </w:tcMar>
            <w:vAlign w:val="center"/>
          </w:tcPr>
          <w:p w14:paraId="1B1B349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对象或系统</w:t>
            </w:r>
          </w:p>
        </w:tc>
        <w:tc>
          <w:tcPr>
            <w:tcW w:w="2078" w:type="dxa"/>
            <w:tcMar>
              <w:top w:w="80" w:type="dxa"/>
              <w:left w:w="80" w:type="dxa"/>
              <w:bottom w:w="80" w:type="dxa"/>
              <w:right w:w="80" w:type="dxa"/>
            </w:tcMar>
            <w:vAlign w:val="center"/>
          </w:tcPr>
          <w:p w14:paraId="46A2468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SCOS职责</w:t>
            </w:r>
          </w:p>
        </w:tc>
        <w:tc>
          <w:tcPr>
            <w:tcW w:w="2078" w:type="dxa"/>
            <w:tcMar>
              <w:top w:w="80" w:type="dxa"/>
              <w:left w:w="80" w:type="dxa"/>
              <w:bottom w:w="80" w:type="dxa"/>
              <w:right w:w="80" w:type="dxa"/>
            </w:tcMar>
            <w:vAlign w:val="center"/>
          </w:tcPr>
          <w:p w14:paraId="090E821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外部系统职责</w:t>
            </w:r>
          </w:p>
        </w:tc>
        <w:tc>
          <w:tcPr>
            <w:tcW w:w="2078" w:type="dxa"/>
            <w:tcMar>
              <w:top w:w="80" w:type="dxa"/>
              <w:left w:w="80" w:type="dxa"/>
              <w:bottom w:w="80" w:type="dxa"/>
              <w:right w:w="80" w:type="dxa"/>
            </w:tcMar>
            <w:vAlign w:val="center"/>
          </w:tcPr>
          <w:p w14:paraId="7A0077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协同方式</w:t>
            </w:r>
          </w:p>
        </w:tc>
      </w:tr>
      <w:tr w14:paraId="4BA8D9C8">
        <w:tc>
          <w:tcPr>
            <w:tcW w:w="1512" w:type="dxa"/>
            <w:tcMar>
              <w:top w:w="80" w:type="dxa"/>
              <w:left w:w="80" w:type="dxa"/>
              <w:bottom w:w="80" w:type="dxa"/>
              <w:right w:w="80" w:type="dxa"/>
            </w:tcMar>
            <w:vAlign w:val="center"/>
          </w:tcPr>
          <w:p w14:paraId="5CEC6AD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统一数据服务层与实时数据平台</w:t>
            </w:r>
          </w:p>
        </w:tc>
        <w:tc>
          <w:tcPr>
            <w:tcW w:w="2376" w:type="dxa"/>
            <w:tcMar>
              <w:top w:w="80" w:type="dxa"/>
              <w:left w:w="80" w:type="dxa"/>
              <w:bottom w:w="80" w:type="dxa"/>
              <w:right w:w="80" w:type="dxa"/>
            </w:tcMar>
            <w:vAlign w:val="center"/>
          </w:tcPr>
          <w:p w14:paraId="7647A2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按标准API和事件获取主数据、交易数据、聚合数据及实时状态，完成优化场景所需的数据对齐、校验和快照。</w:t>
            </w:r>
          </w:p>
        </w:tc>
        <w:tc>
          <w:tcPr>
            <w:tcW w:w="2376" w:type="dxa"/>
            <w:tcMar>
              <w:top w:w="80" w:type="dxa"/>
              <w:left w:w="80" w:type="dxa"/>
              <w:bottom w:w="80" w:type="dxa"/>
              <w:right w:w="80" w:type="dxa"/>
            </w:tcMar>
            <w:vAlign w:val="center"/>
          </w:tcPr>
          <w:p w14:paraId="2182E5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负责源数据接入、标准化、存储、服务目录和统一交换，保障数据源权威性与可用性。</w:t>
            </w:r>
          </w:p>
        </w:tc>
        <w:tc>
          <w:tcPr>
            <w:tcW w:w="2045" w:type="dxa"/>
            <w:tcMar>
              <w:top w:w="80" w:type="dxa"/>
              <w:left w:w="80" w:type="dxa"/>
              <w:bottom w:w="80" w:type="dxa"/>
              <w:right w:w="80" w:type="dxa"/>
            </w:tcMar>
            <w:vAlign w:val="center"/>
          </w:tcPr>
          <w:p w14:paraId="2B8FE4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标准API、Kafka/ESB/MQTT及批量接口；记录频率、版本、超时和异常。</w:t>
            </w:r>
          </w:p>
        </w:tc>
      </w:tr>
      <w:tr w14:paraId="064A3499">
        <w:tc>
          <w:tcPr>
            <w:tcW w:w="1512" w:type="dxa"/>
            <w:tcMar>
              <w:top w:w="80" w:type="dxa"/>
              <w:left w:w="80" w:type="dxa"/>
              <w:bottom w:w="80" w:type="dxa"/>
              <w:right w:w="80" w:type="dxa"/>
            </w:tcMar>
            <w:vAlign w:val="center"/>
          </w:tcPr>
          <w:p w14:paraId="139DBE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SAP及E采/合同系统</w:t>
            </w:r>
          </w:p>
        </w:tc>
        <w:tc>
          <w:tcPr>
            <w:tcW w:w="2376" w:type="dxa"/>
            <w:tcMar>
              <w:top w:w="80" w:type="dxa"/>
              <w:left w:w="80" w:type="dxa"/>
              <w:bottom w:w="80" w:type="dxa"/>
              <w:right w:w="80" w:type="dxa"/>
            </w:tcMar>
            <w:vAlign w:val="center"/>
          </w:tcPr>
          <w:p w14:paraId="4DA017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消费主数据、订单、合同、价格和财务事实；输出经审批的采购、生产及协同建议，并跟踪执行反馈。</w:t>
            </w:r>
          </w:p>
        </w:tc>
        <w:tc>
          <w:tcPr>
            <w:tcW w:w="2376" w:type="dxa"/>
            <w:tcMar>
              <w:top w:w="80" w:type="dxa"/>
              <w:left w:w="80" w:type="dxa"/>
              <w:bottom w:w="80" w:type="dxa"/>
              <w:right w:w="80" w:type="dxa"/>
            </w:tcMar>
            <w:vAlign w:val="center"/>
          </w:tcPr>
          <w:p w14:paraId="5BB37D5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维护权威主数据、合同、采购订单、生产订单、财务数据和正式交易状态。</w:t>
            </w:r>
          </w:p>
        </w:tc>
        <w:tc>
          <w:tcPr>
            <w:tcW w:w="2045" w:type="dxa"/>
            <w:tcMar>
              <w:top w:w="80" w:type="dxa"/>
              <w:left w:w="80" w:type="dxa"/>
              <w:bottom w:w="80" w:type="dxa"/>
              <w:right w:w="80" w:type="dxa"/>
            </w:tcMar>
            <w:vAlign w:val="center"/>
          </w:tcPr>
          <w:p w14:paraId="4CF3D9E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双向API或ESB；正式单据由权威系统生成和维护。</w:t>
            </w:r>
          </w:p>
        </w:tc>
      </w:tr>
      <w:tr w14:paraId="66901AF7">
        <w:tc>
          <w:tcPr>
            <w:tcW w:w="1512" w:type="dxa"/>
            <w:tcMar>
              <w:top w:w="80" w:type="dxa"/>
              <w:left w:w="80" w:type="dxa"/>
              <w:bottom w:w="80" w:type="dxa"/>
              <w:right w:w="80" w:type="dxa"/>
            </w:tcMar>
            <w:vAlign w:val="center"/>
          </w:tcPr>
          <w:p w14:paraId="20C2C05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MES</w:t>
            </w:r>
          </w:p>
        </w:tc>
        <w:tc>
          <w:tcPr>
            <w:tcW w:w="2376" w:type="dxa"/>
            <w:tcMar>
              <w:top w:w="80" w:type="dxa"/>
              <w:left w:w="80" w:type="dxa"/>
              <w:bottom w:w="80" w:type="dxa"/>
              <w:right w:w="80" w:type="dxa"/>
            </w:tcMar>
            <w:vAlign w:val="center"/>
          </w:tcPr>
          <w:p w14:paraId="7993C6A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形成或接收排程方案，发布经审批的生产工单建议，跟踪计划与实际差异并滚动优化。</w:t>
            </w:r>
          </w:p>
        </w:tc>
        <w:tc>
          <w:tcPr>
            <w:tcW w:w="2376" w:type="dxa"/>
            <w:tcMar>
              <w:top w:w="80" w:type="dxa"/>
              <w:left w:w="80" w:type="dxa"/>
              <w:bottom w:w="80" w:type="dxa"/>
              <w:right w:w="80" w:type="dxa"/>
            </w:tcMar>
            <w:vAlign w:val="center"/>
          </w:tcPr>
          <w:p w14:paraId="685CABA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执行生产工单，采集生产进度、产量、批次、设备和过程质量数据。</w:t>
            </w:r>
          </w:p>
        </w:tc>
        <w:tc>
          <w:tcPr>
            <w:tcW w:w="2045" w:type="dxa"/>
            <w:tcMar>
              <w:top w:w="80" w:type="dxa"/>
              <w:left w:w="80" w:type="dxa"/>
              <w:bottom w:w="80" w:type="dxa"/>
              <w:right w:w="80" w:type="dxa"/>
            </w:tcMar>
            <w:vAlign w:val="center"/>
          </w:tcPr>
          <w:p w14:paraId="07AE0C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SCOS下发排程/工单，MES反馈执行事件和批次实绩。</w:t>
            </w:r>
          </w:p>
        </w:tc>
      </w:tr>
      <w:tr w14:paraId="38645AC6">
        <w:tc>
          <w:tcPr>
            <w:tcW w:w="1512" w:type="dxa"/>
            <w:tcMar>
              <w:top w:w="80" w:type="dxa"/>
              <w:left w:w="80" w:type="dxa"/>
              <w:bottom w:w="80" w:type="dxa"/>
              <w:right w:w="80" w:type="dxa"/>
            </w:tcMar>
            <w:vAlign w:val="center"/>
          </w:tcPr>
          <w:p w14:paraId="3589D2A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WMS与TMS</w:t>
            </w:r>
          </w:p>
        </w:tc>
        <w:tc>
          <w:tcPr>
            <w:tcW w:w="2376" w:type="dxa"/>
            <w:tcMar>
              <w:top w:w="80" w:type="dxa"/>
              <w:left w:w="80" w:type="dxa"/>
              <w:bottom w:w="80" w:type="dxa"/>
              <w:right w:w="80" w:type="dxa"/>
            </w:tcMar>
            <w:vAlign w:val="center"/>
          </w:tcPr>
          <w:p w14:paraId="7E42F71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计算库存策略、补货与到货建议，分析库存、仓容、在途、物流成本和交付风险。</w:t>
            </w:r>
          </w:p>
        </w:tc>
        <w:tc>
          <w:tcPr>
            <w:tcW w:w="2376" w:type="dxa"/>
            <w:tcMar>
              <w:top w:w="80" w:type="dxa"/>
              <w:left w:w="80" w:type="dxa"/>
              <w:bottom w:w="80" w:type="dxa"/>
              <w:right w:w="80" w:type="dxa"/>
            </w:tcMar>
            <w:vAlign w:val="center"/>
          </w:tcPr>
          <w:p w14:paraId="730F23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执行收发存、库内作业、车辆调度和运输节点管理，维护正式库存及运输状态。</w:t>
            </w:r>
          </w:p>
        </w:tc>
        <w:tc>
          <w:tcPr>
            <w:tcW w:w="2045" w:type="dxa"/>
            <w:tcMar>
              <w:top w:w="80" w:type="dxa"/>
              <w:left w:w="80" w:type="dxa"/>
              <w:bottom w:w="80" w:type="dxa"/>
              <w:right w:w="80" w:type="dxa"/>
            </w:tcMar>
            <w:vAlign w:val="center"/>
          </w:tcPr>
          <w:p w14:paraId="5D07C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库存、批次、作业和运输状态双向同步；指令回执与对账。</w:t>
            </w:r>
          </w:p>
        </w:tc>
      </w:tr>
      <w:tr w14:paraId="5A3277FA">
        <w:tc>
          <w:tcPr>
            <w:tcW w:w="1512" w:type="dxa"/>
            <w:tcMar>
              <w:top w:w="80" w:type="dxa"/>
              <w:left w:w="80" w:type="dxa"/>
              <w:bottom w:w="80" w:type="dxa"/>
              <w:right w:w="80" w:type="dxa"/>
            </w:tcMar>
            <w:vAlign w:val="center"/>
          </w:tcPr>
          <w:p w14:paraId="02F2347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QMS/LIMS</w:t>
            </w:r>
          </w:p>
        </w:tc>
        <w:tc>
          <w:tcPr>
            <w:tcW w:w="2376" w:type="dxa"/>
            <w:tcMar>
              <w:top w:w="80" w:type="dxa"/>
              <w:left w:w="80" w:type="dxa"/>
              <w:bottom w:w="80" w:type="dxa"/>
              <w:right w:w="80" w:type="dxa"/>
            </w:tcMar>
            <w:vAlign w:val="center"/>
          </w:tcPr>
          <w:p w14:paraId="09059A4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消费检验、质量放行和异常信息，开展采购评价、排程调整、追溯分析及冻结协同。</w:t>
            </w:r>
          </w:p>
        </w:tc>
        <w:tc>
          <w:tcPr>
            <w:tcW w:w="2376" w:type="dxa"/>
            <w:tcMar>
              <w:top w:w="80" w:type="dxa"/>
              <w:left w:w="80" w:type="dxa"/>
              <w:bottom w:w="80" w:type="dxa"/>
              <w:right w:w="80" w:type="dxa"/>
            </w:tcMar>
            <w:vAlign w:val="center"/>
          </w:tcPr>
          <w:p w14:paraId="4AFCDB9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执行取样、检验、判定、放行与质量处置，维护权威检验结果。</w:t>
            </w:r>
          </w:p>
        </w:tc>
        <w:tc>
          <w:tcPr>
            <w:tcW w:w="2045" w:type="dxa"/>
            <w:tcMar>
              <w:top w:w="80" w:type="dxa"/>
              <w:left w:w="80" w:type="dxa"/>
              <w:bottom w:w="80" w:type="dxa"/>
              <w:right w:w="80" w:type="dxa"/>
            </w:tcMar>
            <w:vAlign w:val="center"/>
          </w:tcPr>
          <w:p w14:paraId="25F7AD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质量事件驱动预警、追溯和库存联动，正式质量状态由质量系统维护。</w:t>
            </w:r>
          </w:p>
        </w:tc>
      </w:tr>
      <w:tr w14:paraId="494C22E0">
        <w:tc>
          <w:tcPr>
            <w:tcW w:w="1512" w:type="dxa"/>
            <w:tcMar>
              <w:top w:w="80" w:type="dxa"/>
              <w:left w:w="80" w:type="dxa"/>
              <w:bottom w:w="80" w:type="dxa"/>
              <w:right w:w="80" w:type="dxa"/>
            </w:tcMar>
            <w:vAlign w:val="center"/>
          </w:tcPr>
          <w:p w14:paraId="39AB2D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CRM、EAM、EMS/ECMS及AI平台</w:t>
            </w:r>
          </w:p>
        </w:tc>
        <w:tc>
          <w:tcPr>
            <w:tcW w:w="2376" w:type="dxa"/>
            <w:tcMar>
              <w:top w:w="80" w:type="dxa"/>
              <w:left w:w="80" w:type="dxa"/>
              <w:bottom w:w="80" w:type="dxa"/>
              <w:right w:w="80" w:type="dxa"/>
            </w:tcMar>
            <w:vAlign w:val="center"/>
          </w:tcPr>
          <w:p w14:paraId="0556801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消费客户需求、设备维护、能源碳成本和智能模型服务，形成跨域优化结果与协同任务。</w:t>
            </w:r>
          </w:p>
        </w:tc>
        <w:tc>
          <w:tcPr>
            <w:tcW w:w="2376" w:type="dxa"/>
            <w:tcMar>
              <w:top w:w="80" w:type="dxa"/>
              <w:left w:w="80" w:type="dxa"/>
              <w:bottom w:w="80" w:type="dxa"/>
              <w:right w:w="80" w:type="dxa"/>
            </w:tcMar>
            <w:vAlign w:val="center"/>
          </w:tcPr>
          <w:p w14:paraId="2016BD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分别维护客户需求、设备资产与维护、能源碳数据及通用AI模型能力。</w:t>
            </w:r>
          </w:p>
        </w:tc>
        <w:tc>
          <w:tcPr>
            <w:tcW w:w="2045" w:type="dxa"/>
            <w:tcMar>
              <w:top w:w="80" w:type="dxa"/>
              <w:left w:w="80" w:type="dxa"/>
              <w:bottom w:w="80" w:type="dxa"/>
              <w:right w:w="80" w:type="dxa"/>
            </w:tcMar>
            <w:vAlign w:val="center"/>
          </w:tcPr>
          <w:p w14:paraId="4A0451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通过统一数据服务层和标准模型服务API交互，避免点对点重复集成。</w:t>
            </w:r>
          </w:p>
        </w:tc>
      </w:tr>
    </w:tbl>
    <w:p w14:paraId="048195BD">
      <w:pPr>
        <w:pStyle w:val="5"/>
      </w:pPr>
    </w:p>
    <w:p w14:paraId="202B7FDC">
      <w:pPr>
        <w:pStyle w:val="3"/>
      </w:pPr>
      <w:bookmarkStart w:id="4" w:name="_Toc1823790536"/>
      <w:r>
        <w:rPr>
          <w:rFonts w:ascii="黑体" w:hAnsi="黑体" w:eastAsia="黑体"/>
          <w:b/>
          <w:color w:val="000000"/>
          <w:sz w:val="30"/>
        </w:rPr>
        <w:t>系统功能视图</w:t>
      </w:r>
      <w:bookmarkEnd w:id="4"/>
    </w:p>
    <w:p w14:paraId="73CE2F12">
      <w:pPr>
        <w:keepNext w:val="0"/>
        <w:keepLines w:val="0"/>
        <w:spacing w:before="0" w:after="0" w:line="480" w:lineRule="exact"/>
        <w:ind w:left="0" w:right="0" w:firstLine="440"/>
        <w:jc w:val="left"/>
      </w:pPr>
      <w:r>
        <w:rPr>
          <w:rFonts w:ascii="宋体" w:hAnsi="宋体" w:eastAsia="宋体"/>
          <w:b w:val="0"/>
          <w:color w:val="000000"/>
          <w:sz w:val="22"/>
        </w:rPr>
        <w:t>SCOS功能按照“数据基石、决策呈现、核心业务优化、价值与协调分析”四个分类组织，下设七个一级功能模块。系统功能视图由总体结构图和七个一级模块明细图组成。</w:t>
      </w:r>
    </w:p>
    <w:p w14:paraId="26BE274B">
      <w:pPr>
        <w:keepNext/>
        <w:keepLines/>
        <w:spacing w:before="0" w:after="0"/>
        <w:ind w:firstLine="0"/>
        <w:jc w:val="center"/>
      </w:pPr>
      <w:r>
        <w:drawing>
          <wp:inline distT="0" distB="0" distL="114300" distR="114300">
            <wp:extent cx="5275580" cy="3282315"/>
            <wp:effectExtent l="0" t="0" r="7620" b="19685"/>
            <wp:docPr id="64" name="Picture 64" descr="SCOS四大分类与七个一级功能模块总体结构图" title="SCOS四大分类与七个一级功能模块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OS四大分类与七个一级功能模块总体结构图" title="SCOS四大分类与七个一级功能模块总体结构图"/>
                    <pic:cNvPicPr>
                      <a:picLocks noChangeAspect="1"/>
                    </pic:cNvPicPr>
                  </pic:nvPicPr>
                  <pic:blipFill>
                    <a:blip r:embed="rId10"/>
                    <a:stretch>
                      <a:fillRect/>
                    </a:stretch>
                  </pic:blipFill>
                  <pic:spPr>
                    <a:xfrm>
                      <a:off x="0" y="0"/>
                      <a:ext cx="5276088" cy="3282899"/>
                    </a:xfrm>
                    <a:prstGeom prst="rect">
                      <a:avLst/>
                    </a:prstGeom>
                  </pic:spPr>
                </pic:pic>
              </a:graphicData>
            </a:graphic>
          </wp:inline>
        </w:drawing>
      </w:r>
    </w:p>
    <w:p w14:paraId="539C0B2C">
      <w:pPr>
        <w:pStyle w:val="5"/>
        <w:keepNext w:val="0"/>
        <w:keepLines/>
        <w:spacing w:before="0" w:after="60" w:line="240" w:lineRule="exact"/>
        <w:ind w:left="0" w:right="0" w:firstLine="0"/>
        <w:jc w:val="center"/>
      </w:pPr>
      <w:r>
        <w:rPr>
          <w:rFonts w:ascii="宋体" w:hAnsi="宋体" w:eastAsia="宋体"/>
          <w:b w:val="0"/>
          <w:color w:val="000000"/>
          <w:sz w:val="18"/>
        </w:rPr>
        <w:t>图 2-1 SCOS全局供应链优化与协同系统总体功能视图</w:t>
      </w:r>
    </w:p>
    <w:p w14:paraId="535A9CD0">
      <w:pPr>
        <w:keepNext/>
        <w:keepLines/>
        <w:spacing w:before="0" w:after="0"/>
        <w:ind w:firstLine="0"/>
        <w:jc w:val="center"/>
      </w:pPr>
      <w:r>
        <w:drawing>
          <wp:inline distT="0" distB="0" distL="114300" distR="114300">
            <wp:extent cx="5275580" cy="3212465"/>
            <wp:effectExtent l="0" t="0" r="7620" b="13335"/>
            <wp:docPr id="65" name="Picture 65" descr="优化数据准备与模型服务模块二级功能视图，共12项二级功能" title="优化数据准备与模型服务模块二级功能视图，共12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优化数据准备与模型服务模块二级功能视图，共12项二级功能" title="优化数据准备与模型服务模块二级功能视图，共12项二级功能"/>
                    <pic:cNvPicPr>
                      <a:picLocks noChangeAspect="1"/>
                    </pic:cNvPicPr>
                  </pic:nvPicPr>
                  <pic:blipFill>
                    <a:blip r:embed="rId11"/>
                    <a:stretch>
                      <a:fillRect/>
                    </a:stretch>
                  </pic:blipFill>
                  <pic:spPr>
                    <a:xfrm>
                      <a:off x="0" y="0"/>
                      <a:ext cx="5276088" cy="3212551"/>
                    </a:xfrm>
                    <a:prstGeom prst="rect">
                      <a:avLst/>
                    </a:prstGeom>
                  </pic:spPr>
                </pic:pic>
              </a:graphicData>
            </a:graphic>
          </wp:inline>
        </w:drawing>
      </w:r>
    </w:p>
    <w:p w14:paraId="04E0A3E0">
      <w:pPr>
        <w:pStyle w:val="5"/>
        <w:keepNext w:val="0"/>
        <w:keepLines/>
        <w:spacing w:before="0" w:after="60" w:line="240" w:lineRule="exact"/>
        <w:ind w:left="0" w:right="0" w:firstLine="0"/>
        <w:jc w:val="center"/>
      </w:pPr>
      <w:r>
        <w:rPr>
          <w:rFonts w:ascii="宋体" w:hAnsi="宋体" w:eastAsia="宋体"/>
          <w:b w:val="0"/>
          <w:color w:val="000000"/>
          <w:sz w:val="18"/>
        </w:rPr>
        <w:t>图 2-1-1 优化数据准备与模型服务模块功能视图</w:t>
      </w:r>
    </w:p>
    <w:p w14:paraId="000C5839">
      <w:pPr>
        <w:keepNext/>
        <w:keepLines/>
        <w:spacing w:before="0" w:after="0"/>
        <w:ind w:firstLine="0"/>
        <w:jc w:val="center"/>
      </w:pPr>
      <w:r>
        <w:drawing>
          <wp:inline distT="0" distB="0" distL="114300" distR="114300">
            <wp:extent cx="5275580" cy="3212465"/>
            <wp:effectExtent l="0" t="0" r="7620" b="13335"/>
            <wp:docPr id="66" name="Picture 66" descr="供应链驾驶舱二级功能视图，共12项二级功能" title="供应链驾驶舱二级功能视图，共12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供应链驾驶舱二级功能视图，共12项二级功能" title="供应链驾驶舱二级功能视图，共12项二级功能"/>
                    <pic:cNvPicPr>
                      <a:picLocks noChangeAspect="1"/>
                    </pic:cNvPicPr>
                  </pic:nvPicPr>
                  <pic:blipFill>
                    <a:blip r:embed="rId12"/>
                    <a:stretch>
                      <a:fillRect/>
                    </a:stretch>
                  </pic:blipFill>
                  <pic:spPr>
                    <a:xfrm>
                      <a:off x="0" y="0"/>
                      <a:ext cx="5276088" cy="3212551"/>
                    </a:xfrm>
                    <a:prstGeom prst="rect">
                      <a:avLst/>
                    </a:prstGeom>
                  </pic:spPr>
                </pic:pic>
              </a:graphicData>
            </a:graphic>
          </wp:inline>
        </w:drawing>
      </w:r>
    </w:p>
    <w:p w14:paraId="27519B5B">
      <w:pPr>
        <w:pStyle w:val="5"/>
        <w:keepNext w:val="0"/>
        <w:keepLines/>
        <w:spacing w:before="0" w:after="60" w:line="240" w:lineRule="exact"/>
        <w:ind w:left="0" w:right="0" w:firstLine="0"/>
        <w:jc w:val="center"/>
      </w:pPr>
      <w:r>
        <w:rPr>
          <w:rFonts w:ascii="宋体" w:hAnsi="宋体" w:eastAsia="宋体"/>
          <w:b w:val="0"/>
          <w:color w:val="000000"/>
          <w:sz w:val="18"/>
        </w:rPr>
        <w:t>图 2-1-2 供应链驾驶舱功能视图</w:t>
      </w:r>
    </w:p>
    <w:p w14:paraId="23011E71">
      <w:pPr>
        <w:keepNext/>
        <w:keepLines/>
        <w:pageBreakBefore/>
        <w:spacing w:before="0" w:after="0"/>
        <w:ind w:firstLine="0"/>
        <w:jc w:val="center"/>
      </w:pPr>
      <w:r>
        <w:drawing>
          <wp:inline distT="0" distB="0" distL="114300" distR="114300">
            <wp:extent cx="5275580" cy="3552190"/>
            <wp:effectExtent l="0" t="0" r="7620" b="3810"/>
            <wp:docPr id="72" name="Picture 72" descr="采购决策优化模块二级功能视图，共14项二级功能" title="采购决策优化模块二级功能视图，共14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采购决策优化模块二级功能视图，共14项二级功能" title="采购决策优化模块二级功能视图，共14项二级功能"/>
                    <pic:cNvPicPr>
                      <a:picLocks noChangeAspect="1"/>
                    </pic:cNvPicPr>
                  </pic:nvPicPr>
                  <pic:blipFill>
                    <a:blip r:embed="rId13"/>
                    <a:stretch>
                      <a:fillRect/>
                    </a:stretch>
                  </pic:blipFill>
                  <pic:spPr>
                    <a:xfrm>
                      <a:off x="0" y="0"/>
                      <a:ext cx="5276088" cy="3552566"/>
                    </a:xfrm>
                    <a:prstGeom prst="rect">
                      <a:avLst/>
                    </a:prstGeom>
                  </pic:spPr>
                </pic:pic>
              </a:graphicData>
            </a:graphic>
          </wp:inline>
        </w:drawing>
      </w:r>
    </w:p>
    <w:p w14:paraId="22E4C40B">
      <w:pPr>
        <w:pStyle w:val="5"/>
        <w:keepNext w:val="0"/>
        <w:keepLines/>
        <w:spacing w:before="0" w:after="60" w:line="240" w:lineRule="exact"/>
        <w:ind w:left="0" w:right="0" w:firstLine="0"/>
        <w:jc w:val="center"/>
      </w:pPr>
      <w:r>
        <w:rPr>
          <w:rFonts w:ascii="宋体" w:hAnsi="宋体" w:eastAsia="宋体"/>
          <w:b w:val="0"/>
          <w:color w:val="000000"/>
          <w:sz w:val="18"/>
        </w:rPr>
        <w:t>图 2-1-3 采购决策优化模块功能视图</w:t>
      </w:r>
    </w:p>
    <w:p w14:paraId="7AA988FD">
      <w:pPr>
        <w:keepNext/>
        <w:keepLines/>
        <w:spacing w:before="0" w:after="0"/>
        <w:ind w:firstLine="0"/>
        <w:jc w:val="center"/>
      </w:pPr>
      <w:r>
        <w:drawing>
          <wp:inline distT="0" distB="0" distL="114300" distR="114300">
            <wp:extent cx="5275580" cy="3552190"/>
            <wp:effectExtent l="0" t="0" r="7620" b="3810"/>
            <wp:docPr id="68" name="Picture 68" descr="安全库存优化模块二级功能视图，共13项二级功能" title="安全库存优化模块二级功能视图，共13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安全库存优化模块二级功能视图，共13项二级功能" title="安全库存优化模块二级功能视图，共13项二级功能"/>
                    <pic:cNvPicPr>
                      <a:picLocks noChangeAspect="1"/>
                    </pic:cNvPicPr>
                  </pic:nvPicPr>
                  <pic:blipFill>
                    <a:blip r:embed="rId14"/>
                    <a:stretch>
                      <a:fillRect/>
                    </a:stretch>
                  </pic:blipFill>
                  <pic:spPr>
                    <a:xfrm>
                      <a:off x="0" y="0"/>
                      <a:ext cx="5276088" cy="3552566"/>
                    </a:xfrm>
                    <a:prstGeom prst="rect">
                      <a:avLst/>
                    </a:prstGeom>
                  </pic:spPr>
                </pic:pic>
              </a:graphicData>
            </a:graphic>
          </wp:inline>
        </w:drawing>
      </w:r>
    </w:p>
    <w:p w14:paraId="54267504">
      <w:pPr>
        <w:pStyle w:val="5"/>
        <w:keepNext w:val="0"/>
        <w:keepLines/>
        <w:spacing w:before="0" w:after="60" w:line="240" w:lineRule="exact"/>
        <w:ind w:left="0" w:right="0" w:firstLine="0"/>
        <w:jc w:val="center"/>
      </w:pPr>
      <w:r>
        <w:rPr>
          <w:rFonts w:ascii="宋体" w:hAnsi="宋体" w:eastAsia="宋体"/>
          <w:b w:val="0"/>
          <w:color w:val="000000"/>
          <w:sz w:val="18"/>
        </w:rPr>
        <w:t>图 2-1-4 安全库存优化模块功能视图</w:t>
      </w:r>
    </w:p>
    <w:p w14:paraId="5F6F1E7A">
      <w:pPr>
        <w:keepNext/>
        <w:keepLines/>
        <w:pageBreakBefore/>
        <w:spacing w:before="0" w:after="0"/>
        <w:ind w:firstLine="0"/>
        <w:jc w:val="center"/>
      </w:pPr>
      <w:r>
        <w:drawing>
          <wp:inline distT="0" distB="0" distL="114300" distR="114300">
            <wp:extent cx="5275580" cy="3552190"/>
            <wp:effectExtent l="0" t="0" r="7620" b="3810"/>
            <wp:docPr id="69" name="Picture 69" descr="精益生产排程模块二级功能视图，共13项二级功能" title="精益生产排程模块二级功能视图，共13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精益生产排程模块二级功能视图，共13项二级功能" title="精益生产排程模块二级功能视图，共13项二级功能"/>
                    <pic:cNvPicPr>
                      <a:picLocks noChangeAspect="1"/>
                    </pic:cNvPicPr>
                  </pic:nvPicPr>
                  <pic:blipFill>
                    <a:blip r:embed="rId15"/>
                    <a:stretch>
                      <a:fillRect/>
                    </a:stretch>
                  </pic:blipFill>
                  <pic:spPr>
                    <a:xfrm>
                      <a:off x="0" y="0"/>
                      <a:ext cx="5276088" cy="3552566"/>
                    </a:xfrm>
                    <a:prstGeom prst="rect">
                      <a:avLst/>
                    </a:prstGeom>
                  </pic:spPr>
                </pic:pic>
              </a:graphicData>
            </a:graphic>
          </wp:inline>
        </w:drawing>
      </w:r>
    </w:p>
    <w:p w14:paraId="6D8ADAA8">
      <w:pPr>
        <w:pStyle w:val="5"/>
        <w:keepNext w:val="0"/>
        <w:keepLines/>
        <w:spacing w:before="0" w:after="60" w:line="240" w:lineRule="exact"/>
        <w:ind w:left="0" w:right="0" w:firstLine="0"/>
        <w:jc w:val="center"/>
      </w:pPr>
      <w:r>
        <w:rPr>
          <w:rFonts w:ascii="宋体" w:hAnsi="宋体" w:eastAsia="宋体"/>
          <w:b w:val="0"/>
          <w:color w:val="000000"/>
          <w:sz w:val="18"/>
        </w:rPr>
        <w:t>图 2-1-5 精益生产排程模块功能视图</w:t>
      </w:r>
    </w:p>
    <w:p w14:paraId="439ED502">
      <w:pPr>
        <w:keepNext/>
        <w:keepLines/>
        <w:spacing w:before="0" w:after="0"/>
        <w:ind w:firstLine="0"/>
        <w:jc w:val="center"/>
      </w:pPr>
      <w:r>
        <w:drawing>
          <wp:inline distT="0" distB="0" distL="114300" distR="114300">
            <wp:extent cx="5275580" cy="3892550"/>
            <wp:effectExtent l="0" t="0" r="7620" b="19050"/>
            <wp:docPr id="70" name="Picture 70" descr="统计与成本核算分析模块二级功能视图，共15项二级功能" title="统计与成本核算分析模块二级功能视图，共15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统计与成本核算分析模块二级功能视图，共15项二级功能" title="统计与成本核算分析模块二级功能视图，共15项二级功能"/>
                    <pic:cNvPicPr>
                      <a:picLocks noChangeAspect="1"/>
                    </pic:cNvPicPr>
                  </pic:nvPicPr>
                  <pic:blipFill>
                    <a:blip r:embed="rId16"/>
                    <a:stretch>
                      <a:fillRect/>
                    </a:stretch>
                  </pic:blipFill>
                  <pic:spPr>
                    <a:xfrm>
                      <a:off x="0" y="0"/>
                      <a:ext cx="5276088" cy="3892580"/>
                    </a:xfrm>
                    <a:prstGeom prst="rect">
                      <a:avLst/>
                    </a:prstGeom>
                  </pic:spPr>
                </pic:pic>
              </a:graphicData>
            </a:graphic>
          </wp:inline>
        </w:drawing>
      </w:r>
    </w:p>
    <w:p w14:paraId="3F2B3917">
      <w:pPr>
        <w:pStyle w:val="5"/>
        <w:keepNext w:val="0"/>
        <w:keepLines/>
        <w:spacing w:before="0" w:after="60" w:line="240" w:lineRule="exact"/>
        <w:ind w:left="0" w:right="0" w:firstLine="0"/>
        <w:jc w:val="center"/>
      </w:pPr>
      <w:r>
        <w:rPr>
          <w:rFonts w:ascii="宋体" w:hAnsi="宋体" w:eastAsia="宋体"/>
          <w:b w:val="0"/>
          <w:color w:val="000000"/>
          <w:sz w:val="18"/>
        </w:rPr>
        <w:t>图 2-1-6 统计与成本核算分析模块功能视图</w:t>
      </w:r>
    </w:p>
    <w:p w14:paraId="73BE10F9">
      <w:pPr>
        <w:keepNext/>
        <w:keepLines/>
        <w:pageBreakBefore/>
        <w:spacing w:before="0" w:after="0"/>
        <w:ind w:firstLine="0"/>
        <w:jc w:val="center"/>
      </w:pPr>
      <w:r>
        <w:drawing>
          <wp:inline distT="0" distB="0" distL="114300" distR="114300">
            <wp:extent cx="5275580" cy="3552190"/>
            <wp:effectExtent l="0" t="0" r="7620" b="3810"/>
            <wp:docPr id="71" name="Picture 71" descr="供应链全程追溯与协同分析模块二级功能视图，共13项二级功能" title="供应链全程追溯与协同分析模块二级功能视图，共13项二级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供应链全程追溯与协同分析模块二级功能视图，共13项二级功能" title="供应链全程追溯与协同分析模块二级功能视图，共13项二级功能"/>
                    <pic:cNvPicPr>
                      <a:picLocks noChangeAspect="1"/>
                    </pic:cNvPicPr>
                  </pic:nvPicPr>
                  <pic:blipFill>
                    <a:blip r:embed="rId17"/>
                    <a:stretch>
                      <a:fillRect/>
                    </a:stretch>
                  </pic:blipFill>
                  <pic:spPr>
                    <a:xfrm>
                      <a:off x="0" y="0"/>
                      <a:ext cx="5276088" cy="3552566"/>
                    </a:xfrm>
                    <a:prstGeom prst="rect">
                      <a:avLst/>
                    </a:prstGeom>
                  </pic:spPr>
                </pic:pic>
              </a:graphicData>
            </a:graphic>
          </wp:inline>
        </w:drawing>
      </w:r>
    </w:p>
    <w:p w14:paraId="1A52D167">
      <w:pPr>
        <w:pStyle w:val="5"/>
        <w:keepNext w:val="0"/>
        <w:keepLines/>
        <w:spacing w:before="0" w:after="60" w:line="240" w:lineRule="exact"/>
        <w:ind w:left="0" w:right="0" w:firstLine="0"/>
        <w:jc w:val="center"/>
      </w:pPr>
      <w:r>
        <w:rPr>
          <w:rFonts w:ascii="宋体" w:hAnsi="宋体" w:eastAsia="宋体"/>
          <w:b w:val="0"/>
          <w:color w:val="000000"/>
          <w:sz w:val="18"/>
        </w:rPr>
        <w:t>图 2-1-7 供应链全程追溯与协同分析模块功能视图</w:t>
      </w:r>
    </w:p>
    <w:p w14:paraId="06BBCDA7">
      <w:pPr>
        <w:pStyle w:val="3"/>
        <w:pageBreakBefore/>
      </w:pPr>
      <w:bookmarkStart w:id="5" w:name="_Toc1413444921"/>
      <w:r>
        <w:rPr>
          <w:rFonts w:ascii="黑体" w:hAnsi="黑体" w:eastAsia="黑体"/>
          <w:b/>
          <w:color w:val="000000"/>
          <w:sz w:val="30"/>
        </w:rPr>
        <w:t>系统一级功能清单</w:t>
      </w:r>
      <w:bookmarkEnd w:id="5"/>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12"/>
        <w:gridCol w:w="2376"/>
        <w:gridCol w:w="4421"/>
      </w:tblGrid>
      <w:tr w14:paraId="47553495">
        <w:trPr>
          <w:cantSplit/>
          <w:tblHeader/>
        </w:trPr>
        <w:tc>
          <w:tcPr>
            <w:tcW w:w="2771" w:type="dxa"/>
            <w:tcMar>
              <w:top w:w="80" w:type="dxa"/>
              <w:left w:w="80" w:type="dxa"/>
              <w:bottom w:w="80" w:type="dxa"/>
              <w:right w:w="80" w:type="dxa"/>
            </w:tcMar>
            <w:vAlign w:val="center"/>
          </w:tcPr>
          <w:p w14:paraId="42EC8BD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层级</w:t>
            </w:r>
          </w:p>
        </w:tc>
        <w:tc>
          <w:tcPr>
            <w:tcW w:w="2771" w:type="dxa"/>
            <w:tcMar>
              <w:top w:w="80" w:type="dxa"/>
              <w:left w:w="80" w:type="dxa"/>
              <w:bottom w:w="80" w:type="dxa"/>
              <w:right w:w="80" w:type="dxa"/>
            </w:tcMar>
            <w:vAlign w:val="center"/>
          </w:tcPr>
          <w:p w14:paraId="27CD33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功能模块</w:t>
            </w:r>
          </w:p>
        </w:tc>
        <w:tc>
          <w:tcPr>
            <w:tcW w:w="2771" w:type="dxa"/>
            <w:tcMar>
              <w:top w:w="80" w:type="dxa"/>
              <w:left w:w="80" w:type="dxa"/>
              <w:bottom w:w="80" w:type="dxa"/>
              <w:right w:w="80" w:type="dxa"/>
            </w:tcMar>
            <w:vAlign w:val="center"/>
          </w:tcPr>
          <w:p w14:paraId="12BCC8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功能描述</w:t>
            </w:r>
          </w:p>
        </w:tc>
      </w:tr>
      <w:tr w14:paraId="6B4C09D5">
        <w:trPr>
          <w:cantSplit/>
        </w:trPr>
        <w:tc>
          <w:tcPr>
            <w:tcW w:w="1512" w:type="dxa"/>
            <w:tcMar>
              <w:top w:w="80" w:type="dxa"/>
              <w:left w:w="80" w:type="dxa"/>
              <w:bottom w:w="80" w:type="dxa"/>
              <w:right w:w="80" w:type="dxa"/>
            </w:tcMar>
            <w:vAlign w:val="center"/>
          </w:tcPr>
          <w:p w14:paraId="741EB7B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376" w:type="dxa"/>
            <w:tcMar>
              <w:top w:w="80" w:type="dxa"/>
              <w:left w:w="80" w:type="dxa"/>
              <w:bottom w:w="80" w:type="dxa"/>
              <w:right w:w="80" w:type="dxa"/>
            </w:tcMar>
            <w:vAlign w:val="center"/>
          </w:tcPr>
          <w:p w14:paraId="7F5632F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4421" w:type="dxa"/>
            <w:tcMar>
              <w:top w:w="80" w:type="dxa"/>
              <w:left w:w="80" w:type="dxa"/>
              <w:bottom w:w="80" w:type="dxa"/>
              <w:right w:w="80" w:type="dxa"/>
            </w:tcMar>
            <w:vAlign w:val="center"/>
          </w:tcPr>
          <w:p w14:paraId="11E2D802">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统一获取标准业务与实时数据，完成数据对齐、质量校验、特征加工、模型版本管理与运行反馈，为各优化模块提供准确、及时、可追溯的数据和模型服务。</w:t>
            </w:r>
          </w:p>
        </w:tc>
      </w:tr>
      <w:tr w14:paraId="357ECBE4">
        <w:trPr>
          <w:cantSplit/>
        </w:trPr>
        <w:tc>
          <w:tcPr>
            <w:tcW w:w="1512" w:type="dxa"/>
            <w:tcMar>
              <w:top w:w="80" w:type="dxa"/>
              <w:left w:w="80" w:type="dxa"/>
              <w:bottom w:w="80" w:type="dxa"/>
              <w:right w:w="80" w:type="dxa"/>
            </w:tcMar>
            <w:vAlign w:val="center"/>
          </w:tcPr>
          <w:p w14:paraId="559C0F0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376" w:type="dxa"/>
            <w:tcMar>
              <w:top w:w="80" w:type="dxa"/>
              <w:left w:w="80" w:type="dxa"/>
              <w:bottom w:w="80" w:type="dxa"/>
              <w:right w:w="80" w:type="dxa"/>
            </w:tcMar>
            <w:vAlign w:val="center"/>
          </w:tcPr>
          <w:p w14:paraId="79A97E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4421" w:type="dxa"/>
            <w:tcMar>
              <w:top w:w="80" w:type="dxa"/>
              <w:left w:w="80" w:type="dxa"/>
              <w:bottom w:w="80" w:type="dxa"/>
              <w:right w:w="80" w:type="dxa"/>
            </w:tcMar>
            <w:vAlign w:val="center"/>
          </w:tcPr>
          <w:p w14:paraId="68462468">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聚合各模块数据与运算结果，可视化呈现全局态势、核心KPI、预警事件和情景模拟结果，支撑产销、储运、环保、资金的实时闭环管理。</w:t>
            </w:r>
          </w:p>
        </w:tc>
      </w:tr>
      <w:tr w14:paraId="371B74FB">
        <w:trPr>
          <w:cantSplit/>
        </w:trPr>
        <w:tc>
          <w:tcPr>
            <w:tcW w:w="1512" w:type="dxa"/>
            <w:tcMar>
              <w:top w:w="80" w:type="dxa"/>
              <w:left w:w="80" w:type="dxa"/>
              <w:bottom w:w="80" w:type="dxa"/>
              <w:right w:w="80" w:type="dxa"/>
            </w:tcMar>
            <w:vAlign w:val="center"/>
          </w:tcPr>
          <w:p w14:paraId="2B2D783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376" w:type="dxa"/>
            <w:tcMar>
              <w:top w:w="80" w:type="dxa"/>
              <w:left w:w="80" w:type="dxa"/>
              <w:bottom w:w="80" w:type="dxa"/>
              <w:right w:w="80" w:type="dxa"/>
            </w:tcMar>
            <w:vAlign w:val="center"/>
          </w:tcPr>
          <w:p w14:paraId="6866D93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4421" w:type="dxa"/>
            <w:tcMar>
              <w:top w:w="80" w:type="dxa"/>
              <w:left w:w="80" w:type="dxa"/>
              <w:bottom w:w="80" w:type="dxa"/>
              <w:right w:w="80" w:type="dxa"/>
            </w:tcMar>
            <w:vAlign w:val="center"/>
          </w:tcPr>
          <w:p w14:paraId="0AD6470C">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综合需求、生产、库存、价格、供应商、合同和资金条件，提供需求感知、供应商评价、采购策略优化、成本风险分析及执行协同。</w:t>
            </w:r>
          </w:p>
        </w:tc>
      </w:tr>
      <w:tr w14:paraId="40B587D1">
        <w:trPr>
          <w:cantSplit/>
        </w:trPr>
        <w:tc>
          <w:tcPr>
            <w:tcW w:w="1512" w:type="dxa"/>
            <w:tcMar>
              <w:top w:w="80" w:type="dxa"/>
              <w:left w:w="80" w:type="dxa"/>
              <w:bottom w:w="80" w:type="dxa"/>
              <w:right w:w="80" w:type="dxa"/>
            </w:tcMar>
            <w:vAlign w:val="center"/>
          </w:tcPr>
          <w:p w14:paraId="254D654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376" w:type="dxa"/>
            <w:tcMar>
              <w:top w:w="80" w:type="dxa"/>
              <w:left w:w="80" w:type="dxa"/>
              <w:bottom w:w="80" w:type="dxa"/>
              <w:right w:w="80" w:type="dxa"/>
            </w:tcMar>
            <w:vAlign w:val="center"/>
          </w:tcPr>
          <w:p w14:paraId="2FA338E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4421" w:type="dxa"/>
            <w:tcMar>
              <w:top w:w="80" w:type="dxa"/>
              <w:left w:w="80" w:type="dxa"/>
              <w:bottom w:w="80" w:type="dxa"/>
              <w:right w:w="80" w:type="dxa"/>
            </w:tcMar>
            <w:vAlign w:val="center"/>
          </w:tcPr>
          <w:p w14:paraId="63A46AFC">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综合需求波动、供应提前期、服务水平、库存成本、仓容及锁定约束，动态计算安全库存、再订货点、目标库存和补货建议。</w:t>
            </w:r>
          </w:p>
        </w:tc>
      </w:tr>
      <w:tr w14:paraId="51EBCD33">
        <w:trPr>
          <w:cantSplit/>
        </w:trPr>
        <w:tc>
          <w:tcPr>
            <w:tcW w:w="1512" w:type="dxa"/>
            <w:tcMar>
              <w:top w:w="80" w:type="dxa"/>
              <w:left w:w="80" w:type="dxa"/>
              <w:bottom w:w="80" w:type="dxa"/>
              <w:right w:w="80" w:type="dxa"/>
            </w:tcMar>
            <w:vAlign w:val="center"/>
          </w:tcPr>
          <w:p w14:paraId="0883D7E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376" w:type="dxa"/>
            <w:tcMar>
              <w:top w:w="80" w:type="dxa"/>
              <w:left w:w="80" w:type="dxa"/>
              <w:bottom w:w="80" w:type="dxa"/>
              <w:right w:w="80" w:type="dxa"/>
            </w:tcMar>
            <w:vAlign w:val="center"/>
          </w:tcPr>
          <w:p w14:paraId="4B4A4F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4421" w:type="dxa"/>
            <w:tcMar>
              <w:top w:w="80" w:type="dxa"/>
              <w:left w:w="80" w:type="dxa"/>
              <w:bottom w:w="80" w:type="dxa"/>
              <w:right w:w="80" w:type="dxa"/>
            </w:tcMar>
            <w:vAlign w:val="center"/>
          </w:tcPr>
          <w:p w14:paraId="026780AE">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基于订单交期、有限产能、资源、物料、工艺及维护约束形成可执行计划，支持可视化调整、情景模拟、快速重排、下发和反馈。</w:t>
            </w:r>
          </w:p>
        </w:tc>
      </w:tr>
      <w:tr w14:paraId="3E16416C">
        <w:trPr>
          <w:cantSplit/>
        </w:trPr>
        <w:tc>
          <w:tcPr>
            <w:tcW w:w="1512" w:type="dxa"/>
            <w:tcMar>
              <w:top w:w="80" w:type="dxa"/>
              <w:left w:w="80" w:type="dxa"/>
              <w:bottom w:w="80" w:type="dxa"/>
              <w:right w:w="80" w:type="dxa"/>
            </w:tcMar>
            <w:vAlign w:val="center"/>
          </w:tcPr>
          <w:p w14:paraId="045F03E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376" w:type="dxa"/>
            <w:tcMar>
              <w:top w:w="80" w:type="dxa"/>
              <w:left w:w="80" w:type="dxa"/>
              <w:bottom w:w="80" w:type="dxa"/>
              <w:right w:w="80" w:type="dxa"/>
            </w:tcMar>
            <w:vAlign w:val="center"/>
          </w:tcPr>
          <w:p w14:paraId="0E5BA63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4421" w:type="dxa"/>
            <w:tcMar>
              <w:top w:w="80" w:type="dxa"/>
              <w:left w:w="80" w:type="dxa"/>
              <w:bottom w:w="80" w:type="dxa"/>
              <w:right w:w="80" w:type="dxa"/>
            </w:tcMar>
            <w:vAlign w:val="center"/>
          </w:tcPr>
          <w:p w14:paraId="67EE4125">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自动归集供应链成本，按批次、产品、客户、订单、渠道及区域开展核算、联副产品分摊、盈利分析、差异追溯和总成本分析。</w:t>
            </w:r>
          </w:p>
        </w:tc>
      </w:tr>
      <w:tr w14:paraId="03E8DFDC">
        <w:trPr>
          <w:cantSplit/>
        </w:trPr>
        <w:tc>
          <w:tcPr>
            <w:tcW w:w="1512" w:type="dxa"/>
            <w:tcMar>
              <w:top w:w="80" w:type="dxa"/>
              <w:left w:w="80" w:type="dxa"/>
              <w:bottom w:w="80" w:type="dxa"/>
              <w:right w:w="80" w:type="dxa"/>
            </w:tcMar>
            <w:vAlign w:val="center"/>
          </w:tcPr>
          <w:p w14:paraId="0388CED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376" w:type="dxa"/>
            <w:tcMar>
              <w:top w:w="80" w:type="dxa"/>
              <w:left w:w="80" w:type="dxa"/>
              <w:bottom w:w="80" w:type="dxa"/>
              <w:right w:w="80" w:type="dxa"/>
            </w:tcMar>
            <w:vAlign w:val="center"/>
          </w:tcPr>
          <w:p w14:paraId="05FE3F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4421" w:type="dxa"/>
            <w:tcMar>
              <w:top w:w="80" w:type="dxa"/>
              <w:left w:w="80" w:type="dxa"/>
              <w:bottom w:w="80" w:type="dxa"/>
              <w:right w:w="80" w:type="dxa"/>
            </w:tcMar>
            <w:vAlign w:val="center"/>
          </w:tcPr>
          <w:p w14:paraId="57D5CCBC">
            <w:pPr>
              <w:keepNext w:val="0"/>
              <w:keepLines w:val="0"/>
              <w:suppressLineNumbers w:val="0"/>
              <w:spacing w:before="0" w:beforeAutospacing="0" w:after="0" w:afterAutospacing="0" w:line="240" w:lineRule="auto"/>
              <w:ind w:left="0" w:right="0"/>
              <w:rPr>
                <w:rFonts w:hint="default"/>
                <w:szCs w:val="22"/>
              </w:rPr>
            </w:pPr>
            <w:r>
              <w:rPr>
                <w:rFonts w:hint="default" w:ascii="宋体" w:hAnsi="宋体"/>
                <w:sz w:val="18"/>
                <w:szCs w:val="22"/>
              </w:rPr>
              <w:t>聚合订单、批次、库存、物流和质量数据，提供正反向追溯、影响分析、质量警报、库存联动、跨部门协同及合规报告。</w:t>
            </w:r>
          </w:p>
        </w:tc>
      </w:tr>
    </w:tbl>
    <w:p w14:paraId="1BD31A69">
      <w:pPr>
        <w:pStyle w:val="5"/>
      </w:pPr>
    </w:p>
    <w:p w14:paraId="1762C639">
      <w:pPr>
        <w:pStyle w:val="3"/>
      </w:pPr>
      <w:bookmarkStart w:id="6" w:name="_Toc304684133"/>
      <w:r>
        <w:rPr>
          <w:rFonts w:ascii="黑体" w:hAnsi="黑体" w:eastAsia="黑体"/>
          <w:b/>
          <w:color w:val="000000"/>
          <w:sz w:val="30"/>
        </w:rPr>
        <w:t>系统二级功能清单</w:t>
      </w:r>
      <w:bookmarkEnd w:id="6"/>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4"/>
        <w:gridCol w:w="2045"/>
        <w:gridCol w:w="2045"/>
        <w:gridCol w:w="2995"/>
      </w:tblGrid>
      <w:tr w14:paraId="39CA2C8E">
        <w:trPr>
          <w:cantSplit/>
          <w:tblHeader/>
        </w:trPr>
        <w:tc>
          <w:tcPr>
            <w:tcW w:w="2078" w:type="dxa"/>
            <w:tcMar>
              <w:top w:w="80" w:type="dxa"/>
              <w:left w:w="80" w:type="dxa"/>
              <w:bottom w:w="80" w:type="dxa"/>
              <w:right w:w="80" w:type="dxa"/>
            </w:tcMar>
            <w:vAlign w:val="center"/>
          </w:tcPr>
          <w:p w14:paraId="1F844EE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层级</w:t>
            </w:r>
          </w:p>
        </w:tc>
        <w:tc>
          <w:tcPr>
            <w:tcW w:w="2078" w:type="dxa"/>
            <w:tcMar>
              <w:top w:w="80" w:type="dxa"/>
              <w:left w:w="80" w:type="dxa"/>
              <w:bottom w:w="80" w:type="dxa"/>
              <w:right w:w="80" w:type="dxa"/>
            </w:tcMar>
            <w:vAlign w:val="center"/>
          </w:tcPr>
          <w:p w14:paraId="6A085E1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一级功能模块</w:t>
            </w:r>
          </w:p>
        </w:tc>
        <w:tc>
          <w:tcPr>
            <w:tcW w:w="2078" w:type="dxa"/>
            <w:tcMar>
              <w:top w:w="80" w:type="dxa"/>
              <w:left w:w="80" w:type="dxa"/>
              <w:bottom w:w="80" w:type="dxa"/>
              <w:right w:w="80" w:type="dxa"/>
            </w:tcMar>
            <w:vAlign w:val="center"/>
          </w:tcPr>
          <w:p w14:paraId="0D9BA3B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二级功能模块</w:t>
            </w:r>
          </w:p>
        </w:tc>
        <w:tc>
          <w:tcPr>
            <w:tcW w:w="2078" w:type="dxa"/>
            <w:tcMar>
              <w:top w:w="80" w:type="dxa"/>
              <w:left w:w="80" w:type="dxa"/>
              <w:bottom w:w="80" w:type="dxa"/>
              <w:right w:w="80" w:type="dxa"/>
            </w:tcMar>
            <w:vAlign w:val="center"/>
          </w:tcPr>
          <w:p w14:paraId="1F97FD0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功能描述</w:t>
            </w:r>
          </w:p>
        </w:tc>
      </w:tr>
      <w:tr w14:paraId="2D2DB8A2">
        <w:trPr>
          <w:cantSplit/>
        </w:trPr>
        <w:tc>
          <w:tcPr>
            <w:tcW w:w="1224" w:type="dxa"/>
            <w:tcMar>
              <w:top w:w="80" w:type="dxa"/>
              <w:left w:w="80" w:type="dxa"/>
              <w:bottom w:w="80" w:type="dxa"/>
              <w:right w:w="80" w:type="dxa"/>
            </w:tcMar>
            <w:vAlign w:val="center"/>
          </w:tcPr>
          <w:p w14:paraId="3DEAE3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7345F6E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5B727C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标准数据服务消费</w:t>
            </w:r>
          </w:p>
        </w:tc>
        <w:tc>
          <w:tcPr>
            <w:tcW w:w="2995" w:type="dxa"/>
            <w:tcMar>
              <w:top w:w="80" w:type="dxa"/>
              <w:left w:w="80" w:type="dxa"/>
              <w:bottom w:w="80" w:type="dxa"/>
              <w:right w:w="80" w:type="dxa"/>
            </w:tcMar>
            <w:vAlign w:val="center"/>
          </w:tcPr>
          <w:p w14:paraId="785955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统一数据服务层的标准API获取物料、客户、供应商、组织、仓库、设备等主数据，以及销售订单、采购订单、生产工单、库存、物流、质量、成本等业务数据；记录来源接口、业务时间、数据版本和调用状态，避免绕过统一数据架构重复建设采集链路。</w:t>
            </w:r>
          </w:p>
        </w:tc>
      </w:tr>
      <w:tr w14:paraId="5DD12A1B">
        <w:trPr>
          <w:cantSplit/>
        </w:trPr>
        <w:tc>
          <w:tcPr>
            <w:tcW w:w="1224" w:type="dxa"/>
            <w:tcMar>
              <w:top w:w="80" w:type="dxa"/>
              <w:left w:w="80" w:type="dxa"/>
              <w:bottom w:w="80" w:type="dxa"/>
              <w:right w:w="80" w:type="dxa"/>
            </w:tcMar>
            <w:vAlign w:val="center"/>
          </w:tcPr>
          <w:p w14:paraId="75013D9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1FE0395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6EE19A9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实时数据流订阅</w:t>
            </w:r>
          </w:p>
        </w:tc>
        <w:tc>
          <w:tcPr>
            <w:tcW w:w="2995" w:type="dxa"/>
            <w:tcMar>
              <w:top w:w="80" w:type="dxa"/>
              <w:left w:w="80" w:type="dxa"/>
              <w:bottom w:w="80" w:type="dxa"/>
              <w:right w:w="80" w:type="dxa"/>
            </w:tcMar>
            <w:vAlign w:val="center"/>
          </w:tcPr>
          <w:p w14:paraId="070B878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通过实时数据平台的消息或查询接口订阅储罐液位、产线状态、设备能力、车辆位置、在途节点和质量状态等关键实时指标，按滚动优化频率形成增量数据包，并对延迟、乱序、重复和中断进行识别与告警。</w:t>
            </w:r>
          </w:p>
        </w:tc>
      </w:tr>
      <w:tr w14:paraId="1CD64C09">
        <w:trPr>
          <w:cantSplit/>
        </w:trPr>
        <w:tc>
          <w:tcPr>
            <w:tcW w:w="1224" w:type="dxa"/>
            <w:tcMar>
              <w:top w:w="80" w:type="dxa"/>
              <w:left w:w="80" w:type="dxa"/>
              <w:bottom w:w="80" w:type="dxa"/>
              <w:right w:w="80" w:type="dxa"/>
            </w:tcMar>
            <w:vAlign w:val="center"/>
          </w:tcPr>
          <w:p w14:paraId="714C87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25363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286E35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外部数据接入</w:t>
            </w:r>
          </w:p>
        </w:tc>
        <w:tc>
          <w:tcPr>
            <w:tcW w:w="2995" w:type="dxa"/>
            <w:tcMar>
              <w:top w:w="80" w:type="dxa"/>
              <w:left w:w="80" w:type="dxa"/>
              <w:bottom w:w="80" w:type="dxa"/>
              <w:right w:w="80" w:type="dxa"/>
            </w:tcMar>
            <w:vAlign w:val="center"/>
          </w:tcPr>
          <w:p w14:paraId="5543656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授权API、SFTP或标准数据服务接入期货市场大宗原材料（玉米淀粉）历史价格，以及AI优化平台提供的极端天气或事件对供应商可用性和运输周期影响数据；完成身份认证、字段映射、更新频率、有效期和不可用降级策略配置，并与内部物料、供应商、路线及时间维度关联。</w:t>
            </w:r>
          </w:p>
        </w:tc>
      </w:tr>
      <w:tr w14:paraId="297B5209">
        <w:trPr>
          <w:cantSplit/>
        </w:trPr>
        <w:tc>
          <w:tcPr>
            <w:tcW w:w="1224" w:type="dxa"/>
            <w:tcMar>
              <w:top w:w="80" w:type="dxa"/>
              <w:left w:w="80" w:type="dxa"/>
              <w:bottom w:w="80" w:type="dxa"/>
              <w:right w:w="80" w:type="dxa"/>
            </w:tcMar>
            <w:vAlign w:val="center"/>
          </w:tcPr>
          <w:p w14:paraId="4DC2A6D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267E69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75A583D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数据对齐与时间轴处理</w:t>
            </w:r>
          </w:p>
        </w:tc>
        <w:tc>
          <w:tcPr>
            <w:tcW w:w="2995" w:type="dxa"/>
            <w:tcMar>
              <w:top w:w="80" w:type="dxa"/>
              <w:left w:w="80" w:type="dxa"/>
              <w:bottom w:w="80" w:type="dxa"/>
              <w:right w:w="80" w:type="dxa"/>
            </w:tcMar>
            <w:vAlign w:val="center"/>
          </w:tcPr>
          <w:p w14:paraId="4B568DB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来自不同系统、不同粒度和不同频率的数据统一到业务日期、时区、计量单位和时间轴上，完成聚合、拆分、插值、有效期判断和状态对齐，为排程、库存、采购和成本等时间敏感模型提供连续一致的数据序列。</w:t>
            </w:r>
          </w:p>
        </w:tc>
      </w:tr>
      <w:tr w14:paraId="383326E8">
        <w:trPr>
          <w:cantSplit/>
        </w:trPr>
        <w:tc>
          <w:tcPr>
            <w:tcW w:w="1224" w:type="dxa"/>
            <w:tcMar>
              <w:top w:w="80" w:type="dxa"/>
              <w:left w:w="80" w:type="dxa"/>
              <w:bottom w:w="80" w:type="dxa"/>
              <w:right w:w="80" w:type="dxa"/>
            </w:tcMar>
            <w:vAlign w:val="center"/>
          </w:tcPr>
          <w:p w14:paraId="19B01C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670B974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1C83612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特征工程与指标计算</w:t>
            </w:r>
          </w:p>
        </w:tc>
        <w:tc>
          <w:tcPr>
            <w:tcW w:w="2995" w:type="dxa"/>
            <w:tcMar>
              <w:top w:w="80" w:type="dxa"/>
              <w:left w:w="80" w:type="dxa"/>
              <w:bottom w:w="80" w:type="dxa"/>
              <w:right w:w="80" w:type="dxa"/>
            </w:tcMar>
            <w:vAlign w:val="center"/>
          </w:tcPr>
          <w:p w14:paraId="30ACEF9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基于标准业务数据计算物料净需求、需求波动、供应提前期、产能负荷、交付达成率、库存周转、客户服务成本、供应商绩效等模型特征和派生指标；计算公式、口径、适用范围和生效版本均可配置和追溯。</w:t>
            </w:r>
          </w:p>
        </w:tc>
      </w:tr>
      <w:tr w14:paraId="0E903A1A">
        <w:trPr>
          <w:cantSplit/>
        </w:trPr>
        <w:tc>
          <w:tcPr>
            <w:tcW w:w="1224" w:type="dxa"/>
            <w:tcMar>
              <w:top w:w="80" w:type="dxa"/>
              <w:left w:w="80" w:type="dxa"/>
              <w:bottom w:w="80" w:type="dxa"/>
              <w:right w:w="80" w:type="dxa"/>
            </w:tcMar>
            <w:vAlign w:val="center"/>
          </w:tcPr>
          <w:p w14:paraId="27893D1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17E623A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3D9907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数据质量校验与异常治理</w:t>
            </w:r>
          </w:p>
        </w:tc>
        <w:tc>
          <w:tcPr>
            <w:tcW w:w="2995" w:type="dxa"/>
            <w:tcMar>
              <w:top w:w="80" w:type="dxa"/>
              <w:left w:w="80" w:type="dxa"/>
              <w:bottom w:w="80" w:type="dxa"/>
              <w:right w:w="80" w:type="dxa"/>
            </w:tcMar>
            <w:vAlign w:val="center"/>
          </w:tcPr>
          <w:p w14:paraId="192624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按优化场景配置完整性、唯一性、及时性、范围、枚举和跨对象一致性规则，识别负库存、非法工艺参数、批次断链、状态冲突等异常；支持阻断、警告、降级、人工复核与修订，并保留原始值和修订证据。</w:t>
            </w:r>
          </w:p>
        </w:tc>
      </w:tr>
      <w:tr w14:paraId="72B3F414">
        <w:trPr>
          <w:cantSplit/>
        </w:trPr>
        <w:tc>
          <w:tcPr>
            <w:tcW w:w="1224" w:type="dxa"/>
            <w:tcMar>
              <w:top w:w="80" w:type="dxa"/>
              <w:left w:w="80" w:type="dxa"/>
              <w:bottom w:w="80" w:type="dxa"/>
              <w:right w:w="80" w:type="dxa"/>
            </w:tcMar>
            <w:vAlign w:val="center"/>
          </w:tcPr>
          <w:p w14:paraId="6C917B9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572027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338543B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模型参数与策略管理</w:t>
            </w:r>
          </w:p>
        </w:tc>
        <w:tc>
          <w:tcPr>
            <w:tcW w:w="2995" w:type="dxa"/>
            <w:tcMar>
              <w:top w:w="80" w:type="dxa"/>
              <w:left w:w="80" w:type="dxa"/>
              <w:bottom w:w="80" w:type="dxa"/>
              <w:right w:w="80" w:type="dxa"/>
            </w:tcMar>
            <w:vAlign w:val="center"/>
          </w:tcPr>
          <w:p w14:paraId="756236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集中维护排程、采购、库存、成本和追溯模型的惩罚系数、约束边界、目标权重、服务水平、成本参数及业务策略，支持参数校验、权限控制、审批、生效时间、版本发布和历史回溯。</w:t>
            </w:r>
          </w:p>
        </w:tc>
      </w:tr>
      <w:tr w14:paraId="05E3C14B">
        <w:trPr>
          <w:cantSplit/>
        </w:trPr>
        <w:tc>
          <w:tcPr>
            <w:tcW w:w="1224" w:type="dxa"/>
            <w:tcMar>
              <w:top w:w="80" w:type="dxa"/>
              <w:left w:w="80" w:type="dxa"/>
              <w:bottom w:w="80" w:type="dxa"/>
              <w:right w:w="80" w:type="dxa"/>
            </w:tcMar>
            <w:vAlign w:val="center"/>
          </w:tcPr>
          <w:p w14:paraId="6770F83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29AB144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06BCEBC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模型版本与服务管理</w:t>
            </w:r>
          </w:p>
        </w:tc>
        <w:tc>
          <w:tcPr>
            <w:tcW w:w="2995" w:type="dxa"/>
            <w:tcMar>
              <w:top w:w="80" w:type="dxa"/>
              <w:left w:w="80" w:type="dxa"/>
              <w:bottom w:w="80" w:type="dxa"/>
              <w:right w:w="80" w:type="dxa"/>
            </w:tcMar>
            <w:vAlign w:val="center"/>
          </w:tcPr>
          <w:p w14:paraId="13A5EBB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统一登记模型标识、算法类型、模型版本、依赖环境、输入输出契约、适用场景和服务地址，支持模型发布、停用、回滚、兼容性校验和服务健康检查，实现模型与业务应用解耦。</w:t>
            </w:r>
          </w:p>
        </w:tc>
      </w:tr>
      <w:tr w14:paraId="5952CAEF">
        <w:trPr>
          <w:cantSplit/>
        </w:trPr>
        <w:tc>
          <w:tcPr>
            <w:tcW w:w="1224" w:type="dxa"/>
            <w:tcMar>
              <w:top w:w="80" w:type="dxa"/>
              <w:left w:w="80" w:type="dxa"/>
              <w:bottom w:w="80" w:type="dxa"/>
              <w:right w:w="80" w:type="dxa"/>
            </w:tcMar>
            <w:vAlign w:val="center"/>
          </w:tcPr>
          <w:p w14:paraId="6DD2D45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683BEB8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623D88F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模型输入输出沙盒</w:t>
            </w:r>
          </w:p>
        </w:tc>
        <w:tc>
          <w:tcPr>
            <w:tcW w:w="2995" w:type="dxa"/>
            <w:tcMar>
              <w:top w:w="80" w:type="dxa"/>
              <w:left w:w="80" w:type="dxa"/>
              <w:bottom w:w="80" w:type="dxa"/>
              <w:right w:w="80" w:type="dxa"/>
            </w:tcMar>
            <w:vAlign w:val="center"/>
          </w:tcPr>
          <w:p w14:paraId="61C536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针对指定业务时点固化数据快照、模型版本和参数集，在与正式方案隔离的沙盒中开展情景模拟、方案对比和AB测试；沙盒结果不得直接覆盖已审批、已下达、在途或锁定的正式业务安排。</w:t>
            </w:r>
          </w:p>
        </w:tc>
      </w:tr>
      <w:tr w14:paraId="47E46100">
        <w:trPr>
          <w:cantSplit/>
        </w:trPr>
        <w:tc>
          <w:tcPr>
            <w:tcW w:w="1224" w:type="dxa"/>
            <w:tcMar>
              <w:top w:w="80" w:type="dxa"/>
              <w:left w:w="80" w:type="dxa"/>
              <w:bottom w:w="80" w:type="dxa"/>
              <w:right w:w="80" w:type="dxa"/>
            </w:tcMar>
            <w:vAlign w:val="center"/>
          </w:tcPr>
          <w:p w14:paraId="795F645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4C4CB2A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10CF0B9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优化任务编排与求解服务</w:t>
            </w:r>
          </w:p>
        </w:tc>
        <w:tc>
          <w:tcPr>
            <w:tcW w:w="2995" w:type="dxa"/>
            <w:tcMar>
              <w:top w:w="80" w:type="dxa"/>
              <w:left w:w="80" w:type="dxa"/>
              <w:bottom w:w="80" w:type="dxa"/>
              <w:right w:w="80" w:type="dxa"/>
            </w:tcMar>
            <w:vAlign w:val="center"/>
          </w:tcPr>
          <w:p w14:paraId="47DD89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按定时、业务事件或人工触发方式创建优化任务，完成输入准备、模型调用、超时控制、失败重试、结果校验和候选方案排序；求解失败时输出明确原因并按配置降级为规则建议或人工处理。</w:t>
            </w:r>
          </w:p>
        </w:tc>
      </w:tr>
      <w:tr w14:paraId="52CF99F3">
        <w:trPr>
          <w:cantSplit/>
        </w:trPr>
        <w:tc>
          <w:tcPr>
            <w:tcW w:w="1224" w:type="dxa"/>
            <w:tcMar>
              <w:top w:w="80" w:type="dxa"/>
              <w:left w:w="80" w:type="dxa"/>
              <w:bottom w:w="80" w:type="dxa"/>
              <w:right w:w="80" w:type="dxa"/>
            </w:tcMar>
            <w:vAlign w:val="center"/>
          </w:tcPr>
          <w:p w14:paraId="4054BA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3606EC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15BFB2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数据版本与血缘追溯</w:t>
            </w:r>
          </w:p>
        </w:tc>
        <w:tc>
          <w:tcPr>
            <w:tcW w:w="2995" w:type="dxa"/>
            <w:tcMar>
              <w:top w:w="80" w:type="dxa"/>
              <w:left w:w="80" w:type="dxa"/>
              <w:bottom w:w="80" w:type="dxa"/>
              <w:right w:w="80" w:type="dxa"/>
            </w:tcMar>
            <w:vAlign w:val="center"/>
          </w:tcPr>
          <w:p w14:paraId="58590B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为每次计算保存输入快照、来源API、字段映射、处理步骤、模型版本、参数版本、候选方案、人工调整、审批发布和执行反馈，形成从源数据到决策结果的完整血缘链路，满足复核、审计和问题追踪。</w:t>
            </w:r>
          </w:p>
        </w:tc>
      </w:tr>
      <w:tr w14:paraId="555D5C2A">
        <w:trPr>
          <w:cantSplit/>
        </w:trPr>
        <w:tc>
          <w:tcPr>
            <w:tcW w:w="1224" w:type="dxa"/>
            <w:tcMar>
              <w:top w:w="80" w:type="dxa"/>
              <w:left w:w="80" w:type="dxa"/>
              <w:bottom w:w="80" w:type="dxa"/>
              <w:right w:w="80" w:type="dxa"/>
            </w:tcMar>
            <w:vAlign w:val="center"/>
          </w:tcPr>
          <w:p w14:paraId="720A724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数据基石</w:t>
            </w:r>
          </w:p>
        </w:tc>
        <w:tc>
          <w:tcPr>
            <w:tcW w:w="2045" w:type="dxa"/>
            <w:tcMar>
              <w:top w:w="80" w:type="dxa"/>
              <w:left w:w="80" w:type="dxa"/>
              <w:bottom w:w="80" w:type="dxa"/>
              <w:right w:w="80" w:type="dxa"/>
            </w:tcMar>
            <w:vAlign w:val="center"/>
          </w:tcPr>
          <w:p w14:paraId="7EA1D5F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2045" w:type="dxa"/>
            <w:tcMar>
              <w:top w:w="80" w:type="dxa"/>
              <w:left w:w="80" w:type="dxa"/>
              <w:bottom w:w="80" w:type="dxa"/>
              <w:right w:w="80" w:type="dxa"/>
            </w:tcMar>
            <w:vAlign w:val="center"/>
          </w:tcPr>
          <w:p w14:paraId="27EC52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模型性能监控与反馈</w:t>
            </w:r>
          </w:p>
        </w:tc>
        <w:tc>
          <w:tcPr>
            <w:tcW w:w="2995" w:type="dxa"/>
            <w:tcMar>
              <w:top w:w="80" w:type="dxa"/>
              <w:left w:w="80" w:type="dxa"/>
              <w:bottom w:w="80" w:type="dxa"/>
              <w:right w:w="80" w:type="dxa"/>
            </w:tcMar>
            <w:vAlign w:val="center"/>
          </w:tcPr>
          <w:p w14:paraId="00C23B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持续监控求解时长、成功率、可行解率、资源消耗、预测偏差和业务目标达成情况，并将采购、库存、排程、成本及追溯的实际执行结果与模型输出对比，用于参数校准、模型迭代和策略有效性评估。</w:t>
            </w:r>
          </w:p>
        </w:tc>
      </w:tr>
      <w:tr w14:paraId="419C463C">
        <w:trPr>
          <w:cantSplit/>
        </w:trPr>
        <w:tc>
          <w:tcPr>
            <w:tcW w:w="1224" w:type="dxa"/>
            <w:tcMar>
              <w:top w:w="80" w:type="dxa"/>
              <w:left w:w="80" w:type="dxa"/>
              <w:bottom w:w="80" w:type="dxa"/>
              <w:right w:w="80" w:type="dxa"/>
            </w:tcMar>
            <w:vAlign w:val="center"/>
          </w:tcPr>
          <w:p w14:paraId="49ABD5B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0C54191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1CED23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全局态势总览</w:t>
            </w:r>
          </w:p>
        </w:tc>
        <w:tc>
          <w:tcPr>
            <w:tcW w:w="2995" w:type="dxa"/>
            <w:tcMar>
              <w:top w:w="80" w:type="dxa"/>
              <w:left w:w="80" w:type="dxa"/>
              <w:bottom w:w="80" w:type="dxa"/>
              <w:right w:w="80" w:type="dxa"/>
            </w:tcMar>
            <w:vAlign w:val="center"/>
          </w:tcPr>
          <w:p w14:paraId="3862A3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集中展示今日产销达成率、成品库存周转天数、订单准时交付率、供应链总运营成本、现金循环周期等核心KPI，并呈现指标当前值、目标值、趋势、健康状态和更新时间，形成管理层一站式供应链态势视图。</w:t>
            </w:r>
          </w:p>
        </w:tc>
      </w:tr>
      <w:tr w14:paraId="3870761E">
        <w:trPr>
          <w:cantSplit/>
        </w:trPr>
        <w:tc>
          <w:tcPr>
            <w:tcW w:w="1224" w:type="dxa"/>
            <w:tcMar>
              <w:top w:w="80" w:type="dxa"/>
              <w:left w:w="80" w:type="dxa"/>
              <w:bottom w:w="80" w:type="dxa"/>
              <w:right w:w="80" w:type="dxa"/>
            </w:tcMar>
            <w:vAlign w:val="center"/>
          </w:tcPr>
          <w:p w14:paraId="7682EC6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7CF6EFB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1511B4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全局供应链地图</w:t>
            </w:r>
          </w:p>
        </w:tc>
        <w:tc>
          <w:tcPr>
            <w:tcW w:w="2995" w:type="dxa"/>
            <w:tcMar>
              <w:top w:w="80" w:type="dxa"/>
              <w:left w:w="80" w:type="dxa"/>
              <w:bottom w:w="80" w:type="dxa"/>
              <w:right w:w="80" w:type="dxa"/>
            </w:tcMar>
            <w:vAlign w:val="center"/>
          </w:tcPr>
          <w:p w14:paraId="0A6175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基于地图和业务网络展示供应商、工厂、仓库、客户及运输节点的地理分布，动态呈现在途车辆位置与状态，并用颜色编码标识库存、生产、交付和质量等节点健康状态。</w:t>
            </w:r>
          </w:p>
        </w:tc>
      </w:tr>
      <w:tr w14:paraId="53961861">
        <w:trPr>
          <w:cantSplit/>
        </w:trPr>
        <w:tc>
          <w:tcPr>
            <w:tcW w:w="1224" w:type="dxa"/>
            <w:tcMar>
              <w:top w:w="80" w:type="dxa"/>
              <w:left w:w="80" w:type="dxa"/>
              <w:bottom w:w="80" w:type="dxa"/>
              <w:right w:w="80" w:type="dxa"/>
            </w:tcMar>
            <w:vAlign w:val="center"/>
          </w:tcPr>
          <w:p w14:paraId="6A526D5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256501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606D661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产销协同专题视图</w:t>
            </w:r>
          </w:p>
        </w:tc>
        <w:tc>
          <w:tcPr>
            <w:tcW w:w="2995" w:type="dxa"/>
            <w:tcMar>
              <w:top w:w="80" w:type="dxa"/>
              <w:left w:w="80" w:type="dxa"/>
              <w:bottom w:w="80" w:type="dxa"/>
              <w:right w:w="80" w:type="dxa"/>
            </w:tcMar>
            <w:vAlign w:val="center"/>
          </w:tcPr>
          <w:p w14:paraId="23FFBC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对比需求预测、销售订单、生产计划和实际产量，展示各产线排程与执行进度，高亮瓶颈工序、延期订单及未来生产需求与原料保障的匹配关系，支持按时间、产品、客户和订单下钻。</w:t>
            </w:r>
          </w:p>
        </w:tc>
      </w:tr>
      <w:tr w14:paraId="39F91A72">
        <w:trPr>
          <w:cantSplit/>
        </w:trPr>
        <w:tc>
          <w:tcPr>
            <w:tcW w:w="1224" w:type="dxa"/>
            <w:tcMar>
              <w:top w:w="80" w:type="dxa"/>
              <w:left w:w="80" w:type="dxa"/>
              <w:bottom w:w="80" w:type="dxa"/>
              <w:right w:w="80" w:type="dxa"/>
            </w:tcMar>
            <w:vAlign w:val="center"/>
          </w:tcPr>
          <w:p w14:paraId="43A29BC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4D4E3CE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3DE97A5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储运效率专题视图</w:t>
            </w:r>
          </w:p>
        </w:tc>
        <w:tc>
          <w:tcPr>
            <w:tcW w:w="2995" w:type="dxa"/>
            <w:tcMar>
              <w:top w:w="80" w:type="dxa"/>
              <w:left w:w="80" w:type="dxa"/>
              <w:bottom w:w="80" w:type="dxa"/>
              <w:right w:w="80" w:type="dxa"/>
            </w:tcMar>
            <w:vAlign w:val="center"/>
          </w:tcPr>
          <w:p w14:paraId="2E69E7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展示原料、在制品和产成品的全网库存、库龄、仓储利用率及吞吐量，监控车辆满载率、在途时效、运输成本和异常节点，并关联WMS、TMS及库存优化结果进行分析。</w:t>
            </w:r>
          </w:p>
        </w:tc>
      </w:tr>
      <w:tr w14:paraId="15BFD175">
        <w:trPr>
          <w:cantSplit/>
        </w:trPr>
        <w:tc>
          <w:tcPr>
            <w:tcW w:w="1224" w:type="dxa"/>
            <w:tcMar>
              <w:top w:w="80" w:type="dxa"/>
              <w:left w:w="80" w:type="dxa"/>
              <w:bottom w:w="80" w:type="dxa"/>
              <w:right w:w="80" w:type="dxa"/>
            </w:tcMar>
            <w:vAlign w:val="center"/>
          </w:tcPr>
          <w:p w14:paraId="2800E8C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03F09A7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58DB427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环保与能源专题视图</w:t>
            </w:r>
          </w:p>
        </w:tc>
        <w:tc>
          <w:tcPr>
            <w:tcW w:w="2995" w:type="dxa"/>
            <w:tcMar>
              <w:top w:w="80" w:type="dxa"/>
              <w:left w:w="80" w:type="dxa"/>
              <w:bottom w:w="80" w:type="dxa"/>
              <w:right w:w="80" w:type="dxa"/>
            </w:tcMar>
            <w:vAlign w:val="center"/>
          </w:tcPr>
          <w:p w14:paraId="3CD3874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实时监控吨产品耗水、耗电、耗汽等能耗指标及废水排放量、COD浓度等环保指标，结合产量、排程和成本数据分析能源成本与生产运行的关系，对越限指标触发预警。</w:t>
            </w:r>
          </w:p>
        </w:tc>
      </w:tr>
      <w:tr w14:paraId="01C494E6">
        <w:trPr>
          <w:cantSplit/>
        </w:trPr>
        <w:tc>
          <w:tcPr>
            <w:tcW w:w="1224" w:type="dxa"/>
            <w:tcMar>
              <w:top w:w="80" w:type="dxa"/>
              <w:left w:w="80" w:type="dxa"/>
              <w:bottom w:w="80" w:type="dxa"/>
              <w:right w:w="80" w:type="dxa"/>
            </w:tcMar>
            <w:vAlign w:val="center"/>
          </w:tcPr>
          <w:p w14:paraId="0E6124D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09F5D63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0282A8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资金效率专题视图</w:t>
            </w:r>
          </w:p>
        </w:tc>
        <w:tc>
          <w:tcPr>
            <w:tcW w:w="2995" w:type="dxa"/>
            <w:tcMar>
              <w:top w:w="80" w:type="dxa"/>
              <w:left w:w="80" w:type="dxa"/>
              <w:bottom w:w="80" w:type="dxa"/>
              <w:right w:w="80" w:type="dxa"/>
            </w:tcMar>
            <w:vAlign w:val="center"/>
          </w:tcPr>
          <w:p w14:paraId="482C8BD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展示应收与应付账款账龄、库存资金占用、现金循环周期和产品边际贡献率，支持下钻至物料、产品、客户和订单，识别高利润、低利润及负利润业务结构。</w:t>
            </w:r>
          </w:p>
        </w:tc>
      </w:tr>
      <w:tr w14:paraId="75190ABB">
        <w:trPr>
          <w:cantSplit/>
        </w:trPr>
        <w:tc>
          <w:tcPr>
            <w:tcW w:w="1224" w:type="dxa"/>
            <w:tcMar>
              <w:top w:w="80" w:type="dxa"/>
              <w:left w:w="80" w:type="dxa"/>
              <w:bottom w:w="80" w:type="dxa"/>
              <w:right w:w="80" w:type="dxa"/>
            </w:tcMar>
            <w:vAlign w:val="center"/>
          </w:tcPr>
          <w:p w14:paraId="1E41E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602A29A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7792355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智能预警与事件管理</w:t>
            </w:r>
          </w:p>
        </w:tc>
        <w:tc>
          <w:tcPr>
            <w:tcW w:w="2995" w:type="dxa"/>
            <w:tcMar>
              <w:top w:w="80" w:type="dxa"/>
              <w:left w:w="80" w:type="dxa"/>
              <w:bottom w:w="80" w:type="dxa"/>
              <w:right w:w="80" w:type="dxa"/>
            </w:tcMar>
            <w:vAlign w:val="center"/>
          </w:tcPr>
          <w:p w14:paraId="4AF92C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统一接收各模块规则和模型产生的预警，按紧急、警告等等级进行聚合、去重、派发、升级和关闭；预警可关联库存、排程、采购、追溯及成本对象，并保留处置责任人、时限、过程和验证结果。</w:t>
            </w:r>
          </w:p>
        </w:tc>
      </w:tr>
      <w:tr w14:paraId="60D51D84">
        <w:trPr>
          <w:cantSplit/>
        </w:trPr>
        <w:tc>
          <w:tcPr>
            <w:tcW w:w="1224" w:type="dxa"/>
            <w:tcMar>
              <w:top w:w="80" w:type="dxa"/>
              <w:left w:w="80" w:type="dxa"/>
              <w:bottom w:w="80" w:type="dxa"/>
              <w:right w:w="80" w:type="dxa"/>
            </w:tcMar>
            <w:vAlign w:val="center"/>
          </w:tcPr>
          <w:p w14:paraId="6466CE6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61519D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35E12B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KPI钻取与根因分析</w:t>
            </w:r>
          </w:p>
        </w:tc>
        <w:tc>
          <w:tcPr>
            <w:tcW w:w="2995" w:type="dxa"/>
            <w:tcMar>
              <w:top w:w="80" w:type="dxa"/>
              <w:left w:w="80" w:type="dxa"/>
              <w:bottom w:w="80" w:type="dxa"/>
              <w:right w:w="80" w:type="dxa"/>
            </w:tcMar>
            <w:vAlign w:val="center"/>
          </w:tcPr>
          <w:p w14:paraId="1965A14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支持从全局KPI逐层钻取至指标口径、订单、物料、批次、供应商、客户、产线和责任环节，关联计划与实际、当前与历史、目标与偏差信息，形成可解释的根因链路和证据入口。</w:t>
            </w:r>
          </w:p>
        </w:tc>
      </w:tr>
      <w:tr w14:paraId="5349C7C1">
        <w:trPr>
          <w:cantSplit/>
        </w:trPr>
        <w:tc>
          <w:tcPr>
            <w:tcW w:w="1224" w:type="dxa"/>
            <w:tcMar>
              <w:top w:w="80" w:type="dxa"/>
              <w:left w:w="80" w:type="dxa"/>
              <w:bottom w:w="80" w:type="dxa"/>
              <w:right w:w="80" w:type="dxa"/>
            </w:tcMar>
            <w:vAlign w:val="center"/>
          </w:tcPr>
          <w:p w14:paraId="2E5182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03E0F36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472016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情景模拟与决策支持</w:t>
            </w:r>
          </w:p>
        </w:tc>
        <w:tc>
          <w:tcPr>
            <w:tcW w:w="2995" w:type="dxa"/>
            <w:tcMar>
              <w:top w:w="80" w:type="dxa"/>
              <w:left w:w="80" w:type="dxa"/>
              <w:bottom w:w="80" w:type="dxa"/>
              <w:right w:w="80" w:type="dxa"/>
            </w:tcMar>
            <w:vAlign w:val="center"/>
          </w:tcPr>
          <w:p w14:paraId="64A5724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提供供应链沙盘推演，允许修改需求、价格、供应能力、交期、服务水平、产能和成本等关键参数，对比不同情景下的产能、库存、采购、交付、成本与风险影响，并保留模拟基线和方案版本。</w:t>
            </w:r>
          </w:p>
        </w:tc>
      </w:tr>
      <w:tr w14:paraId="6D93FEBB">
        <w:trPr>
          <w:cantSplit/>
        </w:trPr>
        <w:tc>
          <w:tcPr>
            <w:tcW w:w="1224" w:type="dxa"/>
            <w:tcMar>
              <w:top w:w="80" w:type="dxa"/>
              <w:left w:w="80" w:type="dxa"/>
              <w:bottom w:w="80" w:type="dxa"/>
              <w:right w:w="80" w:type="dxa"/>
            </w:tcMar>
            <w:vAlign w:val="center"/>
          </w:tcPr>
          <w:p w14:paraId="3ED3603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466D66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29F57B1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方案采纳与协同闭环</w:t>
            </w:r>
          </w:p>
        </w:tc>
        <w:tc>
          <w:tcPr>
            <w:tcW w:w="2995" w:type="dxa"/>
            <w:tcMar>
              <w:top w:w="80" w:type="dxa"/>
              <w:left w:w="80" w:type="dxa"/>
              <w:bottom w:w="80" w:type="dxa"/>
              <w:right w:w="80" w:type="dxa"/>
            </w:tcMar>
            <w:vAlign w:val="center"/>
          </w:tcPr>
          <w:p w14:paraId="6DEB82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将经评估采纳的模拟方案转化为采购、库存、排程、质量或成本协同任务，明确责任部门、处理时限和关联对象；驾驶舱跟踪任务执行、反馈及效果验证，但不替代原系统的正式交易和执行职责。</w:t>
            </w:r>
          </w:p>
        </w:tc>
      </w:tr>
      <w:tr w14:paraId="4A251A3B">
        <w:trPr>
          <w:cantSplit/>
        </w:trPr>
        <w:tc>
          <w:tcPr>
            <w:tcW w:w="1224" w:type="dxa"/>
            <w:tcMar>
              <w:top w:w="80" w:type="dxa"/>
              <w:left w:w="80" w:type="dxa"/>
              <w:bottom w:w="80" w:type="dxa"/>
              <w:right w:w="80" w:type="dxa"/>
            </w:tcMar>
            <w:vAlign w:val="center"/>
          </w:tcPr>
          <w:p w14:paraId="3CBC9D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71251D6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64A361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角色视图与自定义配置</w:t>
            </w:r>
          </w:p>
        </w:tc>
        <w:tc>
          <w:tcPr>
            <w:tcW w:w="2995" w:type="dxa"/>
            <w:tcMar>
              <w:top w:w="80" w:type="dxa"/>
              <w:left w:w="80" w:type="dxa"/>
              <w:bottom w:w="80" w:type="dxa"/>
              <w:right w:w="80" w:type="dxa"/>
            </w:tcMar>
            <w:vAlign w:val="center"/>
          </w:tcPr>
          <w:p w14:paraId="3A1A5A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面向上级管理公司领导、总经理、总监、计划员、采购、生产、质量和财务等角色提供差异化视图，支持在权限范围内配置指标、图表、布局、筛选条件和刷新频率。</w:t>
            </w:r>
          </w:p>
        </w:tc>
      </w:tr>
      <w:tr w14:paraId="1EA123F4">
        <w:trPr>
          <w:cantSplit/>
        </w:trPr>
        <w:tc>
          <w:tcPr>
            <w:tcW w:w="1224" w:type="dxa"/>
            <w:tcMar>
              <w:top w:w="80" w:type="dxa"/>
              <w:left w:w="80" w:type="dxa"/>
              <w:bottom w:w="80" w:type="dxa"/>
              <w:right w:w="80" w:type="dxa"/>
            </w:tcMar>
            <w:vAlign w:val="center"/>
          </w:tcPr>
          <w:p w14:paraId="06397C6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决策呈现</w:t>
            </w:r>
          </w:p>
        </w:tc>
        <w:tc>
          <w:tcPr>
            <w:tcW w:w="2045" w:type="dxa"/>
            <w:tcMar>
              <w:top w:w="80" w:type="dxa"/>
              <w:left w:w="80" w:type="dxa"/>
              <w:bottom w:w="80" w:type="dxa"/>
              <w:right w:w="80" w:type="dxa"/>
            </w:tcMar>
            <w:vAlign w:val="center"/>
          </w:tcPr>
          <w:p w14:paraId="3E319F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2045" w:type="dxa"/>
            <w:tcMar>
              <w:top w:w="80" w:type="dxa"/>
              <w:left w:w="80" w:type="dxa"/>
              <w:bottom w:w="80" w:type="dxa"/>
              <w:right w:w="80" w:type="dxa"/>
            </w:tcMar>
            <w:vAlign w:val="center"/>
          </w:tcPr>
          <w:p w14:paraId="407E9EE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移动端监控与预警</w:t>
            </w:r>
          </w:p>
        </w:tc>
        <w:tc>
          <w:tcPr>
            <w:tcW w:w="2995" w:type="dxa"/>
            <w:tcMar>
              <w:top w:w="80" w:type="dxa"/>
              <w:left w:w="80" w:type="dxa"/>
              <w:bottom w:w="80" w:type="dxa"/>
              <w:right w:w="80" w:type="dxa"/>
            </w:tcMar>
            <w:vAlign w:val="center"/>
          </w:tcPr>
          <w:p w14:paraId="134E56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为手机和平板提供核心KPI、重要预警、待办任务和审批状态的友好访问，支持消息推送和快速处置入口；移动端展示与操作严格继承角色、组织、数据范围和字段权限。</w:t>
            </w:r>
          </w:p>
        </w:tc>
      </w:tr>
      <w:tr w14:paraId="617DC5BF">
        <w:trPr>
          <w:cantSplit/>
        </w:trPr>
        <w:tc>
          <w:tcPr>
            <w:tcW w:w="1224" w:type="dxa"/>
            <w:tcMar>
              <w:top w:w="80" w:type="dxa"/>
              <w:left w:w="80" w:type="dxa"/>
              <w:bottom w:w="80" w:type="dxa"/>
              <w:right w:w="80" w:type="dxa"/>
            </w:tcMar>
            <w:vAlign w:val="center"/>
          </w:tcPr>
          <w:p w14:paraId="14D7C9C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05559B3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33F2FB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智能需求感知与聚合</w:t>
            </w:r>
          </w:p>
        </w:tc>
        <w:tc>
          <w:tcPr>
            <w:tcW w:w="2995" w:type="dxa"/>
            <w:tcMar>
              <w:top w:w="80" w:type="dxa"/>
              <w:left w:w="80" w:type="dxa"/>
              <w:bottom w:w="80" w:type="dxa"/>
              <w:right w:w="80" w:type="dxa"/>
            </w:tcMar>
            <w:vAlign w:val="center"/>
          </w:tcPr>
          <w:p w14:paraId="7C4EDAB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自动汇集销售预测、客户订单、精益生产排程的原料净需求、安全库存建议、可用库存、在途库存和已生效合同余量，按物料、工厂、供应周期和时间粒度计算待采购需求，形成可追溯的采购需求计划。</w:t>
            </w:r>
          </w:p>
        </w:tc>
      </w:tr>
      <w:tr w14:paraId="7C2442FF">
        <w:trPr>
          <w:cantSplit/>
        </w:trPr>
        <w:tc>
          <w:tcPr>
            <w:tcW w:w="1224" w:type="dxa"/>
            <w:tcMar>
              <w:top w:w="80" w:type="dxa"/>
              <w:left w:w="80" w:type="dxa"/>
              <w:bottom w:w="80" w:type="dxa"/>
              <w:right w:w="80" w:type="dxa"/>
            </w:tcMar>
            <w:vAlign w:val="center"/>
          </w:tcPr>
          <w:p w14:paraId="44983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532639C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753FAC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需求可视化管理</w:t>
            </w:r>
          </w:p>
        </w:tc>
        <w:tc>
          <w:tcPr>
            <w:tcW w:w="2995" w:type="dxa"/>
            <w:tcMar>
              <w:top w:w="80" w:type="dxa"/>
              <w:left w:w="80" w:type="dxa"/>
              <w:bottom w:w="80" w:type="dxa"/>
              <w:right w:w="80" w:type="dxa"/>
            </w:tcMar>
            <w:vAlign w:val="center"/>
          </w:tcPr>
          <w:p w14:paraId="48E87AB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按日、周、月展示原辅料和包装材料的需求、缺口、锁定量、在途量及需求来源，支持按产品、订单、物料、供应商和时间筛选，并对需求变化及其对采购方案的影响进行对比。</w:t>
            </w:r>
          </w:p>
        </w:tc>
      </w:tr>
      <w:tr w14:paraId="2AC34029">
        <w:trPr>
          <w:cantSplit/>
        </w:trPr>
        <w:tc>
          <w:tcPr>
            <w:tcW w:w="1224" w:type="dxa"/>
            <w:tcMar>
              <w:top w:w="80" w:type="dxa"/>
              <w:left w:w="80" w:type="dxa"/>
              <w:bottom w:w="80" w:type="dxa"/>
              <w:right w:w="80" w:type="dxa"/>
            </w:tcMar>
            <w:vAlign w:val="center"/>
          </w:tcPr>
          <w:p w14:paraId="3E90188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16663D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1DAAA0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供应商全景画像</w:t>
            </w:r>
          </w:p>
        </w:tc>
        <w:tc>
          <w:tcPr>
            <w:tcW w:w="2995" w:type="dxa"/>
            <w:tcMar>
              <w:top w:w="80" w:type="dxa"/>
              <w:left w:w="80" w:type="dxa"/>
              <w:bottom w:w="80" w:type="dxa"/>
              <w:right w:w="80" w:type="dxa"/>
            </w:tcMar>
            <w:vAlign w:val="center"/>
          </w:tcPr>
          <w:p w14:paraId="4D450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整合供应商主数据、历史价格、交付准时率、质量合格率、产能、最小起订量、财务健康、资质证照、风险舆情和历史异常，形成可查询、可比较、可追溯的360度供应商画像。</w:t>
            </w:r>
          </w:p>
        </w:tc>
      </w:tr>
      <w:tr w14:paraId="15E67E50">
        <w:trPr>
          <w:cantSplit/>
        </w:trPr>
        <w:tc>
          <w:tcPr>
            <w:tcW w:w="1224" w:type="dxa"/>
            <w:tcMar>
              <w:top w:w="80" w:type="dxa"/>
              <w:left w:w="80" w:type="dxa"/>
              <w:bottom w:w="80" w:type="dxa"/>
              <w:right w:w="80" w:type="dxa"/>
            </w:tcMar>
            <w:vAlign w:val="center"/>
          </w:tcPr>
          <w:p w14:paraId="044C1BA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87B7D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5523A74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供应商绩效与资质评估</w:t>
            </w:r>
          </w:p>
        </w:tc>
        <w:tc>
          <w:tcPr>
            <w:tcW w:w="2995" w:type="dxa"/>
            <w:tcMar>
              <w:top w:w="80" w:type="dxa"/>
              <w:left w:w="80" w:type="dxa"/>
              <w:bottom w:w="80" w:type="dxa"/>
              <w:right w:w="80" w:type="dxa"/>
            </w:tcMar>
            <w:vAlign w:val="center"/>
          </w:tcPr>
          <w:p w14:paraId="7A36C27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建立质量、交付、成本、服务、能力和风险等维度的供应商综合得分卡，自动计算绩效并形成等级；对食品安全等资质临期、过期、停用和禁运状态进行预警并限制候选方案。</w:t>
            </w:r>
          </w:p>
        </w:tc>
      </w:tr>
      <w:tr w14:paraId="74A97EEB">
        <w:trPr>
          <w:cantSplit/>
        </w:trPr>
        <w:tc>
          <w:tcPr>
            <w:tcW w:w="1224" w:type="dxa"/>
            <w:tcMar>
              <w:top w:w="80" w:type="dxa"/>
              <w:left w:w="80" w:type="dxa"/>
              <w:bottom w:w="80" w:type="dxa"/>
              <w:right w:w="80" w:type="dxa"/>
            </w:tcMar>
            <w:vAlign w:val="center"/>
          </w:tcPr>
          <w:p w14:paraId="0539129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546A8BF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3E48FD6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采购方案模拟与多方案寻优</w:t>
            </w:r>
          </w:p>
        </w:tc>
        <w:tc>
          <w:tcPr>
            <w:tcW w:w="2995" w:type="dxa"/>
            <w:tcMar>
              <w:top w:w="80" w:type="dxa"/>
              <w:left w:w="80" w:type="dxa"/>
              <w:bottom w:w="80" w:type="dxa"/>
              <w:right w:w="80" w:type="dxa"/>
            </w:tcMar>
            <w:vAlign w:val="center"/>
          </w:tcPr>
          <w:p w14:paraId="0B45CC6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面向月度或滚动采购计划、招投标及询比价等采购场景，综合采购需求、现有库存与在途、供应商画像、资质绩效、投标或询价报价、可供能力、交付承诺、到货窗口、质量、资金、集中度和风险等约束，生成并比较不同采购节奏、供应商组合、采购数量及标的分配方案；对供应保障、预计总拥有成本、库存影响、风险暴露和约束满足度进行评价，输出推荐方案、评标定标辅助建议及差异说明，并保留评价依据、参数和人工调整记录。</w:t>
            </w:r>
          </w:p>
        </w:tc>
      </w:tr>
      <w:tr w14:paraId="37E82675">
        <w:trPr>
          <w:cantSplit/>
        </w:trPr>
        <w:tc>
          <w:tcPr>
            <w:tcW w:w="1224" w:type="dxa"/>
            <w:tcMar>
              <w:top w:w="80" w:type="dxa"/>
              <w:left w:w="80" w:type="dxa"/>
              <w:bottom w:w="80" w:type="dxa"/>
              <w:right w:w="80" w:type="dxa"/>
            </w:tcMar>
            <w:vAlign w:val="center"/>
          </w:tcPr>
          <w:p w14:paraId="28D6804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D71999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277E80D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总拥有成本建模</w:t>
            </w:r>
          </w:p>
        </w:tc>
        <w:tc>
          <w:tcPr>
            <w:tcW w:w="2995" w:type="dxa"/>
            <w:tcMar>
              <w:top w:w="80" w:type="dxa"/>
              <w:left w:w="80" w:type="dxa"/>
              <w:bottom w:w="80" w:type="dxa"/>
              <w:right w:w="80" w:type="dxa"/>
            </w:tcMar>
            <w:vAlign w:val="center"/>
          </w:tcPr>
          <w:p w14:paraId="10DF62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建立采购决策共用的成本测算服务，除采购单价外，统一计算运输、税费、库存持有、资金占用、检验、加工、质量、付款条件和供应风险等成本，形成供应商、物料及方案级可比总拥有成本；本功能只提供成本口径、参数和测算结果，为采购方案模拟与多方案寻优提供输入，不直接生成采购方案或评标定标结论。</w:t>
            </w:r>
          </w:p>
        </w:tc>
      </w:tr>
      <w:tr w14:paraId="2931221F">
        <w:trPr>
          <w:cantSplit/>
        </w:trPr>
        <w:tc>
          <w:tcPr>
            <w:tcW w:w="1224" w:type="dxa"/>
            <w:tcMar>
              <w:top w:w="80" w:type="dxa"/>
              <w:left w:w="80" w:type="dxa"/>
              <w:bottom w:w="80" w:type="dxa"/>
              <w:right w:w="80" w:type="dxa"/>
            </w:tcMar>
            <w:vAlign w:val="center"/>
          </w:tcPr>
          <w:p w14:paraId="7543F2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D518AF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33E378D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期货市场历史价格接入与展示</w:t>
            </w:r>
          </w:p>
        </w:tc>
        <w:tc>
          <w:tcPr>
            <w:tcW w:w="2995" w:type="dxa"/>
            <w:tcMar>
              <w:top w:w="80" w:type="dxa"/>
              <w:left w:w="80" w:type="dxa"/>
              <w:bottom w:w="80" w:type="dxa"/>
              <w:right w:w="80" w:type="dxa"/>
            </w:tcMar>
            <w:vAlign w:val="center"/>
          </w:tcPr>
          <w:p w14:paraId="1AF893D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从授权数据服务接入期货市场大宗原材料（玉米淀粉）的历史价格数据，按交易日期、合约及交割月份等维度展示价格走势、区间变化和历史对比，为采购人员分析市场变化、判断采购时点提供参考；本功能不开展市场价格预测，不输出价格趋势预测或自动定价结论。</w:t>
            </w:r>
          </w:p>
        </w:tc>
      </w:tr>
      <w:tr w14:paraId="1B16F05B">
        <w:trPr>
          <w:cantSplit/>
        </w:trPr>
        <w:tc>
          <w:tcPr>
            <w:tcW w:w="1224" w:type="dxa"/>
            <w:tcMar>
              <w:top w:w="80" w:type="dxa"/>
              <w:left w:w="80" w:type="dxa"/>
              <w:bottom w:w="80" w:type="dxa"/>
              <w:right w:w="80" w:type="dxa"/>
            </w:tcMar>
            <w:vAlign w:val="center"/>
          </w:tcPr>
          <w:p w14:paraId="57FDB97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3EC96E2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32BEBC6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供应风险量化与情景模拟</w:t>
            </w:r>
          </w:p>
        </w:tc>
        <w:tc>
          <w:tcPr>
            <w:tcW w:w="2995" w:type="dxa"/>
            <w:tcMar>
              <w:top w:w="80" w:type="dxa"/>
              <w:left w:w="80" w:type="dxa"/>
              <w:bottom w:w="80" w:type="dxa"/>
              <w:right w:w="80" w:type="dxa"/>
            </w:tcMar>
            <w:vAlign w:val="center"/>
          </w:tcPr>
          <w:p w14:paraId="73365E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综合供应商集中度、产能受限、交付延迟、质量和事件影响等风险，使用AI优化平台接入的极端天气或突发事件影响数据，模拟可用供应商变化及运输周期延长对采购总成本和供应保障的影响，形成备选供应、提前要货和运输时序调整建议。</w:t>
            </w:r>
          </w:p>
        </w:tc>
      </w:tr>
      <w:tr w14:paraId="1CFE9DAB">
        <w:trPr>
          <w:cantSplit/>
        </w:trPr>
        <w:tc>
          <w:tcPr>
            <w:tcW w:w="1224" w:type="dxa"/>
            <w:tcMar>
              <w:top w:w="80" w:type="dxa"/>
              <w:left w:w="80" w:type="dxa"/>
              <w:bottom w:w="80" w:type="dxa"/>
              <w:right w:w="80" w:type="dxa"/>
            </w:tcMar>
            <w:vAlign w:val="center"/>
          </w:tcPr>
          <w:p w14:paraId="60C9C3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57444A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04B7EFF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采购方案审批与发布</w:t>
            </w:r>
          </w:p>
        </w:tc>
        <w:tc>
          <w:tcPr>
            <w:tcW w:w="2995" w:type="dxa"/>
            <w:tcMar>
              <w:top w:w="80" w:type="dxa"/>
              <w:left w:w="80" w:type="dxa"/>
              <w:bottom w:w="80" w:type="dxa"/>
              <w:right w:w="80" w:type="dxa"/>
            </w:tcMar>
            <w:vAlign w:val="center"/>
          </w:tcPr>
          <w:p w14:paraId="3E4362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将优化方案连同输入快照、模型参数、约束、候选方案和人工调整提交审批，审批通过后形成已发布采购建议；保护已审批、已下达、在途和锁定安排，仅允许在可调整范围内滚动重算。</w:t>
            </w:r>
          </w:p>
        </w:tc>
      </w:tr>
      <w:tr w14:paraId="1AB89F9E">
        <w:trPr>
          <w:cantSplit/>
        </w:trPr>
        <w:tc>
          <w:tcPr>
            <w:tcW w:w="1224" w:type="dxa"/>
            <w:tcMar>
              <w:top w:w="80" w:type="dxa"/>
              <w:left w:w="80" w:type="dxa"/>
              <w:bottom w:w="80" w:type="dxa"/>
              <w:right w:w="80" w:type="dxa"/>
            </w:tcMar>
            <w:vAlign w:val="center"/>
          </w:tcPr>
          <w:p w14:paraId="5BD8B0C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D324F2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211A00C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极端天气与事件供应影响数据接入</w:t>
            </w:r>
          </w:p>
        </w:tc>
        <w:tc>
          <w:tcPr>
            <w:tcW w:w="2995" w:type="dxa"/>
            <w:tcMar>
              <w:top w:w="80" w:type="dxa"/>
              <w:left w:w="80" w:type="dxa"/>
              <w:bottom w:w="80" w:type="dxa"/>
              <w:right w:w="80" w:type="dxa"/>
            </w:tcMar>
            <w:vAlign w:val="center"/>
          </w:tcPr>
          <w:p w14:paraId="5E834B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从AI优化平台接入极端天气或突发事件对供应商供应能力影响的量化数据，至少包括事件类型、影响区域、可用供应商清单、不可用或受限供应商、各可用供应商运输周期增量及生效时段；系统完成供应商、物料、路线和时间维度映射，并将运输周期调整量作为要货计划优化输入，支持事件更新、失效和人工复核。</w:t>
            </w:r>
          </w:p>
        </w:tc>
      </w:tr>
      <w:tr w14:paraId="06F8C26E">
        <w:trPr>
          <w:cantSplit/>
        </w:trPr>
        <w:tc>
          <w:tcPr>
            <w:tcW w:w="1224" w:type="dxa"/>
            <w:tcMar>
              <w:top w:w="80" w:type="dxa"/>
              <w:left w:w="80" w:type="dxa"/>
              <w:bottom w:w="80" w:type="dxa"/>
              <w:right w:w="80" w:type="dxa"/>
            </w:tcMar>
            <w:vAlign w:val="center"/>
          </w:tcPr>
          <w:p w14:paraId="0E90FD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952711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756AFE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日度到货与要货计划优化</w:t>
            </w:r>
          </w:p>
        </w:tc>
        <w:tc>
          <w:tcPr>
            <w:tcW w:w="2995" w:type="dxa"/>
            <w:tcMar>
              <w:top w:w="80" w:type="dxa"/>
              <w:left w:w="80" w:type="dxa"/>
              <w:bottom w:w="80" w:type="dxa"/>
              <w:right w:w="80" w:type="dxa"/>
            </w:tcMar>
            <w:vAlign w:val="center"/>
          </w:tcPr>
          <w:p w14:paraId="720137A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在已生效合同和采购订单边界内，结合生产日需求、库存、在途、供应商可交付能力、运输提前期、收货能力、仓储容量，以及AI优化平台提供的极端天气或事件下供应商可用性和运输周期量化影响，生成日度到厂需求、要货数量和期望到货时段，不新增未经授权的供应商或采购价格。</w:t>
            </w:r>
          </w:p>
        </w:tc>
      </w:tr>
      <w:tr w14:paraId="75825365">
        <w:trPr>
          <w:cantSplit/>
        </w:trPr>
        <w:tc>
          <w:tcPr>
            <w:tcW w:w="1224" w:type="dxa"/>
            <w:tcMar>
              <w:top w:w="80" w:type="dxa"/>
              <w:left w:w="80" w:type="dxa"/>
              <w:bottom w:w="80" w:type="dxa"/>
              <w:right w:w="80" w:type="dxa"/>
            </w:tcMar>
            <w:vAlign w:val="center"/>
          </w:tcPr>
          <w:p w14:paraId="759F57C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BBD3B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1F01D53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供应商送货承诺与顺序协同</w:t>
            </w:r>
          </w:p>
        </w:tc>
        <w:tc>
          <w:tcPr>
            <w:tcW w:w="2995" w:type="dxa"/>
            <w:tcMar>
              <w:top w:w="80" w:type="dxa"/>
              <w:left w:w="80" w:type="dxa"/>
              <w:bottom w:w="80" w:type="dxa"/>
              <w:right w:w="80" w:type="dxa"/>
            </w:tcMar>
            <w:vAlign w:val="center"/>
          </w:tcPr>
          <w:p w14:paraId="3F1C9F7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维护供应商可送货日期、数量、批次、车辆和到货承诺，结合合同余量、生产紧迫度和收货能力安排供应顺序；对拒绝、延迟、部分确认和承诺变化形成差异记录及协同任务。</w:t>
            </w:r>
          </w:p>
        </w:tc>
      </w:tr>
      <w:tr w14:paraId="4415FBAF">
        <w:trPr>
          <w:cantSplit/>
        </w:trPr>
        <w:tc>
          <w:tcPr>
            <w:tcW w:w="1224" w:type="dxa"/>
            <w:tcMar>
              <w:top w:w="80" w:type="dxa"/>
              <w:left w:w="80" w:type="dxa"/>
              <w:bottom w:w="80" w:type="dxa"/>
              <w:right w:w="80" w:type="dxa"/>
            </w:tcMar>
            <w:vAlign w:val="center"/>
          </w:tcPr>
          <w:p w14:paraId="4F3DCFF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709F5C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67CF8BB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采购执行跟踪与反馈</w:t>
            </w:r>
          </w:p>
        </w:tc>
        <w:tc>
          <w:tcPr>
            <w:tcW w:w="2995" w:type="dxa"/>
            <w:tcMar>
              <w:top w:w="80" w:type="dxa"/>
              <w:left w:w="80" w:type="dxa"/>
              <w:bottom w:w="80" w:type="dxa"/>
              <w:right w:w="80" w:type="dxa"/>
            </w:tcMar>
            <w:vAlign w:val="center"/>
          </w:tcPr>
          <w:p w14:paraId="4DB133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跟踪采购订单、要货计划的发货、在途、到厂、收货、质检和入库状态，比较计划与实际价格、数量和交期；偏差反馈至供应商绩效、需求缺口、后续采购方案和模型校准。</w:t>
            </w:r>
          </w:p>
        </w:tc>
      </w:tr>
      <w:tr w14:paraId="08184C4E">
        <w:trPr>
          <w:cantSplit/>
        </w:trPr>
        <w:tc>
          <w:tcPr>
            <w:tcW w:w="1224" w:type="dxa"/>
            <w:tcMar>
              <w:top w:w="80" w:type="dxa"/>
              <w:left w:w="80" w:type="dxa"/>
              <w:bottom w:w="80" w:type="dxa"/>
              <w:right w:w="80" w:type="dxa"/>
            </w:tcMar>
            <w:vAlign w:val="center"/>
          </w:tcPr>
          <w:p w14:paraId="47A7CE5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4E6619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2045" w:type="dxa"/>
            <w:tcMar>
              <w:top w:w="80" w:type="dxa"/>
              <w:left w:w="80" w:type="dxa"/>
              <w:bottom w:w="80" w:type="dxa"/>
              <w:right w:w="80" w:type="dxa"/>
            </w:tcMar>
            <w:vAlign w:val="center"/>
          </w:tcPr>
          <w:p w14:paraId="0000CC7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采购异常协调与禁运控制</w:t>
            </w:r>
          </w:p>
        </w:tc>
        <w:tc>
          <w:tcPr>
            <w:tcW w:w="2995" w:type="dxa"/>
            <w:tcMar>
              <w:top w:w="80" w:type="dxa"/>
              <w:left w:w="80" w:type="dxa"/>
              <w:bottom w:w="80" w:type="dxa"/>
              <w:right w:w="80" w:type="dxa"/>
            </w:tcMar>
            <w:vAlign w:val="center"/>
          </w:tcPr>
          <w:p w14:paraId="2DCE97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识别供应缺口、运输延误、质量不合格、合同不足和供应商禁运等异常，生成替代供应、调整到货、升级协调或人工处理建议；禁运与解除须经授权并保留原因、证据、生效时间和影响范围。</w:t>
            </w:r>
          </w:p>
        </w:tc>
      </w:tr>
      <w:tr w14:paraId="0167CE17">
        <w:trPr>
          <w:cantSplit/>
        </w:trPr>
        <w:tc>
          <w:tcPr>
            <w:tcW w:w="1224" w:type="dxa"/>
            <w:tcMar>
              <w:top w:w="80" w:type="dxa"/>
              <w:left w:w="80" w:type="dxa"/>
              <w:bottom w:w="80" w:type="dxa"/>
              <w:right w:w="80" w:type="dxa"/>
            </w:tcMar>
            <w:vAlign w:val="center"/>
          </w:tcPr>
          <w:p w14:paraId="5E61B1A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5D556B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6BE0883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需求模式与波动分析</w:t>
            </w:r>
          </w:p>
        </w:tc>
        <w:tc>
          <w:tcPr>
            <w:tcW w:w="2995" w:type="dxa"/>
            <w:tcMar>
              <w:top w:w="80" w:type="dxa"/>
              <w:left w:w="80" w:type="dxa"/>
              <w:bottom w:w="80" w:type="dxa"/>
              <w:right w:w="80" w:type="dxa"/>
            </w:tcMar>
            <w:vAlign w:val="center"/>
          </w:tcPr>
          <w:p w14:paraId="7B1DFE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自动分析历史消耗、销售预测和生产需求，识别稳定、趋势、季节、间歇等需求模式，计算均值、标准差、变异系数和预测偏差，并按物料、地点和时间粒度形成库存模型输入。</w:t>
            </w:r>
          </w:p>
        </w:tc>
      </w:tr>
      <w:tr w14:paraId="705AC933">
        <w:trPr>
          <w:cantSplit/>
        </w:trPr>
        <w:tc>
          <w:tcPr>
            <w:tcW w:w="1224" w:type="dxa"/>
            <w:tcMar>
              <w:top w:w="80" w:type="dxa"/>
              <w:left w:w="80" w:type="dxa"/>
              <w:bottom w:w="80" w:type="dxa"/>
              <w:right w:w="80" w:type="dxa"/>
            </w:tcMar>
            <w:vAlign w:val="center"/>
          </w:tcPr>
          <w:p w14:paraId="36650CE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C6A2D8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1BCDE3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供应提前期与可靠性分析</w:t>
            </w:r>
          </w:p>
        </w:tc>
        <w:tc>
          <w:tcPr>
            <w:tcW w:w="2995" w:type="dxa"/>
            <w:tcMar>
              <w:top w:w="80" w:type="dxa"/>
              <w:left w:w="80" w:type="dxa"/>
              <w:bottom w:w="80" w:type="dxa"/>
              <w:right w:w="80" w:type="dxa"/>
            </w:tcMar>
            <w:vAlign w:val="center"/>
          </w:tcPr>
          <w:p w14:paraId="733B1C3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集成供应商及内部补货历史，计算提前期均值、波动、准时率和异常分布，区分采购、生产、运输和检验环节的时间贡献，为安全库存及再订货点计算提供供应不确定性参数。</w:t>
            </w:r>
          </w:p>
        </w:tc>
      </w:tr>
      <w:tr w14:paraId="60E0DA3A">
        <w:trPr>
          <w:cantSplit/>
        </w:trPr>
        <w:tc>
          <w:tcPr>
            <w:tcW w:w="1224" w:type="dxa"/>
            <w:tcMar>
              <w:top w:w="80" w:type="dxa"/>
              <w:left w:w="80" w:type="dxa"/>
              <w:bottom w:w="80" w:type="dxa"/>
              <w:right w:w="80" w:type="dxa"/>
            </w:tcMar>
            <w:vAlign w:val="center"/>
          </w:tcPr>
          <w:p w14:paraId="5FD1179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A4DD69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6FC7636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服务水平目标与物料分类</w:t>
            </w:r>
          </w:p>
        </w:tc>
        <w:tc>
          <w:tcPr>
            <w:tcW w:w="2995" w:type="dxa"/>
            <w:tcMar>
              <w:top w:w="80" w:type="dxa"/>
              <w:left w:w="80" w:type="dxa"/>
              <w:bottom w:w="80" w:type="dxa"/>
              <w:right w:w="80" w:type="dxa"/>
            </w:tcMar>
            <w:vAlign w:val="center"/>
          </w:tcPr>
          <w:p w14:paraId="5AE184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支持按ABC/XYZ、关键程度、价值、保质期和供应风险对原料、在制品、产成品及副产品分类，为不同物料群组设置订单满足率等差异化服务水平目标及审批权限。</w:t>
            </w:r>
          </w:p>
        </w:tc>
      </w:tr>
      <w:tr w14:paraId="16D6AAAC">
        <w:trPr>
          <w:cantSplit/>
        </w:trPr>
        <w:tc>
          <w:tcPr>
            <w:tcW w:w="1224" w:type="dxa"/>
            <w:tcMar>
              <w:top w:w="80" w:type="dxa"/>
              <w:left w:w="80" w:type="dxa"/>
              <w:bottom w:w="80" w:type="dxa"/>
              <w:right w:w="80" w:type="dxa"/>
            </w:tcMar>
            <w:vAlign w:val="center"/>
          </w:tcPr>
          <w:p w14:paraId="1719826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165251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27CCF3F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动态安全库存计算</w:t>
            </w:r>
          </w:p>
        </w:tc>
        <w:tc>
          <w:tcPr>
            <w:tcW w:w="2995" w:type="dxa"/>
            <w:tcMar>
              <w:top w:w="80" w:type="dxa"/>
              <w:left w:w="80" w:type="dxa"/>
              <w:bottom w:w="80" w:type="dxa"/>
              <w:right w:w="80" w:type="dxa"/>
            </w:tcMar>
            <w:vAlign w:val="center"/>
          </w:tcPr>
          <w:p w14:paraId="7B8E7A7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综合需求波动、供应提前期波动、服务水平和业务周期，运用适配稳定、季节和间歇需求的模型计算SKU级安全库存；公式、Z值、波动系数和参数透明可控，并保留版本和计算解释。</w:t>
            </w:r>
          </w:p>
        </w:tc>
      </w:tr>
      <w:tr w14:paraId="5FAA4E88">
        <w:trPr>
          <w:cantSplit/>
        </w:trPr>
        <w:tc>
          <w:tcPr>
            <w:tcW w:w="1224" w:type="dxa"/>
            <w:tcMar>
              <w:top w:w="80" w:type="dxa"/>
              <w:left w:w="80" w:type="dxa"/>
              <w:bottom w:w="80" w:type="dxa"/>
              <w:right w:w="80" w:type="dxa"/>
            </w:tcMar>
            <w:vAlign w:val="center"/>
          </w:tcPr>
          <w:p w14:paraId="171164D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47F466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6393AE4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再订货点与订货量建议</w:t>
            </w:r>
          </w:p>
        </w:tc>
        <w:tc>
          <w:tcPr>
            <w:tcW w:w="2995" w:type="dxa"/>
            <w:tcMar>
              <w:top w:w="80" w:type="dxa"/>
              <w:left w:w="80" w:type="dxa"/>
              <w:bottom w:w="80" w:type="dxa"/>
              <w:right w:w="80" w:type="dxa"/>
            </w:tcMar>
            <w:vAlign w:val="center"/>
          </w:tcPr>
          <w:p w14:paraId="73F18EF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依据提前期内平均需求与安全库存计算再订货点，结合经济订货批量、补货周期、最小批量、运输单位和业务规则推荐订货量、目标库存和期望到货日期。</w:t>
            </w:r>
          </w:p>
        </w:tc>
      </w:tr>
      <w:tr w14:paraId="3EE8CB35">
        <w:trPr>
          <w:cantSplit/>
        </w:trPr>
        <w:tc>
          <w:tcPr>
            <w:tcW w:w="1224" w:type="dxa"/>
            <w:tcMar>
              <w:top w:w="80" w:type="dxa"/>
              <w:left w:w="80" w:type="dxa"/>
              <w:bottom w:w="80" w:type="dxa"/>
              <w:right w:w="80" w:type="dxa"/>
            </w:tcMar>
            <w:vAlign w:val="center"/>
          </w:tcPr>
          <w:p w14:paraId="0E47ED3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79870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35FA425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储罐仓容与兼容约束管理</w:t>
            </w:r>
          </w:p>
        </w:tc>
        <w:tc>
          <w:tcPr>
            <w:tcW w:w="2995" w:type="dxa"/>
            <w:tcMar>
              <w:top w:w="80" w:type="dxa"/>
              <w:left w:w="80" w:type="dxa"/>
              <w:bottom w:w="80" w:type="dxa"/>
              <w:right w:w="80" w:type="dxa"/>
            </w:tcMar>
            <w:vAlign w:val="center"/>
          </w:tcPr>
          <w:p w14:paraId="398C18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将储罐和仓库容量、物料兼容关系、封存与质量状态、同日进出限制、切换规则和可用库存口径作为硬约束，确保库存及补货建议满足现场物理条件，不以优化目标突破质量或容量边界。</w:t>
            </w:r>
          </w:p>
        </w:tc>
      </w:tr>
      <w:tr w14:paraId="28165675">
        <w:trPr>
          <w:cantSplit/>
        </w:trPr>
        <w:tc>
          <w:tcPr>
            <w:tcW w:w="1224" w:type="dxa"/>
            <w:tcMar>
              <w:top w:w="80" w:type="dxa"/>
              <w:left w:w="80" w:type="dxa"/>
              <w:bottom w:w="80" w:type="dxa"/>
              <w:right w:w="80" w:type="dxa"/>
            </w:tcMar>
            <w:vAlign w:val="center"/>
          </w:tcPr>
          <w:p w14:paraId="7234D48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477344A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0FDE3EE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差异化库存策略管理</w:t>
            </w:r>
          </w:p>
        </w:tc>
        <w:tc>
          <w:tcPr>
            <w:tcW w:w="2995" w:type="dxa"/>
            <w:tcMar>
              <w:top w:w="80" w:type="dxa"/>
              <w:left w:w="80" w:type="dxa"/>
              <w:bottom w:w="80" w:type="dxa"/>
              <w:right w:w="80" w:type="dxa"/>
            </w:tcMar>
            <w:vAlign w:val="center"/>
          </w:tcPr>
          <w:p w14:paraId="1194C02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按物料群组批量配置连续检查或周期检查、补货周期、最小最大库存、盘点间隔和锁定范围等策略，支持策略审批、生效、停用、复制和历史版本比较。</w:t>
            </w:r>
          </w:p>
        </w:tc>
      </w:tr>
      <w:tr w14:paraId="3787A405">
        <w:trPr>
          <w:cantSplit/>
        </w:trPr>
        <w:tc>
          <w:tcPr>
            <w:tcW w:w="1224" w:type="dxa"/>
            <w:tcMar>
              <w:top w:w="80" w:type="dxa"/>
              <w:left w:w="80" w:type="dxa"/>
              <w:bottom w:w="80" w:type="dxa"/>
              <w:right w:w="80" w:type="dxa"/>
            </w:tcMar>
            <w:vAlign w:val="center"/>
          </w:tcPr>
          <w:p w14:paraId="271A638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5A2531F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77E957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库存成本优化模型</w:t>
            </w:r>
          </w:p>
        </w:tc>
        <w:tc>
          <w:tcPr>
            <w:tcW w:w="2995" w:type="dxa"/>
            <w:tcMar>
              <w:top w:w="80" w:type="dxa"/>
              <w:left w:w="80" w:type="dxa"/>
              <w:bottom w:w="80" w:type="dxa"/>
              <w:right w:w="80" w:type="dxa"/>
            </w:tcMar>
            <w:vAlign w:val="center"/>
          </w:tcPr>
          <w:p w14:paraId="140732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允许维护单位库存持有成本和单位缺货成本，以总成本最小化为目标反向推导安全库存和服务水平，在满足关键客户、订单和生产保障要求的前提下平衡库存占用与缺货损失。</w:t>
            </w:r>
          </w:p>
        </w:tc>
      </w:tr>
      <w:tr w14:paraId="19829547">
        <w:trPr>
          <w:cantSplit/>
        </w:trPr>
        <w:tc>
          <w:tcPr>
            <w:tcW w:w="1224" w:type="dxa"/>
            <w:tcMar>
              <w:top w:w="80" w:type="dxa"/>
              <w:left w:w="80" w:type="dxa"/>
              <w:bottom w:w="80" w:type="dxa"/>
              <w:right w:w="80" w:type="dxa"/>
            </w:tcMar>
            <w:vAlign w:val="center"/>
          </w:tcPr>
          <w:p w14:paraId="2B8A1CA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1ABE68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0414805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库存情景模拟分析</w:t>
            </w:r>
          </w:p>
        </w:tc>
        <w:tc>
          <w:tcPr>
            <w:tcW w:w="2995" w:type="dxa"/>
            <w:tcMar>
              <w:top w:w="80" w:type="dxa"/>
              <w:left w:w="80" w:type="dxa"/>
              <w:bottom w:w="80" w:type="dxa"/>
              <w:right w:w="80" w:type="dxa"/>
            </w:tcMar>
            <w:vAlign w:val="center"/>
          </w:tcPr>
          <w:p w14:paraId="3A1F9C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模拟供应商提前期、服务水平、需求增长、产能变化和补货周期调整对安全库存、资金占用、缺货风险与交付的影响，以图表对比基线和不同方案，模拟结果与正式策略隔离。</w:t>
            </w:r>
          </w:p>
        </w:tc>
      </w:tr>
      <w:tr w14:paraId="64DD510A">
        <w:trPr>
          <w:cantSplit/>
        </w:trPr>
        <w:tc>
          <w:tcPr>
            <w:tcW w:w="1224" w:type="dxa"/>
            <w:tcMar>
              <w:top w:w="80" w:type="dxa"/>
              <w:left w:w="80" w:type="dxa"/>
              <w:bottom w:w="80" w:type="dxa"/>
              <w:right w:w="80" w:type="dxa"/>
            </w:tcMar>
            <w:vAlign w:val="center"/>
          </w:tcPr>
          <w:p w14:paraId="6F43AB3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6B5AD4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1B722A9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月度策略与周度补货建议</w:t>
            </w:r>
          </w:p>
        </w:tc>
        <w:tc>
          <w:tcPr>
            <w:tcW w:w="2995" w:type="dxa"/>
            <w:tcMar>
              <w:top w:w="80" w:type="dxa"/>
              <w:left w:w="80" w:type="dxa"/>
              <w:bottom w:w="80" w:type="dxa"/>
              <w:right w:w="80" w:type="dxa"/>
            </w:tcMar>
            <w:vAlign w:val="center"/>
          </w:tcPr>
          <w:p w14:paraId="1F7510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按月形成安全库存、再订货点和目标库存策略，按周结合未来需求、现有库存、计划入库、生产补充和储罐能力生成滚动补货建议，明确风险日、补货量、期望入库日期及依据。</w:t>
            </w:r>
          </w:p>
        </w:tc>
      </w:tr>
      <w:tr w14:paraId="64E8A4C1">
        <w:trPr>
          <w:cantSplit/>
        </w:trPr>
        <w:tc>
          <w:tcPr>
            <w:tcW w:w="1224" w:type="dxa"/>
            <w:tcMar>
              <w:top w:w="80" w:type="dxa"/>
              <w:left w:w="80" w:type="dxa"/>
              <w:bottom w:w="80" w:type="dxa"/>
              <w:right w:w="80" w:type="dxa"/>
            </w:tcMar>
            <w:vAlign w:val="center"/>
          </w:tcPr>
          <w:p w14:paraId="51CDF88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3A8AC2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54538D6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日度库存投影与滚动锁定</w:t>
            </w:r>
          </w:p>
        </w:tc>
        <w:tc>
          <w:tcPr>
            <w:tcW w:w="2995" w:type="dxa"/>
            <w:tcMar>
              <w:top w:w="80" w:type="dxa"/>
              <w:left w:w="80" w:type="dxa"/>
              <w:bottom w:w="80" w:type="dxa"/>
              <w:right w:w="80" w:type="dxa"/>
            </w:tcMar>
            <w:vAlign w:val="center"/>
          </w:tcPr>
          <w:p w14:paraId="1A8CF40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逐日投影可用库存、计划出库、计划入库、质量状态和储罐占用，识别低于安全库存、容量冲突和断供风险；首周、T+7及已发布安排按规则锁定，仅对未锁定范围滚动调整。</w:t>
            </w:r>
          </w:p>
        </w:tc>
      </w:tr>
      <w:tr w14:paraId="793216CB">
        <w:trPr>
          <w:cantSplit/>
        </w:trPr>
        <w:tc>
          <w:tcPr>
            <w:tcW w:w="1224" w:type="dxa"/>
            <w:tcMar>
              <w:top w:w="80" w:type="dxa"/>
              <w:left w:w="80" w:type="dxa"/>
              <w:bottom w:w="80" w:type="dxa"/>
              <w:right w:w="80" w:type="dxa"/>
            </w:tcMar>
            <w:vAlign w:val="center"/>
          </w:tcPr>
          <w:p w14:paraId="645810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214E22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75A24A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库存水位监控与预警</w:t>
            </w:r>
          </w:p>
        </w:tc>
        <w:tc>
          <w:tcPr>
            <w:tcW w:w="2995" w:type="dxa"/>
            <w:tcMar>
              <w:top w:w="80" w:type="dxa"/>
              <w:left w:w="80" w:type="dxa"/>
              <w:bottom w:w="80" w:type="dxa"/>
              <w:right w:w="80" w:type="dxa"/>
            </w:tcMar>
            <w:vAlign w:val="center"/>
          </w:tcPr>
          <w:p w14:paraId="0DD39C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实时比较当前和预测库存与安全库存、再订货点、目标库存及容量上限，触发低库存、超储、呆滞、临期和容量预警，并关联采购建议、生产补充建议和驾驶舱事件。</w:t>
            </w:r>
          </w:p>
        </w:tc>
      </w:tr>
      <w:tr w14:paraId="748A7F0A">
        <w:trPr>
          <w:cantSplit/>
        </w:trPr>
        <w:tc>
          <w:tcPr>
            <w:tcW w:w="1224" w:type="dxa"/>
            <w:tcMar>
              <w:top w:w="80" w:type="dxa"/>
              <w:left w:w="80" w:type="dxa"/>
              <w:bottom w:w="80" w:type="dxa"/>
              <w:right w:w="80" w:type="dxa"/>
            </w:tcMar>
            <w:vAlign w:val="center"/>
          </w:tcPr>
          <w:p w14:paraId="3AB0253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D236CE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2045" w:type="dxa"/>
            <w:tcMar>
              <w:top w:w="80" w:type="dxa"/>
              <w:left w:w="80" w:type="dxa"/>
              <w:bottom w:w="80" w:type="dxa"/>
              <w:right w:w="80" w:type="dxa"/>
            </w:tcMar>
            <w:vAlign w:val="center"/>
          </w:tcPr>
          <w:p w14:paraId="49A002C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策略执行跟踪与健康度评价</w:t>
            </w:r>
          </w:p>
        </w:tc>
        <w:tc>
          <w:tcPr>
            <w:tcW w:w="2995" w:type="dxa"/>
            <w:tcMar>
              <w:top w:w="80" w:type="dxa"/>
              <w:left w:w="80" w:type="dxa"/>
              <w:bottom w:w="80" w:type="dxa"/>
              <w:right w:w="80" w:type="dxa"/>
            </w:tcMar>
            <w:vAlign w:val="center"/>
          </w:tcPr>
          <w:p w14:paraId="1A6D1BF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记录策略建议、审批发布和实际执行情况，计算周转率、服务水平达成率、缺货次数、呆滞库存、资金占用和建议采纳率，验证策略有效性并形成下一轮参数和策略改进依据。</w:t>
            </w:r>
          </w:p>
        </w:tc>
      </w:tr>
      <w:tr w14:paraId="7DC75792">
        <w:trPr>
          <w:cantSplit/>
        </w:trPr>
        <w:tc>
          <w:tcPr>
            <w:tcW w:w="1224" w:type="dxa"/>
            <w:tcMar>
              <w:top w:w="80" w:type="dxa"/>
              <w:left w:w="80" w:type="dxa"/>
              <w:bottom w:w="80" w:type="dxa"/>
              <w:right w:w="80" w:type="dxa"/>
            </w:tcMar>
            <w:vAlign w:val="center"/>
          </w:tcPr>
          <w:p w14:paraId="22348B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56D7AB4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69C0404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有限能力排程</w:t>
            </w:r>
          </w:p>
        </w:tc>
        <w:tc>
          <w:tcPr>
            <w:tcW w:w="2995" w:type="dxa"/>
            <w:tcMar>
              <w:top w:w="80" w:type="dxa"/>
              <w:left w:w="80" w:type="dxa"/>
              <w:bottom w:w="80" w:type="dxa"/>
              <w:right w:w="80" w:type="dxa"/>
            </w:tcMar>
            <w:vAlign w:val="center"/>
          </w:tcPr>
          <w:p w14:paraId="09D2FAF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基于真实有限产能，综合生产线、设备、关键工位、人员、物料、储罐和时间窗口的可用能力生成可执行计划，避免以无限产能或事后人工修正代替约束求解。</w:t>
            </w:r>
          </w:p>
        </w:tc>
      </w:tr>
      <w:tr w14:paraId="6B79B66F">
        <w:trPr>
          <w:cantSplit/>
        </w:trPr>
        <w:tc>
          <w:tcPr>
            <w:tcW w:w="1224" w:type="dxa"/>
            <w:tcMar>
              <w:top w:w="80" w:type="dxa"/>
              <w:left w:w="80" w:type="dxa"/>
              <w:bottom w:w="80" w:type="dxa"/>
              <w:right w:w="80" w:type="dxa"/>
            </w:tcMar>
            <w:vAlign w:val="center"/>
          </w:tcPr>
          <w:p w14:paraId="2415885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3B166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1F3468F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多目标优化策略</w:t>
            </w:r>
          </w:p>
        </w:tc>
        <w:tc>
          <w:tcPr>
            <w:tcW w:w="2995" w:type="dxa"/>
            <w:tcMar>
              <w:top w:w="80" w:type="dxa"/>
              <w:left w:w="80" w:type="dxa"/>
              <w:bottom w:w="80" w:type="dxa"/>
              <w:right w:w="80" w:type="dxa"/>
            </w:tcMar>
            <w:vAlign w:val="center"/>
          </w:tcPr>
          <w:p w14:paraId="75572D2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支持订单准时交付、生产切换成本、能耗成本、总加工成本、设备利用率、产能吞吐量、生产周期和计划稳定性等目标的组合与权重配置，并输出目标取舍和方案评分。</w:t>
            </w:r>
          </w:p>
        </w:tc>
      </w:tr>
      <w:tr w14:paraId="4C5C27D8">
        <w:trPr>
          <w:cantSplit/>
        </w:trPr>
        <w:tc>
          <w:tcPr>
            <w:tcW w:w="1224" w:type="dxa"/>
            <w:tcMar>
              <w:top w:w="80" w:type="dxa"/>
              <w:left w:w="80" w:type="dxa"/>
              <w:bottom w:w="80" w:type="dxa"/>
              <w:right w:w="80" w:type="dxa"/>
            </w:tcMar>
            <w:vAlign w:val="center"/>
          </w:tcPr>
          <w:p w14:paraId="06573D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23D7079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1600B3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智能生产顺序优化</w:t>
            </w:r>
          </w:p>
        </w:tc>
        <w:tc>
          <w:tcPr>
            <w:tcW w:w="2995" w:type="dxa"/>
            <w:tcMar>
              <w:top w:w="80" w:type="dxa"/>
              <w:left w:w="80" w:type="dxa"/>
              <w:bottom w:w="80" w:type="dxa"/>
              <w:right w:w="80" w:type="dxa"/>
            </w:tcMar>
            <w:vAlign w:val="center"/>
          </w:tcPr>
          <w:p w14:paraId="048D03F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根据产品族、工艺路线、换产清洗、色泽或规格切换、订单优先级和连续生产要求自动计算生产顺序，减少换线、等待、清洗和在制品积压。</w:t>
            </w:r>
          </w:p>
        </w:tc>
      </w:tr>
      <w:tr w14:paraId="1811ACCC">
        <w:trPr>
          <w:cantSplit/>
        </w:trPr>
        <w:tc>
          <w:tcPr>
            <w:tcW w:w="1224" w:type="dxa"/>
            <w:tcMar>
              <w:top w:w="80" w:type="dxa"/>
              <w:left w:w="80" w:type="dxa"/>
              <w:bottom w:w="80" w:type="dxa"/>
              <w:right w:w="80" w:type="dxa"/>
            </w:tcMar>
            <w:vAlign w:val="center"/>
          </w:tcPr>
          <w:p w14:paraId="79DD7C8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1774218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06C9234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多层级资源建模</w:t>
            </w:r>
          </w:p>
        </w:tc>
        <w:tc>
          <w:tcPr>
            <w:tcW w:w="2995" w:type="dxa"/>
            <w:tcMar>
              <w:top w:w="80" w:type="dxa"/>
              <w:left w:w="80" w:type="dxa"/>
              <w:bottom w:w="80" w:type="dxa"/>
              <w:right w:w="80" w:type="dxa"/>
            </w:tcMar>
            <w:vAlign w:val="center"/>
          </w:tcPr>
          <w:p w14:paraId="1210E4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建立工厂、产线、设备组、单机、人员和辅助资源模型，维护能力、效率、状态、并行关系和替代资源，并与EAM维护窗口、班组日历和节假日同步。</w:t>
            </w:r>
          </w:p>
        </w:tc>
      </w:tr>
      <w:tr w14:paraId="788BCB5F">
        <w:trPr>
          <w:cantSplit/>
        </w:trPr>
        <w:tc>
          <w:tcPr>
            <w:tcW w:w="1224" w:type="dxa"/>
            <w:tcMar>
              <w:top w:w="80" w:type="dxa"/>
              <w:left w:w="80" w:type="dxa"/>
              <w:bottom w:w="80" w:type="dxa"/>
              <w:right w:w="80" w:type="dxa"/>
            </w:tcMar>
            <w:vAlign w:val="center"/>
          </w:tcPr>
          <w:p w14:paraId="62E0204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3AED881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3A2A2EC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工艺路线与复杂约束管理</w:t>
            </w:r>
          </w:p>
        </w:tc>
        <w:tc>
          <w:tcPr>
            <w:tcW w:w="2995" w:type="dxa"/>
            <w:tcMar>
              <w:top w:w="80" w:type="dxa"/>
              <w:left w:w="80" w:type="dxa"/>
              <w:bottom w:w="80" w:type="dxa"/>
              <w:right w:w="80" w:type="dxa"/>
            </w:tcMar>
            <w:vAlign w:val="center"/>
          </w:tcPr>
          <w:p w14:paraId="09FAB37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配置工序前后依赖、并行与顺序关系、最小最大批量、连续运行、清洗换产、储罐占用、质量放行和设备维护等约束；约束可由业务管理员维护并进行冲突校验。</w:t>
            </w:r>
          </w:p>
        </w:tc>
      </w:tr>
      <w:tr w14:paraId="171592D6">
        <w:trPr>
          <w:cantSplit/>
        </w:trPr>
        <w:tc>
          <w:tcPr>
            <w:tcW w:w="1224" w:type="dxa"/>
            <w:tcMar>
              <w:top w:w="80" w:type="dxa"/>
              <w:left w:w="80" w:type="dxa"/>
              <w:bottom w:w="80" w:type="dxa"/>
              <w:right w:w="80" w:type="dxa"/>
            </w:tcMar>
            <w:vAlign w:val="center"/>
          </w:tcPr>
          <w:p w14:paraId="7EF8CC0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618B046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2B8388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物料与配方可用性约束</w:t>
            </w:r>
          </w:p>
        </w:tc>
        <w:tc>
          <w:tcPr>
            <w:tcW w:w="2995" w:type="dxa"/>
            <w:tcMar>
              <w:top w:w="80" w:type="dxa"/>
              <w:left w:w="80" w:type="dxa"/>
              <w:bottom w:w="80" w:type="dxa"/>
              <w:right w:w="80" w:type="dxa"/>
            </w:tcMar>
            <w:vAlign w:val="center"/>
          </w:tcPr>
          <w:p w14:paraId="66C83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结合配方、BOM、采购到货、安全库存、质量状态和领料计划校验排程所需物料可用性，识别短缺时间和受影响订单，并向采购及库存模块反馈需求和优先级。</w:t>
            </w:r>
          </w:p>
        </w:tc>
      </w:tr>
      <w:tr w14:paraId="10ED8903">
        <w:trPr>
          <w:cantSplit/>
        </w:trPr>
        <w:tc>
          <w:tcPr>
            <w:tcW w:w="1224" w:type="dxa"/>
            <w:tcMar>
              <w:top w:w="80" w:type="dxa"/>
              <w:left w:w="80" w:type="dxa"/>
              <w:bottom w:w="80" w:type="dxa"/>
              <w:right w:w="80" w:type="dxa"/>
            </w:tcMar>
            <w:vAlign w:val="center"/>
          </w:tcPr>
          <w:p w14:paraId="540972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2A5F128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6903DC2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甘特图排程板</w:t>
            </w:r>
          </w:p>
        </w:tc>
        <w:tc>
          <w:tcPr>
            <w:tcW w:w="2995" w:type="dxa"/>
            <w:tcMar>
              <w:top w:w="80" w:type="dxa"/>
              <w:left w:w="80" w:type="dxa"/>
              <w:bottom w:w="80" w:type="dxa"/>
              <w:right w:w="80" w:type="dxa"/>
            </w:tcMar>
            <w:vAlign w:val="center"/>
          </w:tcPr>
          <w:p w14:paraId="2C3F8E2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以可缩放、可拖拽的时间轴甘特图展示各设备和产线的作业计划、顺序、状态、依赖和锁定范围，支持按订单、产品、资源和时间筛选，并突出冲突、延期和关键路径。</w:t>
            </w:r>
          </w:p>
        </w:tc>
      </w:tr>
      <w:tr w14:paraId="5D857A42">
        <w:trPr>
          <w:cantSplit/>
        </w:trPr>
        <w:tc>
          <w:tcPr>
            <w:tcW w:w="1224" w:type="dxa"/>
            <w:tcMar>
              <w:top w:w="80" w:type="dxa"/>
              <w:left w:w="80" w:type="dxa"/>
              <w:bottom w:w="80" w:type="dxa"/>
              <w:right w:w="80" w:type="dxa"/>
            </w:tcMar>
            <w:vAlign w:val="center"/>
          </w:tcPr>
          <w:p w14:paraId="56EDF87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4F55F50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460FD76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资源负荷与瓶颈分析</w:t>
            </w:r>
          </w:p>
        </w:tc>
        <w:tc>
          <w:tcPr>
            <w:tcW w:w="2995" w:type="dxa"/>
            <w:tcMar>
              <w:top w:w="80" w:type="dxa"/>
              <w:left w:w="80" w:type="dxa"/>
              <w:bottom w:w="80" w:type="dxa"/>
              <w:right w:w="80" w:type="dxa"/>
            </w:tcMar>
            <w:vAlign w:val="center"/>
          </w:tcPr>
          <w:p w14:paraId="37794A2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按资源和时间展示设备、产线、人员及储罐负荷率、空闲和超负荷区间，识别产能瓶颈、闲置能力和维护影响，为加班、资源替代和计划调整提供依据。</w:t>
            </w:r>
          </w:p>
        </w:tc>
      </w:tr>
      <w:tr w14:paraId="38E01EBE">
        <w:trPr>
          <w:cantSplit/>
        </w:trPr>
        <w:tc>
          <w:tcPr>
            <w:tcW w:w="1224" w:type="dxa"/>
            <w:tcMar>
              <w:top w:w="80" w:type="dxa"/>
              <w:left w:w="80" w:type="dxa"/>
              <w:bottom w:w="80" w:type="dxa"/>
              <w:right w:w="80" w:type="dxa"/>
            </w:tcMar>
            <w:vAlign w:val="center"/>
          </w:tcPr>
          <w:p w14:paraId="7D6A2AF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86EB61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77E69EA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人工调整与可行性校验</w:t>
            </w:r>
          </w:p>
        </w:tc>
        <w:tc>
          <w:tcPr>
            <w:tcW w:w="2995" w:type="dxa"/>
            <w:tcMar>
              <w:top w:w="80" w:type="dxa"/>
              <w:left w:w="80" w:type="dxa"/>
              <w:bottom w:w="80" w:type="dxa"/>
              <w:right w:w="80" w:type="dxa"/>
            </w:tcMar>
            <w:vAlign w:val="center"/>
          </w:tcPr>
          <w:p w14:paraId="1EA6EFF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允许计划员在权限范围内拖拽或修改自动排程结果，系统实时重新校验产能、工艺、物料、储罐、日历和锁定约束；人工调整须记录调整前后内容、原因、责任人和审批状态。</w:t>
            </w:r>
          </w:p>
        </w:tc>
      </w:tr>
      <w:tr w14:paraId="2314492A">
        <w:trPr>
          <w:cantSplit/>
        </w:trPr>
        <w:tc>
          <w:tcPr>
            <w:tcW w:w="1224" w:type="dxa"/>
            <w:tcMar>
              <w:top w:w="80" w:type="dxa"/>
              <w:left w:w="80" w:type="dxa"/>
              <w:bottom w:w="80" w:type="dxa"/>
              <w:right w:w="80" w:type="dxa"/>
            </w:tcMar>
            <w:vAlign w:val="center"/>
          </w:tcPr>
          <w:p w14:paraId="4CA1E80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3E19F76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3C87E1F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生产情景模拟</w:t>
            </w:r>
          </w:p>
        </w:tc>
        <w:tc>
          <w:tcPr>
            <w:tcW w:w="2995" w:type="dxa"/>
            <w:tcMar>
              <w:top w:w="80" w:type="dxa"/>
              <w:left w:w="80" w:type="dxa"/>
              <w:bottom w:w="80" w:type="dxa"/>
              <w:right w:w="80" w:type="dxa"/>
            </w:tcMar>
            <w:vAlign w:val="center"/>
          </w:tcPr>
          <w:p w14:paraId="39BA983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模拟紧急插单、设备停机、原料延迟、质量隔离、需求变化和产能调整等情景，比较订单交付、资源负荷、库存、成本和计划扰动程度，形成多个候选方案而不影响正式排程。</w:t>
            </w:r>
          </w:p>
        </w:tc>
      </w:tr>
      <w:tr w14:paraId="2F931339">
        <w:trPr>
          <w:cantSplit/>
        </w:trPr>
        <w:tc>
          <w:tcPr>
            <w:tcW w:w="1224" w:type="dxa"/>
            <w:tcMar>
              <w:top w:w="80" w:type="dxa"/>
              <w:left w:w="80" w:type="dxa"/>
              <w:bottom w:w="80" w:type="dxa"/>
              <w:right w:w="80" w:type="dxa"/>
            </w:tcMar>
            <w:vAlign w:val="center"/>
          </w:tcPr>
          <w:p w14:paraId="545B666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73C8886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786B78A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快速重排程</w:t>
            </w:r>
          </w:p>
        </w:tc>
        <w:tc>
          <w:tcPr>
            <w:tcW w:w="2995" w:type="dxa"/>
            <w:tcMar>
              <w:top w:w="80" w:type="dxa"/>
              <w:left w:w="80" w:type="dxa"/>
              <w:bottom w:w="80" w:type="dxa"/>
              <w:right w:w="80" w:type="dxa"/>
            </w:tcMar>
            <w:vAlign w:val="center"/>
          </w:tcPr>
          <w:p w14:paraId="0353DD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当设备故障、质量事故、插单、物料短缺等事件发生时，以当前执行状态和锁定范围为基线快速重排，仅调整允许变更的作业，并输出受影响订单、资源、物料、交期及新旧方案差异。</w:t>
            </w:r>
          </w:p>
        </w:tc>
      </w:tr>
      <w:tr w14:paraId="6DDDA072">
        <w:trPr>
          <w:cantSplit/>
        </w:trPr>
        <w:tc>
          <w:tcPr>
            <w:tcW w:w="1224" w:type="dxa"/>
            <w:tcMar>
              <w:top w:w="80" w:type="dxa"/>
              <w:left w:w="80" w:type="dxa"/>
              <w:bottom w:w="80" w:type="dxa"/>
              <w:right w:w="80" w:type="dxa"/>
            </w:tcMar>
            <w:vAlign w:val="center"/>
          </w:tcPr>
          <w:p w14:paraId="4E30594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21BA761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74226C5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排程审批发布与工单下发</w:t>
            </w:r>
          </w:p>
        </w:tc>
        <w:tc>
          <w:tcPr>
            <w:tcW w:w="2995" w:type="dxa"/>
            <w:tcMar>
              <w:top w:w="80" w:type="dxa"/>
              <w:left w:w="80" w:type="dxa"/>
              <w:bottom w:w="80" w:type="dxa"/>
              <w:right w:w="80" w:type="dxa"/>
            </w:tcMar>
            <w:vAlign w:val="center"/>
          </w:tcPr>
          <w:p w14:paraId="42A416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将选定排程方案连同输入快照、约束和人工调整提交审批，发布后生成或更新生产工单并通过接口下发MES；已下达、执行中和锁定工单受保护，异常下发支持重试、对账和人工介入。</w:t>
            </w:r>
          </w:p>
        </w:tc>
      </w:tr>
      <w:tr w14:paraId="13871BAE">
        <w:trPr>
          <w:cantSplit/>
        </w:trPr>
        <w:tc>
          <w:tcPr>
            <w:tcW w:w="1224" w:type="dxa"/>
            <w:tcMar>
              <w:top w:w="80" w:type="dxa"/>
              <w:left w:w="80" w:type="dxa"/>
              <w:bottom w:w="80" w:type="dxa"/>
              <w:right w:w="80" w:type="dxa"/>
            </w:tcMar>
            <w:vAlign w:val="center"/>
          </w:tcPr>
          <w:p w14:paraId="63DE439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核心业务优化</w:t>
            </w:r>
          </w:p>
        </w:tc>
        <w:tc>
          <w:tcPr>
            <w:tcW w:w="2045" w:type="dxa"/>
            <w:tcMar>
              <w:top w:w="80" w:type="dxa"/>
              <w:left w:w="80" w:type="dxa"/>
              <w:bottom w:w="80" w:type="dxa"/>
              <w:right w:w="80" w:type="dxa"/>
            </w:tcMar>
            <w:vAlign w:val="center"/>
          </w:tcPr>
          <w:p w14:paraId="02D9C5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2045" w:type="dxa"/>
            <w:tcMar>
              <w:top w:w="80" w:type="dxa"/>
              <w:left w:w="80" w:type="dxa"/>
              <w:bottom w:w="80" w:type="dxa"/>
              <w:right w:w="80" w:type="dxa"/>
            </w:tcMar>
            <w:vAlign w:val="center"/>
          </w:tcPr>
          <w:p w14:paraId="234EC7D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生产执行反馈与绩效分析</w:t>
            </w:r>
          </w:p>
        </w:tc>
        <w:tc>
          <w:tcPr>
            <w:tcW w:w="2995" w:type="dxa"/>
            <w:tcMar>
              <w:top w:w="80" w:type="dxa"/>
              <w:left w:w="80" w:type="dxa"/>
              <w:bottom w:w="80" w:type="dxa"/>
              <w:right w:w="80" w:type="dxa"/>
            </w:tcMar>
            <w:vAlign w:val="center"/>
          </w:tcPr>
          <w:p w14:paraId="1B311C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接收MES及车间数据的实际开始结束时间、产量、合格率、停机和工单状态，在排程界面实时更新；对比计划与实际，计算计划达成率、延期、停机和模型偏差，反馈下一轮排程。</w:t>
            </w:r>
          </w:p>
        </w:tc>
      </w:tr>
      <w:tr w14:paraId="48358767">
        <w:trPr>
          <w:cantSplit/>
        </w:trPr>
        <w:tc>
          <w:tcPr>
            <w:tcW w:w="1224" w:type="dxa"/>
            <w:tcMar>
              <w:top w:w="80" w:type="dxa"/>
              <w:left w:w="80" w:type="dxa"/>
              <w:bottom w:w="80" w:type="dxa"/>
              <w:right w:w="80" w:type="dxa"/>
            </w:tcMar>
            <w:vAlign w:val="center"/>
          </w:tcPr>
          <w:p w14:paraId="28109B1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4B07291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66620F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多维度成本数据自动归集</w:t>
            </w:r>
          </w:p>
        </w:tc>
        <w:tc>
          <w:tcPr>
            <w:tcW w:w="2995" w:type="dxa"/>
            <w:tcMar>
              <w:top w:w="80" w:type="dxa"/>
              <w:left w:w="80" w:type="dxa"/>
              <w:bottom w:w="80" w:type="dxa"/>
              <w:right w:w="80" w:type="dxa"/>
            </w:tcMar>
            <w:vAlign w:val="center"/>
          </w:tcPr>
          <w:p w14:paraId="7FC73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从SAP、采购、MES、WMS、TMS、EMS等系统自动归集原料、人工、制造、能源、仓储、运输、包装、质量和费用池数据，统一成本对象、期间、币种、单位、批次和订单口径并进行完整性对账。</w:t>
            </w:r>
          </w:p>
        </w:tc>
      </w:tr>
      <w:tr w14:paraId="207670FA">
        <w:trPr>
          <w:cantSplit/>
        </w:trPr>
        <w:tc>
          <w:tcPr>
            <w:tcW w:w="1224" w:type="dxa"/>
            <w:tcMar>
              <w:top w:w="80" w:type="dxa"/>
              <w:left w:w="80" w:type="dxa"/>
              <w:bottom w:w="80" w:type="dxa"/>
              <w:right w:w="80" w:type="dxa"/>
            </w:tcMar>
            <w:vAlign w:val="center"/>
          </w:tcPr>
          <w:p w14:paraId="141D1E4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58249C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5E9EAB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成本动因库管理</w:t>
            </w:r>
          </w:p>
        </w:tc>
        <w:tc>
          <w:tcPr>
            <w:tcW w:w="2995" w:type="dxa"/>
            <w:tcMar>
              <w:top w:w="80" w:type="dxa"/>
              <w:left w:w="80" w:type="dxa"/>
              <w:bottom w:w="80" w:type="dxa"/>
              <w:right w:w="80" w:type="dxa"/>
            </w:tcMar>
            <w:vAlign w:val="center"/>
          </w:tcPr>
          <w:p w14:paraId="1388DB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建立卸货次数、订单行数、储存体积天数、设备工时、能耗、产量、运输里程等成本动因库，维护定义、计算规则、适用费用池、分摊层级、生效时间和版本，支撑多级间接费用分摊。</w:t>
            </w:r>
          </w:p>
        </w:tc>
      </w:tr>
      <w:tr w14:paraId="235CDCB5">
        <w:trPr>
          <w:cantSplit/>
        </w:trPr>
        <w:tc>
          <w:tcPr>
            <w:tcW w:w="1224" w:type="dxa"/>
            <w:tcMar>
              <w:top w:w="80" w:type="dxa"/>
              <w:left w:w="80" w:type="dxa"/>
              <w:bottom w:w="80" w:type="dxa"/>
              <w:right w:w="80" w:type="dxa"/>
            </w:tcMar>
            <w:vAlign w:val="center"/>
          </w:tcPr>
          <w:p w14:paraId="0133DFE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70141A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6CE5F5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批次成本核算</w:t>
            </w:r>
          </w:p>
        </w:tc>
        <w:tc>
          <w:tcPr>
            <w:tcW w:w="2995" w:type="dxa"/>
            <w:tcMar>
              <w:top w:w="80" w:type="dxa"/>
              <w:left w:w="80" w:type="dxa"/>
              <w:bottom w:w="80" w:type="dxa"/>
              <w:right w:w="80" w:type="dxa"/>
            </w:tcMar>
            <w:vAlign w:val="center"/>
          </w:tcPr>
          <w:p w14:paraId="4E2323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沿生产批次谱系归集直接材料、直接人工、能源、制造费用和质量损失，形成批次完全成本，并按批次与生产订单、销售订单、产品和客户建立可追溯关系。</w:t>
            </w:r>
          </w:p>
        </w:tc>
      </w:tr>
      <w:tr w14:paraId="50E0EFED">
        <w:trPr>
          <w:cantSplit/>
        </w:trPr>
        <w:tc>
          <w:tcPr>
            <w:tcW w:w="1224" w:type="dxa"/>
            <w:tcMar>
              <w:top w:w="80" w:type="dxa"/>
              <w:left w:w="80" w:type="dxa"/>
              <w:bottom w:w="80" w:type="dxa"/>
              <w:right w:w="80" w:type="dxa"/>
            </w:tcMar>
            <w:vAlign w:val="center"/>
          </w:tcPr>
          <w:p w14:paraId="7E885E6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21CAC3E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40FEB25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联副产品成本分摊</w:t>
            </w:r>
          </w:p>
        </w:tc>
        <w:tc>
          <w:tcPr>
            <w:tcW w:w="2995" w:type="dxa"/>
            <w:tcMar>
              <w:top w:w="80" w:type="dxa"/>
              <w:left w:w="80" w:type="dxa"/>
              <w:bottom w:w="80" w:type="dxa"/>
              <w:right w:w="80" w:type="dxa"/>
            </w:tcMar>
            <w:vAlign w:val="center"/>
          </w:tcPr>
          <w:p w14:paraId="2FB1007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针对同一生产过程产生的主产品、联产品、副产品和废弃物，支持市场价值法、净值法、固定比例法等分摊方法，对可销售副产品收入进行成本抵减，对废弃物处理成本进行合理归集。</w:t>
            </w:r>
          </w:p>
        </w:tc>
      </w:tr>
      <w:tr w14:paraId="52B06C05">
        <w:trPr>
          <w:cantSplit/>
        </w:trPr>
        <w:tc>
          <w:tcPr>
            <w:tcW w:w="1224" w:type="dxa"/>
            <w:tcMar>
              <w:top w:w="80" w:type="dxa"/>
              <w:left w:w="80" w:type="dxa"/>
              <w:bottom w:w="80" w:type="dxa"/>
              <w:right w:w="80" w:type="dxa"/>
            </w:tcMar>
            <w:vAlign w:val="center"/>
          </w:tcPr>
          <w:p w14:paraId="5D3DDA6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51A8EF2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100E8B8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标准成本BOM管理</w:t>
            </w:r>
          </w:p>
        </w:tc>
        <w:tc>
          <w:tcPr>
            <w:tcW w:w="2995" w:type="dxa"/>
            <w:tcMar>
              <w:top w:w="80" w:type="dxa"/>
              <w:left w:w="80" w:type="dxa"/>
              <w:bottom w:w="80" w:type="dxa"/>
              <w:right w:w="80" w:type="dxa"/>
            </w:tcMar>
            <w:vAlign w:val="center"/>
          </w:tcPr>
          <w:p w14:paraId="260282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维护包含材料、人工和制造费用标准的成本BOM及目标成本，支持版本、生效时间和审批管理，为实际成本比较、价格差异、用量差异和效率差异分析提供基准。</w:t>
            </w:r>
          </w:p>
        </w:tc>
      </w:tr>
      <w:tr w14:paraId="3FE1F6D3">
        <w:trPr>
          <w:cantSplit/>
        </w:trPr>
        <w:tc>
          <w:tcPr>
            <w:tcW w:w="1224" w:type="dxa"/>
            <w:tcMar>
              <w:top w:w="80" w:type="dxa"/>
              <w:left w:w="80" w:type="dxa"/>
              <w:bottom w:w="80" w:type="dxa"/>
              <w:right w:w="80" w:type="dxa"/>
            </w:tcMar>
            <w:vAlign w:val="center"/>
          </w:tcPr>
          <w:p w14:paraId="35F1F93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0EEB9C6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2C2A4F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产品与客户盈利分析</w:t>
            </w:r>
          </w:p>
        </w:tc>
        <w:tc>
          <w:tcPr>
            <w:tcW w:w="2995" w:type="dxa"/>
            <w:tcMar>
              <w:top w:w="80" w:type="dxa"/>
              <w:left w:w="80" w:type="dxa"/>
              <w:bottom w:w="80" w:type="dxa"/>
              <w:right w:w="80" w:type="dxa"/>
            </w:tcMar>
            <w:vAlign w:val="center"/>
          </w:tcPr>
          <w:p w14:paraId="36F91F0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按产品、规格、包装和客户计算销售收入、完全成本、边际贡献与净利润，区分不同运输、服务和质量要求造成的成本差异，识别高利润、低利润及负利润组合。</w:t>
            </w:r>
          </w:p>
        </w:tc>
      </w:tr>
      <w:tr w14:paraId="17AF8914">
        <w:trPr>
          <w:cantSplit/>
        </w:trPr>
        <w:tc>
          <w:tcPr>
            <w:tcW w:w="1224" w:type="dxa"/>
            <w:tcMar>
              <w:top w:w="80" w:type="dxa"/>
              <w:left w:w="80" w:type="dxa"/>
              <w:bottom w:w="80" w:type="dxa"/>
              <w:right w:w="80" w:type="dxa"/>
            </w:tcMar>
            <w:vAlign w:val="center"/>
          </w:tcPr>
          <w:p w14:paraId="6833256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23BB87F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5E1E0DB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订单渠道与区域盈亏分析</w:t>
            </w:r>
          </w:p>
        </w:tc>
        <w:tc>
          <w:tcPr>
            <w:tcW w:w="2995" w:type="dxa"/>
            <w:tcMar>
              <w:top w:w="80" w:type="dxa"/>
              <w:left w:w="80" w:type="dxa"/>
              <w:bottom w:w="80" w:type="dxa"/>
              <w:right w:w="80" w:type="dxa"/>
            </w:tcMar>
            <w:vAlign w:val="center"/>
          </w:tcPr>
          <w:p w14:paraId="74641FF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将生产、仓储、物流、折扣和服务成本归集到销售订单，并按渠道、区域、项目和业务单元分析盈利能力，支持从汇总结果下钻至批次、费用事实和业务单据。</w:t>
            </w:r>
          </w:p>
        </w:tc>
      </w:tr>
      <w:tr w14:paraId="39F00F7A">
        <w:trPr>
          <w:cantSplit/>
        </w:trPr>
        <w:tc>
          <w:tcPr>
            <w:tcW w:w="1224" w:type="dxa"/>
            <w:tcMar>
              <w:top w:w="80" w:type="dxa"/>
              <w:left w:w="80" w:type="dxa"/>
              <w:bottom w:w="80" w:type="dxa"/>
              <w:right w:w="80" w:type="dxa"/>
            </w:tcMar>
            <w:vAlign w:val="center"/>
          </w:tcPr>
          <w:p w14:paraId="04726E0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4E3A27C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6E7A7A6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标准与实际成本差异分析</w:t>
            </w:r>
          </w:p>
        </w:tc>
        <w:tc>
          <w:tcPr>
            <w:tcW w:w="2995" w:type="dxa"/>
            <w:tcMar>
              <w:top w:w="80" w:type="dxa"/>
              <w:left w:w="80" w:type="dxa"/>
              <w:bottom w:w="80" w:type="dxa"/>
              <w:right w:w="80" w:type="dxa"/>
            </w:tcMar>
            <w:vAlign w:val="center"/>
          </w:tcPr>
          <w:p w14:paraId="619870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比较实际成本、标准成本和目标成本，分解价格、用量、收率、能耗、效率、费用分摊和交付差异，标识异常幅度、影响对象和责任环节，并保留口径与结果版本。</w:t>
            </w:r>
          </w:p>
        </w:tc>
      </w:tr>
      <w:tr w14:paraId="1E8350F3">
        <w:trPr>
          <w:cantSplit/>
        </w:trPr>
        <w:tc>
          <w:tcPr>
            <w:tcW w:w="1224" w:type="dxa"/>
            <w:tcMar>
              <w:top w:w="80" w:type="dxa"/>
              <w:left w:w="80" w:type="dxa"/>
              <w:bottom w:w="80" w:type="dxa"/>
              <w:right w:w="80" w:type="dxa"/>
            </w:tcMar>
            <w:vAlign w:val="center"/>
          </w:tcPr>
          <w:p w14:paraId="56AD89C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6E2B396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6BB48A3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成本差异业务追溯</w:t>
            </w:r>
          </w:p>
        </w:tc>
        <w:tc>
          <w:tcPr>
            <w:tcW w:w="2995" w:type="dxa"/>
            <w:tcMar>
              <w:top w:w="80" w:type="dxa"/>
              <w:left w:w="80" w:type="dxa"/>
              <w:bottom w:w="80" w:type="dxa"/>
              <w:right w:w="80" w:type="dxa"/>
            </w:tcMar>
            <w:vAlign w:val="center"/>
          </w:tcPr>
          <w:p w14:paraId="7E54A7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从成本差异下钻至采购价格、原料批次、实际投料、生产损耗、能耗、仓储作业、运输和质量记录，沿批次谱系和订单关系解释差异来源，避免仅给出不可复核的汇总结论。</w:t>
            </w:r>
          </w:p>
        </w:tc>
      </w:tr>
      <w:tr w14:paraId="026EC86B">
        <w:trPr>
          <w:cantSplit/>
        </w:trPr>
        <w:tc>
          <w:tcPr>
            <w:tcW w:w="1224" w:type="dxa"/>
            <w:tcMar>
              <w:top w:w="80" w:type="dxa"/>
              <w:left w:w="80" w:type="dxa"/>
              <w:bottom w:w="80" w:type="dxa"/>
              <w:right w:w="80" w:type="dxa"/>
            </w:tcMar>
            <w:vAlign w:val="center"/>
          </w:tcPr>
          <w:p w14:paraId="24BC2C8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0339472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08D4B14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预算与实际执行分析</w:t>
            </w:r>
          </w:p>
        </w:tc>
        <w:tc>
          <w:tcPr>
            <w:tcW w:w="2995" w:type="dxa"/>
            <w:tcMar>
              <w:top w:w="80" w:type="dxa"/>
              <w:left w:w="80" w:type="dxa"/>
              <w:bottom w:w="80" w:type="dxa"/>
              <w:right w:w="80" w:type="dxa"/>
            </w:tcMar>
            <w:vAlign w:val="center"/>
          </w:tcPr>
          <w:p w14:paraId="0EA9382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按部门、项目、产品和期间比较预算、标准与实际成本，监控预算执行率和趋势，对超预算或异常变化形成预警，并支持关联业务事实和后续处置。</w:t>
            </w:r>
          </w:p>
        </w:tc>
      </w:tr>
      <w:tr w14:paraId="049AAB89">
        <w:trPr>
          <w:cantSplit/>
        </w:trPr>
        <w:tc>
          <w:tcPr>
            <w:tcW w:w="1224" w:type="dxa"/>
            <w:tcMar>
              <w:top w:w="80" w:type="dxa"/>
              <w:left w:w="80" w:type="dxa"/>
              <w:bottom w:w="80" w:type="dxa"/>
              <w:right w:w="80" w:type="dxa"/>
            </w:tcMar>
            <w:vAlign w:val="center"/>
          </w:tcPr>
          <w:p w14:paraId="0CDD5F2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793983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12AE7AE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供应链总成本报告</w:t>
            </w:r>
          </w:p>
        </w:tc>
        <w:tc>
          <w:tcPr>
            <w:tcW w:w="2995" w:type="dxa"/>
            <w:tcMar>
              <w:top w:w="80" w:type="dxa"/>
              <w:left w:w="80" w:type="dxa"/>
              <w:bottom w:w="80" w:type="dxa"/>
              <w:right w:w="80" w:type="dxa"/>
            </w:tcMar>
            <w:vAlign w:val="center"/>
          </w:tcPr>
          <w:p w14:paraId="4441B1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定期生成从采购、生产、库存、仓储、运输到交付的端到端供应链总成本报告，展示成本构成、趋势、主要动因及模块贡献，并支持日、周、月及多维分析。</w:t>
            </w:r>
          </w:p>
        </w:tc>
      </w:tr>
      <w:tr w14:paraId="6E314EC0">
        <w:trPr>
          <w:cantSplit/>
        </w:trPr>
        <w:tc>
          <w:tcPr>
            <w:tcW w:w="1224" w:type="dxa"/>
            <w:tcMar>
              <w:top w:w="80" w:type="dxa"/>
              <w:left w:w="80" w:type="dxa"/>
              <w:bottom w:w="80" w:type="dxa"/>
              <w:right w:w="80" w:type="dxa"/>
            </w:tcMar>
            <w:vAlign w:val="center"/>
          </w:tcPr>
          <w:p w14:paraId="7C5685B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415A62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41D371F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现金循环周期分析</w:t>
            </w:r>
          </w:p>
        </w:tc>
        <w:tc>
          <w:tcPr>
            <w:tcW w:w="2995" w:type="dxa"/>
            <w:tcMar>
              <w:top w:w="80" w:type="dxa"/>
              <w:left w:w="80" w:type="dxa"/>
              <w:bottom w:w="80" w:type="dxa"/>
              <w:right w:w="80" w:type="dxa"/>
            </w:tcMar>
            <w:vAlign w:val="center"/>
          </w:tcPr>
          <w:p w14:paraId="6E28031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结合库存资金、应收和应付数据计算现金循环周期及其组成，支持下钻存货、客户、供应商和订单明细，分析库存、账期和交付策略对资金效率的影响。</w:t>
            </w:r>
          </w:p>
        </w:tc>
      </w:tr>
      <w:tr w14:paraId="0D8596E9">
        <w:trPr>
          <w:cantSplit/>
        </w:trPr>
        <w:tc>
          <w:tcPr>
            <w:tcW w:w="1224" w:type="dxa"/>
            <w:tcMar>
              <w:top w:w="80" w:type="dxa"/>
              <w:left w:w="80" w:type="dxa"/>
              <w:bottom w:w="80" w:type="dxa"/>
              <w:right w:w="80" w:type="dxa"/>
            </w:tcMar>
            <w:vAlign w:val="center"/>
          </w:tcPr>
          <w:p w14:paraId="67EAB1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1A53DA1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67E0BDF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投资回报情景分析</w:t>
            </w:r>
          </w:p>
        </w:tc>
        <w:tc>
          <w:tcPr>
            <w:tcW w:w="2995" w:type="dxa"/>
            <w:tcMar>
              <w:top w:w="80" w:type="dxa"/>
              <w:left w:w="80" w:type="dxa"/>
              <w:bottom w:w="80" w:type="dxa"/>
              <w:right w:w="80" w:type="dxa"/>
            </w:tcMar>
            <w:vAlign w:val="center"/>
          </w:tcPr>
          <w:p w14:paraId="16BFC3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面向仓库、设备、产能和供应链优化项目，基于投资额、成本节约、产能收益、库存变化和风险参数开展情景测算，输出回收期、收益变化和关键假设，为管理决策提供参考。</w:t>
            </w:r>
          </w:p>
        </w:tc>
      </w:tr>
      <w:tr w14:paraId="28CFBBB6">
        <w:trPr>
          <w:cantSplit/>
        </w:trPr>
        <w:tc>
          <w:tcPr>
            <w:tcW w:w="1224" w:type="dxa"/>
            <w:tcMar>
              <w:top w:w="80" w:type="dxa"/>
              <w:left w:w="80" w:type="dxa"/>
              <w:bottom w:w="80" w:type="dxa"/>
              <w:right w:w="80" w:type="dxa"/>
            </w:tcMar>
            <w:vAlign w:val="center"/>
          </w:tcPr>
          <w:p w14:paraId="4D257BF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1ACEC7A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3F14C3C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SAP权威数据同步与对账</w:t>
            </w:r>
          </w:p>
        </w:tc>
        <w:tc>
          <w:tcPr>
            <w:tcW w:w="2995" w:type="dxa"/>
            <w:tcMar>
              <w:top w:w="80" w:type="dxa"/>
              <w:left w:w="80" w:type="dxa"/>
              <w:bottom w:w="80" w:type="dxa"/>
              <w:right w:w="80" w:type="dxa"/>
            </w:tcMar>
            <w:vAlign w:val="center"/>
          </w:tcPr>
          <w:p w14:paraId="02DFA5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明确物料价格、财务期间、费用池和分摊规则等财务数据以SAP为权威来源，配置同步频率、字段映射、差异对账和异常处理；SCOS提供管理成本分析，不替代SAP正式财务核算和凭证。</w:t>
            </w:r>
          </w:p>
        </w:tc>
      </w:tr>
      <w:tr w14:paraId="55E7C9FF">
        <w:trPr>
          <w:cantSplit/>
        </w:trPr>
        <w:tc>
          <w:tcPr>
            <w:tcW w:w="1224" w:type="dxa"/>
            <w:tcMar>
              <w:top w:w="80" w:type="dxa"/>
              <w:left w:w="80" w:type="dxa"/>
              <w:bottom w:w="80" w:type="dxa"/>
              <w:right w:w="80" w:type="dxa"/>
            </w:tcMar>
            <w:vAlign w:val="center"/>
          </w:tcPr>
          <w:p w14:paraId="333C6B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6747F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2045" w:type="dxa"/>
            <w:tcMar>
              <w:top w:w="80" w:type="dxa"/>
              <w:left w:w="80" w:type="dxa"/>
              <w:bottom w:w="80" w:type="dxa"/>
              <w:right w:w="80" w:type="dxa"/>
            </w:tcMar>
            <w:vAlign w:val="center"/>
          </w:tcPr>
          <w:p w14:paraId="7BB8FD4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成本报表与自助分析</w:t>
            </w:r>
          </w:p>
        </w:tc>
        <w:tc>
          <w:tcPr>
            <w:tcW w:w="2995" w:type="dxa"/>
            <w:tcMar>
              <w:top w:w="80" w:type="dxa"/>
              <w:left w:w="80" w:type="dxa"/>
              <w:bottom w:w="80" w:type="dxa"/>
              <w:right w:w="80" w:type="dxa"/>
            </w:tcMar>
            <w:vAlign w:val="center"/>
          </w:tcPr>
          <w:p w14:paraId="0B37EBA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提供成本结构、利润瀑布、趋势、差异和多维盈利等预置报表，支持权限范围内的拖拽分析、筛选、下钻、导出和订阅；成本敏感数据实施行级、列级和字段级权限控制。</w:t>
            </w:r>
          </w:p>
        </w:tc>
      </w:tr>
      <w:tr w14:paraId="78BA6E86">
        <w:trPr>
          <w:cantSplit/>
        </w:trPr>
        <w:tc>
          <w:tcPr>
            <w:tcW w:w="1224" w:type="dxa"/>
            <w:tcMar>
              <w:top w:w="80" w:type="dxa"/>
              <w:left w:w="80" w:type="dxa"/>
              <w:bottom w:w="80" w:type="dxa"/>
              <w:right w:w="80" w:type="dxa"/>
            </w:tcMar>
            <w:vAlign w:val="center"/>
          </w:tcPr>
          <w:p w14:paraId="7727B8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6F53258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09DCEDD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统一批次链模型</w:t>
            </w:r>
          </w:p>
        </w:tc>
        <w:tc>
          <w:tcPr>
            <w:tcW w:w="2995" w:type="dxa"/>
            <w:tcMar>
              <w:top w:w="80" w:type="dxa"/>
              <w:left w:w="80" w:type="dxa"/>
              <w:bottom w:w="80" w:type="dxa"/>
              <w:right w:w="80" w:type="dxa"/>
            </w:tcMar>
            <w:vAlign w:val="center"/>
          </w:tcPr>
          <w:p w14:paraId="3B82AD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建立覆盖供应商批次、原料入库批次、生产批次、产成品批次、发货批次和客户收货批次的全局批次模型，定义产出、消耗、包含、拆分、合并和替代关系，并维护唯一标识与状态。</w:t>
            </w:r>
          </w:p>
        </w:tc>
      </w:tr>
      <w:tr w14:paraId="2678E7D7">
        <w:trPr>
          <w:cantSplit/>
        </w:trPr>
        <w:tc>
          <w:tcPr>
            <w:tcW w:w="1224" w:type="dxa"/>
            <w:tcMar>
              <w:top w:w="80" w:type="dxa"/>
              <w:left w:w="80" w:type="dxa"/>
              <w:bottom w:w="80" w:type="dxa"/>
              <w:right w:w="80" w:type="dxa"/>
            </w:tcMar>
            <w:vAlign w:val="center"/>
          </w:tcPr>
          <w:p w14:paraId="29C1026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1CFB07E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50C24F1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多源批次数据实时聚合</w:t>
            </w:r>
          </w:p>
        </w:tc>
        <w:tc>
          <w:tcPr>
            <w:tcW w:w="2995" w:type="dxa"/>
            <w:tcMar>
              <w:top w:w="80" w:type="dxa"/>
              <w:left w:w="80" w:type="dxa"/>
              <w:bottom w:w="80" w:type="dxa"/>
              <w:right w:w="80" w:type="dxa"/>
            </w:tcMar>
            <w:vAlign w:val="center"/>
          </w:tcPr>
          <w:p w14:paraId="0BDEAF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通过统一数据服务层聚合SAP订单与客户、采购供应商批次、MES生产批次与工艺片段、WMS出入库、TMS在途、QMS/LIMS检验结果等数据，监控缺失、迟到和关系断链。</w:t>
            </w:r>
          </w:p>
        </w:tc>
      </w:tr>
      <w:tr w14:paraId="2429F750">
        <w:trPr>
          <w:cantSplit/>
        </w:trPr>
        <w:tc>
          <w:tcPr>
            <w:tcW w:w="1224" w:type="dxa"/>
            <w:tcMar>
              <w:top w:w="80" w:type="dxa"/>
              <w:left w:w="80" w:type="dxa"/>
              <w:bottom w:w="80" w:type="dxa"/>
              <w:right w:w="80" w:type="dxa"/>
            </w:tcMar>
            <w:vAlign w:val="center"/>
          </w:tcPr>
          <w:p w14:paraId="47AA399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0A53969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1544AD8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反向追溯与问题定位</w:t>
            </w:r>
          </w:p>
        </w:tc>
        <w:tc>
          <w:tcPr>
            <w:tcW w:w="2995" w:type="dxa"/>
            <w:tcMar>
              <w:top w:w="80" w:type="dxa"/>
              <w:left w:w="80" w:type="dxa"/>
              <w:bottom w:w="80" w:type="dxa"/>
              <w:right w:w="80" w:type="dxa"/>
            </w:tcMar>
            <w:vAlign w:val="center"/>
          </w:tcPr>
          <w:p w14:paraId="34AC00F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输入客户、订单或产成品批次，生成其生产订单、生产批次、消耗原料批次、供应商、关键工艺、检验结果、销售订单和发运信息的可视化链路，实现问题根因的快速定位。</w:t>
            </w:r>
          </w:p>
        </w:tc>
      </w:tr>
      <w:tr w14:paraId="258F64D8">
        <w:trPr>
          <w:cantSplit/>
        </w:trPr>
        <w:tc>
          <w:tcPr>
            <w:tcW w:w="1224" w:type="dxa"/>
            <w:tcMar>
              <w:top w:w="80" w:type="dxa"/>
              <w:left w:w="80" w:type="dxa"/>
              <w:bottom w:w="80" w:type="dxa"/>
              <w:right w:w="80" w:type="dxa"/>
            </w:tcMar>
            <w:vAlign w:val="center"/>
          </w:tcPr>
          <w:p w14:paraId="18FC47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2D14AA5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4C2E2DC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正向追溯与影响评估</w:t>
            </w:r>
          </w:p>
        </w:tc>
        <w:tc>
          <w:tcPr>
            <w:tcW w:w="2995" w:type="dxa"/>
            <w:tcMar>
              <w:top w:w="80" w:type="dxa"/>
              <w:left w:w="80" w:type="dxa"/>
              <w:bottom w:w="80" w:type="dxa"/>
              <w:right w:w="80" w:type="dxa"/>
            </w:tcMar>
            <w:vAlign w:val="center"/>
          </w:tcPr>
          <w:p w14:paraId="3CC25E0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输入原料或供应商批次，快速识别所有受影响的生产批次、产成品批次、库存位置、在途车辆、已发货订单和客户，支持按时间、地点、状态和处置情况筛选。</w:t>
            </w:r>
          </w:p>
        </w:tc>
      </w:tr>
      <w:tr w14:paraId="3D9A50A2">
        <w:trPr>
          <w:cantSplit/>
        </w:trPr>
        <w:tc>
          <w:tcPr>
            <w:tcW w:w="1224" w:type="dxa"/>
            <w:tcMar>
              <w:top w:w="80" w:type="dxa"/>
              <w:left w:w="80" w:type="dxa"/>
              <w:bottom w:w="80" w:type="dxa"/>
              <w:right w:w="80" w:type="dxa"/>
            </w:tcMar>
            <w:vAlign w:val="center"/>
          </w:tcPr>
          <w:p w14:paraId="12039E9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7BF21BA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6FA104A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库存影响分析</w:t>
            </w:r>
          </w:p>
        </w:tc>
        <w:tc>
          <w:tcPr>
            <w:tcW w:w="2995" w:type="dxa"/>
            <w:tcMar>
              <w:top w:w="80" w:type="dxa"/>
              <w:left w:w="80" w:type="dxa"/>
              <w:bottom w:w="80" w:type="dxa"/>
              <w:right w:w="80" w:type="dxa"/>
            </w:tcMar>
            <w:vAlign w:val="center"/>
          </w:tcPr>
          <w:p w14:paraId="1532DF1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自动汇总问题批次在本厂仓库、生产现场、在途及客户处的数量和位置，形成冻结、隔离、召回和补货建议，关联库存状态及质量放行信息，避免重复或遗漏处置对象。</w:t>
            </w:r>
          </w:p>
        </w:tc>
      </w:tr>
      <w:tr w14:paraId="1A044376">
        <w:trPr>
          <w:cantSplit/>
        </w:trPr>
        <w:tc>
          <w:tcPr>
            <w:tcW w:w="1224" w:type="dxa"/>
            <w:tcMar>
              <w:top w:w="80" w:type="dxa"/>
              <w:left w:w="80" w:type="dxa"/>
              <w:bottom w:w="80" w:type="dxa"/>
              <w:right w:w="80" w:type="dxa"/>
            </w:tcMar>
            <w:vAlign w:val="center"/>
          </w:tcPr>
          <w:p w14:paraId="04C8824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3B2C64C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6DBDE11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客户影响分析</w:t>
            </w:r>
          </w:p>
        </w:tc>
        <w:tc>
          <w:tcPr>
            <w:tcW w:w="2995" w:type="dxa"/>
            <w:tcMar>
              <w:top w:w="80" w:type="dxa"/>
              <w:left w:w="80" w:type="dxa"/>
              <w:bottom w:w="80" w:type="dxa"/>
              <w:right w:w="80" w:type="dxa"/>
            </w:tcMar>
            <w:vAlign w:val="center"/>
          </w:tcPr>
          <w:p w14:paraId="6B4B12B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列出接收问题批次的客户、销售订单、发运批次、收货数量和联系方式，为销售与客服提供准确沟通依据，并记录通知、确认、退换货和关闭状态。</w:t>
            </w:r>
          </w:p>
        </w:tc>
      </w:tr>
      <w:tr w14:paraId="1EA2BE84">
        <w:trPr>
          <w:cantSplit/>
        </w:trPr>
        <w:tc>
          <w:tcPr>
            <w:tcW w:w="1224" w:type="dxa"/>
            <w:tcMar>
              <w:top w:w="80" w:type="dxa"/>
              <w:left w:w="80" w:type="dxa"/>
              <w:bottom w:w="80" w:type="dxa"/>
              <w:right w:w="80" w:type="dxa"/>
            </w:tcMar>
            <w:vAlign w:val="center"/>
          </w:tcPr>
          <w:p w14:paraId="1839C19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4C13867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0CD40A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质量数据关联分析</w:t>
            </w:r>
          </w:p>
        </w:tc>
        <w:tc>
          <w:tcPr>
            <w:tcW w:w="2995" w:type="dxa"/>
            <w:tcMar>
              <w:top w:w="80" w:type="dxa"/>
              <w:left w:w="80" w:type="dxa"/>
              <w:bottom w:w="80" w:type="dxa"/>
              <w:right w:w="80" w:type="dxa"/>
            </w:tcMar>
            <w:vAlign w:val="center"/>
          </w:tcPr>
          <w:p w14:paraId="32537DC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在追溯图谱中关联查看原料、过程和产成品的QMS/LIMS检验报告、关键指标和异常记录，并可查看相关MES工艺参数片段，辅助判断质量问题的来源、传播路径和责任环节。</w:t>
            </w:r>
          </w:p>
        </w:tc>
      </w:tr>
      <w:tr w14:paraId="5936D552">
        <w:trPr>
          <w:cantSplit/>
        </w:trPr>
        <w:tc>
          <w:tcPr>
            <w:tcW w:w="1224" w:type="dxa"/>
            <w:tcMar>
              <w:top w:w="80" w:type="dxa"/>
              <w:left w:w="80" w:type="dxa"/>
              <w:bottom w:w="80" w:type="dxa"/>
              <w:right w:w="80" w:type="dxa"/>
            </w:tcMar>
            <w:vAlign w:val="center"/>
          </w:tcPr>
          <w:p w14:paraId="35164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0613FB7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5EC194A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质量警报与库存联动</w:t>
            </w:r>
          </w:p>
        </w:tc>
        <w:tc>
          <w:tcPr>
            <w:tcW w:w="2995" w:type="dxa"/>
            <w:tcMar>
              <w:top w:w="80" w:type="dxa"/>
              <w:left w:w="80" w:type="dxa"/>
              <w:bottom w:w="80" w:type="dxa"/>
              <w:right w:w="80" w:type="dxa"/>
            </w:tcMar>
            <w:vAlign w:val="center"/>
          </w:tcPr>
          <w:p w14:paraId="5FE706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重大质量追溯触发高级别警报并推送驾驶舱，按照经审批规则向库存和执行系统发出冻结、隔离或放行建议；正式库存状态仍由权威执行系统维护，SCOS跟踪指令回执与处置结果。</w:t>
            </w:r>
          </w:p>
        </w:tc>
      </w:tr>
      <w:tr w14:paraId="228BB30C">
        <w:trPr>
          <w:cantSplit/>
        </w:trPr>
        <w:tc>
          <w:tcPr>
            <w:tcW w:w="1224" w:type="dxa"/>
            <w:tcMar>
              <w:top w:w="80" w:type="dxa"/>
              <w:left w:w="80" w:type="dxa"/>
              <w:bottom w:w="80" w:type="dxa"/>
              <w:right w:w="80" w:type="dxa"/>
            </w:tcMar>
            <w:vAlign w:val="center"/>
          </w:tcPr>
          <w:p w14:paraId="71A420C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5D35DF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5F6AC95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跨部门任务协同</w:t>
            </w:r>
          </w:p>
        </w:tc>
        <w:tc>
          <w:tcPr>
            <w:tcW w:w="2995" w:type="dxa"/>
            <w:tcMar>
              <w:top w:w="80" w:type="dxa"/>
              <w:left w:w="80" w:type="dxa"/>
              <w:bottom w:w="80" w:type="dxa"/>
              <w:right w:w="80" w:type="dxa"/>
            </w:tcMar>
            <w:vAlign w:val="center"/>
          </w:tcPr>
          <w:p w14:paraId="42646C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根据追溯结果一键创建面向质量、销售、采购、生产、仓储和物流的协同任务，明确关联批次、责任人、处理要求、时限和升级规则，跟踪接受、处理、验证和关闭全过程。</w:t>
            </w:r>
          </w:p>
        </w:tc>
      </w:tr>
      <w:tr w14:paraId="54A96471">
        <w:trPr>
          <w:cantSplit/>
        </w:trPr>
        <w:tc>
          <w:tcPr>
            <w:tcW w:w="1224" w:type="dxa"/>
            <w:tcMar>
              <w:top w:w="80" w:type="dxa"/>
              <w:left w:w="80" w:type="dxa"/>
              <w:bottom w:w="80" w:type="dxa"/>
              <w:right w:w="80" w:type="dxa"/>
            </w:tcMar>
            <w:vAlign w:val="center"/>
          </w:tcPr>
          <w:p w14:paraId="7BD944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34BD0C3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61D2B9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客户服务门户协同</w:t>
            </w:r>
          </w:p>
        </w:tc>
        <w:tc>
          <w:tcPr>
            <w:tcW w:w="2995" w:type="dxa"/>
            <w:tcMar>
              <w:top w:w="80" w:type="dxa"/>
              <w:left w:w="80" w:type="dxa"/>
              <w:bottom w:w="80" w:type="dxa"/>
              <w:right w:w="80" w:type="dxa"/>
            </w:tcMar>
            <w:vAlign w:val="center"/>
          </w:tcPr>
          <w:p w14:paraId="11B933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通过安全接口向授权客户提供其收货批次的生产日期、关键质检和溯源信息，实施客户、订单和字段范围隔离，并记录查询、下载和异常访问日志。</w:t>
            </w:r>
          </w:p>
        </w:tc>
      </w:tr>
      <w:tr w14:paraId="6764EEBF">
        <w:trPr>
          <w:cantSplit/>
        </w:trPr>
        <w:tc>
          <w:tcPr>
            <w:tcW w:w="1224" w:type="dxa"/>
            <w:tcMar>
              <w:top w:w="80" w:type="dxa"/>
              <w:left w:w="80" w:type="dxa"/>
              <w:bottom w:w="80" w:type="dxa"/>
              <w:right w:w="80" w:type="dxa"/>
            </w:tcMar>
            <w:vAlign w:val="center"/>
          </w:tcPr>
          <w:p w14:paraId="118A14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60C83FB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0076EFE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追溯报告与审计留痕</w:t>
            </w:r>
          </w:p>
        </w:tc>
        <w:tc>
          <w:tcPr>
            <w:tcW w:w="2995" w:type="dxa"/>
            <w:tcMar>
              <w:top w:w="80" w:type="dxa"/>
              <w:left w:w="80" w:type="dxa"/>
              <w:bottom w:w="80" w:type="dxa"/>
              <w:right w:w="80" w:type="dxa"/>
            </w:tcMar>
            <w:vAlign w:val="center"/>
          </w:tcPr>
          <w:p w14:paraId="6842B50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自动生成包含追溯条件、链路、证据、影响范围、处置措施和结果的标准报告，记录查询人、时间、数据版本和操作过程，满足内部审计、客户投诉和监管检查需要。</w:t>
            </w:r>
          </w:p>
        </w:tc>
      </w:tr>
      <w:tr w14:paraId="5104688B">
        <w:trPr>
          <w:cantSplit/>
        </w:trPr>
        <w:tc>
          <w:tcPr>
            <w:tcW w:w="1224" w:type="dxa"/>
            <w:tcMar>
              <w:top w:w="80" w:type="dxa"/>
              <w:left w:w="80" w:type="dxa"/>
              <w:bottom w:w="80" w:type="dxa"/>
              <w:right w:w="80" w:type="dxa"/>
            </w:tcMar>
            <w:vAlign w:val="center"/>
          </w:tcPr>
          <w:p w14:paraId="5204643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5560946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717D9EE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合规与持续改进分析</w:t>
            </w:r>
          </w:p>
        </w:tc>
        <w:tc>
          <w:tcPr>
            <w:tcW w:w="2995" w:type="dxa"/>
            <w:tcMar>
              <w:top w:w="80" w:type="dxa"/>
              <w:left w:w="80" w:type="dxa"/>
              <w:bottom w:w="80" w:type="dxa"/>
              <w:right w:w="80" w:type="dxa"/>
            </w:tcMar>
            <w:vAlign w:val="center"/>
          </w:tcPr>
          <w:p w14:paraId="62EEC4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依据食品行业及企业内部追溯要求校验批次链完整性，通过历史追溯数据识别高发供应商、产线、产品、季节和问题模式，为供应商改进、预防性控制和流程优化提供洞见。</w:t>
            </w:r>
          </w:p>
        </w:tc>
      </w:tr>
      <w:tr w14:paraId="294643E9">
        <w:trPr>
          <w:cantSplit/>
        </w:trPr>
        <w:tc>
          <w:tcPr>
            <w:tcW w:w="1224" w:type="dxa"/>
            <w:tcMar>
              <w:top w:w="80" w:type="dxa"/>
              <w:left w:w="80" w:type="dxa"/>
              <w:bottom w:w="80" w:type="dxa"/>
              <w:right w:w="80" w:type="dxa"/>
            </w:tcMar>
            <w:vAlign w:val="center"/>
          </w:tcPr>
          <w:p w14:paraId="46BADA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价值与协调分析</w:t>
            </w:r>
          </w:p>
        </w:tc>
        <w:tc>
          <w:tcPr>
            <w:tcW w:w="2045" w:type="dxa"/>
            <w:tcMar>
              <w:top w:w="80" w:type="dxa"/>
              <w:left w:w="80" w:type="dxa"/>
              <w:bottom w:w="80" w:type="dxa"/>
              <w:right w:w="80" w:type="dxa"/>
            </w:tcMar>
            <w:vAlign w:val="center"/>
          </w:tcPr>
          <w:p w14:paraId="4B9AA49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2045" w:type="dxa"/>
            <w:tcMar>
              <w:top w:w="80" w:type="dxa"/>
              <w:left w:w="80" w:type="dxa"/>
              <w:bottom w:w="80" w:type="dxa"/>
              <w:right w:w="80" w:type="dxa"/>
            </w:tcMar>
            <w:vAlign w:val="center"/>
          </w:tcPr>
          <w:p w14:paraId="527BED3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追溯图谱交互与性能保障</w:t>
            </w:r>
          </w:p>
        </w:tc>
        <w:tc>
          <w:tcPr>
            <w:tcW w:w="2995" w:type="dxa"/>
            <w:tcMar>
              <w:top w:w="80" w:type="dxa"/>
              <w:left w:w="80" w:type="dxa"/>
              <w:bottom w:w="80" w:type="dxa"/>
              <w:right w:w="80" w:type="dxa"/>
            </w:tcMar>
            <w:vAlign w:val="center"/>
          </w:tcPr>
          <w:p w14:paraId="72AB4D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提供可缩放、拖拽、筛选和节点下钻的专业追溯图谱，对百万级批次数据建立高效关联索引，保障正向和反向追溯在规定时限内返回，并支持高可用访问和异常降级。</w:t>
            </w:r>
          </w:p>
        </w:tc>
      </w:tr>
    </w:tbl>
    <w:p w14:paraId="506CBA2E">
      <w:pPr>
        <w:pStyle w:val="5"/>
      </w:pPr>
    </w:p>
    <w:p w14:paraId="34C50542">
      <w:pPr>
        <w:pStyle w:val="3"/>
      </w:pPr>
      <w:bookmarkStart w:id="7" w:name="_Toc1225208883"/>
      <w:r>
        <w:rPr>
          <w:rFonts w:ascii="黑体" w:hAnsi="黑体" w:eastAsia="黑体"/>
          <w:b/>
          <w:color w:val="000000"/>
          <w:sz w:val="30"/>
        </w:rPr>
        <w:t>模块协同与端到端闭环</w:t>
      </w:r>
      <w:bookmarkEnd w:id="7"/>
    </w:p>
    <w:tbl>
      <w:tblPr>
        <w:tblStyle w:val="3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8"/>
        <w:gridCol w:w="2232"/>
        <w:gridCol w:w="4349"/>
      </w:tblGrid>
      <w:tr w14:paraId="0CC45544">
        <w:trPr>
          <w:tblHeader/>
        </w:trPr>
        <w:tc>
          <w:tcPr>
            <w:tcW w:w="2771" w:type="dxa"/>
            <w:tcMar>
              <w:top w:w="80" w:type="dxa"/>
              <w:left w:w="80" w:type="dxa"/>
              <w:bottom w:w="80" w:type="dxa"/>
              <w:right w:w="80" w:type="dxa"/>
            </w:tcMar>
            <w:vAlign w:val="center"/>
          </w:tcPr>
          <w:p w14:paraId="4675B0C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阶段</w:t>
            </w:r>
          </w:p>
        </w:tc>
        <w:tc>
          <w:tcPr>
            <w:tcW w:w="2771" w:type="dxa"/>
            <w:tcMar>
              <w:top w:w="80" w:type="dxa"/>
              <w:left w:w="80" w:type="dxa"/>
              <w:bottom w:w="80" w:type="dxa"/>
              <w:right w:w="80" w:type="dxa"/>
            </w:tcMar>
            <w:vAlign w:val="center"/>
          </w:tcPr>
          <w:p w14:paraId="42312C8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主责模块</w:t>
            </w:r>
          </w:p>
        </w:tc>
        <w:tc>
          <w:tcPr>
            <w:tcW w:w="2771" w:type="dxa"/>
            <w:tcMar>
              <w:top w:w="80" w:type="dxa"/>
              <w:left w:w="80" w:type="dxa"/>
              <w:bottom w:w="80" w:type="dxa"/>
              <w:right w:w="80" w:type="dxa"/>
            </w:tcMar>
            <w:vAlign w:val="center"/>
          </w:tcPr>
          <w:p w14:paraId="1BED23F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处理与流转结果</w:t>
            </w:r>
          </w:p>
        </w:tc>
      </w:tr>
      <w:tr w14:paraId="1D5865E4">
        <w:tc>
          <w:tcPr>
            <w:tcW w:w="1728" w:type="dxa"/>
            <w:tcMar>
              <w:top w:w="80" w:type="dxa"/>
              <w:left w:w="80" w:type="dxa"/>
              <w:bottom w:w="80" w:type="dxa"/>
              <w:right w:w="80" w:type="dxa"/>
            </w:tcMar>
            <w:vAlign w:val="center"/>
          </w:tcPr>
          <w:p w14:paraId="0791AE8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1 数据与模型准备</w:t>
            </w:r>
          </w:p>
        </w:tc>
        <w:tc>
          <w:tcPr>
            <w:tcW w:w="2232" w:type="dxa"/>
            <w:tcMar>
              <w:top w:w="80" w:type="dxa"/>
              <w:left w:w="80" w:type="dxa"/>
              <w:bottom w:w="80" w:type="dxa"/>
              <w:right w:w="80" w:type="dxa"/>
            </w:tcMar>
            <w:vAlign w:val="center"/>
          </w:tcPr>
          <w:p w14:paraId="58A5D9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4349" w:type="dxa"/>
            <w:tcMar>
              <w:top w:w="80" w:type="dxa"/>
              <w:left w:w="80" w:type="dxa"/>
              <w:bottom w:w="80" w:type="dxa"/>
              <w:right w:w="80" w:type="dxa"/>
            </w:tcMar>
            <w:vAlign w:val="center"/>
          </w:tcPr>
          <w:p w14:paraId="29608C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消费统一数据服务与实时数据，形成就绪数据、参数集、模型版本和计算快照。</w:t>
            </w:r>
          </w:p>
        </w:tc>
      </w:tr>
      <w:tr w14:paraId="08848DAD">
        <w:tc>
          <w:tcPr>
            <w:tcW w:w="1728" w:type="dxa"/>
            <w:tcMar>
              <w:top w:w="80" w:type="dxa"/>
              <w:left w:w="80" w:type="dxa"/>
              <w:bottom w:w="80" w:type="dxa"/>
              <w:right w:w="80" w:type="dxa"/>
            </w:tcMar>
            <w:vAlign w:val="center"/>
          </w:tcPr>
          <w:p w14:paraId="4B41204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2 态势感知与任务触发</w:t>
            </w:r>
          </w:p>
        </w:tc>
        <w:tc>
          <w:tcPr>
            <w:tcW w:w="2232" w:type="dxa"/>
            <w:tcMar>
              <w:top w:w="80" w:type="dxa"/>
              <w:left w:w="80" w:type="dxa"/>
              <w:bottom w:w="80" w:type="dxa"/>
              <w:right w:w="80" w:type="dxa"/>
            </w:tcMar>
            <w:vAlign w:val="center"/>
          </w:tcPr>
          <w:p w14:paraId="044CC33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4349" w:type="dxa"/>
            <w:tcMar>
              <w:top w:w="80" w:type="dxa"/>
              <w:left w:w="80" w:type="dxa"/>
              <w:bottom w:w="80" w:type="dxa"/>
              <w:right w:w="80" w:type="dxa"/>
            </w:tcMar>
            <w:vAlign w:val="center"/>
          </w:tcPr>
          <w:p w14:paraId="6B3612C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汇总KPI、预警和业务事件，触发专业分析、情景模拟或协同处置任务。</w:t>
            </w:r>
          </w:p>
        </w:tc>
      </w:tr>
      <w:tr w14:paraId="7B424010">
        <w:tc>
          <w:tcPr>
            <w:tcW w:w="1728" w:type="dxa"/>
            <w:tcMar>
              <w:top w:w="80" w:type="dxa"/>
              <w:left w:w="80" w:type="dxa"/>
              <w:bottom w:w="80" w:type="dxa"/>
              <w:right w:w="80" w:type="dxa"/>
            </w:tcMar>
            <w:vAlign w:val="center"/>
          </w:tcPr>
          <w:p w14:paraId="1E98206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3 采购与供应保障</w:t>
            </w:r>
          </w:p>
        </w:tc>
        <w:tc>
          <w:tcPr>
            <w:tcW w:w="2232" w:type="dxa"/>
            <w:tcMar>
              <w:top w:w="80" w:type="dxa"/>
              <w:left w:w="80" w:type="dxa"/>
              <w:bottom w:w="80" w:type="dxa"/>
              <w:right w:w="80" w:type="dxa"/>
            </w:tcMar>
            <w:vAlign w:val="center"/>
          </w:tcPr>
          <w:p w14:paraId="667DEB7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4349" w:type="dxa"/>
            <w:tcMar>
              <w:top w:w="80" w:type="dxa"/>
              <w:left w:w="80" w:type="dxa"/>
              <w:bottom w:w="80" w:type="dxa"/>
              <w:right w:w="80" w:type="dxa"/>
            </w:tcMar>
            <w:vAlign w:val="center"/>
          </w:tcPr>
          <w:p w14:paraId="5B4EB0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根据净需求、安全库存、合同、供应商、市场价格和风险形成采购及日度到货建议。</w:t>
            </w:r>
          </w:p>
        </w:tc>
      </w:tr>
      <w:tr w14:paraId="646107D8">
        <w:tc>
          <w:tcPr>
            <w:tcW w:w="1728" w:type="dxa"/>
            <w:tcMar>
              <w:top w:w="80" w:type="dxa"/>
              <w:left w:w="80" w:type="dxa"/>
              <w:bottom w:w="80" w:type="dxa"/>
              <w:right w:w="80" w:type="dxa"/>
            </w:tcMar>
            <w:vAlign w:val="center"/>
          </w:tcPr>
          <w:p w14:paraId="68C1385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4 库存策略与补货</w:t>
            </w:r>
          </w:p>
        </w:tc>
        <w:tc>
          <w:tcPr>
            <w:tcW w:w="2232" w:type="dxa"/>
            <w:tcMar>
              <w:top w:w="80" w:type="dxa"/>
              <w:left w:w="80" w:type="dxa"/>
              <w:bottom w:w="80" w:type="dxa"/>
              <w:right w:w="80" w:type="dxa"/>
            </w:tcMar>
            <w:vAlign w:val="center"/>
          </w:tcPr>
          <w:p w14:paraId="2D40049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4349" w:type="dxa"/>
            <w:tcMar>
              <w:top w:w="80" w:type="dxa"/>
              <w:left w:w="80" w:type="dxa"/>
              <w:bottom w:w="80" w:type="dxa"/>
              <w:right w:w="80" w:type="dxa"/>
            </w:tcMar>
            <w:vAlign w:val="center"/>
          </w:tcPr>
          <w:p w14:paraId="7D15C1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动态计算安全库存、再订货点、目标库存和补货建议，并将短缺、仓容和锁定约束反馈相关模块。</w:t>
            </w:r>
          </w:p>
        </w:tc>
      </w:tr>
      <w:tr w14:paraId="5B853549">
        <w:tc>
          <w:tcPr>
            <w:tcW w:w="1728" w:type="dxa"/>
            <w:tcMar>
              <w:top w:w="80" w:type="dxa"/>
              <w:left w:w="80" w:type="dxa"/>
              <w:bottom w:w="80" w:type="dxa"/>
              <w:right w:w="80" w:type="dxa"/>
            </w:tcMar>
            <w:vAlign w:val="center"/>
          </w:tcPr>
          <w:p w14:paraId="728A28B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5 精益生产排程</w:t>
            </w:r>
          </w:p>
        </w:tc>
        <w:tc>
          <w:tcPr>
            <w:tcW w:w="2232" w:type="dxa"/>
            <w:tcMar>
              <w:top w:w="80" w:type="dxa"/>
              <w:left w:w="80" w:type="dxa"/>
              <w:bottom w:w="80" w:type="dxa"/>
              <w:right w:w="80" w:type="dxa"/>
            </w:tcMar>
            <w:vAlign w:val="center"/>
          </w:tcPr>
          <w:p w14:paraId="54C497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4349" w:type="dxa"/>
            <w:tcMar>
              <w:top w:w="80" w:type="dxa"/>
              <w:left w:w="80" w:type="dxa"/>
              <w:bottom w:w="80" w:type="dxa"/>
              <w:right w:w="80" w:type="dxa"/>
            </w:tcMar>
            <w:vAlign w:val="center"/>
          </w:tcPr>
          <w:p w14:paraId="3CFEBED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在订单、产能、物料、工艺、设备和日历约束下生成排程方案，并向MES发布经审批结果。</w:t>
            </w:r>
          </w:p>
        </w:tc>
      </w:tr>
      <w:tr w14:paraId="435F2B36">
        <w:tc>
          <w:tcPr>
            <w:tcW w:w="1728" w:type="dxa"/>
            <w:tcMar>
              <w:top w:w="80" w:type="dxa"/>
              <w:left w:w="80" w:type="dxa"/>
              <w:bottom w:w="80" w:type="dxa"/>
              <w:right w:w="80" w:type="dxa"/>
            </w:tcMar>
            <w:vAlign w:val="center"/>
          </w:tcPr>
          <w:p w14:paraId="1F8A50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6 价值核算与差异分析</w:t>
            </w:r>
          </w:p>
        </w:tc>
        <w:tc>
          <w:tcPr>
            <w:tcW w:w="2232" w:type="dxa"/>
            <w:tcMar>
              <w:top w:w="80" w:type="dxa"/>
              <w:left w:w="80" w:type="dxa"/>
              <w:bottom w:w="80" w:type="dxa"/>
              <w:right w:w="80" w:type="dxa"/>
            </w:tcMar>
            <w:vAlign w:val="center"/>
          </w:tcPr>
          <w:p w14:paraId="0FAA85B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4349" w:type="dxa"/>
            <w:tcMar>
              <w:top w:w="80" w:type="dxa"/>
              <w:left w:w="80" w:type="dxa"/>
              <w:bottom w:w="80" w:type="dxa"/>
              <w:right w:w="80" w:type="dxa"/>
            </w:tcMar>
            <w:vAlign w:val="center"/>
          </w:tcPr>
          <w:p w14:paraId="1368D6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汇集采购、生产、库存、仓储、运输和质量事实，形成成本、盈利和差异分析结果。</w:t>
            </w:r>
          </w:p>
        </w:tc>
      </w:tr>
      <w:tr w14:paraId="30707DEA">
        <w:tc>
          <w:tcPr>
            <w:tcW w:w="1728" w:type="dxa"/>
            <w:tcMar>
              <w:top w:w="80" w:type="dxa"/>
              <w:left w:w="80" w:type="dxa"/>
              <w:bottom w:w="80" w:type="dxa"/>
              <w:right w:w="80" w:type="dxa"/>
            </w:tcMar>
            <w:vAlign w:val="center"/>
          </w:tcPr>
          <w:p w14:paraId="3D19100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7 追溯与协同闭环</w:t>
            </w:r>
          </w:p>
        </w:tc>
        <w:tc>
          <w:tcPr>
            <w:tcW w:w="2232" w:type="dxa"/>
            <w:tcMar>
              <w:top w:w="80" w:type="dxa"/>
              <w:left w:w="80" w:type="dxa"/>
              <w:bottom w:w="80" w:type="dxa"/>
              <w:right w:w="80" w:type="dxa"/>
            </w:tcMar>
            <w:vAlign w:val="center"/>
          </w:tcPr>
          <w:p w14:paraId="5AAB5CB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4349" w:type="dxa"/>
            <w:tcMar>
              <w:top w:w="80" w:type="dxa"/>
              <w:left w:w="80" w:type="dxa"/>
              <w:bottom w:w="80" w:type="dxa"/>
              <w:right w:w="80" w:type="dxa"/>
            </w:tcMar>
            <w:vAlign w:val="center"/>
          </w:tcPr>
          <w:p w14:paraId="2E6FC0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沿订单、批次和物流链开展双向追溯、影响分析、质量联动和跨部门任务协同。</w:t>
            </w:r>
          </w:p>
        </w:tc>
      </w:tr>
      <w:tr w14:paraId="5D75CECF">
        <w:tc>
          <w:tcPr>
            <w:tcW w:w="1728" w:type="dxa"/>
            <w:tcMar>
              <w:top w:w="80" w:type="dxa"/>
              <w:left w:w="80" w:type="dxa"/>
              <w:bottom w:w="80" w:type="dxa"/>
              <w:right w:w="80" w:type="dxa"/>
            </w:tcMar>
            <w:vAlign w:val="center"/>
          </w:tcPr>
          <w:p w14:paraId="543900D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8 执行反馈与滚动优化</w:t>
            </w:r>
          </w:p>
        </w:tc>
        <w:tc>
          <w:tcPr>
            <w:tcW w:w="2232" w:type="dxa"/>
            <w:tcMar>
              <w:top w:w="80" w:type="dxa"/>
              <w:left w:w="80" w:type="dxa"/>
              <w:bottom w:w="80" w:type="dxa"/>
              <w:right w:w="80" w:type="dxa"/>
            </w:tcMar>
            <w:vAlign w:val="center"/>
          </w:tcPr>
          <w:p w14:paraId="391C11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七个模块协同</w:t>
            </w:r>
          </w:p>
        </w:tc>
        <w:tc>
          <w:tcPr>
            <w:tcW w:w="4349" w:type="dxa"/>
            <w:tcMar>
              <w:top w:w="80" w:type="dxa"/>
              <w:left w:w="80" w:type="dxa"/>
              <w:bottom w:w="80" w:type="dxa"/>
              <w:right w:w="80" w:type="dxa"/>
            </w:tcMar>
            <w:vAlign w:val="center"/>
          </w:tcPr>
          <w:p w14:paraId="7F1EDE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sz w:val="18"/>
                <w:szCs w:val="22"/>
              </w:rPr>
              <w:t>执行系统回传实际状态，SCOS比较计划与实际，只重算未锁定范围并保留历史版本。</w:t>
            </w:r>
          </w:p>
        </w:tc>
      </w:tr>
    </w:tbl>
    <w:p w14:paraId="034A69F0">
      <w:pPr>
        <w:pStyle w:val="5"/>
      </w:pPr>
    </w:p>
    <w:p w14:paraId="57F54B72">
      <w:pPr>
        <w:pStyle w:val="3"/>
      </w:pPr>
      <w:bookmarkStart w:id="8" w:name="_Toc2012489145"/>
      <w:r>
        <w:rPr>
          <w:rFonts w:ascii="黑体" w:hAnsi="黑体" w:eastAsia="黑体"/>
          <w:b/>
          <w:color w:val="000000"/>
          <w:sz w:val="30"/>
        </w:rPr>
        <w:t>关键协同控制</w:t>
      </w:r>
      <w:bookmarkEnd w:id="8"/>
    </w:p>
    <w:p w14:paraId="310EEC3A">
      <w:pPr>
        <w:keepNext w:val="0"/>
        <w:keepLines w:val="0"/>
        <w:spacing w:before="0" w:after="0" w:line="480" w:lineRule="exact"/>
        <w:ind w:left="0" w:right="0" w:firstLine="440"/>
        <w:jc w:val="left"/>
      </w:pPr>
      <w:r>
        <w:rPr>
          <w:rFonts w:ascii="宋体" w:hAnsi="宋体" w:eastAsia="宋体"/>
          <w:b w:val="0"/>
          <w:color w:val="000000"/>
          <w:sz w:val="22"/>
        </w:rPr>
        <w:t>1. 统一事实与版本控制：每次计算锁定输入数据、业务时间、模型、参数和规则版本，结果不得脱离来源事实单独发布。</w:t>
      </w:r>
    </w:p>
    <w:p w14:paraId="624D2C9D">
      <w:pPr>
        <w:keepNext w:val="0"/>
        <w:keepLines w:val="0"/>
        <w:spacing w:before="0" w:after="0" w:line="480" w:lineRule="exact"/>
        <w:ind w:left="0" w:right="0" w:firstLine="440"/>
        <w:jc w:val="left"/>
      </w:pPr>
      <w:r>
        <w:rPr>
          <w:rFonts w:ascii="宋体" w:hAnsi="宋体" w:eastAsia="宋体"/>
          <w:b w:val="0"/>
          <w:color w:val="000000"/>
          <w:sz w:val="22"/>
        </w:rPr>
        <w:t>2. 决策与交易分离：SCOS输出建议、方案和协同任务，合同、订单、工单、仓储、运输、质量和财务交易仍由权威系统执行。</w:t>
      </w:r>
    </w:p>
    <w:p w14:paraId="66884AA9">
      <w:pPr>
        <w:keepNext w:val="0"/>
        <w:keepLines w:val="0"/>
        <w:spacing w:before="0" w:after="0" w:line="480" w:lineRule="exact"/>
        <w:ind w:left="0" w:right="0" w:firstLine="440"/>
        <w:jc w:val="left"/>
      </w:pPr>
      <w:r>
        <w:rPr>
          <w:rFonts w:ascii="宋体" w:hAnsi="宋体" w:eastAsia="宋体"/>
          <w:b w:val="0"/>
          <w:color w:val="000000"/>
          <w:sz w:val="22"/>
        </w:rPr>
        <w:t>3. 锁定与变更保护：优先保护已审批、已发布、已下达、执行中、在途和冻结对象，只对允许变更的范围滚动优化。</w:t>
      </w:r>
    </w:p>
    <w:p w14:paraId="5E50C293">
      <w:pPr>
        <w:keepNext w:val="0"/>
        <w:keepLines w:val="0"/>
        <w:spacing w:before="0" w:after="0" w:line="480" w:lineRule="exact"/>
        <w:ind w:left="0" w:right="0" w:firstLine="440"/>
        <w:jc w:val="left"/>
      </w:pPr>
      <w:r>
        <w:rPr>
          <w:rFonts w:ascii="宋体" w:hAnsi="宋体" w:eastAsia="宋体"/>
          <w:b w:val="0"/>
          <w:color w:val="000000"/>
          <w:sz w:val="22"/>
        </w:rPr>
        <w:t>4. 人工调整可追溯：人工修改方案后必须重新校验硬约束，记录调整前后内容、原因、人员、审批和影响范围。</w:t>
      </w:r>
    </w:p>
    <w:p w14:paraId="1A8AEA1A">
      <w:pPr>
        <w:keepNext w:val="0"/>
        <w:keepLines w:val="0"/>
        <w:spacing w:before="0" w:after="0" w:line="480" w:lineRule="exact"/>
        <w:ind w:left="0" w:right="0" w:firstLine="440"/>
        <w:jc w:val="left"/>
      </w:pPr>
      <w:r>
        <w:rPr>
          <w:rFonts w:ascii="宋体" w:hAnsi="宋体" w:eastAsia="宋体"/>
          <w:b w:val="0"/>
          <w:color w:val="000000"/>
          <w:sz w:val="22"/>
        </w:rPr>
        <w:t>5. 异常显式处理：数据缺失、模型不可行、接口超时和执行偏差不得静默跳过，应输出阻断、告警、降级或人工介入结果。</w:t>
      </w:r>
    </w:p>
    <w:p w14:paraId="32CA4084">
      <w:pPr>
        <w:keepNext w:val="0"/>
        <w:keepLines w:val="0"/>
        <w:spacing w:before="0" w:after="0" w:line="480" w:lineRule="exact"/>
        <w:ind w:left="0" w:right="0" w:firstLine="440"/>
        <w:jc w:val="left"/>
      </w:pPr>
      <w:r>
        <w:rPr>
          <w:rFonts w:ascii="宋体" w:hAnsi="宋体" w:eastAsia="宋体"/>
          <w:b w:val="0"/>
          <w:color w:val="000000"/>
          <w:sz w:val="22"/>
        </w:rPr>
        <w:t>6. 权限与职责分离：按角色、组织、对象、字段和状态控制查看、编辑、审批、发布及执行权限，关键操作全程留痕。</w:t>
      </w:r>
    </w:p>
    <w:p w14:paraId="075C3100">
      <w:pPr>
        <w:keepNext w:val="0"/>
        <w:keepLines w:val="0"/>
        <w:spacing w:before="0" w:after="0" w:line="480" w:lineRule="exact"/>
        <w:ind w:left="0" w:right="0" w:firstLine="440"/>
        <w:jc w:val="left"/>
      </w:pPr>
      <w:r>
        <w:rPr>
          <w:rFonts w:ascii="宋体" w:hAnsi="宋体" w:eastAsia="宋体"/>
          <w:b w:val="0"/>
          <w:color w:val="000000"/>
          <w:sz w:val="22"/>
        </w:rPr>
        <w:t>7. 反馈与持续改进：采购、库存、排程、成本和追溯的实际结果返回模型服务，持续评价方案采纳率、偏差和业务成效。</w:t>
      </w:r>
    </w:p>
    <w:p w14:paraId="5B7CCF8D">
      <w:pPr>
        <w:pStyle w:val="3"/>
      </w:pPr>
      <w:bookmarkStart w:id="9" w:name="_Toc1037619765"/>
      <w:r>
        <w:rPr>
          <w:rFonts w:ascii="黑体" w:hAnsi="黑体" w:eastAsia="黑体"/>
          <w:b/>
          <w:color w:val="000000"/>
          <w:sz w:val="30"/>
        </w:rPr>
        <w:t>系统整体价值</w:t>
      </w:r>
      <w:bookmarkEnd w:id="9"/>
    </w:p>
    <w:p w14:paraId="6BBD608A">
      <w:pPr>
        <w:keepNext w:val="0"/>
        <w:keepLines w:val="0"/>
        <w:spacing w:before="0" w:after="0" w:line="480" w:lineRule="exact"/>
        <w:ind w:left="0" w:right="0" w:firstLine="440"/>
        <w:jc w:val="left"/>
      </w:pPr>
      <w:r>
        <w:rPr>
          <w:rFonts w:ascii="宋体" w:hAnsi="宋体" w:eastAsia="宋体"/>
          <w:b w:val="0"/>
          <w:color w:val="000000"/>
          <w:sz w:val="22"/>
        </w:rPr>
        <w:t>1. 建立统一的数据、模型、指标和版本基线，使不同部门基于同一事实开展计划与决策。</w:t>
      </w:r>
    </w:p>
    <w:p w14:paraId="309A5305">
      <w:pPr>
        <w:keepNext w:val="0"/>
        <w:keepLines w:val="0"/>
        <w:spacing w:before="0" w:after="0" w:line="480" w:lineRule="exact"/>
        <w:ind w:left="0" w:right="0" w:firstLine="440"/>
        <w:jc w:val="left"/>
      </w:pPr>
      <w:r>
        <w:rPr>
          <w:rFonts w:ascii="宋体" w:hAnsi="宋体" w:eastAsia="宋体"/>
          <w:b w:val="0"/>
          <w:color w:val="000000"/>
          <w:sz w:val="22"/>
        </w:rPr>
        <w:t>2. 连接需求、采购、库存、生产、成本、质量、物流和客户交付，形成端到端滚动优化与协同闭环。</w:t>
      </w:r>
    </w:p>
    <w:p w14:paraId="1E7D9BD4">
      <w:pPr>
        <w:keepNext w:val="0"/>
        <w:keepLines w:val="0"/>
        <w:spacing w:before="0" w:after="0" w:line="480" w:lineRule="exact"/>
        <w:ind w:left="0" w:right="0" w:firstLine="440"/>
        <w:jc w:val="left"/>
      </w:pPr>
      <w:r>
        <w:rPr>
          <w:rFonts w:ascii="宋体" w:hAnsi="宋体" w:eastAsia="宋体"/>
          <w:b w:val="0"/>
          <w:color w:val="000000"/>
          <w:sz w:val="22"/>
        </w:rPr>
        <w:t>3. 在客户服务、供应保障、资源利用、库存资金、生产成本和供应风险之间进行全局权衡，提高方案可执行性。</w:t>
      </w:r>
    </w:p>
    <w:p w14:paraId="46E725B0">
      <w:pPr>
        <w:keepNext w:val="0"/>
        <w:keepLines w:val="0"/>
        <w:spacing w:before="0" w:after="0" w:line="480" w:lineRule="exact"/>
        <w:ind w:left="0" w:right="0" w:firstLine="440"/>
        <w:jc w:val="left"/>
      </w:pPr>
      <w:r>
        <w:rPr>
          <w:rFonts w:ascii="宋体" w:hAnsi="宋体" w:eastAsia="宋体"/>
          <w:b w:val="0"/>
          <w:color w:val="000000"/>
          <w:sz w:val="22"/>
        </w:rPr>
        <w:t>4. 通过KPI、预警、追溯图谱和协同任务缩短异常识别、根因定位、影响评估和处置闭环时间。</w:t>
      </w:r>
    </w:p>
    <w:p w14:paraId="69705D9B">
      <w:pPr>
        <w:keepNext w:val="0"/>
        <w:keepLines w:val="0"/>
        <w:spacing w:before="0" w:after="0" w:line="480" w:lineRule="exact"/>
        <w:ind w:left="0" w:right="0" w:firstLine="440"/>
        <w:jc w:val="left"/>
      </w:pPr>
      <w:r>
        <w:rPr>
          <w:rFonts w:ascii="宋体" w:hAnsi="宋体" w:eastAsia="宋体"/>
          <w:b w:val="0"/>
          <w:color w:val="000000"/>
          <w:sz w:val="22"/>
        </w:rPr>
        <w:t>5. 通过计划与实际、成本与收益、目标与达成的持续比较，沉淀可解释、可复制、可审计的供应链优化能力。</w:t>
      </w:r>
    </w:p>
    <w:p w14:paraId="1248A598">
      <w:pPr>
        <w:pStyle w:val="2"/>
        <w:bidi w:val="0"/>
        <w:rPr>
          <w:rFonts w:hint="eastAsia" w:ascii="黑体" w:hAnsi="黑体" w:eastAsia="黑体" w:cs="黑体"/>
          <w:b/>
          <w:bCs w:val="0"/>
          <w:lang w:val="en-US" w:eastAsia="zh-CN"/>
        </w:rPr>
      </w:pPr>
      <w:bookmarkStart w:id="10" w:name="_Toc924792419"/>
      <w:bookmarkStart w:id="11" w:name="_Toc1708176715"/>
      <w:r>
        <w:rPr>
          <w:rFonts w:hint="eastAsia" w:ascii="黑体" w:hAnsi="黑体" w:eastAsia="黑体" w:cs="黑体"/>
          <w:b/>
          <w:bCs w:val="0"/>
          <w:lang w:val="en-US" w:eastAsia="zh-CN"/>
        </w:rPr>
        <w:t>SCOS业务蓝图交付物</w:t>
      </w:r>
      <w:bookmarkEnd w:id="10"/>
      <w:bookmarkEnd w:id="11"/>
    </w:p>
    <w:p w14:paraId="027BC767">
      <w:pPr>
        <w:pStyle w:val="3"/>
        <w:bidi w:val="0"/>
        <w:rPr>
          <w:rFonts w:hint="eastAsia" w:ascii="黑体" w:hAnsi="黑体" w:eastAsia="黑体" w:cs="黑体"/>
          <w:b/>
          <w:bCs w:val="0"/>
          <w:sz w:val="30"/>
          <w:szCs w:val="30"/>
        </w:rPr>
      </w:pPr>
      <w:bookmarkStart w:id="12" w:name="_Toc1647032794"/>
      <w:bookmarkStart w:id="13" w:name="_Toc1764655909"/>
      <w:bookmarkStart w:id="14" w:name="_SCOS业务流程总览"/>
      <w:bookmarkStart w:id="15" w:name="_PLM业务流程总览"/>
      <w:r>
        <w:rPr>
          <w:rFonts w:hint="eastAsia" w:ascii="黑体" w:hAnsi="黑体" w:eastAsia="黑体" w:cs="黑体"/>
          <w:b/>
          <w:bCs w:val="0"/>
          <w:sz w:val="30"/>
          <w:szCs w:val="30"/>
          <w:lang w:val="en-US" w:eastAsia="zh-CN"/>
        </w:rPr>
        <w:t>SCOS业务流程总览</w:t>
      </w:r>
      <w:bookmarkEnd w:id="12"/>
      <w:bookmarkEnd w:id="13"/>
    </w:p>
    <w:bookmarkEnd w:id="14"/>
    <w:bookmarkEnd w:id="15"/>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8"/>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16" w:name="_Toc1822697493"/>
      <w:bookmarkStart w:id="17" w:name="_【核心部分-待后续优化】关键业务流程说明"/>
      <w:bookmarkStart w:id="18" w:name="_关键业务流程说明"/>
      <w:r>
        <w:rPr>
          <w:rFonts w:hint="eastAsia" w:ascii="黑体" w:hAnsi="黑体" w:eastAsia="黑体" w:cs="黑体"/>
          <w:b/>
          <w:bCs w:val="0"/>
          <w:lang w:val="en-US" w:eastAsia="zh-CN"/>
        </w:rPr>
        <w:t>关键业务流程说明</w:t>
      </w:r>
      <w:bookmarkEnd w:id="16"/>
    </w:p>
    <w:bookmarkEnd w:id="17"/>
    <w:p w14:paraId="00EEC7F9">
      <w:pPr>
        <w:pStyle w:val="4"/>
        <w:bidi w:val="0"/>
        <w:rPr>
          <w:rFonts w:hint="eastAsia" w:ascii="黑体" w:hAnsi="黑体" w:eastAsia="黑体" w:cs="黑体"/>
          <w:b/>
          <w:bCs w:val="0"/>
          <w:lang w:val="en-US" w:eastAsia="zh-CN"/>
        </w:rPr>
      </w:pPr>
      <w:bookmarkStart w:id="19" w:name="_Toc222540396"/>
      <w:r>
        <w:rPr>
          <w:rFonts w:ascii="黑体" w:hAnsi="黑体" w:eastAsia="黑体"/>
          <w:b/>
          <w:sz w:val="24"/>
        </w:rPr>
        <w:t>供应链驾驶舱</w:t>
      </w:r>
      <w:bookmarkEnd w:id="19"/>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7EF7630B">
      <w:pPr>
        <w:pStyle w:val="4"/>
        <w:bidi w:val="0"/>
        <w:ind w:left="161" w:leftChars="0" w:firstLineChars="0"/>
        <w:rPr>
          <w:rFonts w:hint="eastAsia" w:ascii="黑体" w:hAnsi="黑体" w:eastAsia="黑体" w:cs="黑体"/>
          <w:b/>
          <w:bCs w:val="0"/>
          <w:lang w:val="en-US" w:eastAsia="zh-CN"/>
        </w:rPr>
      </w:pPr>
      <w:bookmarkStart w:id="20" w:name="_Toc1467406145"/>
      <w:r>
        <w:rPr>
          <w:rFonts w:ascii="黑体" w:hAnsi="黑体" w:eastAsia="黑体"/>
          <w:b/>
          <w:sz w:val="24"/>
        </w:rPr>
        <w:t>采购决策优化模块</w:t>
      </w:r>
      <w:bookmarkEnd w:id="20"/>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35"/>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36"/>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37"/>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38"/>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6"/>
        <w:bidi w:val="0"/>
        <w:rPr>
          <w:rFonts w:hint="eastAsia" w:ascii="黑体" w:hAnsi="黑体" w:eastAsia="黑体" w:cs="黑体"/>
          <w:b/>
          <w:bCs w:val="0"/>
          <w:lang w:val="en-US" w:eastAsia="zh-CN"/>
        </w:rPr>
      </w:pPr>
      <w:r>
        <w:rPr>
          <w:rFonts w:ascii="黑体" w:hAnsi="黑体" w:eastAsia="黑体"/>
          <w:b/>
          <w:sz w:val="24"/>
        </w:rPr>
        <w:t>原辅包到货与要货协同</w:t>
      </w:r>
    </w:p>
    <w:p w14:paraId="572CD3AD">
      <w:pPr>
        <w:pStyle w:val="7"/>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7"/>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7"/>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7"/>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7"/>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7"/>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99DBE68">
      <w:pPr>
        <w:pStyle w:val="4"/>
        <w:bidi w:val="0"/>
        <w:ind w:left="161" w:leftChars="0" w:firstLineChars="0"/>
        <w:rPr>
          <w:rFonts w:hint="eastAsia" w:ascii="黑体" w:hAnsi="黑体" w:eastAsia="黑体" w:cs="黑体"/>
          <w:b/>
          <w:bCs w:val="0"/>
          <w:lang w:val="en-US"/>
        </w:rPr>
      </w:pPr>
      <w:bookmarkStart w:id="21" w:name="_Toc992876867"/>
      <w:r>
        <w:rPr>
          <w:rFonts w:ascii="黑体" w:hAnsi="黑体" w:eastAsia="黑体"/>
          <w:b/>
          <w:sz w:val="24"/>
        </w:rPr>
        <w:t>安全库存优化模块</w:t>
      </w:r>
      <w:bookmarkEnd w:id="21"/>
    </w:p>
    <w:bookmarkEnd w:id="18"/>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5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每月25日进入下月成品库存策略和月度总生产补充计划制定周期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输入：下月不同成品出货计划、已明确销售订单、当前库存、计划生产入库和待发运信息；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输出：不同成品日度计划需求和策略计算范围（覆盖哪些成品以及计划展望期）</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对月度预计出货总量进行日度分解；已有明确出货计划或销售订单的日期优先使用出货或订单量，其余数量分摊至未有明确订单或出货的日期，生成日度需求计划</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输入：日度需求计划、历史出库波动、生产补充周期、服务水平、成品—储罐映射及有效容量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模型，计算“存多少、何时补、补多少”。目标库存和总补充量需经有效储罐容量、最大库存天数等约束校验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输入：月度库存策略、总生产补充计划、计算依据及风险提示；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系统校验必要参数和生产补充量，由库存计划员确认提交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输入：拟定库存策略和总生产补充计划；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发布月度库存策略与总生产补充计划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输出：已发布的安全库存、再订货点、目标库存、月度总生产补充计划及版本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策略发布后在月内作为周度库存计划和日度库存监控基准，并保存数据快照、模型参数、人工调整和审批轨迹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输入：已发布的月度总生产补充量及建议入库节奏；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输出：已发布月度成品库存策略及总生产补充计划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5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327"/>
        <w:gridCol w:w="884"/>
        <w:gridCol w:w="1552"/>
        <w:gridCol w:w="2146"/>
        <w:gridCol w:w="1635"/>
        <w:gridCol w:w="1880"/>
      </w:tblGrid>
      <w:tr w14:paraId="6234CA63">
        <w:trPr>
          <w:tblHeader/>
        </w:trPr>
        <w:tc>
          <w:tcPr>
            <w:tcW w:w="3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输入：已发布月度总补充计划、月度剩余待生产量、未来4周日度需求计划、当前可用库存、已有生产排程、计划入库及储罐容量；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每周五一次性向后计算4周，按日结合日度需求计划、可用库存、已有计划入库和月度库存策略生成日度生产补充量；周界严格采用周六至下周五。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输出：不同成品未来4周周度生产补充建议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输入：不同成品未来4周周度生产补充建议、日度明细、月度剩余量及库存/容量风险；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系统校验4周汇总结果与日度明细一致性，由库存计划员确认提交生产计划员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输出：锁定第1周的周度生产补充量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输入：锁定第1周的周度生产补充量、排程确认结论；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输出：已发布的锁定第1周的周度生产补充计划及版本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发布锁定第1周的周度生产补货计划，作为生产排程执行与日度滚动校验的正式基准，同时保留评审、排程确认轨迹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3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输出：已发布且第1周生产补充量已锁定的周度生产补充计划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日度库存监控</w:t>
      </w:r>
      <w:r>
        <w:rPr>
          <w:rFonts w:hint="eastAsia" w:ascii="黑体" w:hAnsi="黑体" w:cs="黑体"/>
          <w:b/>
          <w:bCs/>
          <w:lang w:val="en-US" w:eastAsia="zh-CN"/>
        </w:rPr>
        <w:t>、</w:t>
      </w:r>
      <w:r>
        <w:rPr>
          <w:rFonts w:hint="eastAsia" w:ascii="黑体" w:hAnsi="黑体" w:eastAsia="黑体" w:cs="黑体"/>
          <w:b/>
          <w:bCs/>
          <w:lang w:val="en-US" w:eastAsia="zh-CN"/>
        </w:rPr>
        <w:t>滚动校验</w:t>
      </w:r>
      <w:r>
        <w:rPr>
          <w:rFonts w:hint="eastAsia" w:ascii="黑体" w:hAnsi="黑体" w:cs="黑体"/>
          <w:b/>
          <w:bCs/>
          <w:lang w:val="en-US" w:eastAsia="zh-CN"/>
        </w:rPr>
        <w:t>与滚动锁定</w:t>
      </w:r>
      <w:r>
        <w:rPr>
          <w:rFonts w:hint="eastAsia" w:ascii="黑体" w:hAnsi="黑体" w:eastAsia="黑体" w:cs="黑体"/>
          <w:b/>
          <w:bCs/>
          <w:lang w:val="en-US" w:eastAsia="zh-CN"/>
        </w:rPr>
        <w:t>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5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输入：已发布且第1周已锁定的周度生产补货计划、第2至第4周生产补货建议、SAP/WMS成品库存及出库状态、日度需求计划、生产排程及计划入库量、QMS/LIMS质检状态和储罐可用状态；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C43D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按日更新实际可用库存、需求计划和预计可用的计划生产入库，形成覆盖第1周锁定期及第2至第4周非锁定期的库存轨迹。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判断未来4周内是否存在击穿安全库存的风险以及是否有计划生产入库超过成品对应储罐的有效剩余容量的风险</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预警状态不解除锁定；如需处置，由相关业务人员在线下进行协调，本流程中不改变锁定计划；完成后结束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调整后可能存在仍无法消除的风险，会给出预警</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sz w:val="18"/>
                <w:szCs w:val="18"/>
                <w:u w:val="none"/>
                <w:lang w:val="en-US"/>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将确认采纳的调整建议交给生产排程处理，并将排程反馈用于下一轮日度库存水位测算。第1周锁定生产补充量仍保持不变；同时每天向后额外锁定1天，确保每天都是T+7天锁定</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输出：日度库存监控结果、库存预警、第1周锁定状态（T+7天锁定）、第2至第4周补货建议调整及生产协同记录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5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5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68C10CA4">
      <w:pPr>
        <w:pStyle w:val="4"/>
        <w:bidi w:val="0"/>
        <w:rPr>
          <w:rFonts w:hint="eastAsia" w:ascii="黑体" w:hAnsi="黑体" w:eastAsia="黑体" w:cs="黑体"/>
          <w:b/>
          <w:bCs w:val="0"/>
          <w:lang w:val="en-US" w:eastAsia="zh-CN"/>
        </w:rPr>
      </w:pPr>
      <w:bookmarkStart w:id="22" w:name="_Toc1333566479"/>
      <w:r>
        <w:rPr>
          <w:rFonts w:ascii="黑体" w:hAnsi="黑体" w:eastAsia="黑体"/>
          <w:b/>
          <w:sz w:val="24"/>
        </w:rPr>
        <w:t>统计与成本核算分析模块</w:t>
      </w:r>
      <w:bookmarkEnd w:id="22"/>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23" w:name="_Toc2112472461"/>
      <w:bookmarkStart w:id="24" w:name="_系统边界与分工"/>
      <w:r>
        <w:rPr>
          <w:rFonts w:hint="eastAsia" w:ascii="黑体" w:hAnsi="黑体" w:eastAsia="黑体" w:cs="黑体"/>
          <w:b/>
          <w:bCs w:val="0"/>
          <w:highlight w:val="none"/>
        </w:rPr>
        <w:t>系统边界与分工</w:t>
      </w:r>
      <w:bookmarkEnd w:id="23"/>
    </w:p>
    <w:bookmarkEnd w:id="24"/>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25" w:name="_Toc2124999823"/>
      <w:bookmarkStart w:id="26" w:name="_功能架构"/>
      <w:r>
        <w:rPr>
          <w:rFonts w:hint="eastAsia" w:ascii="黑体" w:hAnsi="黑体" w:eastAsia="黑体" w:cs="黑体"/>
          <w:lang w:val="en-US" w:eastAsia="zh-CN"/>
        </w:rPr>
        <w:t>功能架构</w:t>
      </w:r>
      <w:bookmarkEnd w:id="25"/>
    </w:p>
    <w:bookmarkEnd w:id="26"/>
    <w:p w14:paraId="06740E84">
      <w:pPr>
        <w:jc w:val="center"/>
        <w:rPr>
          <w:rFonts w:hint="default"/>
          <w:lang w:val="en-US" w:eastAsia="zh-CN"/>
        </w:rPr>
      </w:pPr>
      <w:r>
        <w:drawing>
          <wp:inline distT="0" distB="0" distL="114300" distR="114300">
            <wp:extent cx="5436870" cy="3465830"/>
            <wp:effectExtent l="0" t="0" r="24130" b="15240"/>
            <wp:docPr id="1" name="图片 1" descr="数据来源与集成层、达梦数据库、数据准备层、算法引擎层和服务层自底向上支撑按四大分类组织的七个SCOS业务功能模块。" title="SCOS全局供应链优化与协同系统整体功能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来源与集成层、达梦数据库、数据准备层、算法引擎层和服务层自底向上支撑按四大分类组织的七个SCOS业务功能模块。" title="SCOS全局供应链优化与协同系统整体功能架构"/>
                    <pic:cNvPicPr>
                      <a:picLocks noChangeAspect="1"/>
                    </pic:cNvPicPr>
                  </pic:nvPicPr>
                  <pic:blipFill>
                    <a:blip r:embed="rId74"/>
                    <a:stretch>
                      <a:fillRect/>
                    </a:stretch>
                  </pic:blipFill>
                  <pic:spPr>
                    <a:xfrm>
                      <a:off x="0" y="0"/>
                      <a:ext cx="5436870" cy="3466005"/>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0C2F6079">
        <w:trPr>
          <w:trHeight w:val="0" w:hRule="atLeast"/>
          <w:jc w:val="center"/>
        </w:trPr>
        <w:tc>
          <w:tcPr>
            <w:tcW w:w="1372" w:type="dxa"/>
            <w:shd w:val="clear" w:color="auto" w:fill="auto"/>
            <w:noWrap w:val="0"/>
            <w:tcMar>
              <w:top w:w="80" w:type="dxa"/>
              <w:left w:w="80" w:type="dxa"/>
              <w:bottom w:w="80" w:type="dxa"/>
              <w:right w:w="80" w:type="dxa"/>
            </w:tcMar>
            <w:vAlign w:val="center"/>
          </w:tcPr>
          <w:p w14:paraId="3A0DC2B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标准数据服务消费</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通过统一数据服务层的标准API获取物料、客户、供应商、组织、仓库、设备等主数据，以及销售订单、采购订单、生产工单、库存、物流、质量、成本等业务数据；记录来源接口、业务时间、数据版本和调用状态，避免绕过统一数据架构重复建设采集链路。</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统一数据服务层主数据与业务数据</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标准业务数据集、接口调用记录</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统一数据服务层、SAP、MES、WMS、TMS、QMS/LIMS</w:t>
            </w:r>
          </w:p>
        </w:tc>
      </w:tr>
      <w:tr w14:paraId="3D1244A5">
        <w:trPr>
          <w:trHeight w:val="0" w:hRule="atLeast"/>
          <w:jc w:val="center"/>
        </w:trPr>
        <w:tc>
          <w:tcPr>
            <w:tcW w:w="1372" w:type="dxa"/>
            <w:shd w:val="clear" w:color="auto" w:fill="auto"/>
            <w:noWrap w:val="0"/>
            <w:tcMar>
              <w:top w:w="80" w:type="dxa"/>
              <w:left w:w="80" w:type="dxa"/>
              <w:bottom w:w="80" w:type="dxa"/>
              <w:right w:w="80" w:type="dxa"/>
            </w:tcMar>
            <w:vAlign w:val="center"/>
          </w:tcPr>
          <w:p w14:paraId="7C7ED4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41410C7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实时数据流订阅</w:t>
            </w:r>
          </w:p>
        </w:tc>
        <w:tc>
          <w:tcPr>
            <w:tcW w:w="2115" w:type="dxa"/>
            <w:shd w:val="clear" w:color="auto" w:fill="auto"/>
            <w:noWrap w:val="0"/>
            <w:tcMar>
              <w:top w:w="-1" w:type="dxa"/>
              <w:left w:w="-1" w:type="dxa"/>
              <w:bottom w:w="-1" w:type="dxa"/>
              <w:right w:w="-1" w:type="dxa"/>
            </w:tcMar>
            <w:vAlign w:val="center"/>
          </w:tcPr>
          <w:p w14:paraId="7E7B3F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F-ZLTC-SCOS-YHSJFW-002</w:t>
            </w:r>
          </w:p>
        </w:tc>
        <w:tc>
          <w:tcPr>
            <w:tcW w:w="3054" w:type="dxa"/>
            <w:shd w:val="clear" w:color="auto" w:fill="auto"/>
            <w:noWrap w:val="0"/>
            <w:tcMar>
              <w:top w:w="-1" w:type="dxa"/>
              <w:left w:w="-1" w:type="dxa"/>
              <w:bottom w:w="-1" w:type="dxa"/>
              <w:right w:w="-1" w:type="dxa"/>
            </w:tcMar>
            <w:vAlign w:val="center"/>
          </w:tcPr>
          <w:p w14:paraId="6426A2F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通过实时数据平台的消息或查询接口订阅储罐液位、产线状态、设备能力、车辆位置、在途节点和质量状态等关键实时指标，按滚动优化频率形成增量数据包，并对延迟、乱序、重复和中断进行识别与告警。</w:t>
            </w:r>
          </w:p>
        </w:tc>
        <w:tc>
          <w:tcPr>
            <w:tcW w:w="1098" w:type="dxa"/>
            <w:shd w:val="clear" w:color="auto" w:fill="auto"/>
            <w:noWrap w:val="0"/>
            <w:tcMar>
              <w:top w:w="-1" w:type="dxa"/>
              <w:left w:w="-1" w:type="dxa"/>
              <w:bottom w:w="-1" w:type="dxa"/>
              <w:right w:w="-1" w:type="dxa"/>
            </w:tcMar>
            <w:vAlign w:val="center"/>
          </w:tcPr>
          <w:p w14:paraId="34C6289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实时数据平台消息、设备与业务实时指标</w:t>
            </w:r>
          </w:p>
        </w:tc>
        <w:tc>
          <w:tcPr>
            <w:tcW w:w="907" w:type="dxa"/>
            <w:shd w:val="clear" w:color="auto" w:fill="auto"/>
            <w:noWrap w:val="0"/>
            <w:tcMar>
              <w:top w:w="-1" w:type="dxa"/>
              <w:left w:w="-1" w:type="dxa"/>
              <w:bottom w:w="-1" w:type="dxa"/>
              <w:right w:w="-1" w:type="dxa"/>
            </w:tcMar>
            <w:vAlign w:val="center"/>
          </w:tcPr>
          <w:p w14:paraId="482E003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增量实时数据包、延迟及中断告警</w:t>
            </w:r>
          </w:p>
        </w:tc>
        <w:tc>
          <w:tcPr>
            <w:tcW w:w="873" w:type="dxa"/>
            <w:shd w:val="clear" w:color="auto" w:fill="auto"/>
            <w:noWrap w:val="0"/>
            <w:tcMar>
              <w:top w:w="-1" w:type="dxa"/>
              <w:left w:w="-1" w:type="dxa"/>
              <w:bottom w:w="-1" w:type="dxa"/>
              <w:right w:w="-1" w:type="dxa"/>
            </w:tcMar>
            <w:vAlign w:val="center"/>
          </w:tcPr>
          <w:p w14:paraId="1EA42F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实时数据平台、DCS、MES、WMS、TMS</w:t>
            </w:r>
          </w:p>
        </w:tc>
      </w:tr>
      <w:tr w14:paraId="24310F84">
        <w:trPr>
          <w:trHeight w:val="0" w:hRule="atLeast"/>
          <w:jc w:val="center"/>
        </w:trPr>
        <w:tc>
          <w:tcPr>
            <w:tcW w:w="1372" w:type="dxa"/>
            <w:shd w:val="clear" w:color="auto" w:fill="auto"/>
            <w:noWrap w:val="0"/>
            <w:tcMar>
              <w:top w:w="80" w:type="dxa"/>
              <w:left w:w="80" w:type="dxa"/>
              <w:bottom w:w="80" w:type="dxa"/>
              <w:right w:w="80" w:type="dxa"/>
            </w:tcMar>
            <w:vAlign w:val="center"/>
          </w:tcPr>
          <w:p w14:paraId="4D3A279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2D1EF88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外部数据接入</w:t>
            </w:r>
          </w:p>
        </w:tc>
        <w:tc>
          <w:tcPr>
            <w:tcW w:w="2115" w:type="dxa"/>
            <w:shd w:val="clear" w:color="auto" w:fill="auto"/>
            <w:noWrap w:val="0"/>
            <w:tcMar>
              <w:top w:w="-1" w:type="dxa"/>
              <w:left w:w="-1" w:type="dxa"/>
              <w:bottom w:w="-1" w:type="dxa"/>
              <w:right w:w="-1" w:type="dxa"/>
            </w:tcMar>
            <w:vAlign w:val="center"/>
          </w:tcPr>
          <w:p w14:paraId="00298E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F-ZLTC-SCOS-YHSJFW-003</w:t>
            </w:r>
          </w:p>
        </w:tc>
        <w:tc>
          <w:tcPr>
            <w:tcW w:w="3054" w:type="dxa"/>
            <w:shd w:val="clear" w:color="auto" w:fill="auto"/>
            <w:noWrap w:val="0"/>
            <w:tcMar>
              <w:top w:w="-1" w:type="dxa"/>
              <w:left w:w="-1" w:type="dxa"/>
              <w:bottom w:w="-1" w:type="dxa"/>
              <w:right w:w="-1" w:type="dxa"/>
            </w:tcMar>
            <w:vAlign w:val="center"/>
          </w:tcPr>
          <w:p w14:paraId="229C014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通过授权API、SFTP或标准数据服务接入期货市场大宗原材料（玉米淀粉）历史价格，以及AI优化平台提供的极端天气或事件对供应商可用性和运输周期影响数据；完成身份认证、字段映射、更新频率、有效期和不可用降级策略配置，并与内部物料、供应商、路线及时间维度关联。</w:t>
            </w:r>
          </w:p>
        </w:tc>
        <w:tc>
          <w:tcPr>
            <w:tcW w:w="1098" w:type="dxa"/>
            <w:shd w:val="clear" w:color="auto" w:fill="auto"/>
            <w:noWrap w:val="0"/>
            <w:tcMar>
              <w:top w:w="-1" w:type="dxa"/>
              <w:left w:w="-1" w:type="dxa"/>
              <w:bottom w:w="-1" w:type="dxa"/>
              <w:right w:w="-1" w:type="dxa"/>
            </w:tcMar>
            <w:vAlign w:val="center"/>
          </w:tcPr>
          <w:p w14:paraId="4094859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期货历史价格、极端天气与事件影响数据</w:t>
            </w:r>
          </w:p>
        </w:tc>
        <w:tc>
          <w:tcPr>
            <w:tcW w:w="907" w:type="dxa"/>
            <w:shd w:val="clear" w:color="auto" w:fill="auto"/>
            <w:noWrap w:val="0"/>
            <w:tcMar>
              <w:top w:w="-1" w:type="dxa"/>
              <w:left w:w="-1" w:type="dxa"/>
              <w:bottom w:w="-1" w:type="dxa"/>
              <w:right w:w="-1" w:type="dxa"/>
            </w:tcMar>
            <w:vAlign w:val="center"/>
          </w:tcPr>
          <w:p w14:paraId="1797D1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外部数据主题、映射及有效期记录</w:t>
            </w:r>
          </w:p>
        </w:tc>
        <w:tc>
          <w:tcPr>
            <w:tcW w:w="873" w:type="dxa"/>
            <w:shd w:val="clear" w:color="auto" w:fill="auto"/>
            <w:noWrap w:val="0"/>
            <w:tcMar>
              <w:top w:w="-1" w:type="dxa"/>
              <w:left w:w="-1" w:type="dxa"/>
              <w:bottom w:w="-1" w:type="dxa"/>
              <w:right w:w="-1" w:type="dxa"/>
            </w:tcMar>
            <w:vAlign w:val="center"/>
          </w:tcPr>
          <w:p w14:paraId="07901D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外部数据服务、AI优化平台</w:t>
            </w:r>
          </w:p>
        </w:tc>
      </w:tr>
      <w:tr w14:paraId="18096F23">
        <w:trPr>
          <w:trHeight w:val="0" w:hRule="atLeast"/>
          <w:jc w:val="center"/>
        </w:trPr>
        <w:tc>
          <w:tcPr>
            <w:tcW w:w="1372" w:type="dxa"/>
            <w:shd w:val="clear" w:color="auto" w:fill="auto"/>
            <w:noWrap w:val="0"/>
            <w:tcMar>
              <w:top w:w="80" w:type="dxa"/>
              <w:left w:w="80" w:type="dxa"/>
              <w:bottom w:w="80" w:type="dxa"/>
              <w:right w:w="80" w:type="dxa"/>
            </w:tcMar>
            <w:vAlign w:val="center"/>
          </w:tcPr>
          <w:p w14:paraId="1F07F2C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2E2FBA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数据对齐与时间轴处理</w:t>
            </w:r>
          </w:p>
        </w:tc>
        <w:tc>
          <w:tcPr>
            <w:tcW w:w="2115" w:type="dxa"/>
            <w:shd w:val="clear" w:color="auto" w:fill="auto"/>
            <w:noWrap w:val="0"/>
            <w:tcMar>
              <w:top w:w="-1" w:type="dxa"/>
              <w:left w:w="-1" w:type="dxa"/>
              <w:bottom w:w="-1" w:type="dxa"/>
              <w:right w:w="-1" w:type="dxa"/>
            </w:tcMar>
            <w:vAlign w:val="center"/>
          </w:tcPr>
          <w:p w14:paraId="1EEC06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F-ZLTC-SCOS-YHSJFW-004</w:t>
            </w:r>
          </w:p>
        </w:tc>
        <w:tc>
          <w:tcPr>
            <w:tcW w:w="3054" w:type="dxa"/>
            <w:shd w:val="clear" w:color="auto" w:fill="auto"/>
            <w:noWrap w:val="0"/>
            <w:tcMar>
              <w:top w:w="-1" w:type="dxa"/>
              <w:left w:w="-1" w:type="dxa"/>
              <w:bottom w:w="-1" w:type="dxa"/>
              <w:right w:w="-1" w:type="dxa"/>
            </w:tcMar>
            <w:vAlign w:val="center"/>
          </w:tcPr>
          <w:p w14:paraId="6B9A80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来自不同系统、不同粒度和不同频率的数据统一到业务日期、时区、计量单位和时间轴上，完成聚合、拆分、插值、有效期判断和状态对齐，为排程、库存、采购和成本等时间敏感模型提供连续一致的数据序列。</w:t>
            </w:r>
          </w:p>
        </w:tc>
        <w:tc>
          <w:tcPr>
            <w:tcW w:w="1098" w:type="dxa"/>
            <w:shd w:val="clear" w:color="auto" w:fill="auto"/>
            <w:noWrap w:val="0"/>
            <w:tcMar>
              <w:top w:w="-1" w:type="dxa"/>
              <w:left w:w="-1" w:type="dxa"/>
              <w:bottom w:w="-1" w:type="dxa"/>
              <w:right w:w="-1" w:type="dxa"/>
            </w:tcMar>
            <w:vAlign w:val="center"/>
          </w:tcPr>
          <w:p w14:paraId="51913B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多源异构数据、业务日期及计量口径</w:t>
            </w:r>
          </w:p>
        </w:tc>
        <w:tc>
          <w:tcPr>
            <w:tcW w:w="907" w:type="dxa"/>
            <w:shd w:val="clear" w:color="auto" w:fill="auto"/>
            <w:noWrap w:val="0"/>
            <w:tcMar>
              <w:top w:w="-1" w:type="dxa"/>
              <w:left w:w="-1" w:type="dxa"/>
              <w:bottom w:w="-1" w:type="dxa"/>
              <w:right w:w="-1" w:type="dxa"/>
            </w:tcMar>
            <w:vAlign w:val="center"/>
          </w:tcPr>
          <w:p w14:paraId="614F1E4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统一时间轴数据、聚合与插值结果</w:t>
            </w:r>
          </w:p>
        </w:tc>
        <w:tc>
          <w:tcPr>
            <w:tcW w:w="873" w:type="dxa"/>
            <w:shd w:val="clear" w:color="auto" w:fill="auto"/>
            <w:noWrap w:val="0"/>
            <w:tcMar>
              <w:top w:w="-1" w:type="dxa"/>
              <w:left w:w="-1" w:type="dxa"/>
              <w:bottom w:w="-1" w:type="dxa"/>
              <w:right w:w="-1" w:type="dxa"/>
            </w:tcMar>
            <w:vAlign w:val="center"/>
          </w:tcPr>
          <w:p w14:paraId="61A068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统一数据服务层、实时数据平台</w:t>
            </w:r>
          </w:p>
        </w:tc>
      </w:tr>
      <w:tr w14:paraId="26E356EF">
        <w:trPr>
          <w:trHeight w:val="0" w:hRule="atLeast"/>
          <w:jc w:val="center"/>
        </w:trPr>
        <w:tc>
          <w:tcPr>
            <w:tcW w:w="1372" w:type="dxa"/>
            <w:shd w:val="clear" w:color="auto" w:fill="auto"/>
            <w:noWrap w:val="0"/>
            <w:tcMar>
              <w:top w:w="80" w:type="dxa"/>
              <w:left w:w="80" w:type="dxa"/>
              <w:bottom w:w="80" w:type="dxa"/>
              <w:right w:w="80" w:type="dxa"/>
            </w:tcMar>
            <w:vAlign w:val="center"/>
          </w:tcPr>
          <w:p w14:paraId="4FD6394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163BEDA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特征工程与指标计算</w:t>
            </w:r>
          </w:p>
        </w:tc>
        <w:tc>
          <w:tcPr>
            <w:tcW w:w="2115" w:type="dxa"/>
            <w:shd w:val="clear" w:color="auto" w:fill="auto"/>
            <w:noWrap w:val="0"/>
            <w:tcMar>
              <w:top w:w="-1" w:type="dxa"/>
              <w:left w:w="-1" w:type="dxa"/>
              <w:bottom w:w="-1" w:type="dxa"/>
              <w:right w:w="-1" w:type="dxa"/>
            </w:tcMar>
            <w:vAlign w:val="center"/>
          </w:tcPr>
          <w:p w14:paraId="6B7282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F-ZLTC-SCOS-YHSJFW-005</w:t>
            </w:r>
          </w:p>
        </w:tc>
        <w:tc>
          <w:tcPr>
            <w:tcW w:w="3054" w:type="dxa"/>
            <w:shd w:val="clear" w:color="auto" w:fill="auto"/>
            <w:noWrap w:val="0"/>
            <w:tcMar>
              <w:top w:w="-1" w:type="dxa"/>
              <w:left w:w="-1" w:type="dxa"/>
              <w:bottom w:w="-1" w:type="dxa"/>
              <w:right w:w="-1" w:type="dxa"/>
            </w:tcMar>
            <w:vAlign w:val="center"/>
          </w:tcPr>
          <w:p w14:paraId="68AB574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基于标准业务数据计算物料净需求、需求波动、供应提前期、产能负荷、交付达成率、库存周转、客户服务成本、供应商绩效等模型特征和派生指标；计算公式、口径、适用范围和生效版本均可配置和追溯。</w:t>
            </w:r>
          </w:p>
        </w:tc>
        <w:tc>
          <w:tcPr>
            <w:tcW w:w="1098" w:type="dxa"/>
            <w:shd w:val="clear" w:color="auto" w:fill="auto"/>
            <w:noWrap w:val="0"/>
            <w:tcMar>
              <w:top w:w="-1" w:type="dxa"/>
              <w:left w:w="-1" w:type="dxa"/>
              <w:bottom w:w="-1" w:type="dxa"/>
              <w:right w:w="-1" w:type="dxa"/>
            </w:tcMar>
            <w:vAlign w:val="center"/>
          </w:tcPr>
          <w:p w14:paraId="697E02B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标准业务数据、指标口径与计算规则</w:t>
            </w:r>
          </w:p>
        </w:tc>
        <w:tc>
          <w:tcPr>
            <w:tcW w:w="907" w:type="dxa"/>
            <w:shd w:val="clear" w:color="auto" w:fill="auto"/>
            <w:noWrap w:val="0"/>
            <w:tcMar>
              <w:top w:w="-1" w:type="dxa"/>
              <w:left w:w="-1" w:type="dxa"/>
              <w:bottom w:w="-1" w:type="dxa"/>
              <w:right w:w="-1" w:type="dxa"/>
            </w:tcMar>
            <w:vAlign w:val="center"/>
          </w:tcPr>
          <w:p w14:paraId="729BE4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模型特征集、派生指标</w:t>
            </w:r>
          </w:p>
        </w:tc>
        <w:tc>
          <w:tcPr>
            <w:tcW w:w="873" w:type="dxa"/>
            <w:shd w:val="clear" w:color="auto" w:fill="auto"/>
            <w:noWrap w:val="0"/>
            <w:tcMar>
              <w:top w:w="-1" w:type="dxa"/>
              <w:left w:w="-1" w:type="dxa"/>
              <w:bottom w:w="-1" w:type="dxa"/>
              <w:right w:w="-1" w:type="dxa"/>
            </w:tcMar>
            <w:vAlign w:val="center"/>
          </w:tcPr>
          <w:p w14:paraId="57F8DE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SCOS各业务模块</w:t>
            </w:r>
          </w:p>
        </w:tc>
      </w:tr>
      <w:tr w14:paraId="491C5A3C">
        <w:trPr>
          <w:trHeight w:val="0" w:hRule="atLeast"/>
          <w:jc w:val="center"/>
        </w:trPr>
        <w:tc>
          <w:tcPr>
            <w:tcW w:w="1372" w:type="dxa"/>
            <w:shd w:val="clear" w:color="auto" w:fill="auto"/>
            <w:noWrap w:val="0"/>
            <w:tcMar>
              <w:top w:w="80" w:type="dxa"/>
              <w:left w:w="80" w:type="dxa"/>
              <w:bottom w:w="80" w:type="dxa"/>
              <w:right w:w="80" w:type="dxa"/>
            </w:tcMar>
            <w:vAlign w:val="center"/>
          </w:tcPr>
          <w:p w14:paraId="53B2D7D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0EB5816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数据质量校验与异常治理</w:t>
            </w:r>
          </w:p>
        </w:tc>
        <w:tc>
          <w:tcPr>
            <w:tcW w:w="2115" w:type="dxa"/>
            <w:shd w:val="clear" w:color="auto" w:fill="auto"/>
            <w:noWrap w:val="0"/>
            <w:tcMar>
              <w:top w:w="-1" w:type="dxa"/>
              <w:left w:w="-1" w:type="dxa"/>
              <w:bottom w:w="-1" w:type="dxa"/>
              <w:right w:w="-1" w:type="dxa"/>
            </w:tcMar>
            <w:vAlign w:val="center"/>
          </w:tcPr>
          <w:p w14:paraId="486F534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F-ZLTC-SCOS-YHSJFW-006</w:t>
            </w:r>
          </w:p>
        </w:tc>
        <w:tc>
          <w:tcPr>
            <w:tcW w:w="3054" w:type="dxa"/>
            <w:shd w:val="clear" w:color="auto" w:fill="auto"/>
            <w:noWrap w:val="0"/>
            <w:tcMar>
              <w:top w:w="-1" w:type="dxa"/>
              <w:left w:w="-1" w:type="dxa"/>
              <w:bottom w:w="-1" w:type="dxa"/>
              <w:right w:w="-1" w:type="dxa"/>
            </w:tcMar>
            <w:vAlign w:val="center"/>
          </w:tcPr>
          <w:p w14:paraId="7C00356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按优化场景配置完整性、唯一性、及时性、范围、枚举和跨对象一致性规则，识别负库存、非法工艺参数、批次断链、状态冲突等异常；支持阻断、警告、降级、人工复核与修订，并保留原始值和修订证据。</w:t>
            </w:r>
          </w:p>
        </w:tc>
        <w:tc>
          <w:tcPr>
            <w:tcW w:w="1098" w:type="dxa"/>
            <w:shd w:val="clear" w:color="auto" w:fill="auto"/>
            <w:noWrap w:val="0"/>
            <w:tcMar>
              <w:top w:w="-1" w:type="dxa"/>
              <w:left w:w="-1" w:type="dxa"/>
              <w:bottom w:w="-1" w:type="dxa"/>
              <w:right w:w="-1" w:type="dxa"/>
            </w:tcMar>
            <w:vAlign w:val="center"/>
          </w:tcPr>
          <w:p w14:paraId="73D1438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标准数据集、质量规则、主数据口径</w:t>
            </w:r>
          </w:p>
        </w:tc>
        <w:tc>
          <w:tcPr>
            <w:tcW w:w="907" w:type="dxa"/>
            <w:shd w:val="clear" w:color="auto" w:fill="auto"/>
            <w:noWrap w:val="0"/>
            <w:tcMar>
              <w:top w:w="-1" w:type="dxa"/>
              <w:left w:w="-1" w:type="dxa"/>
              <w:bottom w:w="-1" w:type="dxa"/>
              <w:right w:w="-1" w:type="dxa"/>
            </w:tcMar>
            <w:vAlign w:val="center"/>
          </w:tcPr>
          <w:p w14:paraId="28DA289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质量校验结果、异常修订记录</w:t>
            </w:r>
          </w:p>
        </w:tc>
        <w:tc>
          <w:tcPr>
            <w:tcW w:w="873" w:type="dxa"/>
            <w:shd w:val="clear" w:color="auto" w:fill="auto"/>
            <w:noWrap w:val="0"/>
            <w:tcMar>
              <w:top w:w="-1" w:type="dxa"/>
              <w:left w:w="-1" w:type="dxa"/>
              <w:bottom w:w="-1" w:type="dxa"/>
              <w:right w:w="-1" w:type="dxa"/>
            </w:tcMar>
            <w:vAlign w:val="center"/>
          </w:tcPr>
          <w:p w14:paraId="3F2A39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统一数据服务层、SCOS各业务模块</w:t>
            </w:r>
          </w:p>
        </w:tc>
      </w:tr>
      <w:tr w14:paraId="5D7A29A3">
        <w:trPr>
          <w:trHeight w:val="0" w:hRule="atLeast"/>
          <w:jc w:val="center"/>
        </w:trPr>
        <w:tc>
          <w:tcPr>
            <w:tcW w:w="1372" w:type="dxa"/>
            <w:shd w:val="clear" w:color="auto" w:fill="auto"/>
            <w:noWrap w:val="0"/>
            <w:tcMar>
              <w:top w:w="80" w:type="dxa"/>
              <w:left w:w="80" w:type="dxa"/>
              <w:bottom w:w="80" w:type="dxa"/>
              <w:right w:w="80" w:type="dxa"/>
            </w:tcMar>
            <w:vAlign w:val="center"/>
          </w:tcPr>
          <w:p w14:paraId="0021BA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458C7B8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模型参数与策略管理</w:t>
            </w:r>
          </w:p>
        </w:tc>
        <w:tc>
          <w:tcPr>
            <w:tcW w:w="2115" w:type="dxa"/>
            <w:shd w:val="clear" w:color="auto" w:fill="auto"/>
            <w:noWrap w:val="0"/>
            <w:tcMar>
              <w:top w:w="-1" w:type="dxa"/>
              <w:left w:w="-1" w:type="dxa"/>
              <w:bottom w:w="-1" w:type="dxa"/>
              <w:right w:w="-1" w:type="dxa"/>
            </w:tcMar>
            <w:vAlign w:val="center"/>
          </w:tcPr>
          <w:p w14:paraId="3D46F2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F-ZLTC-SCOS-YHSJFW-007</w:t>
            </w:r>
          </w:p>
        </w:tc>
        <w:tc>
          <w:tcPr>
            <w:tcW w:w="3054" w:type="dxa"/>
            <w:shd w:val="clear" w:color="auto" w:fill="auto"/>
            <w:noWrap w:val="0"/>
            <w:tcMar>
              <w:top w:w="-1" w:type="dxa"/>
              <w:left w:w="-1" w:type="dxa"/>
              <w:bottom w:w="-1" w:type="dxa"/>
              <w:right w:w="-1" w:type="dxa"/>
            </w:tcMar>
            <w:vAlign w:val="center"/>
          </w:tcPr>
          <w:p w14:paraId="2193B82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集中维护排程、采购、库存、成本和追溯模型的惩罚系数、约束边界、目标权重、服务水平、成本参数及业务策略，支持参数校验、权限控制、审批、生效时间、版本发布和历史回溯。</w:t>
            </w:r>
          </w:p>
        </w:tc>
        <w:tc>
          <w:tcPr>
            <w:tcW w:w="1098" w:type="dxa"/>
            <w:shd w:val="clear" w:color="auto" w:fill="auto"/>
            <w:noWrap w:val="0"/>
            <w:tcMar>
              <w:top w:w="-1" w:type="dxa"/>
              <w:left w:w="-1" w:type="dxa"/>
              <w:bottom w:w="-1" w:type="dxa"/>
              <w:right w:w="-1" w:type="dxa"/>
            </w:tcMar>
            <w:vAlign w:val="center"/>
          </w:tcPr>
          <w:p w14:paraId="2FE99A1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业务策略、约束边界、目标权重及成本参数</w:t>
            </w:r>
          </w:p>
        </w:tc>
        <w:tc>
          <w:tcPr>
            <w:tcW w:w="907" w:type="dxa"/>
            <w:shd w:val="clear" w:color="auto" w:fill="auto"/>
            <w:noWrap w:val="0"/>
            <w:tcMar>
              <w:top w:w="-1" w:type="dxa"/>
              <w:left w:w="-1" w:type="dxa"/>
              <w:bottom w:w="-1" w:type="dxa"/>
              <w:right w:w="-1" w:type="dxa"/>
            </w:tcMar>
            <w:vAlign w:val="center"/>
          </w:tcPr>
          <w:p w14:paraId="2E3A12F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已审批参数集、策略版本</w:t>
            </w:r>
          </w:p>
        </w:tc>
        <w:tc>
          <w:tcPr>
            <w:tcW w:w="873" w:type="dxa"/>
            <w:shd w:val="clear" w:color="auto" w:fill="auto"/>
            <w:noWrap w:val="0"/>
            <w:tcMar>
              <w:top w:w="-1" w:type="dxa"/>
              <w:left w:w="-1" w:type="dxa"/>
              <w:bottom w:w="-1" w:type="dxa"/>
              <w:right w:w="-1" w:type="dxa"/>
            </w:tcMar>
            <w:vAlign w:val="center"/>
          </w:tcPr>
          <w:p w14:paraId="75573C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SCOS各业务模块</w:t>
            </w:r>
          </w:p>
        </w:tc>
      </w:tr>
      <w:tr w14:paraId="2241C4A0">
        <w:trPr>
          <w:trHeight w:val="0" w:hRule="atLeast"/>
          <w:jc w:val="center"/>
        </w:trPr>
        <w:tc>
          <w:tcPr>
            <w:tcW w:w="1372" w:type="dxa"/>
            <w:shd w:val="clear" w:color="auto" w:fill="auto"/>
            <w:noWrap w:val="0"/>
            <w:tcMar>
              <w:top w:w="80" w:type="dxa"/>
              <w:left w:w="80" w:type="dxa"/>
              <w:bottom w:w="80" w:type="dxa"/>
              <w:right w:w="80" w:type="dxa"/>
            </w:tcMar>
            <w:vAlign w:val="center"/>
          </w:tcPr>
          <w:p w14:paraId="28E80E9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4C0E3A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模型版本与服务管理</w:t>
            </w:r>
          </w:p>
        </w:tc>
        <w:tc>
          <w:tcPr>
            <w:tcW w:w="2115" w:type="dxa"/>
            <w:shd w:val="clear" w:color="auto" w:fill="auto"/>
            <w:noWrap w:val="0"/>
            <w:tcMar>
              <w:top w:w="-1" w:type="dxa"/>
              <w:left w:w="-1" w:type="dxa"/>
              <w:bottom w:w="-1" w:type="dxa"/>
              <w:right w:w="-1" w:type="dxa"/>
            </w:tcMar>
            <w:vAlign w:val="center"/>
          </w:tcPr>
          <w:p w14:paraId="5C8472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F-ZLTC-SCOS-YHSJFW-008</w:t>
            </w:r>
          </w:p>
        </w:tc>
        <w:tc>
          <w:tcPr>
            <w:tcW w:w="3054" w:type="dxa"/>
            <w:shd w:val="clear" w:color="auto" w:fill="auto"/>
            <w:noWrap w:val="0"/>
            <w:tcMar>
              <w:top w:w="-1" w:type="dxa"/>
              <w:left w:w="-1" w:type="dxa"/>
              <w:bottom w:w="-1" w:type="dxa"/>
              <w:right w:w="-1" w:type="dxa"/>
            </w:tcMar>
            <w:vAlign w:val="center"/>
          </w:tcPr>
          <w:p w14:paraId="3FBBD04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统一登记模型标识、算法类型、模型版本、依赖环境、输入输出契约、适用场景和服务地址，支持模型发布、停用、回滚、兼容性校验和服务健康检查，实现模型与业务应用解耦。</w:t>
            </w:r>
          </w:p>
        </w:tc>
        <w:tc>
          <w:tcPr>
            <w:tcW w:w="1098" w:type="dxa"/>
            <w:shd w:val="clear" w:color="auto" w:fill="auto"/>
            <w:noWrap w:val="0"/>
            <w:tcMar>
              <w:top w:w="-1" w:type="dxa"/>
              <w:left w:w="-1" w:type="dxa"/>
              <w:bottom w:w="-1" w:type="dxa"/>
              <w:right w:w="-1" w:type="dxa"/>
            </w:tcMar>
            <w:vAlign w:val="center"/>
          </w:tcPr>
          <w:p w14:paraId="7FEB1C7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模型文件、算法环境、输入输出契约</w:t>
            </w:r>
          </w:p>
        </w:tc>
        <w:tc>
          <w:tcPr>
            <w:tcW w:w="907" w:type="dxa"/>
            <w:shd w:val="clear" w:color="auto" w:fill="auto"/>
            <w:noWrap w:val="0"/>
            <w:tcMar>
              <w:top w:w="-1" w:type="dxa"/>
              <w:left w:w="-1" w:type="dxa"/>
              <w:bottom w:w="-1" w:type="dxa"/>
              <w:right w:w="-1" w:type="dxa"/>
            </w:tcMar>
            <w:vAlign w:val="center"/>
          </w:tcPr>
          <w:p w14:paraId="40A7A0E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模型服务目录、版本及健康状态</w:t>
            </w:r>
          </w:p>
        </w:tc>
        <w:tc>
          <w:tcPr>
            <w:tcW w:w="873" w:type="dxa"/>
            <w:shd w:val="clear" w:color="auto" w:fill="auto"/>
            <w:noWrap w:val="0"/>
            <w:tcMar>
              <w:top w:w="-1" w:type="dxa"/>
              <w:left w:w="-1" w:type="dxa"/>
              <w:bottom w:w="-1" w:type="dxa"/>
              <w:right w:w="-1" w:type="dxa"/>
            </w:tcMar>
            <w:vAlign w:val="center"/>
          </w:tcPr>
          <w:p w14:paraId="7F5774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AI优化平台、SCOS各业务模块</w:t>
            </w:r>
          </w:p>
        </w:tc>
      </w:tr>
      <w:tr w14:paraId="243CC4F9">
        <w:trPr>
          <w:trHeight w:val="0" w:hRule="atLeast"/>
          <w:jc w:val="center"/>
        </w:trPr>
        <w:tc>
          <w:tcPr>
            <w:tcW w:w="1372" w:type="dxa"/>
            <w:shd w:val="clear" w:color="auto" w:fill="auto"/>
            <w:noWrap w:val="0"/>
            <w:tcMar>
              <w:top w:w="80" w:type="dxa"/>
              <w:left w:w="80" w:type="dxa"/>
              <w:bottom w:w="80" w:type="dxa"/>
              <w:right w:w="80" w:type="dxa"/>
            </w:tcMar>
            <w:vAlign w:val="center"/>
          </w:tcPr>
          <w:p w14:paraId="2710C5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2F60DA4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模型输入输出沙盒</w:t>
            </w:r>
          </w:p>
        </w:tc>
        <w:tc>
          <w:tcPr>
            <w:tcW w:w="2115" w:type="dxa"/>
            <w:shd w:val="clear" w:color="auto" w:fill="auto"/>
            <w:noWrap w:val="0"/>
            <w:tcMar>
              <w:top w:w="-1" w:type="dxa"/>
              <w:left w:w="-1" w:type="dxa"/>
              <w:bottom w:w="-1" w:type="dxa"/>
              <w:right w:w="-1" w:type="dxa"/>
            </w:tcMar>
            <w:vAlign w:val="center"/>
          </w:tcPr>
          <w:p w14:paraId="23BC33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F-ZLTC-SCOS-YHSJFW-009</w:t>
            </w:r>
          </w:p>
        </w:tc>
        <w:tc>
          <w:tcPr>
            <w:tcW w:w="3054" w:type="dxa"/>
            <w:shd w:val="clear" w:color="auto" w:fill="auto"/>
            <w:noWrap w:val="0"/>
            <w:tcMar>
              <w:top w:w="-1" w:type="dxa"/>
              <w:left w:w="-1" w:type="dxa"/>
              <w:bottom w:w="-1" w:type="dxa"/>
              <w:right w:w="-1" w:type="dxa"/>
            </w:tcMar>
            <w:vAlign w:val="center"/>
          </w:tcPr>
          <w:p w14:paraId="0FC9EA0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针对指定业务时点固化数据快照、模型版本和参数集，在与正式方案隔离的沙盒中开展情景模拟、方案对比和AB测试；沙盒结果不得直接覆盖已审批、已下达、在途或锁定的正式业务安排。</w:t>
            </w:r>
          </w:p>
        </w:tc>
        <w:tc>
          <w:tcPr>
            <w:tcW w:w="1098" w:type="dxa"/>
            <w:shd w:val="clear" w:color="auto" w:fill="auto"/>
            <w:noWrap w:val="0"/>
            <w:tcMar>
              <w:top w:w="-1" w:type="dxa"/>
              <w:left w:w="-1" w:type="dxa"/>
              <w:bottom w:w="-1" w:type="dxa"/>
              <w:right w:w="-1" w:type="dxa"/>
            </w:tcMar>
            <w:vAlign w:val="center"/>
          </w:tcPr>
          <w:p w14:paraId="1D5503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数据快照、模型版本、参数集及模拟条件</w:t>
            </w:r>
          </w:p>
        </w:tc>
        <w:tc>
          <w:tcPr>
            <w:tcW w:w="907" w:type="dxa"/>
            <w:shd w:val="clear" w:color="auto" w:fill="auto"/>
            <w:noWrap w:val="0"/>
            <w:tcMar>
              <w:top w:w="-1" w:type="dxa"/>
              <w:left w:w="-1" w:type="dxa"/>
              <w:bottom w:w="-1" w:type="dxa"/>
              <w:right w:w="-1" w:type="dxa"/>
            </w:tcMar>
            <w:vAlign w:val="center"/>
          </w:tcPr>
          <w:p w14:paraId="769B81C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隔离的情景方案、对比结果</w:t>
            </w:r>
          </w:p>
        </w:tc>
        <w:tc>
          <w:tcPr>
            <w:tcW w:w="873" w:type="dxa"/>
            <w:shd w:val="clear" w:color="auto" w:fill="auto"/>
            <w:noWrap w:val="0"/>
            <w:tcMar>
              <w:top w:w="-1" w:type="dxa"/>
              <w:left w:w="-1" w:type="dxa"/>
              <w:bottom w:w="-1" w:type="dxa"/>
              <w:right w:w="-1" w:type="dxa"/>
            </w:tcMar>
            <w:vAlign w:val="center"/>
          </w:tcPr>
          <w:p w14:paraId="5B4F79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AI优化平台、SCOS各业务模块</w:t>
            </w:r>
          </w:p>
        </w:tc>
      </w:tr>
      <w:tr w14:paraId="0373A2D1">
        <w:trPr>
          <w:trHeight w:val="0" w:hRule="atLeast"/>
          <w:jc w:val="center"/>
        </w:trPr>
        <w:tc>
          <w:tcPr>
            <w:tcW w:w="1372" w:type="dxa"/>
            <w:shd w:val="clear" w:color="auto" w:fill="auto"/>
            <w:noWrap w:val="0"/>
            <w:tcMar>
              <w:top w:w="80" w:type="dxa"/>
              <w:left w:w="80" w:type="dxa"/>
              <w:bottom w:w="80" w:type="dxa"/>
              <w:right w:w="80" w:type="dxa"/>
            </w:tcMar>
            <w:vAlign w:val="center"/>
          </w:tcPr>
          <w:p w14:paraId="27DE8C0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279C1D3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优化任务编排与求解服务</w:t>
            </w:r>
          </w:p>
        </w:tc>
        <w:tc>
          <w:tcPr>
            <w:tcW w:w="2115" w:type="dxa"/>
            <w:shd w:val="clear" w:color="auto" w:fill="auto"/>
            <w:noWrap w:val="0"/>
            <w:tcMar>
              <w:top w:w="-1" w:type="dxa"/>
              <w:left w:w="-1" w:type="dxa"/>
              <w:bottom w:w="-1" w:type="dxa"/>
              <w:right w:w="-1" w:type="dxa"/>
            </w:tcMar>
            <w:vAlign w:val="center"/>
          </w:tcPr>
          <w:p w14:paraId="70C29B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F-ZLTC-SCOS-YHSJFW-010</w:t>
            </w:r>
          </w:p>
        </w:tc>
        <w:tc>
          <w:tcPr>
            <w:tcW w:w="3054" w:type="dxa"/>
            <w:shd w:val="clear" w:color="auto" w:fill="auto"/>
            <w:noWrap w:val="0"/>
            <w:tcMar>
              <w:top w:w="-1" w:type="dxa"/>
              <w:left w:w="-1" w:type="dxa"/>
              <w:bottom w:w="-1" w:type="dxa"/>
              <w:right w:w="-1" w:type="dxa"/>
            </w:tcMar>
            <w:vAlign w:val="center"/>
          </w:tcPr>
          <w:p w14:paraId="07B9E13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按定时、业务事件或人工触发方式创建优化任务，完成输入准备、模型调用、超时控制、失败重试、结果校验和候选方案排序；求解失败时输出明确原因并按配置降级为规则建议或人工处理。</w:t>
            </w:r>
          </w:p>
        </w:tc>
        <w:tc>
          <w:tcPr>
            <w:tcW w:w="1098" w:type="dxa"/>
            <w:shd w:val="clear" w:color="auto" w:fill="auto"/>
            <w:noWrap w:val="0"/>
            <w:tcMar>
              <w:top w:w="-1" w:type="dxa"/>
              <w:left w:w="-1" w:type="dxa"/>
              <w:bottom w:w="-1" w:type="dxa"/>
              <w:right w:w="-1" w:type="dxa"/>
            </w:tcMar>
            <w:vAlign w:val="center"/>
          </w:tcPr>
          <w:p w14:paraId="78D65D3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优化任务、输入数据、模型参数及触发事件</w:t>
            </w:r>
          </w:p>
        </w:tc>
        <w:tc>
          <w:tcPr>
            <w:tcW w:w="907" w:type="dxa"/>
            <w:shd w:val="clear" w:color="auto" w:fill="auto"/>
            <w:noWrap w:val="0"/>
            <w:tcMar>
              <w:top w:w="-1" w:type="dxa"/>
              <w:left w:w="-1" w:type="dxa"/>
              <w:bottom w:w="-1" w:type="dxa"/>
              <w:right w:w="-1" w:type="dxa"/>
            </w:tcMar>
            <w:vAlign w:val="center"/>
          </w:tcPr>
          <w:p w14:paraId="6C71FB2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候选方案、求解日志及失败原因</w:t>
            </w:r>
          </w:p>
        </w:tc>
        <w:tc>
          <w:tcPr>
            <w:tcW w:w="873" w:type="dxa"/>
            <w:shd w:val="clear" w:color="auto" w:fill="auto"/>
            <w:noWrap w:val="0"/>
            <w:tcMar>
              <w:top w:w="-1" w:type="dxa"/>
              <w:left w:w="-1" w:type="dxa"/>
              <w:bottom w:w="-1" w:type="dxa"/>
              <w:right w:w="-1" w:type="dxa"/>
            </w:tcMar>
            <w:vAlign w:val="center"/>
          </w:tcPr>
          <w:p w14:paraId="237E8E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AI优化平台、SCOS各业务模块</w:t>
            </w:r>
          </w:p>
        </w:tc>
      </w:tr>
      <w:tr w14:paraId="5C34986E">
        <w:trPr>
          <w:trHeight w:val="0" w:hRule="atLeast"/>
          <w:jc w:val="center"/>
        </w:trPr>
        <w:tc>
          <w:tcPr>
            <w:tcW w:w="1372" w:type="dxa"/>
            <w:shd w:val="clear" w:color="auto" w:fill="auto"/>
            <w:noWrap w:val="0"/>
            <w:tcMar>
              <w:top w:w="80" w:type="dxa"/>
              <w:left w:w="80" w:type="dxa"/>
              <w:bottom w:w="80" w:type="dxa"/>
              <w:right w:w="80" w:type="dxa"/>
            </w:tcMar>
            <w:vAlign w:val="center"/>
          </w:tcPr>
          <w:p w14:paraId="4774DEE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373C5C5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数据版本与血缘追溯</w:t>
            </w:r>
          </w:p>
        </w:tc>
        <w:tc>
          <w:tcPr>
            <w:tcW w:w="2115" w:type="dxa"/>
            <w:shd w:val="clear" w:color="auto" w:fill="auto"/>
            <w:noWrap w:val="0"/>
            <w:tcMar>
              <w:top w:w="-1" w:type="dxa"/>
              <w:left w:w="-1" w:type="dxa"/>
              <w:bottom w:w="-1" w:type="dxa"/>
              <w:right w:w="-1" w:type="dxa"/>
            </w:tcMar>
            <w:vAlign w:val="center"/>
          </w:tcPr>
          <w:p w14:paraId="45ECB7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F-ZLTC-SCOS-YHSJFW-011</w:t>
            </w:r>
          </w:p>
        </w:tc>
        <w:tc>
          <w:tcPr>
            <w:tcW w:w="3054" w:type="dxa"/>
            <w:shd w:val="clear" w:color="auto" w:fill="auto"/>
            <w:noWrap w:val="0"/>
            <w:tcMar>
              <w:top w:w="-1" w:type="dxa"/>
              <w:left w:w="-1" w:type="dxa"/>
              <w:bottom w:w="-1" w:type="dxa"/>
              <w:right w:w="-1" w:type="dxa"/>
            </w:tcMar>
            <w:vAlign w:val="center"/>
          </w:tcPr>
          <w:p w14:paraId="3E723D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为每次计算保存输入快照、来源API、字段映射、处理步骤、模型版本、参数版本、候选方案、人工调整、审批发布和执行反馈，形成从源数据到决策结果的完整血缘链路，满足复核、审计和问题追踪。</w:t>
            </w:r>
          </w:p>
        </w:tc>
        <w:tc>
          <w:tcPr>
            <w:tcW w:w="1098" w:type="dxa"/>
            <w:shd w:val="clear" w:color="auto" w:fill="auto"/>
            <w:noWrap w:val="0"/>
            <w:tcMar>
              <w:top w:w="-1" w:type="dxa"/>
              <w:left w:w="-1" w:type="dxa"/>
              <w:bottom w:w="-1" w:type="dxa"/>
              <w:right w:w="-1" w:type="dxa"/>
            </w:tcMar>
            <w:vAlign w:val="center"/>
          </w:tcPr>
          <w:p w14:paraId="71C7D99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源数据、处理步骤、模型与审批执行记录</w:t>
            </w:r>
          </w:p>
        </w:tc>
        <w:tc>
          <w:tcPr>
            <w:tcW w:w="907" w:type="dxa"/>
            <w:shd w:val="clear" w:color="auto" w:fill="auto"/>
            <w:noWrap w:val="0"/>
            <w:tcMar>
              <w:top w:w="-1" w:type="dxa"/>
              <w:left w:w="-1" w:type="dxa"/>
              <w:bottom w:w="-1" w:type="dxa"/>
              <w:right w:w="-1" w:type="dxa"/>
            </w:tcMar>
            <w:vAlign w:val="center"/>
          </w:tcPr>
          <w:p w14:paraId="05CB1A9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端到端血缘链路、审计证据</w:t>
            </w:r>
          </w:p>
        </w:tc>
        <w:tc>
          <w:tcPr>
            <w:tcW w:w="873" w:type="dxa"/>
            <w:shd w:val="clear" w:color="auto" w:fill="auto"/>
            <w:noWrap w:val="0"/>
            <w:tcMar>
              <w:top w:w="-1" w:type="dxa"/>
              <w:left w:w="-1" w:type="dxa"/>
              <w:bottom w:w="-1" w:type="dxa"/>
              <w:right w:w="-1" w:type="dxa"/>
            </w:tcMar>
            <w:vAlign w:val="center"/>
          </w:tcPr>
          <w:p w14:paraId="576941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统一数据服务层、SCOS各业务模块</w:t>
            </w:r>
          </w:p>
        </w:tc>
      </w:tr>
      <w:tr w14:paraId="0511637D">
        <w:trPr>
          <w:trHeight w:val="0" w:hRule="atLeast"/>
          <w:jc w:val="center"/>
        </w:trPr>
        <w:tc>
          <w:tcPr>
            <w:tcW w:w="1372" w:type="dxa"/>
            <w:shd w:val="clear" w:color="auto" w:fill="auto"/>
            <w:noWrap w:val="0"/>
            <w:tcMar>
              <w:top w:w="80" w:type="dxa"/>
              <w:left w:w="80" w:type="dxa"/>
              <w:bottom w:w="80" w:type="dxa"/>
              <w:right w:w="80" w:type="dxa"/>
            </w:tcMar>
            <w:vAlign w:val="center"/>
          </w:tcPr>
          <w:p w14:paraId="7C1805E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优化数据准备与模型服务模块</w:t>
            </w:r>
          </w:p>
        </w:tc>
        <w:tc>
          <w:tcPr>
            <w:tcW w:w="1472" w:type="dxa"/>
            <w:shd w:val="clear" w:color="auto" w:fill="auto"/>
            <w:noWrap w:val="0"/>
            <w:tcMar>
              <w:top w:w="-1" w:type="dxa"/>
              <w:left w:w="-1" w:type="dxa"/>
              <w:bottom w:w="-1" w:type="dxa"/>
              <w:right w:w="-1" w:type="dxa"/>
            </w:tcMar>
            <w:vAlign w:val="center"/>
          </w:tcPr>
          <w:p w14:paraId="5D99E8D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模型性能监控与反馈</w:t>
            </w:r>
          </w:p>
        </w:tc>
        <w:tc>
          <w:tcPr>
            <w:tcW w:w="2115" w:type="dxa"/>
            <w:shd w:val="clear" w:color="auto" w:fill="auto"/>
            <w:noWrap w:val="0"/>
            <w:tcMar>
              <w:top w:w="-1" w:type="dxa"/>
              <w:left w:w="-1" w:type="dxa"/>
              <w:bottom w:w="-1" w:type="dxa"/>
              <w:right w:w="-1" w:type="dxa"/>
            </w:tcMar>
            <w:vAlign w:val="center"/>
          </w:tcPr>
          <w:p w14:paraId="71A441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F-ZLTC-SCOS-YHSJFW-012</w:t>
            </w:r>
          </w:p>
        </w:tc>
        <w:tc>
          <w:tcPr>
            <w:tcW w:w="3054" w:type="dxa"/>
            <w:shd w:val="clear" w:color="auto" w:fill="auto"/>
            <w:noWrap w:val="0"/>
            <w:tcMar>
              <w:top w:w="-1" w:type="dxa"/>
              <w:left w:w="-1" w:type="dxa"/>
              <w:bottom w:w="-1" w:type="dxa"/>
              <w:right w:w="-1" w:type="dxa"/>
            </w:tcMar>
            <w:vAlign w:val="center"/>
          </w:tcPr>
          <w:p w14:paraId="29FE902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持续监控求解时长、成功率、可行解率、资源消耗、预测偏差和业务目标达成情况，并将采购、库存、排程、成本及追溯的实际执行结果与模型输出对比，用于参数校准、模型迭代和策略有效性评估。</w:t>
            </w:r>
          </w:p>
        </w:tc>
        <w:tc>
          <w:tcPr>
            <w:tcW w:w="1098" w:type="dxa"/>
            <w:shd w:val="clear" w:color="auto" w:fill="auto"/>
            <w:noWrap w:val="0"/>
            <w:tcMar>
              <w:top w:w="-1" w:type="dxa"/>
              <w:left w:w="-1" w:type="dxa"/>
              <w:bottom w:w="-1" w:type="dxa"/>
              <w:right w:w="-1" w:type="dxa"/>
            </w:tcMar>
            <w:vAlign w:val="center"/>
          </w:tcPr>
          <w:p w14:paraId="148DDDA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模型运行指标、优化结果及实际执行数据</w:t>
            </w:r>
          </w:p>
        </w:tc>
        <w:tc>
          <w:tcPr>
            <w:tcW w:w="907" w:type="dxa"/>
            <w:shd w:val="clear" w:color="auto" w:fill="auto"/>
            <w:noWrap w:val="0"/>
            <w:tcMar>
              <w:top w:w="-1" w:type="dxa"/>
              <w:left w:w="-1" w:type="dxa"/>
              <w:bottom w:w="-1" w:type="dxa"/>
              <w:right w:w="-1" w:type="dxa"/>
            </w:tcMar>
            <w:vAlign w:val="center"/>
          </w:tcPr>
          <w:p w14:paraId="1E0C3A4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性能监控报表、校准与迭代建议</w:t>
            </w:r>
          </w:p>
        </w:tc>
        <w:tc>
          <w:tcPr>
            <w:tcW w:w="873" w:type="dxa"/>
            <w:shd w:val="clear" w:color="auto" w:fill="auto"/>
            <w:noWrap w:val="0"/>
            <w:tcMar>
              <w:top w:w="-1" w:type="dxa"/>
              <w:left w:w="-1" w:type="dxa"/>
              <w:bottom w:w="-1" w:type="dxa"/>
              <w:right w:w="-1" w:type="dxa"/>
            </w:tcMar>
            <w:vAlign w:val="center"/>
          </w:tcPr>
          <w:p w14:paraId="2E6B79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AI优化平台、SAP、MES、WMS、TMS</w:t>
            </w:r>
          </w:p>
        </w:tc>
      </w:tr>
      <w:tr w14:paraId="59508B93">
        <w:trPr>
          <w:trHeight w:val="0" w:hRule="atLeast"/>
          <w:jc w:val="center"/>
        </w:trPr>
        <w:tc>
          <w:tcPr>
            <w:tcW w:w="1372" w:type="dxa"/>
            <w:shd w:val="clear" w:color="auto" w:fill="auto"/>
            <w:noWrap w:val="0"/>
            <w:tcMar>
              <w:top w:w="80" w:type="dxa"/>
              <w:left w:w="80" w:type="dxa"/>
              <w:bottom w:w="80" w:type="dxa"/>
              <w:right w:w="80" w:type="dxa"/>
            </w:tcMar>
            <w:vAlign w:val="center"/>
          </w:tcPr>
          <w:p w14:paraId="14E9E47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212C4B1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全局态势总览</w:t>
            </w:r>
          </w:p>
        </w:tc>
        <w:tc>
          <w:tcPr>
            <w:tcW w:w="2115" w:type="dxa"/>
            <w:shd w:val="clear" w:color="auto" w:fill="auto"/>
            <w:noWrap w:val="0"/>
            <w:tcMar>
              <w:top w:w="-1" w:type="dxa"/>
              <w:left w:w="-1" w:type="dxa"/>
              <w:bottom w:w="-1" w:type="dxa"/>
              <w:right w:w="-1" w:type="dxa"/>
            </w:tcMar>
            <w:vAlign w:val="center"/>
          </w:tcPr>
          <w:p w14:paraId="399F12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58F8734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集中展示今日产销达成率、成品库存周转天数、订单准时交付率、供应链总运营成本、现金循环周期等核心KPI，并呈现指标当前值、目标值、趋势、健康状态和更新时间，形成管理层一站式供应链态势视图。</w:t>
            </w:r>
          </w:p>
        </w:tc>
        <w:tc>
          <w:tcPr>
            <w:tcW w:w="1098" w:type="dxa"/>
            <w:shd w:val="clear" w:color="auto" w:fill="auto"/>
            <w:noWrap w:val="0"/>
            <w:tcMar>
              <w:top w:w="-1" w:type="dxa"/>
              <w:left w:w="-1" w:type="dxa"/>
              <w:bottom w:w="-1" w:type="dxa"/>
              <w:right w:w="-1" w:type="dxa"/>
            </w:tcMar>
            <w:vAlign w:val="center"/>
          </w:tcPr>
          <w:p w14:paraId="1C964FA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产销、库存、交付、成本及资金KPI</w:t>
            </w:r>
          </w:p>
        </w:tc>
        <w:tc>
          <w:tcPr>
            <w:tcW w:w="907" w:type="dxa"/>
            <w:shd w:val="clear" w:color="auto" w:fill="auto"/>
            <w:noWrap w:val="0"/>
            <w:tcMar>
              <w:top w:w="-1" w:type="dxa"/>
              <w:left w:w="-1" w:type="dxa"/>
              <w:bottom w:w="-1" w:type="dxa"/>
              <w:right w:w="-1" w:type="dxa"/>
            </w:tcMar>
            <w:vAlign w:val="center"/>
          </w:tcPr>
          <w:p w14:paraId="3A0E22E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全局态势看板、指标健康状态</w:t>
            </w:r>
          </w:p>
        </w:tc>
        <w:tc>
          <w:tcPr>
            <w:tcW w:w="873" w:type="dxa"/>
            <w:shd w:val="clear" w:color="auto" w:fill="auto"/>
            <w:noWrap w:val="0"/>
            <w:tcMar>
              <w:top w:w="-1" w:type="dxa"/>
              <w:left w:w="-1" w:type="dxa"/>
              <w:bottom w:w="-1" w:type="dxa"/>
              <w:right w:w="-1" w:type="dxa"/>
            </w:tcMar>
            <w:vAlign w:val="center"/>
          </w:tcPr>
          <w:p w14:paraId="226C4A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SAP、MES、WMS、TMS、CRM</w:t>
            </w:r>
          </w:p>
        </w:tc>
      </w:tr>
      <w:tr w14:paraId="39B8A7BC">
        <w:trPr>
          <w:trHeight w:val="0" w:hRule="atLeast"/>
          <w:jc w:val="center"/>
        </w:trPr>
        <w:tc>
          <w:tcPr>
            <w:tcW w:w="1372" w:type="dxa"/>
            <w:shd w:val="clear" w:color="auto" w:fill="auto"/>
            <w:noWrap w:val="0"/>
            <w:tcMar>
              <w:top w:w="80" w:type="dxa"/>
              <w:left w:w="80" w:type="dxa"/>
              <w:bottom w:w="80" w:type="dxa"/>
              <w:right w:w="80" w:type="dxa"/>
            </w:tcMar>
            <w:vAlign w:val="center"/>
          </w:tcPr>
          <w:p w14:paraId="709AD18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3B02AB2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全局供应链地图</w:t>
            </w:r>
          </w:p>
        </w:tc>
        <w:tc>
          <w:tcPr>
            <w:tcW w:w="2115" w:type="dxa"/>
            <w:shd w:val="clear" w:color="auto" w:fill="auto"/>
            <w:noWrap w:val="0"/>
            <w:tcMar>
              <w:top w:w="-1" w:type="dxa"/>
              <w:left w:w="-1" w:type="dxa"/>
              <w:bottom w:w="-1" w:type="dxa"/>
              <w:right w:w="-1" w:type="dxa"/>
            </w:tcMar>
            <w:vAlign w:val="center"/>
          </w:tcPr>
          <w:p w14:paraId="7C2BE1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F-ZLTC-SCOS-GYLJSC-002</w:t>
            </w:r>
          </w:p>
        </w:tc>
        <w:tc>
          <w:tcPr>
            <w:tcW w:w="3054" w:type="dxa"/>
            <w:shd w:val="clear" w:color="auto" w:fill="auto"/>
            <w:noWrap w:val="0"/>
            <w:tcMar>
              <w:top w:w="-1" w:type="dxa"/>
              <w:left w:w="-1" w:type="dxa"/>
              <w:bottom w:w="-1" w:type="dxa"/>
              <w:right w:w="-1" w:type="dxa"/>
            </w:tcMar>
            <w:vAlign w:val="center"/>
          </w:tcPr>
          <w:p w14:paraId="3EEA3BE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基于地图和业务网络展示供应商、工厂、仓库、客户及运输节点的地理分布，动态呈现在途车辆位置与状态，并用颜色编码标识库存、生产、交付和质量等节点健康状态。</w:t>
            </w:r>
          </w:p>
        </w:tc>
        <w:tc>
          <w:tcPr>
            <w:tcW w:w="1098" w:type="dxa"/>
            <w:shd w:val="clear" w:color="auto" w:fill="auto"/>
            <w:noWrap w:val="0"/>
            <w:tcMar>
              <w:top w:w="-1" w:type="dxa"/>
              <w:left w:w="-1" w:type="dxa"/>
              <w:bottom w:w="-1" w:type="dxa"/>
              <w:right w:w="-1" w:type="dxa"/>
            </w:tcMar>
            <w:vAlign w:val="center"/>
          </w:tcPr>
          <w:p w14:paraId="51197F4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供应商、工厂、仓库、客户及在途节点数据</w:t>
            </w:r>
          </w:p>
        </w:tc>
        <w:tc>
          <w:tcPr>
            <w:tcW w:w="907" w:type="dxa"/>
            <w:shd w:val="clear" w:color="auto" w:fill="auto"/>
            <w:noWrap w:val="0"/>
            <w:tcMar>
              <w:top w:w="-1" w:type="dxa"/>
              <w:left w:w="-1" w:type="dxa"/>
              <w:bottom w:w="-1" w:type="dxa"/>
              <w:right w:w="-1" w:type="dxa"/>
            </w:tcMar>
            <w:vAlign w:val="center"/>
          </w:tcPr>
          <w:p w14:paraId="799679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供应链地图、节点状态与在途轨迹</w:t>
            </w:r>
          </w:p>
        </w:tc>
        <w:tc>
          <w:tcPr>
            <w:tcW w:w="873" w:type="dxa"/>
            <w:shd w:val="clear" w:color="auto" w:fill="auto"/>
            <w:noWrap w:val="0"/>
            <w:tcMar>
              <w:top w:w="-1" w:type="dxa"/>
              <w:left w:w="-1" w:type="dxa"/>
              <w:bottom w:w="-1" w:type="dxa"/>
              <w:right w:w="-1" w:type="dxa"/>
            </w:tcMar>
            <w:vAlign w:val="center"/>
          </w:tcPr>
          <w:p w14:paraId="458EF5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WMS、TMS、SAP、CRM</w:t>
            </w:r>
          </w:p>
        </w:tc>
      </w:tr>
      <w:tr w14:paraId="0CA85CE9">
        <w:trPr>
          <w:trHeight w:val="0" w:hRule="atLeast"/>
          <w:jc w:val="center"/>
        </w:trPr>
        <w:tc>
          <w:tcPr>
            <w:tcW w:w="1372" w:type="dxa"/>
            <w:shd w:val="clear" w:color="auto" w:fill="auto"/>
            <w:noWrap w:val="0"/>
            <w:tcMar>
              <w:top w:w="80" w:type="dxa"/>
              <w:left w:w="80" w:type="dxa"/>
              <w:bottom w:w="80" w:type="dxa"/>
              <w:right w:w="80" w:type="dxa"/>
            </w:tcMar>
            <w:vAlign w:val="center"/>
          </w:tcPr>
          <w:p w14:paraId="17E7628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74FCD0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产销协同专题视图</w:t>
            </w:r>
          </w:p>
        </w:tc>
        <w:tc>
          <w:tcPr>
            <w:tcW w:w="2115" w:type="dxa"/>
            <w:shd w:val="clear" w:color="auto" w:fill="auto"/>
            <w:noWrap w:val="0"/>
            <w:tcMar>
              <w:top w:w="-1" w:type="dxa"/>
              <w:left w:w="-1" w:type="dxa"/>
              <w:bottom w:w="-1" w:type="dxa"/>
              <w:right w:w="-1" w:type="dxa"/>
            </w:tcMar>
            <w:vAlign w:val="center"/>
          </w:tcPr>
          <w:p w14:paraId="514BBC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F-ZLTC-SCOS-GYLJSC-003</w:t>
            </w:r>
          </w:p>
        </w:tc>
        <w:tc>
          <w:tcPr>
            <w:tcW w:w="3054" w:type="dxa"/>
            <w:shd w:val="clear" w:color="auto" w:fill="auto"/>
            <w:noWrap w:val="0"/>
            <w:tcMar>
              <w:top w:w="-1" w:type="dxa"/>
              <w:left w:w="-1" w:type="dxa"/>
              <w:bottom w:w="-1" w:type="dxa"/>
              <w:right w:w="-1" w:type="dxa"/>
            </w:tcMar>
            <w:vAlign w:val="center"/>
          </w:tcPr>
          <w:p w14:paraId="03B7D12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对比需求预测、销售订单、生产计划和实际产量，展示各产线排程与执行进度，高亮瓶颈工序、延期订单及未来生产需求与原料保障的匹配关系，支持按时间、产品、客户和订单下钻。</w:t>
            </w:r>
          </w:p>
        </w:tc>
        <w:tc>
          <w:tcPr>
            <w:tcW w:w="1098" w:type="dxa"/>
            <w:shd w:val="clear" w:color="auto" w:fill="auto"/>
            <w:noWrap w:val="0"/>
            <w:tcMar>
              <w:top w:w="-1" w:type="dxa"/>
              <w:left w:w="-1" w:type="dxa"/>
              <w:bottom w:w="-1" w:type="dxa"/>
              <w:right w:w="-1" w:type="dxa"/>
            </w:tcMar>
            <w:vAlign w:val="center"/>
          </w:tcPr>
          <w:p w14:paraId="4A6E41D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需求预测、订单、生产计划、排程及产量</w:t>
            </w:r>
          </w:p>
        </w:tc>
        <w:tc>
          <w:tcPr>
            <w:tcW w:w="907" w:type="dxa"/>
            <w:shd w:val="clear" w:color="auto" w:fill="auto"/>
            <w:noWrap w:val="0"/>
            <w:tcMar>
              <w:top w:w="-1" w:type="dxa"/>
              <w:left w:w="-1" w:type="dxa"/>
              <w:bottom w:w="-1" w:type="dxa"/>
              <w:right w:w="-1" w:type="dxa"/>
            </w:tcMar>
            <w:vAlign w:val="center"/>
          </w:tcPr>
          <w:p w14:paraId="05A5DBD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产销差异、瓶颈与延期分析视图</w:t>
            </w:r>
          </w:p>
        </w:tc>
        <w:tc>
          <w:tcPr>
            <w:tcW w:w="873" w:type="dxa"/>
            <w:shd w:val="clear" w:color="auto" w:fill="auto"/>
            <w:noWrap w:val="0"/>
            <w:tcMar>
              <w:top w:w="-1" w:type="dxa"/>
              <w:left w:w="-1" w:type="dxa"/>
              <w:bottom w:w="-1" w:type="dxa"/>
              <w:right w:w="-1" w:type="dxa"/>
            </w:tcMar>
            <w:vAlign w:val="center"/>
          </w:tcPr>
          <w:p w14:paraId="5F5C38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CRM、SAP、MES、精益生产排程模块</w:t>
            </w:r>
          </w:p>
        </w:tc>
      </w:tr>
      <w:tr w14:paraId="1B3769F9">
        <w:trPr>
          <w:trHeight w:val="0" w:hRule="atLeast"/>
          <w:jc w:val="center"/>
        </w:trPr>
        <w:tc>
          <w:tcPr>
            <w:tcW w:w="1372" w:type="dxa"/>
            <w:shd w:val="clear" w:color="auto" w:fill="auto"/>
            <w:noWrap w:val="0"/>
            <w:tcMar>
              <w:top w:w="80" w:type="dxa"/>
              <w:left w:w="80" w:type="dxa"/>
              <w:bottom w:w="80" w:type="dxa"/>
              <w:right w:w="80" w:type="dxa"/>
            </w:tcMar>
            <w:vAlign w:val="center"/>
          </w:tcPr>
          <w:p w14:paraId="25D9E4C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0F57562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储运效率专题视图</w:t>
            </w:r>
          </w:p>
        </w:tc>
        <w:tc>
          <w:tcPr>
            <w:tcW w:w="2115" w:type="dxa"/>
            <w:shd w:val="clear" w:color="auto" w:fill="auto"/>
            <w:noWrap w:val="0"/>
            <w:tcMar>
              <w:top w:w="-1" w:type="dxa"/>
              <w:left w:w="-1" w:type="dxa"/>
              <w:bottom w:w="-1" w:type="dxa"/>
              <w:right w:w="-1" w:type="dxa"/>
            </w:tcMar>
            <w:vAlign w:val="center"/>
          </w:tcPr>
          <w:p w14:paraId="41A679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F-ZLTC-SCOS-GYLJSC-004</w:t>
            </w:r>
          </w:p>
        </w:tc>
        <w:tc>
          <w:tcPr>
            <w:tcW w:w="3054" w:type="dxa"/>
            <w:shd w:val="clear" w:color="auto" w:fill="auto"/>
            <w:noWrap w:val="0"/>
            <w:tcMar>
              <w:top w:w="-1" w:type="dxa"/>
              <w:left w:w="-1" w:type="dxa"/>
              <w:bottom w:w="-1" w:type="dxa"/>
              <w:right w:w="-1" w:type="dxa"/>
            </w:tcMar>
            <w:vAlign w:val="center"/>
          </w:tcPr>
          <w:p w14:paraId="4BD7E91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展示原料、在制品和产成品的全网库存、库龄、仓储利用率及吞吐量，监控车辆满载率、在途时效、运输成本和异常节点，并关联WMS、TMS及库存优化结果进行分析。</w:t>
            </w:r>
          </w:p>
        </w:tc>
        <w:tc>
          <w:tcPr>
            <w:tcW w:w="1098" w:type="dxa"/>
            <w:shd w:val="clear" w:color="auto" w:fill="auto"/>
            <w:noWrap w:val="0"/>
            <w:tcMar>
              <w:top w:w="-1" w:type="dxa"/>
              <w:left w:w="-1" w:type="dxa"/>
              <w:bottom w:w="-1" w:type="dxa"/>
              <w:right w:w="-1" w:type="dxa"/>
            </w:tcMar>
            <w:vAlign w:val="center"/>
          </w:tcPr>
          <w:p w14:paraId="5C659F1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库存、库龄、仓容、吞吐及运输数据</w:t>
            </w:r>
          </w:p>
        </w:tc>
        <w:tc>
          <w:tcPr>
            <w:tcW w:w="907" w:type="dxa"/>
            <w:shd w:val="clear" w:color="auto" w:fill="auto"/>
            <w:noWrap w:val="0"/>
            <w:tcMar>
              <w:top w:w="-1" w:type="dxa"/>
              <w:left w:w="-1" w:type="dxa"/>
              <w:bottom w:w="-1" w:type="dxa"/>
              <w:right w:w="-1" w:type="dxa"/>
            </w:tcMar>
            <w:vAlign w:val="center"/>
          </w:tcPr>
          <w:p w14:paraId="6629F3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仓储运输效率视图、异常节点</w:t>
            </w:r>
          </w:p>
        </w:tc>
        <w:tc>
          <w:tcPr>
            <w:tcW w:w="873" w:type="dxa"/>
            <w:shd w:val="clear" w:color="auto" w:fill="auto"/>
            <w:noWrap w:val="0"/>
            <w:tcMar>
              <w:top w:w="-1" w:type="dxa"/>
              <w:left w:w="-1" w:type="dxa"/>
              <w:bottom w:w="-1" w:type="dxa"/>
              <w:right w:w="-1" w:type="dxa"/>
            </w:tcMar>
            <w:vAlign w:val="center"/>
          </w:tcPr>
          <w:p w14:paraId="27366F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WMS、TMS、安全库存优化模块</w:t>
            </w:r>
          </w:p>
        </w:tc>
      </w:tr>
      <w:tr w14:paraId="3B6ED510">
        <w:trPr>
          <w:trHeight w:val="0" w:hRule="atLeast"/>
          <w:jc w:val="center"/>
        </w:trPr>
        <w:tc>
          <w:tcPr>
            <w:tcW w:w="1372" w:type="dxa"/>
            <w:shd w:val="clear" w:color="auto" w:fill="auto"/>
            <w:noWrap w:val="0"/>
            <w:tcMar>
              <w:top w:w="80" w:type="dxa"/>
              <w:left w:w="80" w:type="dxa"/>
              <w:bottom w:w="80" w:type="dxa"/>
              <w:right w:w="80" w:type="dxa"/>
            </w:tcMar>
            <w:vAlign w:val="center"/>
          </w:tcPr>
          <w:p w14:paraId="7A7B2B7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7F27AA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环保与能源专题视图</w:t>
            </w:r>
          </w:p>
        </w:tc>
        <w:tc>
          <w:tcPr>
            <w:tcW w:w="2115" w:type="dxa"/>
            <w:shd w:val="clear" w:color="auto" w:fill="auto"/>
            <w:noWrap w:val="0"/>
            <w:tcMar>
              <w:top w:w="-1" w:type="dxa"/>
              <w:left w:w="-1" w:type="dxa"/>
              <w:bottom w:w="-1" w:type="dxa"/>
              <w:right w:w="-1" w:type="dxa"/>
            </w:tcMar>
            <w:vAlign w:val="center"/>
          </w:tcPr>
          <w:p w14:paraId="700E3F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F-ZLTC-SCOS-GYLJSC-005</w:t>
            </w:r>
          </w:p>
        </w:tc>
        <w:tc>
          <w:tcPr>
            <w:tcW w:w="3054" w:type="dxa"/>
            <w:shd w:val="clear" w:color="auto" w:fill="auto"/>
            <w:noWrap w:val="0"/>
            <w:tcMar>
              <w:top w:w="-1" w:type="dxa"/>
              <w:left w:w="-1" w:type="dxa"/>
              <w:bottom w:w="-1" w:type="dxa"/>
              <w:right w:w="-1" w:type="dxa"/>
            </w:tcMar>
            <w:vAlign w:val="center"/>
          </w:tcPr>
          <w:p w14:paraId="27998C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实时监控吨产品耗水、耗电、耗汽等能耗指标及废水排放量、COD浓度等环保指标，结合产量、排程和成本数据分析能源成本与生产运行的关系，对越限指标触发预警。</w:t>
            </w:r>
          </w:p>
        </w:tc>
        <w:tc>
          <w:tcPr>
            <w:tcW w:w="1098" w:type="dxa"/>
            <w:shd w:val="clear" w:color="auto" w:fill="auto"/>
            <w:noWrap w:val="0"/>
            <w:tcMar>
              <w:top w:w="-1" w:type="dxa"/>
              <w:left w:w="-1" w:type="dxa"/>
              <w:bottom w:w="-1" w:type="dxa"/>
              <w:right w:w="-1" w:type="dxa"/>
            </w:tcMar>
            <w:vAlign w:val="center"/>
          </w:tcPr>
          <w:p w14:paraId="248B495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能耗、产量、环保指标及排放数据</w:t>
            </w:r>
          </w:p>
        </w:tc>
        <w:tc>
          <w:tcPr>
            <w:tcW w:w="907" w:type="dxa"/>
            <w:shd w:val="clear" w:color="auto" w:fill="auto"/>
            <w:noWrap w:val="0"/>
            <w:tcMar>
              <w:top w:w="-1" w:type="dxa"/>
              <w:left w:w="-1" w:type="dxa"/>
              <w:bottom w:w="-1" w:type="dxa"/>
              <w:right w:w="-1" w:type="dxa"/>
            </w:tcMar>
            <w:vAlign w:val="center"/>
          </w:tcPr>
          <w:p w14:paraId="6FEE04C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能耗环保看板、越限预警</w:t>
            </w:r>
          </w:p>
        </w:tc>
        <w:tc>
          <w:tcPr>
            <w:tcW w:w="873" w:type="dxa"/>
            <w:shd w:val="clear" w:color="auto" w:fill="auto"/>
            <w:noWrap w:val="0"/>
            <w:tcMar>
              <w:top w:w="-1" w:type="dxa"/>
              <w:left w:w="-1" w:type="dxa"/>
              <w:bottom w:w="-1" w:type="dxa"/>
              <w:right w:w="-1" w:type="dxa"/>
            </w:tcMar>
            <w:vAlign w:val="center"/>
          </w:tcPr>
          <w:p w14:paraId="11776F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EMS、DCS、MES</w:t>
            </w:r>
          </w:p>
        </w:tc>
      </w:tr>
      <w:tr w14:paraId="5E8D7592">
        <w:trPr>
          <w:trHeight w:val="0" w:hRule="atLeast"/>
          <w:jc w:val="center"/>
        </w:trPr>
        <w:tc>
          <w:tcPr>
            <w:tcW w:w="1372" w:type="dxa"/>
            <w:shd w:val="clear" w:color="auto" w:fill="auto"/>
            <w:noWrap w:val="0"/>
            <w:tcMar>
              <w:top w:w="80" w:type="dxa"/>
              <w:left w:w="80" w:type="dxa"/>
              <w:bottom w:w="80" w:type="dxa"/>
              <w:right w:w="80" w:type="dxa"/>
            </w:tcMar>
            <w:vAlign w:val="center"/>
          </w:tcPr>
          <w:p w14:paraId="2E5F87C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1CDDCD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资金效率专题视图</w:t>
            </w:r>
          </w:p>
        </w:tc>
        <w:tc>
          <w:tcPr>
            <w:tcW w:w="2115" w:type="dxa"/>
            <w:shd w:val="clear" w:color="auto" w:fill="auto"/>
            <w:noWrap w:val="0"/>
            <w:tcMar>
              <w:top w:w="-1" w:type="dxa"/>
              <w:left w:w="-1" w:type="dxa"/>
              <w:bottom w:w="-1" w:type="dxa"/>
              <w:right w:w="-1" w:type="dxa"/>
            </w:tcMar>
            <w:vAlign w:val="center"/>
          </w:tcPr>
          <w:p w14:paraId="5E153A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F-ZLTC-SCOS-GYLJSC-006</w:t>
            </w:r>
          </w:p>
        </w:tc>
        <w:tc>
          <w:tcPr>
            <w:tcW w:w="3054" w:type="dxa"/>
            <w:shd w:val="clear" w:color="auto" w:fill="auto"/>
            <w:noWrap w:val="0"/>
            <w:tcMar>
              <w:top w:w="-1" w:type="dxa"/>
              <w:left w:w="-1" w:type="dxa"/>
              <w:bottom w:w="-1" w:type="dxa"/>
              <w:right w:w="-1" w:type="dxa"/>
            </w:tcMar>
            <w:vAlign w:val="center"/>
          </w:tcPr>
          <w:p w14:paraId="3BA1FF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展示应收与应付账款账龄、库存资金占用、现金循环周期和产品边际贡献率，支持下钻至物料、产品、客户和订单，识别高利润、低利润及负利润业务结构。</w:t>
            </w:r>
          </w:p>
        </w:tc>
        <w:tc>
          <w:tcPr>
            <w:tcW w:w="1098" w:type="dxa"/>
            <w:shd w:val="clear" w:color="auto" w:fill="auto"/>
            <w:noWrap w:val="0"/>
            <w:tcMar>
              <w:top w:w="-1" w:type="dxa"/>
              <w:left w:w="-1" w:type="dxa"/>
              <w:bottom w:w="-1" w:type="dxa"/>
              <w:right w:w="-1" w:type="dxa"/>
            </w:tcMar>
            <w:vAlign w:val="center"/>
          </w:tcPr>
          <w:p w14:paraId="12FC16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应收应付、库存资金、收入与成本数据</w:t>
            </w:r>
          </w:p>
        </w:tc>
        <w:tc>
          <w:tcPr>
            <w:tcW w:w="907" w:type="dxa"/>
            <w:shd w:val="clear" w:color="auto" w:fill="auto"/>
            <w:noWrap w:val="0"/>
            <w:tcMar>
              <w:top w:w="-1" w:type="dxa"/>
              <w:left w:w="-1" w:type="dxa"/>
              <w:bottom w:w="-1" w:type="dxa"/>
              <w:right w:w="-1" w:type="dxa"/>
            </w:tcMar>
            <w:vAlign w:val="center"/>
          </w:tcPr>
          <w:p w14:paraId="419D046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资金效率、现金循环与贡献分析</w:t>
            </w:r>
          </w:p>
        </w:tc>
        <w:tc>
          <w:tcPr>
            <w:tcW w:w="873" w:type="dxa"/>
            <w:shd w:val="clear" w:color="auto" w:fill="auto"/>
            <w:noWrap w:val="0"/>
            <w:tcMar>
              <w:top w:w="-1" w:type="dxa"/>
              <w:left w:w="-1" w:type="dxa"/>
              <w:bottom w:w="-1" w:type="dxa"/>
              <w:right w:w="-1" w:type="dxa"/>
            </w:tcMar>
            <w:vAlign w:val="center"/>
          </w:tcPr>
          <w:p w14:paraId="6EB2EC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SAP、统计与成本核算分析模块</w:t>
            </w:r>
          </w:p>
        </w:tc>
      </w:tr>
      <w:tr w14:paraId="1B9C57D3">
        <w:trPr>
          <w:trHeight w:val="0" w:hRule="atLeast"/>
          <w:jc w:val="center"/>
        </w:trPr>
        <w:tc>
          <w:tcPr>
            <w:tcW w:w="1372" w:type="dxa"/>
            <w:shd w:val="clear" w:color="auto" w:fill="auto"/>
            <w:noWrap w:val="0"/>
            <w:tcMar>
              <w:top w:w="80" w:type="dxa"/>
              <w:left w:w="80" w:type="dxa"/>
              <w:bottom w:w="80" w:type="dxa"/>
              <w:right w:w="80" w:type="dxa"/>
            </w:tcMar>
            <w:vAlign w:val="center"/>
          </w:tcPr>
          <w:p w14:paraId="59413B7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1DF3751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智能预警与事件管理</w:t>
            </w:r>
          </w:p>
        </w:tc>
        <w:tc>
          <w:tcPr>
            <w:tcW w:w="2115" w:type="dxa"/>
            <w:shd w:val="clear" w:color="auto" w:fill="auto"/>
            <w:noWrap w:val="0"/>
            <w:tcMar>
              <w:top w:w="-1" w:type="dxa"/>
              <w:left w:w="-1" w:type="dxa"/>
              <w:bottom w:w="-1" w:type="dxa"/>
              <w:right w:w="-1" w:type="dxa"/>
            </w:tcMar>
            <w:vAlign w:val="center"/>
          </w:tcPr>
          <w:p w14:paraId="4AF4194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F-ZLTC-SCOS-GYLJSC-007</w:t>
            </w:r>
          </w:p>
        </w:tc>
        <w:tc>
          <w:tcPr>
            <w:tcW w:w="3054" w:type="dxa"/>
            <w:shd w:val="clear" w:color="auto" w:fill="auto"/>
            <w:noWrap w:val="0"/>
            <w:tcMar>
              <w:top w:w="-1" w:type="dxa"/>
              <w:left w:w="-1" w:type="dxa"/>
              <w:bottom w:w="-1" w:type="dxa"/>
              <w:right w:w="-1" w:type="dxa"/>
            </w:tcMar>
            <w:vAlign w:val="center"/>
          </w:tcPr>
          <w:p w14:paraId="379C550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统一接收各模块规则和模型产生的预警，按紧急、警告等等级进行聚合、去重、派发、升级和关闭；预警可关联库存、排程、采购、追溯及成本对象，并保留处置责任人、时限、过程和验证结果。</w:t>
            </w:r>
          </w:p>
        </w:tc>
        <w:tc>
          <w:tcPr>
            <w:tcW w:w="1098" w:type="dxa"/>
            <w:shd w:val="clear" w:color="auto" w:fill="auto"/>
            <w:noWrap w:val="0"/>
            <w:tcMar>
              <w:top w:w="-1" w:type="dxa"/>
              <w:left w:w="-1" w:type="dxa"/>
              <w:bottom w:w="-1" w:type="dxa"/>
              <w:right w:w="-1" w:type="dxa"/>
            </w:tcMar>
            <w:vAlign w:val="center"/>
          </w:tcPr>
          <w:p w14:paraId="6962677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各模块预警、规则事件及处置状态</w:t>
            </w:r>
          </w:p>
        </w:tc>
        <w:tc>
          <w:tcPr>
            <w:tcW w:w="907" w:type="dxa"/>
            <w:shd w:val="clear" w:color="auto" w:fill="auto"/>
            <w:noWrap w:val="0"/>
            <w:tcMar>
              <w:top w:w="-1" w:type="dxa"/>
              <w:left w:w="-1" w:type="dxa"/>
              <w:bottom w:w="-1" w:type="dxa"/>
              <w:right w:w="-1" w:type="dxa"/>
            </w:tcMar>
            <w:vAlign w:val="center"/>
          </w:tcPr>
          <w:p w14:paraId="0CFA46D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预警事件、派发任务及闭环记录</w:t>
            </w:r>
          </w:p>
        </w:tc>
        <w:tc>
          <w:tcPr>
            <w:tcW w:w="873" w:type="dxa"/>
            <w:shd w:val="clear" w:color="auto" w:fill="auto"/>
            <w:noWrap w:val="0"/>
            <w:tcMar>
              <w:top w:w="-1" w:type="dxa"/>
              <w:left w:w="-1" w:type="dxa"/>
              <w:bottom w:w="-1" w:type="dxa"/>
              <w:right w:w="-1" w:type="dxa"/>
            </w:tcMar>
            <w:vAlign w:val="center"/>
          </w:tcPr>
          <w:p w14:paraId="70987B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SCOS各业务模块、消息中心</w:t>
            </w:r>
          </w:p>
        </w:tc>
      </w:tr>
      <w:tr w14:paraId="788A9354">
        <w:trPr>
          <w:trHeight w:val="0" w:hRule="atLeast"/>
          <w:jc w:val="center"/>
        </w:trPr>
        <w:tc>
          <w:tcPr>
            <w:tcW w:w="1372" w:type="dxa"/>
            <w:shd w:val="clear" w:color="auto" w:fill="auto"/>
            <w:noWrap w:val="0"/>
            <w:tcMar>
              <w:top w:w="80" w:type="dxa"/>
              <w:left w:w="80" w:type="dxa"/>
              <w:bottom w:w="80" w:type="dxa"/>
              <w:right w:w="80" w:type="dxa"/>
            </w:tcMar>
            <w:vAlign w:val="center"/>
          </w:tcPr>
          <w:p w14:paraId="6D1AD9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5B5208B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KPI钻取与根因分析</w:t>
            </w:r>
          </w:p>
        </w:tc>
        <w:tc>
          <w:tcPr>
            <w:tcW w:w="2115" w:type="dxa"/>
            <w:shd w:val="clear" w:color="auto" w:fill="auto"/>
            <w:noWrap w:val="0"/>
            <w:tcMar>
              <w:top w:w="-1" w:type="dxa"/>
              <w:left w:w="-1" w:type="dxa"/>
              <w:bottom w:w="-1" w:type="dxa"/>
              <w:right w:w="-1" w:type="dxa"/>
            </w:tcMar>
            <w:vAlign w:val="center"/>
          </w:tcPr>
          <w:p w14:paraId="457314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F-ZLTC-SCOS-GYLJSC-008</w:t>
            </w:r>
          </w:p>
        </w:tc>
        <w:tc>
          <w:tcPr>
            <w:tcW w:w="3054" w:type="dxa"/>
            <w:shd w:val="clear" w:color="auto" w:fill="auto"/>
            <w:noWrap w:val="0"/>
            <w:tcMar>
              <w:top w:w="-1" w:type="dxa"/>
              <w:left w:w="-1" w:type="dxa"/>
              <w:bottom w:w="-1" w:type="dxa"/>
              <w:right w:w="-1" w:type="dxa"/>
            </w:tcMar>
            <w:vAlign w:val="center"/>
          </w:tcPr>
          <w:p w14:paraId="18E2CD0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支持从全局KPI逐层钻取至指标口径、订单、物料、批次、供应商、客户、产线和责任环节，关联计划与实际、当前与历史、目标与偏差信息，形成可解释的根因链路和证据入口。</w:t>
            </w:r>
          </w:p>
        </w:tc>
        <w:tc>
          <w:tcPr>
            <w:tcW w:w="1098" w:type="dxa"/>
            <w:shd w:val="clear" w:color="auto" w:fill="auto"/>
            <w:noWrap w:val="0"/>
            <w:tcMar>
              <w:top w:w="-1" w:type="dxa"/>
              <w:left w:w="-1" w:type="dxa"/>
              <w:bottom w:w="-1" w:type="dxa"/>
              <w:right w:w="-1" w:type="dxa"/>
            </w:tcMar>
            <w:vAlign w:val="center"/>
          </w:tcPr>
          <w:p w14:paraId="6FFBB6D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KPI口径、计划实际及业务明细</w:t>
            </w:r>
          </w:p>
        </w:tc>
        <w:tc>
          <w:tcPr>
            <w:tcW w:w="907" w:type="dxa"/>
            <w:shd w:val="clear" w:color="auto" w:fill="auto"/>
            <w:noWrap w:val="0"/>
            <w:tcMar>
              <w:top w:w="-1" w:type="dxa"/>
              <w:left w:w="-1" w:type="dxa"/>
              <w:bottom w:w="-1" w:type="dxa"/>
              <w:right w:w="-1" w:type="dxa"/>
            </w:tcMar>
            <w:vAlign w:val="center"/>
          </w:tcPr>
          <w:p w14:paraId="37EA9BE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根因链路、下钻明细与证据入口</w:t>
            </w:r>
          </w:p>
        </w:tc>
        <w:tc>
          <w:tcPr>
            <w:tcW w:w="873" w:type="dxa"/>
            <w:shd w:val="clear" w:color="auto" w:fill="auto"/>
            <w:noWrap w:val="0"/>
            <w:tcMar>
              <w:top w:w="-1" w:type="dxa"/>
              <w:left w:w="-1" w:type="dxa"/>
              <w:bottom w:w="-1" w:type="dxa"/>
              <w:right w:w="-1" w:type="dxa"/>
            </w:tcMar>
            <w:vAlign w:val="center"/>
          </w:tcPr>
          <w:p w14:paraId="2E2676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SAP、MES、WMS、TMS、QMS/LIMS</w:t>
            </w:r>
          </w:p>
        </w:tc>
      </w:tr>
      <w:tr w14:paraId="2015D584">
        <w:trPr>
          <w:trHeight w:val="0" w:hRule="atLeast"/>
          <w:jc w:val="center"/>
        </w:trPr>
        <w:tc>
          <w:tcPr>
            <w:tcW w:w="1372" w:type="dxa"/>
            <w:shd w:val="clear" w:color="auto" w:fill="auto"/>
            <w:noWrap w:val="0"/>
            <w:tcMar>
              <w:top w:w="80" w:type="dxa"/>
              <w:left w:w="80" w:type="dxa"/>
              <w:bottom w:w="80" w:type="dxa"/>
              <w:right w:w="80" w:type="dxa"/>
            </w:tcMar>
            <w:vAlign w:val="center"/>
          </w:tcPr>
          <w:p w14:paraId="258DAF8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2E04DBA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情景模拟与决策支持</w:t>
            </w:r>
          </w:p>
        </w:tc>
        <w:tc>
          <w:tcPr>
            <w:tcW w:w="2115" w:type="dxa"/>
            <w:shd w:val="clear" w:color="auto" w:fill="auto"/>
            <w:noWrap w:val="0"/>
            <w:tcMar>
              <w:top w:w="-1" w:type="dxa"/>
              <w:left w:w="-1" w:type="dxa"/>
              <w:bottom w:w="-1" w:type="dxa"/>
              <w:right w:w="-1" w:type="dxa"/>
            </w:tcMar>
            <w:vAlign w:val="center"/>
          </w:tcPr>
          <w:p w14:paraId="704E4A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F-ZLTC-SCOS-GYLJSC-009</w:t>
            </w:r>
          </w:p>
        </w:tc>
        <w:tc>
          <w:tcPr>
            <w:tcW w:w="3054" w:type="dxa"/>
            <w:shd w:val="clear" w:color="auto" w:fill="auto"/>
            <w:noWrap w:val="0"/>
            <w:tcMar>
              <w:top w:w="-1" w:type="dxa"/>
              <w:left w:w="-1" w:type="dxa"/>
              <w:bottom w:w="-1" w:type="dxa"/>
              <w:right w:w="-1" w:type="dxa"/>
            </w:tcMar>
            <w:vAlign w:val="center"/>
          </w:tcPr>
          <w:p w14:paraId="0B06E3E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提供供应链沙盘推演，允许修改需求、价格、供应能力、交期、服务水平、产能和成本等关键参数，对比不同情景下的产能、库存、采购、交付、成本与风险影响，并保留模拟基线和方案版本。</w:t>
            </w:r>
          </w:p>
        </w:tc>
        <w:tc>
          <w:tcPr>
            <w:tcW w:w="1098" w:type="dxa"/>
            <w:shd w:val="clear" w:color="auto" w:fill="auto"/>
            <w:noWrap w:val="0"/>
            <w:tcMar>
              <w:top w:w="-1" w:type="dxa"/>
              <w:left w:w="-1" w:type="dxa"/>
              <w:bottom w:w="-1" w:type="dxa"/>
              <w:right w:w="-1" w:type="dxa"/>
            </w:tcMar>
            <w:vAlign w:val="center"/>
          </w:tcPr>
          <w:p w14:paraId="79C4339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需求、价格、供应、产能、库存与成本参数</w:t>
            </w:r>
          </w:p>
        </w:tc>
        <w:tc>
          <w:tcPr>
            <w:tcW w:w="907" w:type="dxa"/>
            <w:shd w:val="clear" w:color="auto" w:fill="auto"/>
            <w:noWrap w:val="0"/>
            <w:tcMar>
              <w:top w:w="-1" w:type="dxa"/>
              <w:left w:w="-1" w:type="dxa"/>
              <w:bottom w:w="-1" w:type="dxa"/>
              <w:right w:w="-1" w:type="dxa"/>
            </w:tcMar>
            <w:vAlign w:val="center"/>
          </w:tcPr>
          <w:p w14:paraId="24BCBA2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情景方案、影响对比与决策建议</w:t>
            </w:r>
          </w:p>
        </w:tc>
        <w:tc>
          <w:tcPr>
            <w:tcW w:w="873" w:type="dxa"/>
            <w:shd w:val="clear" w:color="auto" w:fill="auto"/>
            <w:noWrap w:val="0"/>
            <w:tcMar>
              <w:top w:w="-1" w:type="dxa"/>
              <w:left w:w="-1" w:type="dxa"/>
              <w:bottom w:w="-1" w:type="dxa"/>
              <w:right w:w="-1" w:type="dxa"/>
            </w:tcMar>
            <w:vAlign w:val="center"/>
          </w:tcPr>
          <w:p w14:paraId="3A3A82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AI优化平台、SCOS各业务模块</w:t>
            </w:r>
          </w:p>
        </w:tc>
      </w:tr>
      <w:tr w14:paraId="5FA5A61B">
        <w:trPr>
          <w:trHeight w:val="0" w:hRule="atLeast"/>
          <w:jc w:val="center"/>
        </w:trPr>
        <w:tc>
          <w:tcPr>
            <w:tcW w:w="1372" w:type="dxa"/>
            <w:shd w:val="clear" w:color="auto" w:fill="auto"/>
            <w:noWrap w:val="0"/>
            <w:tcMar>
              <w:top w:w="80" w:type="dxa"/>
              <w:left w:w="80" w:type="dxa"/>
              <w:bottom w:w="80" w:type="dxa"/>
              <w:right w:w="80" w:type="dxa"/>
            </w:tcMar>
            <w:vAlign w:val="center"/>
          </w:tcPr>
          <w:p w14:paraId="196966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742E157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方案采纳与协同闭环</w:t>
            </w:r>
          </w:p>
        </w:tc>
        <w:tc>
          <w:tcPr>
            <w:tcW w:w="2115" w:type="dxa"/>
            <w:shd w:val="clear" w:color="auto" w:fill="auto"/>
            <w:noWrap w:val="0"/>
            <w:tcMar>
              <w:top w:w="-1" w:type="dxa"/>
              <w:left w:w="-1" w:type="dxa"/>
              <w:bottom w:w="-1" w:type="dxa"/>
              <w:right w:w="-1" w:type="dxa"/>
            </w:tcMar>
            <w:vAlign w:val="center"/>
          </w:tcPr>
          <w:p w14:paraId="1A52DE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F-ZLTC-SCOS-GYLJSC-010</w:t>
            </w:r>
          </w:p>
        </w:tc>
        <w:tc>
          <w:tcPr>
            <w:tcW w:w="3054" w:type="dxa"/>
            <w:shd w:val="clear" w:color="auto" w:fill="auto"/>
            <w:noWrap w:val="0"/>
            <w:tcMar>
              <w:top w:w="-1" w:type="dxa"/>
              <w:left w:w="-1" w:type="dxa"/>
              <w:bottom w:w="-1" w:type="dxa"/>
              <w:right w:w="-1" w:type="dxa"/>
            </w:tcMar>
            <w:vAlign w:val="center"/>
          </w:tcPr>
          <w:p w14:paraId="7D30B10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将经评估采纳的模拟方案转化为采购、库存、排程、质量或成本协同任务，明确责任部门、处理时限和关联对象；驾驶舱跟踪任务执行、反馈及效果验证，但不替代原系统的正式交易和执行职责。</w:t>
            </w:r>
          </w:p>
        </w:tc>
        <w:tc>
          <w:tcPr>
            <w:tcW w:w="1098" w:type="dxa"/>
            <w:shd w:val="clear" w:color="auto" w:fill="auto"/>
            <w:noWrap w:val="0"/>
            <w:tcMar>
              <w:top w:w="-1" w:type="dxa"/>
              <w:left w:w="-1" w:type="dxa"/>
              <w:bottom w:w="-1" w:type="dxa"/>
              <w:right w:w="-1" w:type="dxa"/>
            </w:tcMar>
            <w:vAlign w:val="center"/>
          </w:tcPr>
          <w:p w14:paraId="48B636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已评估模拟方案、审批意见及责任分工</w:t>
            </w:r>
          </w:p>
        </w:tc>
        <w:tc>
          <w:tcPr>
            <w:tcW w:w="907" w:type="dxa"/>
            <w:shd w:val="clear" w:color="auto" w:fill="auto"/>
            <w:noWrap w:val="0"/>
            <w:tcMar>
              <w:top w:w="-1" w:type="dxa"/>
              <w:left w:w="-1" w:type="dxa"/>
              <w:bottom w:w="-1" w:type="dxa"/>
              <w:right w:w="-1" w:type="dxa"/>
            </w:tcMar>
            <w:vAlign w:val="center"/>
          </w:tcPr>
          <w:p w14:paraId="31978A5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协同任务、执行反馈与效果验证</w:t>
            </w:r>
          </w:p>
        </w:tc>
        <w:tc>
          <w:tcPr>
            <w:tcW w:w="873" w:type="dxa"/>
            <w:shd w:val="clear" w:color="auto" w:fill="auto"/>
            <w:noWrap w:val="0"/>
            <w:tcMar>
              <w:top w:w="-1" w:type="dxa"/>
              <w:left w:w="-1" w:type="dxa"/>
              <w:bottom w:w="-1" w:type="dxa"/>
              <w:right w:w="-1" w:type="dxa"/>
            </w:tcMar>
            <w:vAlign w:val="center"/>
          </w:tcPr>
          <w:p w14:paraId="76A825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SCOS各业务模块、OA/消息中心</w:t>
            </w:r>
          </w:p>
        </w:tc>
      </w:tr>
      <w:tr w14:paraId="4A86D90F">
        <w:trPr>
          <w:trHeight w:val="0" w:hRule="atLeast"/>
          <w:jc w:val="center"/>
        </w:trPr>
        <w:tc>
          <w:tcPr>
            <w:tcW w:w="1372" w:type="dxa"/>
            <w:shd w:val="clear" w:color="auto" w:fill="auto"/>
            <w:noWrap w:val="0"/>
            <w:tcMar>
              <w:top w:w="80" w:type="dxa"/>
              <w:left w:w="80" w:type="dxa"/>
              <w:bottom w:w="80" w:type="dxa"/>
              <w:right w:w="80" w:type="dxa"/>
            </w:tcMar>
            <w:vAlign w:val="center"/>
          </w:tcPr>
          <w:p w14:paraId="16119F9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685AAA8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角色视图与自定义配置</w:t>
            </w:r>
          </w:p>
        </w:tc>
        <w:tc>
          <w:tcPr>
            <w:tcW w:w="2115" w:type="dxa"/>
            <w:shd w:val="clear" w:color="auto" w:fill="auto"/>
            <w:noWrap w:val="0"/>
            <w:tcMar>
              <w:top w:w="-1" w:type="dxa"/>
              <w:left w:w="-1" w:type="dxa"/>
              <w:bottom w:w="-1" w:type="dxa"/>
              <w:right w:w="-1" w:type="dxa"/>
            </w:tcMar>
            <w:vAlign w:val="center"/>
          </w:tcPr>
          <w:p w14:paraId="375CB1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F-ZLTC-SCOS-GYLJSC-011</w:t>
            </w:r>
          </w:p>
        </w:tc>
        <w:tc>
          <w:tcPr>
            <w:tcW w:w="3054" w:type="dxa"/>
            <w:shd w:val="clear" w:color="auto" w:fill="auto"/>
            <w:noWrap w:val="0"/>
            <w:tcMar>
              <w:top w:w="-1" w:type="dxa"/>
              <w:left w:w="-1" w:type="dxa"/>
              <w:bottom w:w="-1" w:type="dxa"/>
              <w:right w:w="-1" w:type="dxa"/>
            </w:tcMar>
            <w:vAlign w:val="center"/>
          </w:tcPr>
          <w:p w14:paraId="31B9F3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面向上级管理公司领导、总经理、总监、计划员、采购、生产、质量和财务等角色提供差异化视图，支持在权限范围内配置指标、图表、布局、筛选条件和刷新频率。</w:t>
            </w:r>
          </w:p>
        </w:tc>
        <w:tc>
          <w:tcPr>
            <w:tcW w:w="1098" w:type="dxa"/>
            <w:shd w:val="clear" w:color="auto" w:fill="auto"/>
            <w:noWrap w:val="0"/>
            <w:tcMar>
              <w:top w:w="-1" w:type="dxa"/>
              <w:left w:w="-1" w:type="dxa"/>
              <w:bottom w:w="-1" w:type="dxa"/>
              <w:right w:w="-1" w:type="dxa"/>
            </w:tcMar>
            <w:vAlign w:val="center"/>
          </w:tcPr>
          <w:p w14:paraId="3652251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角色权限、组织范围、指标与布局配置</w:t>
            </w:r>
          </w:p>
        </w:tc>
        <w:tc>
          <w:tcPr>
            <w:tcW w:w="907" w:type="dxa"/>
            <w:shd w:val="clear" w:color="auto" w:fill="auto"/>
            <w:noWrap w:val="0"/>
            <w:tcMar>
              <w:top w:w="-1" w:type="dxa"/>
              <w:left w:w="-1" w:type="dxa"/>
              <w:bottom w:w="-1" w:type="dxa"/>
              <w:right w:w="-1" w:type="dxa"/>
            </w:tcMar>
            <w:vAlign w:val="center"/>
          </w:tcPr>
          <w:p w14:paraId="59F08CB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角色化驾驶舱、自定义视图</w:t>
            </w:r>
          </w:p>
        </w:tc>
        <w:tc>
          <w:tcPr>
            <w:tcW w:w="873" w:type="dxa"/>
            <w:shd w:val="clear" w:color="auto" w:fill="auto"/>
            <w:noWrap w:val="0"/>
            <w:tcMar>
              <w:top w:w="-1" w:type="dxa"/>
              <w:left w:w="-1" w:type="dxa"/>
              <w:bottom w:w="-1" w:type="dxa"/>
              <w:right w:w="-1" w:type="dxa"/>
            </w:tcMar>
            <w:vAlign w:val="center"/>
          </w:tcPr>
          <w:p w14:paraId="1145D3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统一身份认证、权限中心</w:t>
            </w:r>
          </w:p>
        </w:tc>
      </w:tr>
      <w:tr w14:paraId="7D1FCE36">
        <w:trPr>
          <w:trHeight w:val="0" w:hRule="atLeast"/>
          <w:jc w:val="center"/>
        </w:trPr>
        <w:tc>
          <w:tcPr>
            <w:tcW w:w="1372" w:type="dxa"/>
            <w:shd w:val="clear" w:color="auto" w:fill="auto"/>
            <w:noWrap w:val="0"/>
            <w:tcMar>
              <w:top w:w="80" w:type="dxa"/>
              <w:left w:w="80" w:type="dxa"/>
              <w:bottom w:w="80" w:type="dxa"/>
              <w:right w:w="80" w:type="dxa"/>
            </w:tcMar>
            <w:vAlign w:val="center"/>
          </w:tcPr>
          <w:p w14:paraId="45CC0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1472" w:type="dxa"/>
            <w:shd w:val="clear" w:color="auto" w:fill="auto"/>
            <w:noWrap w:val="0"/>
            <w:tcMar>
              <w:top w:w="-1" w:type="dxa"/>
              <w:left w:w="-1" w:type="dxa"/>
              <w:bottom w:w="-1" w:type="dxa"/>
              <w:right w:w="-1" w:type="dxa"/>
            </w:tcMar>
            <w:vAlign w:val="center"/>
          </w:tcPr>
          <w:p w14:paraId="62F0778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移动端监控与预警</w:t>
            </w:r>
          </w:p>
        </w:tc>
        <w:tc>
          <w:tcPr>
            <w:tcW w:w="2115" w:type="dxa"/>
            <w:shd w:val="clear" w:color="auto" w:fill="auto"/>
            <w:noWrap w:val="0"/>
            <w:tcMar>
              <w:top w:w="-1" w:type="dxa"/>
              <w:left w:w="-1" w:type="dxa"/>
              <w:bottom w:w="-1" w:type="dxa"/>
              <w:right w:w="-1" w:type="dxa"/>
            </w:tcMar>
            <w:vAlign w:val="center"/>
          </w:tcPr>
          <w:p w14:paraId="3B2117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F-ZLTC-SCOS-GYLJSC-012</w:t>
            </w:r>
          </w:p>
        </w:tc>
        <w:tc>
          <w:tcPr>
            <w:tcW w:w="3054" w:type="dxa"/>
            <w:shd w:val="clear" w:color="auto" w:fill="auto"/>
            <w:noWrap w:val="0"/>
            <w:tcMar>
              <w:top w:w="-1" w:type="dxa"/>
              <w:left w:w="-1" w:type="dxa"/>
              <w:bottom w:w="-1" w:type="dxa"/>
              <w:right w:w="-1" w:type="dxa"/>
            </w:tcMar>
            <w:vAlign w:val="center"/>
          </w:tcPr>
          <w:p w14:paraId="6081935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为手机和平板提供核心KPI、重要预警、待办任务和审批状态的友好访问，支持消息推送和快速处置入口；移动端展示与操作严格继承角色、组织、数据范围和字段权限。</w:t>
            </w:r>
          </w:p>
        </w:tc>
        <w:tc>
          <w:tcPr>
            <w:tcW w:w="1098" w:type="dxa"/>
            <w:shd w:val="clear" w:color="auto" w:fill="auto"/>
            <w:noWrap w:val="0"/>
            <w:tcMar>
              <w:top w:w="-1" w:type="dxa"/>
              <w:left w:w="-1" w:type="dxa"/>
              <w:bottom w:w="-1" w:type="dxa"/>
              <w:right w:w="-1" w:type="dxa"/>
            </w:tcMar>
            <w:vAlign w:val="center"/>
          </w:tcPr>
          <w:p w14:paraId="4465C78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核心KPI、预警、待办及审批状态</w:t>
            </w:r>
          </w:p>
        </w:tc>
        <w:tc>
          <w:tcPr>
            <w:tcW w:w="907" w:type="dxa"/>
            <w:shd w:val="clear" w:color="auto" w:fill="auto"/>
            <w:noWrap w:val="0"/>
            <w:tcMar>
              <w:top w:w="-1" w:type="dxa"/>
              <w:left w:w="-1" w:type="dxa"/>
              <w:bottom w:w="-1" w:type="dxa"/>
              <w:right w:w="-1" w:type="dxa"/>
            </w:tcMar>
            <w:vAlign w:val="center"/>
          </w:tcPr>
          <w:p w14:paraId="364E723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移动端看板、推送与处置记录</w:t>
            </w:r>
          </w:p>
        </w:tc>
        <w:tc>
          <w:tcPr>
            <w:tcW w:w="873" w:type="dxa"/>
            <w:shd w:val="clear" w:color="auto" w:fill="auto"/>
            <w:noWrap w:val="0"/>
            <w:tcMar>
              <w:top w:w="-1" w:type="dxa"/>
              <w:left w:w="-1" w:type="dxa"/>
              <w:bottom w:w="-1" w:type="dxa"/>
              <w:right w:w="-1" w:type="dxa"/>
            </w:tcMar>
            <w:vAlign w:val="center"/>
          </w:tcPr>
          <w:p w14:paraId="6127B18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移动端、消息中心、权限中心</w:t>
            </w:r>
          </w:p>
        </w:tc>
      </w:tr>
      <w:tr w14:paraId="240B75E4">
        <w:trPr>
          <w:trHeight w:val="0" w:hRule="atLeast"/>
          <w:jc w:val="center"/>
        </w:trPr>
        <w:tc>
          <w:tcPr>
            <w:tcW w:w="1372" w:type="dxa"/>
            <w:shd w:val="clear" w:color="auto" w:fill="auto"/>
            <w:noWrap w:val="0"/>
            <w:tcMar>
              <w:top w:w="80" w:type="dxa"/>
              <w:left w:w="80" w:type="dxa"/>
              <w:bottom w:w="80" w:type="dxa"/>
              <w:right w:w="80" w:type="dxa"/>
            </w:tcMar>
            <w:vAlign w:val="center"/>
          </w:tcPr>
          <w:p w14:paraId="19F5B2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3D11EF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智能需求感知与聚合</w:t>
            </w:r>
          </w:p>
        </w:tc>
        <w:tc>
          <w:tcPr>
            <w:tcW w:w="2115" w:type="dxa"/>
            <w:shd w:val="clear" w:color="auto" w:fill="auto"/>
            <w:noWrap w:val="0"/>
            <w:tcMar>
              <w:top w:w="-1" w:type="dxa"/>
              <w:left w:w="-1" w:type="dxa"/>
              <w:bottom w:w="-1" w:type="dxa"/>
              <w:right w:w="-1" w:type="dxa"/>
            </w:tcMar>
            <w:vAlign w:val="center"/>
          </w:tcPr>
          <w:p w14:paraId="570694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1D5B806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自动汇集销售预测、客户订单、精益生产排程的原料净需求、安全库存建议、可用库存、在途库存和已生效合同余量，按物料、工厂、供应周期和时间粒度计算待采购需求，形成可追溯的采购需求计划。</w:t>
            </w:r>
          </w:p>
        </w:tc>
        <w:tc>
          <w:tcPr>
            <w:tcW w:w="1098" w:type="dxa"/>
            <w:shd w:val="clear" w:color="auto" w:fill="auto"/>
            <w:noWrap w:val="0"/>
            <w:tcMar>
              <w:top w:w="-1" w:type="dxa"/>
              <w:left w:w="-1" w:type="dxa"/>
              <w:bottom w:w="-1" w:type="dxa"/>
              <w:right w:w="-1" w:type="dxa"/>
            </w:tcMar>
            <w:vAlign w:val="center"/>
          </w:tcPr>
          <w:p w14:paraId="57FE4AE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预测、订单、原料净需求、库存、在途及合同余量</w:t>
            </w:r>
          </w:p>
        </w:tc>
        <w:tc>
          <w:tcPr>
            <w:tcW w:w="907" w:type="dxa"/>
            <w:shd w:val="clear" w:color="auto" w:fill="auto"/>
            <w:noWrap w:val="0"/>
            <w:tcMar>
              <w:top w:w="-1" w:type="dxa"/>
              <w:left w:w="-1" w:type="dxa"/>
              <w:bottom w:w="-1" w:type="dxa"/>
              <w:right w:w="-1" w:type="dxa"/>
            </w:tcMar>
            <w:vAlign w:val="center"/>
          </w:tcPr>
          <w:p w14:paraId="3BD992B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采购需求计划、需求来源链路</w:t>
            </w:r>
          </w:p>
        </w:tc>
        <w:tc>
          <w:tcPr>
            <w:tcW w:w="873" w:type="dxa"/>
            <w:shd w:val="clear" w:color="auto" w:fill="auto"/>
            <w:noWrap w:val="0"/>
            <w:tcMar>
              <w:top w:w="-1" w:type="dxa"/>
              <w:left w:w="-1" w:type="dxa"/>
              <w:bottom w:w="-1" w:type="dxa"/>
              <w:right w:w="-1" w:type="dxa"/>
            </w:tcMar>
            <w:vAlign w:val="center"/>
          </w:tcPr>
          <w:p w14:paraId="732975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CRM、SAP、MES、WMS、CON</w:t>
            </w:r>
          </w:p>
        </w:tc>
      </w:tr>
      <w:tr w14:paraId="520F28B4">
        <w:trPr>
          <w:trHeight w:val="0" w:hRule="atLeast"/>
          <w:jc w:val="center"/>
        </w:trPr>
        <w:tc>
          <w:tcPr>
            <w:tcW w:w="1372" w:type="dxa"/>
            <w:shd w:val="clear" w:color="auto" w:fill="auto"/>
            <w:noWrap w:val="0"/>
            <w:tcMar>
              <w:top w:w="80" w:type="dxa"/>
              <w:left w:w="80" w:type="dxa"/>
              <w:bottom w:w="80" w:type="dxa"/>
              <w:right w:w="80" w:type="dxa"/>
            </w:tcMar>
            <w:vAlign w:val="center"/>
          </w:tcPr>
          <w:p w14:paraId="7A31266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22181AB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需求可视化管理</w:t>
            </w:r>
          </w:p>
        </w:tc>
        <w:tc>
          <w:tcPr>
            <w:tcW w:w="2115" w:type="dxa"/>
            <w:shd w:val="clear" w:color="auto" w:fill="auto"/>
            <w:noWrap w:val="0"/>
            <w:tcMar>
              <w:top w:w="-1" w:type="dxa"/>
              <w:left w:w="-1" w:type="dxa"/>
              <w:bottom w:w="-1" w:type="dxa"/>
              <w:right w:w="-1" w:type="dxa"/>
            </w:tcMar>
            <w:vAlign w:val="center"/>
          </w:tcPr>
          <w:p w14:paraId="3E69D5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1469DD7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按日、周、月展示原辅料和包装材料的需求、缺口、锁定量、在途量及需求来源，支持按产品、订单、物料、供应商和时间筛选，并对需求变化及其对采购方案的影响进行对比。</w:t>
            </w:r>
          </w:p>
        </w:tc>
        <w:tc>
          <w:tcPr>
            <w:tcW w:w="1098" w:type="dxa"/>
            <w:shd w:val="clear" w:color="auto" w:fill="auto"/>
            <w:noWrap w:val="0"/>
            <w:tcMar>
              <w:top w:w="-1" w:type="dxa"/>
              <w:left w:w="-1" w:type="dxa"/>
              <w:bottom w:w="-1" w:type="dxa"/>
              <w:right w:w="-1" w:type="dxa"/>
            </w:tcMar>
            <w:vAlign w:val="center"/>
          </w:tcPr>
          <w:p w14:paraId="1AD7D4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采购需求、缺口、锁定量、在途量及来源</w:t>
            </w:r>
          </w:p>
        </w:tc>
        <w:tc>
          <w:tcPr>
            <w:tcW w:w="907" w:type="dxa"/>
            <w:shd w:val="clear" w:color="auto" w:fill="auto"/>
            <w:noWrap w:val="0"/>
            <w:tcMar>
              <w:top w:w="-1" w:type="dxa"/>
              <w:left w:w="-1" w:type="dxa"/>
              <w:bottom w:w="-1" w:type="dxa"/>
              <w:right w:w="-1" w:type="dxa"/>
            </w:tcMar>
            <w:vAlign w:val="center"/>
          </w:tcPr>
          <w:p w14:paraId="703E06E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日周月需求视图、变化对比</w:t>
            </w:r>
          </w:p>
        </w:tc>
        <w:tc>
          <w:tcPr>
            <w:tcW w:w="873" w:type="dxa"/>
            <w:shd w:val="clear" w:color="auto" w:fill="auto"/>
            <w:noWrap w:val="0"/>
            <w:tcMar>
              <w:top w:w="-1" w:type="dxa"/>
              <w:left w:w="-1" w:type="dxa"/>
              <w:bottom w:w="-1" w:type="dxa"/>
              <w:right w:w="-1" w:type="dxa"/>
            </w:tcMar>
            <w:vAlign w:val="center"/>
          </w:tcPr>
          <w:p w14:paraId="2D92D5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SAP、WMS、精益生产排程模块</w:t>
            </w:r>
          </w:p>
        </w:tc>
      </w:tr>
      <w:tr w14:paraId="6E59C533">
        <w:trPr>
          <w:trHeight w:val="0" w:hRule="atLeast"/>
          <w:jc w:val="center"/>
        </w:trPr>
        <w:tc>
          <w:tcPr>
            <w:tcW w:w="1372" w:type="dxa"/>
            <w:shd w:val="clear" w:color="auto" w:fill="auto"/>
            <w:noWrap w:val="0"/>
            <w:tcMar>
              <w:top w:w="80" w:type="dxa"/>
              <w:left w:w="80" w:type="dxa"/>
              <w:bottom w:w="80" w:type="dxa"/>
              <w:right w:w="80" w:type="dxa"/>
            </w:tcMar>
            <w:vAlign w:val="center"/>
          </w:tcPr>
          <w:p w14:paraId="448720A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020C50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供应商全景画像</w:t>
            </w:r>
          </w:p>
        </w:tc>
        <w:tc>
          <w:tcPr>
            <w:tcW w:w="2115" w:type="dxa"/>
            <w:shd w:val="clear" w:color="auto" w:fill="auto"/>
            <w:noWrap w:val="0"/>
            <w:tcMar>
              <w:top w:w="-1" w:type="dxa"/>
              <w:left w:w="-1" w:type="dxa"/>
              <w:bottom w:w="-1" w:type="dxa"/>
              <w:right w:w="-1" w:type="dxa"/>
            </w:tcMar>
            <w:vAlign w:val="center"/>
          </w:tcPr>
          <w:p w14:paraId="271E22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49C727E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整合供应商主数据、历史价格、交付准时率、质量合格率、产能、最小起订量、财务健康、资质证照、风险舆情和历史异常，形成可查询、可比较、可追溯的360度供应商画像。</w:t>
            </w:r>
          </w:p>
        </w:tc>
        <w:tc>
          <w:tcPr>
            <w:tcW w:w="1098" w:type="dxa"/>
            <w:shd w:val="clear" w:color="auto" w:fill="auto"/>
            <w:noWrap w:val="0"/>
            <w:tcMar>
              <w:top w:w="-1" w:type="dxa"/>
              <w:left w:w="-1" w:type="dxa"/>
              <w:bottom w:w="-1" w:type="dxa"/>
              <w:right w:w="-1" w:type="dxa"/>
            </w:tcMar>
            <w:vAlign w:val="center"/>
          </w:tcPr>
          <w:p w14:paraId="43E09C4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供应商主数据、价格、质量、交付、产能及风险数据</w:t>
            </w:r>
          </w:p>
        </w:tc>
        <w:tc>
          <w:tcPr>
            <w:tcW w:w="907" w:type="dxa"/>
            <w:shd w:val="clear" w:color="auto" w:fill="auto"/>
            <w:noWrap w:val="0"/>
            <w:tcMar>
              <w:top w:w="-1" w:type="dxa"/>
              <w:left w:w="-1" w:type="dxa"/>
              <w:bottom w:w="-1" w:type="dxa"/>
              <w:right w:w="-1" w:type="dxa"/>
            </w:tcMar>
            <w:vAlign w:val="center"/>
          </w:tcPr>
          <w:p w14:paraId="1B3624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供应商360度画像</w:t>
            </w:r>
          </w:p>
        </w:tc>
        <w:tc>
          <w:tcPr>
            <w:tcW w:w="873" w:type="dxa"/>
            <w:shd w:val="clear" w:color="auto" w:fill="auto"/>
            <w:noWrap w:val="0"/>
            <w:tcMar>
              <w:top w:w="-1" w:type="dxa"/>
              <w:left w:w="-1" w:type="dxa"/>
              <w:bottom w:w="-1" w:type="dxa"/>
              <w:right w:w="-1" w:type="dxa"/>
            </w:tcMar>
            <w:vAlign w:val="center"/>
          </w:tcPr>
          <w:p w14:paraId="6ED87B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SAP、QMS/LIMS、CON、外部风险数据服务</w:t>
            </w:r>
          </w:p>
        </w:tc>
      </w:tr>
      <w:tr w14:paraId="01661120">
        <w:trPr>
          <w:trHeight w:val="0" w:hRule="atLeast"/>
          <w:jc w:val="center"/>
        </w:trPr>
        <w:tc>
          <w:tcPr>
            <w:tcW w:w="1372" w:type="dxa"/>
            <w:shd w:val="clear" w:color="auto" w:fill="auto"/>
            <w:noWrap w:val="0"/>
            <w:tcMar>
              <w:top w:w="80" w:type="dxa"/>
              <w:left w:w="80" w:type="dxa"/>
              <w:bottom w:w="80" w:type="dxa"/>
              <w:right w:w="80" w:type="dxa"/>
            </w:tcMar>
            <w:vAlign w:val="center"/>
          </w:tcPr>
          <w:p w14:paraId="21F0CA2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38D3800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供应商绩效与资质评估</w:t>
            </w:r>
          </w:p>
        </w:tc>
        <w:tc>
          <w:tcPr>
            <w:tcW w:w="2115" w:type="dxa"/>
            <w:shd w:val="clear" w:color="auto" w:fill="auto"/>
            <w:noWrap w:val="0"/>
            <w:tcMar>
              <w:top w:w="-1" w:type="dxa"/>
              <w:left w:w="-1" w:type="dxa"/>
              <w:bottom w:w="-1" w:type="dxa"/>
              <w:right w:w="-1" w:type="dxa"/>
            </w:tcMar>
            <w:vAlign w:val="center"/>
          </w:tcPr>
          <w:p w14:paraId="3F0A00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60E39E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建立质量、交付、成本、服务、能力和风险等维度的供应商综合得分卡，自动计算绩效并形成等级；对食品安全等资质临期、过期、停用和禁运状态进行预警并限制候选方案。</w:t>
            </w:r>
          </w:p>
        </w:tc>
        <w:tc>
          <w:tcPr>
            <w:tcW w:w="1098" w:type="dxa"/>
            <w:shd w:val="clear" w:color="auto" w:fill="auto"/>
            <w:noWrap w:val="0"/>
            <w:tcMar>
              <w:top w:w="-1" w:type="dxa"/>
              <w:left w:w="-1" w:type="dxa"/>
              <w:bottom w:w="-1" w:type="dxa"/>
              <w:right w:w="-1" w:type="dxa"/>
            </w:tcMar>
            <w:vAlign w:val="center"/>
          </w:tcPr>
          <w:p w14:paraId="7A474B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质量、交付、成本、服务、资质与禁运状态</w:t>
            </w:r>
          </w:p>
        </w:tc>
        <w:tc>
          <w:tcPr>
            <w:tcW w:w="907" w:type="dxa"/>
            <w:shd w:val="clear" w:color="auto" w:fill="auto"/>
            <w:noWrap w:val="0"/>
            <w:tcMar>
              <w:top w:w="-1" w:type="dxa"/>
              <w:left w:w="-1" w:type="dxa"/>
              <w:bottom w:w="-1" w:type="dxa"/>
              <w:right w:w="-1" w:type="dxa"/>
            </w:tcMar>
            <w:vAlign w:val="center"/>
          </w:tcPr>
          <w:p w14:paraId="11B4F4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供应商评分、等级及资质预警</w:t>
            </w:r>
          </w:p>
        </w:tc>
        <w:tc>
          <w:tcPr>
            <w:tcW w:w="873" w:type="dxa"/>
            <w:shd w:val="clear" w:color="auto" w:fill="auto"/>
            <w:noWrap w:val="0"/>
            <w:tcMar>
              <w:top w:w="-1" w:type="dxa"/>
              <w:left w:w="-1" w:type="dxa"/>
              <w:bottom w:w="-1" w:type="dxa"/>
              <w:right w:w="-1" w:type="dxa"/>
            </w:tcMar>
            <w:vAlign w:val="center"/>
          </w:tcPr>
          <w:p w14:paraId="127A83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QMS/LIMS、SAP、CON</w:t>
            </w:r>
          </w:p>
        </w:tc>
      </w:tr>
      <w:tr w14:paraId="7C11F17F">
        <w:trPr>
          <w:trHeight w:val="0" w:hRule="atLeast"/>
          <w:jc w:val="center"/>
        </w:trPr>
        <w:tc>
          <w:tcPr>
            <w:tcW w:w="1372" w:type="dxa"/>
            <w:shd w:val="clear" w:color="auto" w:fill="auto"/>
            <w:noWrap w:val="0"/>
            <w:tcMar>
              <w:top w:w="80" w:type="dxa"/>
              <w:left w:w="80" w:type="dxa"/>
              <w:bottom w:w="80" w:type="dxa"/>
              <w:right w:w="80" w:type="dxa"/>
            </w:tcMar>
            <w:vAlign w:val="center"/>
          </w:tcPr>
          <w:p w14:paraId="096C8B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493F518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采购方案模拟与多方案寻优</w:t>
            </w:r>
          </w:p>
        </w:tc>
        <w:tc>
          <w:tcPr>
            <w:tcW w:w="2115" w:type="dxa"/>
            <w:shd w:val="clear" w:color="auto" w:fill="auto"/>
            <w:noWrap w:val="0"/>
            <w:tcMar>
              <w:top w:w="-1" w:type="dxa"/>
              <w:left w:w="-1" w:type="dxa"/>
              <w:bottom w:w="-1" w:type="dxa"/>
              <w:right w:w="-1" w:type="dxa"/>
            </w:tcMar>
            <w:vAlign w:val="center"/>
          </w:tcPr>
          <w:p w14:paraId="0EB8F4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F-ZLTC-SCOS-CGYH-005</w:t>
            </w:r>
          </w:p>
        </w:tc>
        <w:tc>
          <w:tcPr>
            <w:tcW w:w="3054" w:type="dxa"/>
            <w:shd w:val="clear" w:color="auto" w:fill="auto"/>
            <w:noWrap w:val="0"/>
            <w:tcMar>
              <w:top w:w="-1" w:type="dxa"/>
              <w:left w:w="-1" w:type="dxa"/>
              <w:bottom w:w="-1" w:type="dxa"/>
              <w:right w:w="-1" w:type="dxa"/>
            </w:tcMar>
            <w:vAlign w:val="center"/>
          </w:tcPr>
          <w:p w14:paraId="1C8A1CC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面向月度或滚动采购计划、招投标及询比价等采购场景，综合采购需求、现有库存与在途、供应商画像、资质绩效、投标或询价报价、可供能力、交付承诺、到货窗口、质量、资金、集中度和风险等约束，生成并比较不同采购节奏、供应商组合、采购数量及标的分配方案；对供应保障、预计总拥有成本、库存影响、风险暴露和约束满足度进行评价，输出推荐方案、评标定标辅助建议及差异说明，并保留评价依据、参数和人工调整记录。</w:t>
            </w:r>
          </w:p>
        </w:tc>
        <w:tc>
          <w:tcPr>
            <w:tcW w:w="1098" w:type="dxa"/>
            <w:shd w:val="clear" w:color="auto" w:fill="auto"/>
            <w:noWrap w:val="0"/>
            <w:tcMar>
              <w:top w:w="-1" w:type="dxa"/>
              <w:left w:w="-1" w:type="dxa"/>
              <w:bottom w:w="-1" w:type="dxa"/>
              <w:right w:w="-1" w:type="dxa"/>
            </w:tcMar>
            <w:vAlign w:val="center"/>
          </w:tcPr>
          <w:p w14:paraId="2CBF22A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采购需求、库存、供应商、报价、能力、交期及约束</w:t>
            </w:r>
          </w:p>
        </w:tc>
        <w:tc>
          <w:tcPr>
            <w:tcW w:w="907" w:type="dxa"/>
            <w:shd w:val="clear" w:color="auto" w:fill="auto"/>
            <w:noWrap w:val="0"/>
            <w:tcMar>
              <w:top w:w="-1" w:type="dxa"/>
              <w:left w:w="-1" w:type="dxa"/>
              <w:bottom w:w="-1" w:type="dxa"/>
              <w:right w:w="-1" w:type="dxa"/>
            </w:tcMar>
            <w:vAlign w:val="center"/>
          </w:tcPr>
          <w:p w14:paraId="2DE5498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采购候选方案、推荐方案及差异说明</w:t>
            </w:r>
          </w:p>
        </w:tc>
        <w:tc>
          <w:tcPr>
            <w:tcW w:w="873" w:type="dxa"/>
            <w:shd w:val="clear" w:color="auto" w:fill="auto"/>
            <w:noWrap w:val="0"/>
            <w:tcMar>
              <w:top w:w="-1" w:type="dxa"/>
              <w:left w:w="-1" w:type="dxa"/>
              <w:bottom w:w="-1" w:type="dxa"/>
              <w:right w:w="-1" w:type="dxa"/>
            </w:tcMar>
            <w:vAlign w:val="center"/>
          </w:tcPr>
          <w:p w14:paraId="77E8C60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AI优化平台、CON、SAP、WMS、TMS</w:t>
            </w:r>
          </w:p>
        </w:tc>
      </w:tr>
      <w:tr w14:paraId="0A8D9B40">
        <w:trPr>
          <w:trHeight w:val="0" w:hRule="atLeast"/>
          <w:jc w:val="center"/>
        </w:trPr>
        <w:tc>
          <w:tcPr>
            <w:tcW w:w="1372" w:type="dxa"/>
            <w:shd w:val="clear" w:color="auto" w:fill="auto"/>
            <w:noWrap w:val="0"/>
            <w:tcMar>
              <w:top w:w="80" w:type="dxa"/>
              <w:left w:w="80" w:type="dxa"/>
              <w:bottom w:w="80" w:type="dxa"/>
              <w:right w:w="80" w:type="dxa"/>
            </w:tcMar>
            <w:vAlign w:val="center"/>
          </w:tcPr>
          <w:p w14:paraId="7B9768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6A93AAE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总拥有成本建模</w:t>
            </w:r>
          </w:p>
        </w:tc>
        <w:tc>
          <w:tcPr>
            <w:tcW w:w="2115" w:type="dxa"/>
            <w:shd w:val="clear" w:color="auto" w:fill="auto"/>
            <w:noWrap w:val="0"/>
            <w:tcMar>
              <w:top w:w="-1" w:type="dxa"/>
              <w:left w:w="-1" w:type="dxa"/>
              <w:bottom w:w="-1" w:type="dxa"/>
              <w:right w:w="-1" w:type="dxa"/>
            </w:tcMar>
            <w:vAlign w:val="center"/>
          </w:tcPr>
          <w:p w14:paraId="01A8F7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F-ZLTC-SCOS-CGYH-006</w:t>
            </w:r>
          </w:p>
        </w:tc>
        <w:tc>
          <w:tcPr>
            <w:tcW w:w="3054" w:type="dxa"/>
            <w:shd w:val="clear" w:color="auto" w:fill="auto"/>
            <w:noWrap w:val="0"/>
            <w:tcMar>
              <w:top w:w="-1" w:type="dxa"/>
              <w:left w:w="-1" w:type="dxa"/>
              <w:bottom w:w="-1" w:type="dxa"/>
              <w:right w:w="-1" w:type="dxa"/>
            </w:tcMar>
            <w:vAlign w:val="center"/>
          </w:tcPr>
          <w:p w14:paraId="3B12A15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建立采购决策共用的成本测算服务，除采购单价外，统一计算运输、税费、库存持有、资金占用、检验、加工、质量、付款条件和供应风险等成本，形成供应商、物料及方案级可比总拥有成本；本功能只提供成本口径、参数和测算结果，为采购方案模拟与多方案寻优提供输入，不直接生成采购方案或评标定标结论。</w:t>
            </w:r>
          </w:p>
        </w:tc>
        <w:tc>
          <w:tcPr>
            <w:tcW w:w="1098" w:type="dxa"/>
            <w:shd w:val="clear" w:color="auto" w:fill="auto"/>
            <w:noWrap w:val="0"/>
            <w:tcMar>
              <w:top w:w="-1" w:type="dxa"/>
              <w:left w:w="-1" w:type="dxa"/>
              <w:bottom w:w="-1" w:type="dxa"/>
              <w:right w:w="-1" w:type="dxa"/>
            </w:tcMar>
            <w:vAlign w:val="center"/>
          </w:tcPr>
          <w:p w14:paraId="6A45DB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采购单价、运输、税费、库存、资金、质量及风险成本</w:t>
            </w:r>
          </w:p>
        </w:tc>
        <w:tc>
          <w:tcPr>
            <w:tcW w:w="907" w:type="dxa"/>
            <w:shd w:val="clear" w:color="auto" w:fill="auto"/>
            <w:noWrap w:val="0"/>
            <w:tcMar>
              <w:top w:w="-1" w:type="dxa"/>
              <w:left w:w="-1" w:type="dxa"/>
              <w:bottom w:w="-1" w:type="dxa"/>
              <w:right w:w="-1" w:type="dxa"/>
            </w:tcMar>
            <w:vAlign w:val="center"/>
          </w:tcPr>
          <w:p w14:paraId="6AC526C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供应商/物料/方案级总拥有成本</w:t>
            </w:r>
          </w:p>
        </w:tc>
        <w:tc>
          <w:tcPr>
            <w:tcW w:w="873" w:type="dxa"/>
            <w:shd w:val="clear" w:color="auto" w:fill="auto"/>
            <w:noWrap w:val="0"/>
            <w:tcMar>
              <w:top w:w="-1" w:type="dxa"/>
              <w:left w:w="-1" w:type="dxa"/>
              <w:bottom w:w="-1" w:type="dxa"/>
              <w:right w:w="-1" w:type="dxa"/>
            </w:tcMar>
            <w:vAlign w:val="center"/>
          </w:tcPr>
          <w:p w14:paraId="1BE506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SAP、TMS、WMS、QMS/LIMS</w:t>
            </w:r>
          </w:p>
        </w:tc>
      </w:tr>
      <w:tr w14:paraId="1CB14520">
        <w:trPr>
          <w:trHeight w:val="0" w:hRule="atLeast"/>
          <w:jc w:val="center"/>
        </w:trPr>
        <w:tc>
          <w:tcPr>
            <w:tcW w:w="1372" w:type="dxa"/>
            <w:shd w:val="clear" w:color="auto" w:fill="auto"/>
            <w:noWrap w:val="0"/>
            <w:tcMar>
              <w:top w:w="80" w:type="dxa"/>
              <w:left w:w="80" w:type="dxa"/>
              <w:bottom w:w="80" w:type="dxa"/>
              <w:right w:w="80" w:type="dxa"/>
            </w:tcMar>
            <w:vAlign w:val="center"/>
          </w:tcPr>
          <w:p w14:paraId="76405D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5CF04C2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期货市场历史价格接入与展示</w:t>
            </w:r>
          </w:p>
        </w:tc>
        <w:tc>
          <w:tcPr>
            <w:tcW w:w="2115" w:type="dxa"/>
            <w:shd w:val="clear" w:color="auto" w:fill="auto"/>
            <w:noWrap w:val="0"/>
            <w:tcMar>
              <w:top w:w="-1" w:type="dxa"/>
              <w:left w:w="-1" w:type="dxa"/>
              <w:bottom w:w="-1" w:type="dxa"/>
              <w:right w:w="-1" w:type="dxa"/>
            </w:tcMar>
            <w:vAlign w:val="center"/>
          </w:tcPr>
          <w:p w14:paraId="43E9FD8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F-ZLTC-SCOS-CGYH-007</w:t>
            </w:r>
          </w:p>
        </w:tc>
        <w:tc>
          <w:tcPr>
            <w:tcW w:w="3054" w:type="dxa"/>
            <w:shd w:val="clear" w:color="auto" w:fill="auto"/>
            <w:noWrap w:val="0"/>
            <w:tcMar>
              <w:top w:w="-1" w:type="dxa"/>
              <w:left w:w="-1" w:type="dxa"/>
              <w:bottom w:w="-1" w:type="dxa"/>
              <w:right w:w="-1" w:type="dxa"/>
            </w:tcMar>
            <w:vAlign w:val="center"/>
          </w:tcPr>
          <w:p w14:paraId="0EC07C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从授权数据服务接入期货市场大宗原材料（玉米淀粉）的历史价格数据，按交易日期、合约及交割月份等维度展示价格走势、区间变化和历史对比，为采购人员分析市场变化、判断采购时点提供参考；本功能不开展市场价格预测，不输出价格趋势预测或自动定价结论。</w:t>
            </w:r>
          </w:p>
        </w:tc>
        <w:tc>
          <w:tcPr>
            <w:tcW w:w="1098" w:type="dxa"/>
            <w:shd w:val="clear" w:color="auto" w:fill="auto"/>
            <w:noWrap w:val="0"/>
            <w:tcMar>
              <w:top w:w="-1" w:type="dxa"/>
              <w:left w:w="-1" w:type="dxa"/>
              <w:bottom w:w="-1" w:type="dxa"/>
              <w:right w:w="-1" w:type="dxa"/>
            </w:tcMar>
            <w:vAlign w:val="center"/>
          </w:tcPr>
          <w:p w14:paraId="11BF7D5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玉米淀粉期货历史价格及合约信息</w:t>
            </w:r>
          </w:p>
        </w:tc>
        <w:tc>
          <w:tcPr>
            <w:tcW w:w="907" w:type="dxa"/>
            <w:shd w:val="clear" w:color="auto" w:fill="auto"/>
            <w:noWrap w:val="0"/>
            <w:tcMar>
              <w:top w:w="-1" w:type="dxa"/>
              <w:left w:w="-1" w:type="dxa"/>
              <w:bottom w:w="-1" w:type="dxa"/>
              <w:right w:w="-1" w:type="dxa"/>
            </w:tcMar>
            <w:vAlign w:val="center"/>
          </w:tcPr>
          <w:p w14:paraId="7464B15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历史价格走势、区间与对比视图</w:t>
            </w:r>
          </w:p>
        </w:tc>
        <w:tc>
          <w:tcPr>
            <w:tcW w:w="873" w:type="dxa"/>
            <w:shd w:val="clear" w:color="auto" w:fill="auto"/>
            <w:noWrap w:val="0"/>
            <w:tcMar>
              <w:top w:w="-1" w:type="dxa"/>
              <w:left w:w="-1" w:type="dxa"/>
              <w:bottom w:w="-1" w:type="dxa"/>
              <w:right w:w="-1" w:type="dxa"/>
            </w:tcMar>
            <w:vAlign w:val="center"/>
          </w:tcPr>
          <w:p w14:paraId="30DEAE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外部期货数据服务</w:t>
            </w:r>
          </w:p>
        </w:tc>
      </w:tr>
      <w:tr w14:paraId="2D727BA7">
        <w:trPr>
          <w:trHeight w:val="0" w:hRule="atLeast"/>
          <w:jc w:val="center"/>
        </w:trPr>
        <w:tc>
          <w:tcPr>
            <w:tcW w:w="1372" w:type="dxa"/>
            <w:shd w:val="clear" w:color="auto" w:fill="auto"/>
            <w:noWrap w:val="0"/>
            <w:tcMar>
              <w:top w:w="80" w:type="dxa"/>
              <w:left w:w="80" w:type="dxa"/>
              <w:bottom w:w="80" w:type="dxa"/>
              <w:right w:w="80" w:type="dxa"/>
            </w:tcMar>
            <w:vAlign w:val="center"/>
          </w:tcPr>
          <w:p w14:paraId="20C60A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38FB8FC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供应风险量化与情景模拟</w:t>
            </w:r>
          </w:p>
        </w:tc>
        <w:tc>
          <w:tcPr>
            <w:tcW w:w="2115" w:type="dxa"/>
            <w:shd w:val="clear" w:color="auto" w:fill="auto"/>
            <w:noWrap w:val="0"/>
            <w:tcMar>
              <w:top w:w="-1" w:type="dxa"/>
              <w:left w:w="-1" w:type="dxa"/>
              <w:bottom w:w="-1" w:type="dxa"/>
              <w:right w:w="-1" w:type="dxa"/>
            </w:tcMar>
            <w:vAlign w:val="center"/>
          </w:tcPr>
          <w:p w14:paraId="60C0C1E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F-ZLTC-SCOS-CGYH-008</w:t>
            </w:r>
          </w:p>
        </w:tc>
        <w:tc>
          <w:tcPr>
            <w:tcW w:w="3054" w:type="dxa"/>
            <w:shd w:val="clear" w:color="auto" w:fill="auto"/>
            <w:noWrap w:val="0"/>
            <w:tcMar>
              <w:top w:w="-1" w:type="dxa"/>
              <w:left w:w="-1" w:type="dxa"/>
              <w:bottom w:w="-1" w:type="dxa"/>
              <w:right w:w="-1" w:type="dxa"/>
            </w:tcMar>
            <w:vAlign w:val="center"/>
          </w:tcPr>
          <w:p w14:paraId="5DE75B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综合供应商集中度、产能受限、交付延迟、质量和事件影响等风险，使用AI优化平台接入的极端天气或突发事件影响数据，模拟可用供应商变化及运输周期延长对采购总成本和供应保障的影响，形成备选供应、提前要货和运输时序调整建议。</w:t>
            </w:r>
          </w:p>
        </w:tc>
        <w:tc>
          <w:tcPr>
            <w:tcW w:w="1098" w:type="dxa"/>
            <w:shd w:val="clear" w:color="auto" w:fill="auto"/>
            <w:noWrap w:val="0"/>
            <w:tcMar>
              <w:top w:w="-1" w:type="dxa"/>
              <w:left w:w="-1" w:type="dxa"/>
              <w:bottom w:w="-1" w:type="dxa"/>
              <w:right w:w="-1" w:type="dxa"/>
            </w:tcMar>
            <w:vAlign w:val="center"/>
          </w:tcPr>
          <w:p w14:paraId="7541BB2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供应商风险、产能、交付、质量及事件影响数据</w:t>
            </w:r>
          </w:p>
        </w:tc>
        <w:tc>
          <w:tcPr>
            <w:tcW w:w="907" w:type="dxa"/>
            <w:shd w:val="clear" w:color="auto" w:fill="auto"/>
            <w:noWrap w:val="0"/>
            <w:tcMar>
              <w:top w:w="-1" w:type="dxa"/>
              <w:left w:w="-1" w:type="dxa"/>
              <w:bottom w:w="-1" w:type="dxa"/>
              <w:right w:w="-1" w:type="dxa"/>
            </w:tcMar>
            <w:vAlign w:val="center"/>
          </w:tcPr>
          <w:p w14:paraId="24F637E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风险情景、成本与供应保障影响建议</w:t>
            </w:r>
          </w:p>
        </w:tc>
        <w:tc>
          <w:tcPr>
            <w:tcW w:w="873" w:type="dxa"/>
            <w:shd w:val="clear" w:color="auto" w:fill="auto"/>
            <w:noWrap w:val="0"/>
            <w:tcMar>
              <w:top w:w="-1" w:type="dxa"/>
              <w:left w:w="-1" w:type="dxa"/>
              <w:bottom w:w="-1" w:type="dxa"/>
              <w:right w:w="-1" w:type="dxa"/>
            </w:tcMar>
            <w:vAlign w:val="center"/>
          </w:tcPr>
          <w:p w14:paraId="7199BA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AI优化平台、QMS/LIMS、TMS</w:t>
            </w:r>
          </w:p>
        </w:tc>
      </w:tr>
      <w:tr w14:paraId="05A6326F">
        <w:trPr>
          <w:trHeight w:val="0" w:hRule="atLeast"/>
          <w:jc w:val="center"/>
        </w:trPr>
        <w:tc>
          <w:tcPr>
            <w:tcW w:w="1372" w:type="dxa"/>
            <w:shd w:val="clear" w:color="auto" w:fill="auto"/>
            <w:noWrap w:val="0"/>
            <w:tcMar>
              <w:top w:w="80" w:type="dxa"/>
              <w:left w:w="80" w:type="dxa"/>
              <w:bottom w:w="80" w:type="dxa"/>
              <w:right w:w="80" w:type="dxa"/>
            </w:tcMar>
            <w:vAlign w:val="center"/>
          </w:tcPr>
          <w:p w14:paraId="5ABACB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145BA3D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采购方案审批与发布</w:t>
            </w:r>
          </w:p>
        </w:tc>
        <w:tc>
          <w:tcPr>
            <w:tcW w:w="2115" w:type="dxa"/>
            <w:shd w:val="clear" w:color="auto" w:fill="auto"/>
            <w:noWrap w:val="0"/>
            <w:tcMar>
              <w:top w:w="-1" w:type="dxa"/>
              <w:left w:w="-1" w:type="dxa"/>
              <w:bottom w:w="-1" w:type="dxa"/>
              <w:right w:w="-1" w:type="dxa"/>
            </w:tcMar>
            <w:vAlign w:val="center"/>
          </w:tcPr>
          <w:p w14:paraId="255A6D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F-ZLTC-SCOS-CGYH-009</w:t>
            </w:r>
          </w:p>
        </w:tc>
        <w:tc>
          <w:tcPr>
            <w:tcW w:w="3054" w:type="dxa"/>
            <w:shd w:val="clear" w:color="auto" w:fill="auto"/>
            <w:noWrap w:val="0"/>
            <w:tcMar>
              <w:top w:w="-1" w:type="dxa"/>
              <w:left w:w="-1" w:type="dxa"/>
              <w:bottom w:w="-1" w:type="dxa"/>
              <w:right w:w="-1" w:type="dxa"/>
            </w:tcMar>
            <w:vAlign w:val="center"/>
          </w:tcPr>
          <w:p w14:paraId="6A459C5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将优化方案连同输入快照、模型参数、约束、候选方案和人工调整提交审批，审批通过后形成已发布采购建议；保护已审批、已下达、在途和锁定安排，仅允许在可调整范围内滚动重算。</w:t>
            </w:r>
          </w:p>
        </w:tc>
        <w:tc>
          <w:tcPr>
            <w:tcW w:w="1098" w:type="dxa"/>
            <w:shd w:val="clear" w:color="auto" w:fill="auto"/>
            <w:noWrap w:val="0"/>
            <w:tcMar>
              <w:top w:w="-1" w:type="dxa"/>
              <w:left w:w="-1" w:type="dxa"/>
              <w:bottom w:w="-1" w:type="dxa"/>
              <w:right w:w="-1" w:type="dxa"/>
            </w:tcMar>
            <w:vAlign w:val="center"/>
          </w:tcPr>
          <w:p w14:paraId="02008CA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候选方案、输入快照、约束及人工调整</w:t>
            </w:r>
          </w:p>
        </w:tc>
        <w:tc>
          <w:tcPr>
            <w:tcW w:w="907" w:type="dxa"/>
            <w:shd w:val="clear" w:color="auto" w:fill="auto"/>
            <w:noWrap w:val="0"/>
            <w:tcMar>
              <w:top w:w="-1" w:type="dxa"/>
              <w:left w:w="-1" w:type="dxa"/>
              <w:bottom w:w="-1" w:type="dxa"/>
              <w:right w:w="-1" w:type="dxa"/>
            </w:tcMar>
            <w:vAlign w:val="center"/>
          </w:tcPr>
          <w:p w14:paraId="0C89FF4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已审批采购建议、发布记录</w:t>
            </w:r>
          </w:p>
        </w:tc>
        <w:tc>
          <w:tcPr>
            <w:tcW w:w="873" w:type="dxa"/>
            <w:shd w:val="clear" w:color="auto" w:fill="auto"/>
            <w:noWrap w:val="0"/>
            <w:tcMar>
              <w:top w:w="-1" w:type="dxa"/>
              <w:left w:w="-1" w:type="dxa"/>
              <w:bottom w:w="-1" w:type="dxa"/>
              <w:right w:w="-1" w:type="dxa"/>
            </w:tcMar>
            <w:vAlign w:val="center"/>
          </w:tcPr>
          <w:p w14:paraId="4E26E0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OA/审批平台、CON、SAP</w:t>
            </w:r>
          </w:p>
        </w:tc>
      </w:tr>
      <w:tr w14:paraId="33E6F52C">
        <w:trPr>
          <w:trHeight w:val="0" w:hRule="atLeast"/>
          <w:jc w:val="center"/>
        </w:trPr>
        <w:tc>
          <w:tcPr>
            <w:tcW w:w="1372" w:type="dxa"/>
            <w:shd w:val="clear" w:color="auto" w:fill="auto"/>
            <w:noWrap w:val="0"/>
            <w:tcMar>
              <w:top w:w="80" w:type="dxa"/>
              <w:left w:w="80" w:type="dxa"/>
              <w:bottom w:w="80" w:type="dxa"/>
              <w:right w:w="80" w:type="dxa"/>
            </w:tcMar>
            <w:vAlign w:val="center"/>
          </w:tcPr>
          <w:p w14:paraId="00BA45F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7B33C3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极端天气与事件供应影响数据接入</w:t>
            </w:r>
          </w:p>
        </w:tc>
        <w:tc>
          <w:tcPr>
            <w:tcW w:w="2115" w:type="dxa"/>
            <w:shd w:val="clear" w:color="auto" w:fill="auto"/>
            <w:noWrap w:val="0"/>
            <w:tcMar>
              <w:top w:w="-1" w:type="dxa"/>
              <w:left w:w="-1" w:type="dxa"/>
              <w:bottom w:w="-1" w:type="dxa"/>
              <w:right w:w="-1" w:type="dxa"/>
            </w:tcMar>
            <w:vAlign w:val="center"/>
          </w:tcPr>
          <w:p w14:paraId="5E5307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F-ZLTC-SCOS-CGYH-010</w:t>
            </w:r>
          </w:p>
        </w:tc>
        <w:tc>
          <w:tcPr>
            <w:tcW w:w="3054" w:type="dxa"/>
            <w:shd w:val="clear" w:color="auto" w:fill="auto"/>
            <w:noWrap w:val="0"/>
            <w:tcMar>
              <w:top w:w="-1" w:type="dxa"/>
              <w:left w:w="-1" w:type="dxa"/>
              <w:bottom w:w="-1" w:type="dxa"/>
              <w:right w:w="-1" w:type="dxa"/>
            </w:tcMar>
            <w:vAlign w:val="center"/>
          </w:tcPr>
          <w:p w14:paraId="13AEF3F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从AI优化平台接入极端天气或突发事件对供应商供应能力影响的量化数据，至少包括事件类型、影响区域、可用供应商清单、不可用或受限供应商、各可用供应商运输周期增量及生效时段；系统完成供应商、物料、路线和时间维度映射，并将运输周期调整量作为要货计划优化输入，支持事件更新、失效和人工复核。</w:t>
            </w:r>
          </w:p>
        </w:tc>
        <w:tc>
          <w:tcPr>
            <w:tcW w:w="1098" w:type="dxa"/>
            <w:shd w:val="clear" w:color="auto" w:fill="auto"/>
            <w:noWrap w:val="0"/>
            <w:tcMar>
              <w:top w:w="-1" w:type="dxa"/>
              <w:left w:w="-1" w:type="dxa"/>
              <w:bottom w:w="-1" w:type="dxa"/>
              <w:right w:w="-1" w:type="dxa"/>
            </w:tcMar>
            <w:vAlign w:val="center"/>
          </w:tcPr>
          <w:p w14:paraId="2D6E91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事件类型、影响区域、供应商可用性及运输周期增量</w:t>
            </w:r>
          </w:p>
        </w:tc>
        <w:tc>
          <w:tcPr>
            <w:tcW w:w="907" w:type="dxa"/>
            <w:shd w:val="clear" w:color="auto" w:fill="auto"/>
            <w:noWrap w:val="0"/>
            <w:tcMar>
              <w:top w:w="-1" w:type="dxa"/>
              <w:left w:w="-1" w:type="dxa"/>
              <w:bottom w:w="-1" w:type="dxa"/>
              <w:right w:w="-1" w:type="dxa"/>
            </w:tcMar>
            <w:vAlign w:val="center"/>
          </w:tcPr>
          <w:p w14:paraId="71FD132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供应影响数据集、映射与复核记录</w:t>
            </w:r>
          </w:p>
        </w:tc>
        <w:tc>
          <w:tcPr>
            <w:tcW w:w="873" w:type="dxa"/>
            <w:shd w:val="clear" w:color="auto" w:fill="auto"/>
            <w:noWrap w:val="0"/>
            <w:tcMar>
              <w:top w:w="-1" w:type="dxa"/>
              <w:left w:w="-1" w:type="dxa"/>
              <w:bottom w:w="-1" w:type="dxa"/>
              <w:right w:w="-1" w:type="dxa"/>
            </w:tcMar>
            <w:vAlign w:val="center"/>
          </w:tcPr>
          <w:p w14:paraId="2346CF0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w:t>
            </w:r>
          </w:p>
        </w:tc>
      </w:tr>
      <w:tr w14:paraId="17BD6015">
        <w:trPr>
          <w:trHeight w:val="0" w:hRule="atLeast"/>
          <w:jc w:val="center"/>
        </w:trPr>
        <w:tc>
          <w:tcPr>
            <w:tcW w:w="1372" w:type="dxa"/>
            <w:shd w:val="clear" w:color="auto" w:fill="auto"/>
            <w:noWrap w:val="0"/>
            <w:tcMar>
              <w:top w:w="80" w:type="dxa"/>
              <w:left w:w="80" w:type="dxa"/>
              <w:bottom w:w="80" w:type="dxa"/>
              <w:right w:w="80" w:type="dxa"/>
            </w:tcMar>
            <w:vAlign w:val="center"/>
          </w:tcPr>
          <w:p w14:paraId="1CFFDCD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1CCF667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日度到货与要货计划优化</w:t>
            </w:r>
          </w:p>
        </w:tc>
        <w:tc>
          <w:tcPr>
            <w:tcW w:w="2115" w:type="dxa"/>
            <w:shd w:val="clear" w:color="auto" w:fill="auto"/>
            <w:noWrap w:val="0"/>
            <w:tcMar>
              <w:top w:w="-1" w:type="dxa"/>
              <w:left w:w="-1" w:type="dxa"/>
              <w:bottom w:w="-1" w:type="dxa"/>
              <w:right w:w="-1" w:type="dxa"/>
            </w:tcMar>
            <w:vAlign w:val="center"/>
          </w:tcPr>
          <w:p w14:paraId="3EBE57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F-ZLTC-SCOS-CGYH-011</w:t>
            </w:r>
          </w:p>
        </w:tc>
        <w:tc>
          <w:tcPr>
            <w:tcW w:w="3054" w:type="dxa"/>
            <w:shd w:val="clear" w:color="auto" w:fill="auto"/>
            <w:noWrap w:val="0"/>
            <w:tcMar>
              <w:top w:w="-1" w:type="dxa"/>
              <w:left w:w="-1" w:type="dxa"/>
              <w:bottom w:w="-1" w:type="dxa"/>
              <w:right w:w="-1" w:type="dxa"/>
            </w:tcMar>
            <w:vAlign w:val="center"/>
          </w:tcPr>
          <w:p w14:paraId="03579EC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在已生效合同和采购订单边界内，结合生产日需求、库存、在途、供应商可交付能力、运输提前期、收货能力、仓储容量，以及AI优化平台提供的极端天气或事件下供应商可用性和运输周期量化影响，生成日度到厂需求、要货数量和期望到货时段，不新增未经授权的供应商或采购价格。</w:t>
            </w:r>
          </w:p>
        </w:tc>
        <w:tc>
          <w:tcPr>
            <w:tcW w:w="1098" w:type="dxa"/>
            <w:shd w:val="clear" w:color="auto" w:fill="auto"/>
            <w:noWrap w:val="0"/>
            <w:tcMar>
              <w:top w:w="-1" w:type="dxa"/>
              <w:left w:w="-1" w:type="dxa"/>
              <w:bottom w:w="-1" w:type="dxa"/>
              <w:right w:w="-1" w:type="dxa"/>
            </w:tcMar>
            <w:vAlign w:val="center"/>
          </w:tcPr>
          <w:p w14:paraId="50CCAFF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合同订单、生产日需求、库存、在途、运输及事件影响</w:t>
            </w:r>
          </w:p>
        </w:tc>
        <w:tc>
          <w:tcPr>
            <w:tcW w:w="907" w:type="dxa"/>
            <w:shd w:val="clear" w:color="auto" w:fill="auto"/>
            <w:noWrap w:val="0"/>
            <w:tcMar>
              <w:top w:w="-1" w:type="dxa"/>
              <w:left w:w="-1" w:type="dxa"/>
              <w:bottom w:w="-1" w:type="dxa"/>
              <w:right w:w="-1" w:type="dxa"/>
            </w:tcMar>
            <w:vAlign w:val="center"/>
          </w:tcPr>
          <w:p w14:paraId="45F23D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日度到厂需求、要货数量与到货时段</w:t>
            </w:r>
          </w:p>
        </w:tc>
        <w:tc>
          <w:tcPr>
            <w:tcW w:w="873" w:type="dxa"/>
            <w:shd w:val="clear" w:color="auto" w:fill="auto"/>
            <w:noWrap w:val="0"/>
            <w:tcMar>
              <w:top w:w="-1" w:type="dxa"/>
              <w:left w:w="-1" w:type="dxa"/>
              <w:bottom w:w="-1" w:type="dxa"/>
              <w:right w:w="-1" w:type="dxa"/>
            </w:tcMar>
            <w:vAlign w:val="center"/>
          </w:tcPr>
          <w:p w14:paraId="35AC10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CON、SAP、WMS、TMS、AI优化平台</w:t>
            </w:r>
          </w:p>
        </w:tc>
      </w:tr>
      <w:tr w14:paraId="225D4A66">
        <w:trPr>
          <w:trHeight w:val="0" w:hRule="atLeast"/>
          <w:jc w:val="center"/>
        </w:trPr>
        <w:tc>
          <w:tcPr>
            <w:tcW w:w="1372" w:type="dxa"/>
            <w:shd w:val="clear" w:color="auto" w:fill="auto"/>
            <w:noWrap w:val="0"/>
            <w:tcMar>
              <w:top w:w="80" w:type="dxa"/>
              <w:left w:w="80" w:type="dxa"/>
              <w:bottom w:w="80" w:type="dxa"/>
              <w:right w:w="80" w:type="dxa"/>
            </w:tcMar>
            <w:vAlign w:val="center"/>
          </w:tcPr>
          <w:p w14:paraId="2690096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5CF79F7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供应商送货承诺与顺序协同</w:t>
            </w:r>
          </w:p>
        </w:tc>
        <w:tc>
          <w:tcPr>
            <w:tcW w:w="2115" w:type="dxa"/>
            <w:shd w:val="clear" w:color="auto" w:fill="auto"/>
            <w:noWrap w:val="0"/>
            <w:tcMar>
              <w:top w:w="-1" w:type="dxa"/>
              <w:left w:w="-1" w:type="dxa"/>
              <w:bottom w:w="-1" w:type="dxa"/>
              <w:right w:w="-1" w:type="dxa"/>
            </w:tcMar>
            <w:vAlign w:val="center"/>
          </w:tcPr>
          <w:p w14:paraId="142AEDB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F-ZLTC-SCOS-CGYH-012</w:t>
            </w:r>
          </w:p>
        </w:tc>
        <w:tc>
          <w:tcPr>
            <w:tcW w:w="3054" w:type="dxa"/>
            <w:shd w:val="clear" w:color="auto" w:fill="auto"/>
            <w:noWrap w:val="0"/>
            <w:tcMar>
              <w:top w:w="-1" w:type="dxa"/>
              <w:left w:w="-1" w:type="dxa"/>
              <w:bottom w:w="-1" w:type="dxa"/>
              <w:right w:w="-1" w:type="dxa"/>
            </w:tcMar>
            <w:vAlign w:val="center"/>
          </w:tcPr>
          <w:p w14:paraId="694EF96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维护供应商可送货日期、数量、批次、车辆和到货承诺，结合合同余量、生产紧迫度和收货能力安排供应顺序；对拒绝、延迟、部分确认和承诺变化形成差异记录及协同任务。</w:t>
            </w:r>
          </w:p>
        </w:tc>
        <w:tc>
          <w:tcPr>
            <w:tcW w:w="1098" w:type="dxa"/>
            <w:shd w:val="clear" w:color="auto" w:fill="auto"/>
            <w:noWrap w:val="0"/>
            <w:tcMar>
              <w:top w:w="-1" w:type="dxa"/>
              <w:left w:w="-1" w:type="dxa"/>
              <w:bottom w:w="-1" w:type="dxa"/>
              <w:right w:w="-1" w:type="dxa"/>
            </w:tcMar>
            <w:vAlign w:val="center"/>
          </w:tcPr>
          <w:p w14:paraId="6FC5469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要货计划、合同余量、供应商承诺及收货能力</w:t>
            </w:r>
          </w:p>
        </w:tc>
        <w:tc>
          <w:tcPr>
            <w:tcW w:w="907" w:type="dxa"/>
            <w:shd w:val="clear" w:color="auto" w:fill="auto"/>
            <w:noWrap w:val="0"/>
            <w:tcMar>
              <w:top w:w="-1" w:type="dxa"/>
              <w:left w:w="-1" w:type="dxa"/>
              <w:bottom w:w="-1" w:type="dxa"/>
              <w:right w:w="-1" w:type="dxa"/>
            </w:tcMar>
            <w:vAlign w:val="center"/>
          </w:tcPr>
          <w:p w14:paraId="144F42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送货承诺、供应顺序及差异任务</w:t>
            </w:r>
          </w:p>
        </w:tc>
        <w:tc>
          <w:tcPr>
            <w:tcW w:w="873" w:type="dxa"/>
            <w:shd w:val="clear" w:color="auto" w:fill="auto"/>
            <w:noWrap w:val="0"/>
            <w:tcMar>
              <w:top w:w="-1" w:type="dxa"/>
              <w:left w:w="-1" w:type="dxa"/>
              <w:bottom w:w="-1" w:type="dxa"/>
              <w:right w:w="-1" w:type="dxa"/>
            </w:tcMar>
            <w:vAlign w:val="center"/>
          </w:tcPr>
          <w:p w14:paraId="090AAD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CON、TMS、WMS</w:t>
            </w:r>
          </w:p>
        </w:tc>
      </w:tr>
      <w:tr w14:paraId="5FA98AA2">
        <w:trPr>
          <w:trHeight w:val="0" w:hRule="atLeast"/>
          <w:jc w:val="center"/>
        </w:trPr>
        <w:tc>
          <w:tcPr>
            <w:tcW w:w="1372" w:type="dxa"/>
            <w:shd w:val="clear" w:color="auto" w:fill="auto"/>
            <w:noWrap w:val="0"/>
            <w:tcMar>
              <w:top w:w="80" w:type="dxa"/>
              <w:left w:w="80" w:type="dxa"/>
              <w:bottom w:w="80" w:type="dxa"/>
              <w:right w:w="80" w:type="dxa"/>
            </w:tcMar>
            <w:vAlign w:val="center"/>
          </w:tcPr>
          <w:p w14:paraId="45E70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6CF08C3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采购执行跟踪与反馈</w:t>
            </w:r>
          </w:p>
        </w:tc>
        <w:tc>
          <w:tcPr>
            <w:tcW w:w="2115" w:type="dxa"/>
            <w:shd w:val="clear" w:color="auto" w:fill="auto"/>
            <w:noWrap w:val="0"/>
            <w:tcMar>
              <w:top w:w="-1" w:type="dxa"/>
              <w:left w:w="-1" w:type="dxa"/>
              <w:bottom w:w="-1" w:type="dxa"/>
              <w:right w:w="-1" w:type="dxa"/>
            </w:tcMar>
            <w:vAlign w:val="center"/>
          </w:tcPr>
          <w:p w14:paraId="300A27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F-ZLTC-SCOS-CGYH-013</w:t>
            </w:r>
          </w:p>
        </w:tc>
        <w:tc>
          <w:tcPr>
            <w:tcW w:w="3054" w:type="dxa"/>
            <w:shd w:val="clear" w:color="auto" w:fill="auto"/>
            <w:noWrap w:val="0"/>
            <w:tcMar>
              <w:top w:w="-1" w:type="dxa"/>
              <w:left w:w="-1" w:type="dxa"/>
              <w:bottom w:w="-1" w:type="dxa"/>
              <w:right w:w="-1" w:type="dxa"/>
            </w:tcMar>
            <w:vAlign w:val="center"/>
          </w:tcPr>
          <w:p w14:paraId="3A4D8E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跟踪采购订单、要货计划的发货、在途、到厂、收货、质检和入库状态，比较计划与实际价格、数量和交期；偏差反馈至供应商绩效、需求缺口、后续采购方案和模型校准。</w:t>
            </w:r>
          </w:p>
        </w:tc>
        <w:tc>
          <w:tcPr>
            <w:tcW w:w="1098" w:type="dxa"/>
            <w:shd w:val="clear" w:color="auto" w:fill="auto"/>
            <w:noWrap w:val="0"/>
            <w:tcMar>
              <w:top w:w="-1" w:type="dxa"/>
              <w:left w:w="-1" w:type="dxa"/>
              <w:bottom w:w="-1" w:type="dxa"/>
              <w:right w:w="-1" w:type="dxa"/>
            </w:tcMar>
            <w:vAlign w:val="center"/>
          </w:tcPr>
          <w:p w14:paraId="7D0D1AA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采购订单、发运、在途、收货、质检及入库状态</w:t>
            </w:r>
          </w:p>
        </w:tc>
        <w:tc>
          <w:tcPr>
            <w:tcW w:w="907" w:type="dxa"/>
            <w:shd w:val="clear" w:color="auto" w:fill="auto"/>
            <w:noWrap w:val="0"/>
            <w:tcMar>
              <w:top w:w="-1" w:type="dxa"/>
              <w:left w:w="-1" w:type="dxa"/>
              <w:bottom w:w="-1" w:type="dxa"/>
              <w:right w:w="-1" w:type="dxa"/>
            </w:tcMar>
            <w:vAlign w:val="center"/>
          </w:tcPr>
          <w:p w14:paraId="2D7F6C9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执行偏差、供应商绩效与模型反馈</w:t>
            </w:r>
          </w:p>
        </w:tc>
        <w:tc>
          <w:tcPr>
            <w:tcW w:w="873" w:type="dxa"/>
            <w:shd w:val="clear" w:color="auto" w:fill="auto"/>
            <w:noWrap w:val="0"/>
            <w:tcMar>
              <w:top w:w="-1" w:type="dxa"/>
              <w:left w:w="-1" w:type="dxa"/>
              <w:bottom w:w="-1" w:type="dxa"/>
              <w:right w:w="-1" w:type="dxa"/>
            </w:tcMar>
            <w:vAlign w:val="center"/>
          </w:tcPr>
          <w:p w14:paraId="04E6B9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CON、SAP、TMS、WMS、QMS/LIMS</w:t>
            </w:r>
          </w:p>
        </w:tc>
      </w:tr>
      <w:tr w14:paraId="66E6250A">
        <w:trPr>
          <w:trHeight w:val="0" w:hRule="atLeast"/>
          <w:jc w:val="center"/>
        </w:trPr>
        <w:tc>
          <w:tcPr>
            <w:tcW w:w="1372" w:type="dxa"/>
            <w:shd w:val="clear" w:color="auto" w:fill="auto"/>
            <w:noWrap w:val="0"/>
            <w:tcMar>
              <w:top w:w="80" w:type="dxa"/>
              <w:left w:w="80" w:type="dxa"/>
              <w:bottom w:w="80" w:type="dxa"/>
              <w:right w:w="80" w:type="dxa"/>
            </w:tcMar>
            <w:vAlign w:val="center"/>
          </w:tcPr>
          <w:p w14:paraId="0A9CD7B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1472" w:type="dxa"/>
            <w:shd w:val="clear" w:color="auto" w:fill="auto"/>
            <w:noWrap w:val="0"/>
            <w:tcMar>
              <w:top w:w="-1" w:type="dxa"/>
              <w:left w:w="-1" w:type="dxa"/>
              <w:bottom w:w="-1" w:type="dxa"/>
              <w:right w:w="-1" w:type="dxa"/>
            </w:tcMar>
            <w:vAlign w:val="center"/>
          </w:tcPr>
          <w:p w14:paraId="1B6B0F8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采购异常协调与禁运控制</w:t>
            </w:r>
          </w:p>
        </w:tc>
        <w:tc>
          <w:tcPr>
            <w:tcW w:w="2115" w:type="dxa"/>
            <w:shd w:val="clear" w:color="auto" w:fill="auto"/>
            <w:noWrap w:val="0"/>
            <w:tcMar>
              <w:top w:w="-1" w:type="dxa"/>
              <w:left w:w="-1" w:type="dxa"/>
              <w:bottom w:w="-1" w:type="dxa"/>
              <w:right w:w="-1" w:type="dxa"/>
            </w:tcMar>
            <w:vAlign w:val="center"/>
          </w:tcPr>
          <w:p w14:paraId="4BCFD4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F-ZLTC-SCOS-CGYH-014</w:t>
            </w:r>
          </w:p>
        </w:tc>
        <w:tc>
          <w:tcPr>
            <w:tcW w:w="3054" w:type="dxa"/>
            <w:shd w:val="clear" w:color="auto" w:fill="auto"/>
            <w:noWrap w:val="0"/>
            <w:tcMar>
              <w:top w:w="-1" w:type="dxa"/>
              <w:left w:w="-1" w:type="dxa"/>
              <w:bottom w:w="-1" w:type="dxa"/>
              <w:right w:w="-1" w:type="dxa"/>
            </w:tcMar>
            <w:vAlign w:val="center"/>
          </w:tcPr>
          <w:p w14:paraId="7B8FF84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识别供应缺口、运输延误、质量不合格、合同不足和供应商禁运等异常，生成替代供应、调整到货、升级协调或人工处理建议；禁运与解除须经授权并保留原因、证据、生效时间和影响范围。</w:t>
            </w:r>
          </w:p>
        </w:tc>
        <w:tc>
          <w:tcPr>
            <w:tcW w:w="1098" w:type="dxa"/>
            <w:shd w:val="clear" w:color="auto" w:fill="auto"/>
            <w:noWrap w:val="0"/>
            <w:tcMar>
              <w:top w:w="-1" w:type="dxa"/>
              <w:left w:w="-1" w:type="dxa"/>
              <w:bottom w:w="-1" w:type="dxa"/>
              <w:right w:w="-1" w:type="dxa"/>
            </w:tcMar>
            <w:vAlign w:val="center"/>
          </w:tcPr>
          <w:p w14:paraId="6DB23E0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供应缺口、延误、质量、合同及禁运事件</w:t>
            </w:r>
          </w:p>
        </w:tc>
        <w:tc>
          <w:tcPr>
            <w:tcW w:w="907" w:type="dxa"/>
            <w:shd w:val="clear" w:color="auto" w:fill="auto"/>
            <w:noWrap w:val="0"/>
            <w:tcMar>
              <w:top w:w="-1" w:type="dxa"/>
              <w:left w:w="-1" w:type="dxa"/>
              <w:bottom w:w="-1" w:type="dxa"/>
              <w:right w:w="-1" w:type="dxa"/>
            </w:tcMar>
            <w:vAlign w:val="center"/>
          </w:tcPr>
          <w:p w14:paraId="41E8FF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异常处置建议、禁运与解除记录</w:t>
            </w:r>
          </w:p>
        </w:tc>
        <w:tc>
          <w:tcPr>
            <w:tcW w:w="873" w:type="dxa"/>
            <w:shd w:val="clear" w:color="auto" w:fill="auto"/>
            <w:noWrap w:val="0"/>
            <w:tcMar>
              <w:top w:w="-1" w:type="dxa"/>
              <w:left w:w="-1" w:type="dxa"/>
              <w:bottom w:w="-1" w:type="dxa"/>
              <w:right w:w="-1" w:type="dxa"/>
            </w:tcMar>
            <w:vAlign w:val="center"/>
          </w:tcPr>
          <w:p w14:paraId="7548A6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CON、SAP、QMS/LIMS、TMS</w:t>
            </w:r>
          </w:p>
        </w:tc>
      </w:tr>
      <w:tr w14:paraId="19617404">
        <w:trPr>
          <w:trHeight w:val="0" w:hRule="atLeast"/>
          <w:jc w:val="center"/>
        </w:trPr>
        <w:tc>
          <w:tcPr>
            <w:tcW w:w="1372" w:type="dxa"/>
            <w:shd w:val="clear" w:color="auto" w:fill="auto"/>
            <w:noWrap w:val="0"/>
            <w:tcMar>
              <w:top w:w="80" w:type="dxa"/>
              <w:left w:w="80" w:type="dxa"/>
              <w:bottom w:w="80" w:type="dxa"/>
              <w:right w:w="80" w:type="dxa"/>
            </w:tcMar>
            <w:vAlign w:val="center"/>
          </w:tcPr>
          <w:p w14:paraId="24E19EF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1EAF0B0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需求模式与波动分析</w:t>
            </w:r>
          </w:p>
        </w:tc>
        <w:tc>
          <w:tcPr>
            <w:tcW w:w="2115" w:type="dxa"/>
            <w:shd w:val="clear" w:color="auto" w:fill="auto"/>
            <w:noWrap w:val="0"/>
            <w:tcMar>
              <w:top w:w="-1" w:type="dxa"/>
              <w:left w:w="-1" w:type="dxa"/>
              <w:bottom w:w="-1" w:type="dxa"/>
              <w:right w:w="-1" w:type="dxa"/>
            </w:tcMar>
            <w:vAlign w:val="center"/>
          </w:tcPr>
          <w:p w14:paraId="716ABC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34B4AF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自动分析历史消耗、销售预测和生产需求，识别稳定、趋势、季节、间歇等需求模式，计算均值、标准差、变异系数和预测偏差，并按物料、地点和时间粒度形成库存模型输入。</w:t>
            </w:r>
          </w:p>
        </w:tc>
        <w:tc>
          <w:tcPr>
            <w:tcW w:w="1098" w:type="dxa"/>
            <w:shd w:val="clear" w:color="auto" w:fill="auto"/>
            <w:noWrap w:val="0"/>
            <w:tcMar>
              <w:top w:w="-1" w:type="dxa"/>
              <w:left w:w="-1" w:type="dxa"/>
              <w:bottom w:w="-1" w:type="dxa"/>
              <w:right w:w="-1" w:type="dxa"/>
            </w:tcMar>
            <w:vAlign w:val="center"/>
          </w:tcPr>
          <w:p w14:paraId="5236830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历史消耗、销售预测及生产需求</w:t>
            </w:r>
          </w:p>
        </w:tc>
        <w:tc>
          <w:tcPr>
            <w:tcW w:w="907" w:type="dxa"/>
            <w:shd w:val="clear" w:color="auto" w:fill="auto"/>
            <w:noWrap w:val="0"/>
            <w:tcMar>
              <w:top w:w="-1" w:type="dxa"/>
              <w:left w:w="-1" w:type="dxa"/>
              <w:bottom w:w="-1" w:type="dxa"/>
              <w:right w:w="-1" w:type="dxa"/>
            </w:tcMar>
            <w:vAlign w:val="center"/>
          </w:tcPr>
          <w:p w14:paraId="4994359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需求模式、波动指标及模型输入</w:t>
            </w:r>
          </w:p>
        </w:tc>
        <w:tc>
          <w:tcPr>
            <w:tcW w:w="873" w:type="dxa"/>
            <w:shd w:val="clear" w:color="auto" w:fill="auto"/>
            <w:noWrap w:val="0"/>
            <w:tcMar>
              <w:top w:w="-1" w:type="dxa"/>
              <w:left w:w="-1" w:type="dxa"/>
              <w:bottom w:w="-1" w:type="dxa"/>
              <w:right w:w="-1" w:type="dxa"/>
            </w:tcMar>
            <w:vAlign w:val="center"/>
          </w:tcPr>
          <w:p w14:paraId="2B7047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CRM、SAP、MES</w:t>
            </w:r>
          </w:p>
        </w:tc>
      </w:tr>
      <w:tr w14:paraId="5CB01A04">
        <w:trPr>
          <w:trHeight w:val="0" w:hRule="atLeast"/>
          <w:jc w:val="center"/>
        </w:trPr>
        <w:tc>
          <w:tcPr>
            <w:tcW w:w="1372" w:type="dxa"/>
            <w:shd w:val="clear" w:color="auto" w:fill="auto"/>
            <w:noWrap w:val="0"/>
            <w:tcMar>
              <w:top w:w="80" w:type="dxa"/>
              <w:left w:w="80" w:type="dxa"/>
              <w:bottom w:w="80" w:type="dxa"/>
              <w:right w:w="80" w:type="dxa"/>
            </w:tcMar>
            <w:vAlign w:val="center"/>
          </w:tcPr>
          <w:p w14:paraId="140F07C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58D77C5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供应提前期与可靠性分析</w:t>
            </w:r>
          </w:p>
        </w:tc>
        <w:tc>
          <w:tcPr>
            <w:tcW w:w="2115" w:type="dxa"/>
            <w:shd w:val="clear" w:color="auto" w:fill="auto"/>
            <w:noWrap w:val="0"/>
            <w:tcMar>
              <w:top w:w="-1" w:type="dxa"/>
              <w:left w:w="-1" w:type="dxa"/>
              <w:bottom w:w="-1" w:type="dxa"/>
              <w:right w:w="-1" w:type="dxa"/>
            </w:tcMar>
            <w:vAlign w:val="center"/>
          </w:tcPr>
          <w:p w14:paraId="61AA15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448DD4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集成供应商及内部补货历史，计算提前期均值、波动、准时率和异常分布，区分采购、生产、运输和检验环节的时间贡献，为安全库存及再订货点计算提供供应不确定性参数。</w:t>
            </w:r>
          </w:p>
        </w:tc>
        <w:tc>
          <w:tcPr>
            <w:tcW w:w="1098" w:type="dxa"/>
            <w:shd w:val="clear" w:color="auto" w:fill="auto"/>
            <w:noWrap w:val="0"/>
            <w:tcMar>
              <w:top w:w="-1" w:type="dxa"/>
              <w:left w:w="-1" w:type="dxa"/>
              <w:bottom w:w="-1" w:type="dxa"/>
              <w:right w:w="-1" w:type="dxa"/>
            </w:tcMar>
            <w:vAlign w:val="center"/>
          </w:tcPr>
          <w:p w14:paraId="6540C26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采购、生产、运输及检验提前期历史</w:t>
            </w:r>
          </w:p>
        </w:tc>
        <w:tc>
          <w:tcPr>
            <w:tcW w:w="907" w:type="dxa"/>
            <w:shd w:val="clear" w:color="auto" w:fill="auto"/>
            <w:noWrap w:val="0"/>
            <w:tcMar>
              <w:top w:w="-1" w:type="dxa"/>
              <w:left w:w="-1" w:type="dxa"/>
              <w:bottom w:w="-1" w:type="dxa"/>
              <w:right w:w="-1" w:type="dxa"/>
            </w:tcMar>
            <w:vAlign w:val="center"/>
          </w:tcPr>
          <w:p w14:paraId="1ABE52D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提前期分布、可靠性参数</w:t>
            </w:r>
          </w:p>
        </w:tc>
        <w:tc>
          <w:tcPr>
            <w:tcW w:w="873" w:type="dxa"/>
            <w:shd w:val="clear" w:color="auto" w:fill="auto"/>
            <w:noWrap w:val="0"/>
            <w:tcMar>
              <w:top w:w="-1" w:type="dxa"/>
              <w:left w:w="-1" w:type="dxa"/>
              <w:bottom w:w="-1" w:type="dxa"/>
              <w:right w:w="-1" w:type="dxa"/>
            </w:tcMar>
            <w:vAlign w:val="center"/>
          </w:tcPr>
          <w:p w14:paraId="77D58E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SAP、TMS、WMS、QMS/LIMS</w:t>
            </w:r>
          </w:p>
        </w:tc>
      </w:tr>
      <w:tr w14:paraId="3BA5628E">
        <w:trPr>
          <w:trHeight w:val="0" w:hRule="atLeast"/>
          <w:jc w:val="center"/>
        </w:trPr>
        <w:tc>
          <w:tcPr>
            <w:tcW w:w="1372" w:type="dxa"/>
            <w:shd w:val="clear" w:color="auto" w:fill="auto"/>
            <w:noWrap w:val="0"/>
            <w:tcMar>
              <w:top w:w="80" w:type="dxa"/>
              <w:left w:w="80" w:type="dxa"/>
              <w:bottom w:w="80" w:type="dxa"/>
              <w:right w:w="80" w:type="dxa"/>
            </w:tcMar>
            <w:vAlign w:val="center"/>
          </w:tcPr>
          <w:p w14:paraId="25BACCF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3ED08EA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服务水平目标与物料分类</w:t>
            </w:r>
          </w:p>
        </w:tc>
        <w:tc>
          <w:tcPr>
            <w:tcW w:w="2115" w:type="dxa"/>
            <w:shd w:val="clear" w:color="auto" w:fill="auto"/>
            <w:noWrap w:val="0"/>
            <w:tcMar>
              <w:top w:w="-1" w:type="dxa"/>
              <w:left w:w="-1" w:type="dxa"/>
              <w:bottom w:w="-1" w:type="dxa"/>
              <w:right w:w="-1" w:type="dxa"/>
            </w:tcMar>
            <w:vAlign w:val="center"/>
          </w:tcPr>
          <w:p w14:paraId="5B39E9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3179520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支持按ABC/XYZ、关键程度、价值、保质期和供应风险对原料、在制品、产成品及副产品分类，为不同物料群组设置订单满足率等差异化服务水平目标及审批权限。</w:t>
            </w:r>
          </w:p>
        </w:tc>
        <w:tc>
          <w:tcPr>
            <w:tcW w:w="1098" w:type="dxa"/>
            <w:shd w:val="clear" w:color="auto" w:fill="auto"/>
            <w:noWrap w:val="0"/>
            <w:tcMar>
              <w:top w:w="-1" w:type="dxa"/>
              <w:left w:w="-1" w:type="dxa"/>
              <w:bottom w:w="-1" w:type="dxa"/>
              <w:right w:w="-1" w:type="dxa"/>
            </w:tcMar>
            <w:vAlign w:val="center"/>
          </w:tcPr>
          <w:p w14:paraId="2482CC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物料主数据、关键程度、价值、保质期及风险</w:t>
            </w:r>
          </w:p>
        </w:tc>
        <w:tc>
          <w:tcPr>
            <w:tcW w:w="907" w:type="dxa"/>
            <w:shd w:val="clear" w:color="auto" w:fill="auto"/>
            <w:noWrap w:val="0"/>
            <w:tcMar>
              <w:top w:w="-1" w:type="dxa"/>
              <w:left w:w="-1" w:type="dxa"/>
              <w:bottom w:w="-1" w:type="dxa"/>
              <w:right w:w="-1" w:type="dxa"/>
            </w:tcMar>
            <w:vAlign w:val="center"/>
          </w:tcPr>
          <w:p w14:paraId="55EECE4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物料分类、服务水平目标</w:t>
            </w:r>
          </w:p>
        </w:tc>
        <w:tc>
          <w:tcPr>
            <w:tcW w:w="873" w:type="dxa"/>
            <w:shd w:val="clear" w:color="auto" w:fill="auto"/>
            <w:noWrap w:val="0"/>
            <w:tcMar>
              <w:top w:w="-1" w:type="dxa"/>
              <w:left w:w="-1" w:type="dxa"/>
              <w:bottom w:w="-1" w:type="dxa"/>
              <w:right w:w="-1" w:type="dxa"/>
            </w:tcMar>
            <w:vAlign w:val="center"/>
          </w:tcPr>
          <w:p w14:paraId="02F4D9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SAP、WMS、QMS/LIMS</w:t>
            </w:r>
          </w:p>
        </w:tc>
      </w:tr>
      <w:tr w14:paraId="2123F346">
        <w:trPr>
          <w:trHeight w:val="0" w:hRule="atLeast"/>
          <w:jc w:val="center"/>
        </w:trPr>
        <w:tc>
          <w:tcPr>
            <w:tcW w:w="1372" w:type="dxa"/>
            <w:shd w:val="clear" w:color="auto" w:fill="auto"/>
            <w:noWrap w:val="0"/>
            <w:tcMar>
              <w:top w:w="80" w:type="dxa"/>
              <w:left w:w="80" w:type="dxa"/>
              <w:bottom w:w="80" w:type="dxa"/>
              <w:right w:w="80" w:type="dxa"/>
            </w:tcMar>
            <w:vAlign w:val="center"/>
          </w:tcPr>
          <w:p w14:paraId="4913071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526DF8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动态安全库存计算</w:t>
            </w:r>
          </w:p>
        </w:tc>
        <w:tc>
          <w:tcPr>
            <w:tcW w:w="2115" w:type="dxa"/>
            <w:shd w:val="clear" w:color="auto" w:fill="auto"/>
            <w:noWrap w:val="0"/>
            <w:tcMar>
              <w:top w:w="-1" w:type="dxa"/>
              <w:left w:w="-1" w:type="dxa"/>
              <w:bottom w:w="-1" w:type="dxa"/>
              <w:right w:w="-1" w:type="dxa"/>
            </w:tcMar>
            <w:vAlign w:val="center"/>
          </w:tcPr>
          <w:p w14:paraId="0FD6CE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F-ZLTC-SCOS-AQKCYH-004</w:t>
            </w:r>
          </w:p>
        </w:tc>
        <w:tc>
          <w:tcPr>
            <w:tcW w:w="3054" w:type="dxa"/>
            <w:shd w:val="clear" w:color="auto" w:fill="auto"/>
            <w:noWrap w:val="0"/>
            <w:tcMar>
              <w:top w:w="-1" w:type="dxa"/>
              <w:left w:w="-1" w:type="dxa"/>
              <w:bottom w:w="-1" w:type="dxa"/>
              <w:right w:w="-1" w:type="dxa"/>
            </w:tcMar>
            <w:vAlign w:val="center"/>
          </w:tcPr>
          <w:p w14:paraId="7D6ABD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综合需求波动、供应提前期波动、服务水平和业务周期，运用适配稳定、季节和间歇需求的模型计算SKU级安全库存；公式、Z值、波动系数和参数透明可控，并保留版本和计算解释。</w:t>
            </w:r>
          </w:p>
        </w:tc>
        <w:tc>
          <w:tcPr>
            <w:tcW w:w="1098" w:type="dxa"/>
            <w:shd w:val="clear" w:color="auto" w:fill="auto"/>
            <w:noWrap w:val="0"/>
            <w:tcMar>
              <w:top w:w="-1" w:type="dxa"/>
              <w:left w:w="-1" w:type="dxa"/>
              <w:bottom w:w="-1" w:type="dxa"/>
              <w:right w:w="-1" w:type="dxa"/>
            </w:tcMar>
            <w:vAlign w:val="center"/>
          </w:tcPr>
          <w:p w14:paraId="3BC3F2F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需求波动、提前期波动、服务水平及业务周期</w:t>
            </w:r>
          </w:p>
        </w:tc>
        <w:tc>
          <w:tcPr>
            <w:tcW w:w="907" w:type="dxa"/>
            <w:shd w:val="clear" w:color="auto" w:fill="auto"/>
            <w:noWrap w:val="0"/>
            <w:tcMar>
              <w:top w:w="-1" w:type="dxa"/>
              <w:left w:w="-1" w:type="dxa"/>
              <w:bottom w:w="-1" w:type="dxa"/>
              <w:right w:w="-1" w:type="dxa"/>
            </w:tcMar>
            <w:vAlign w:val="center"/>
          </w:tcPr>
          <w:p w14:paraId="1855D76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SKU级动态安全库存</w:t>
            </w:r>
          </w:p>
        </w:tc>
        <w:tc>
          <w:tcPr>
            <w:tcW w:w="873" w:type="dxa"/>
            <w:shd w:val="clear" w:color="auto" w:fill="auto"/>
            <w:noWrap w:val="0"/>
            <w:tcMar>
              <w:top w:w="-1" w:type="dxa"/>
              <w:left w:w="-1" w:type="dxa"/>
              <w:bottom w:w="-1" w:type="dxa"/>
              <w:right w:w="-1" w:type="dxa"/>
            </w:tcMar>
            <w:vAlign w:val="center"/>
          </w:tcPr>
          <w:p w14:paraId="2FCB16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AI优化平台、SAP、WMS</w:t>
            </w:r>
          </w:p>
        </w:tc>
      </w:tr>
      <w:tr w14:paraId="336CFD46">
        <w:trPr>
          <w:trHeight w:val="0" w:hRule="atLeast"/>
          <w:jc w:val="center"/>
        </w:trPr>
        <w:tc>
          <w:tcPr>
            <w:tcW w:w="1372" w:type="dxa"/>
            <w:shd w:val="clear" w:color="auto" w:fill="auto"/>
            <w:noWrap w:val="0"/>
            <w:tcMar>
              <w:top w:w="80" w:type="dxa"/>
              <w:left w:w="80" w:type="dxa"/>
              <w:bottom w:w="80" w:type="dxa"/>
              <w:right w:w="80" w:type="dxa"/>
            </w:tcMar>
            <w:vAlign w:val="center"/>
          </w:tcPr>
          <w:p w14:paraId="19A37E1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7702FAF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再订货点与订货量建议</w:t>
            </w:r>
          </w:p>
        </w:tc>
        <w:tc>
          <w:tcPr>
            <w:tcW w:w="2115" w:type="dxa"/>
            <w:shd w:val="clear" w:color="auto" w:fill="auto"/>
            <w:noWrap w:val="0"/>
            <w:tcMar>
              <w:top w:w="-1" w:type="dxa"/>
              <w:left w:w="-1" w:type="dxa"/>
              <w:bottom w:w="-1" w:type="dxa"/>
              <w:right w:w="-1" w:type="dxa"/>
            </w:tcMar>
            <w:vAlign w:val="center"/>
          </w:tcPr>
          <w:p w14:paraId="060E6C5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F-ZLTC-SCOS-AQKCYH-005</w:t>
            </w:r>
          </w:p>
        </w:tc>
        <w:tc>
          <w:tcPr>
            <w:tcW w:w="3054" w:type="dxa"/>
            <w:shd w:val="clear" w:color="auto" w:fill="auto"/>
            <w:noWrap w:val="0"/>
            <w:tcMar>
              <w:top w:w="-1" w:type="dxa"/>
              <w:left w:w="-1" w:type="dxa"/>
              <w:bottom w:w="-1" w:type="dxa"/>
              <w:right w:w="-1" w:type="dxa"/>
            </w:tcMar>
            <w:vAlign w:val="center"/>
          </w:tcPr>
          <w:p w14:paraId="428A27E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依据提前期内平均需求与安全库存计算再订货点，结合经济订货批量、补货周期、最小批量、运输单位和业务规则推荐订货量、目标库存和期望到货日期。</w:t>
            </w:r>
          </w:p>
        </w:tc>
        <w:tc>
          <w:tcPr>
            <w:tcW w:w="1098" w:type="dxa"/>
            <w:shd w:val="clear" w:color="auto" w:fill="auto"/>
            <w:noWrap w:val="0"/>
            <w:tcMar>
              <w:top w:w="-1" w:type="dxa"/>
              <w:left w:w="-1" w:type="dxa"/>
              <w:bottom w:w="-1" w:type="dxa"/>
              <w:right w:w="-1" w:type="dxa"/>
            </w:tcMar>
            <w:vAlign w:val="center"/>
          </w:tcPr>
          <w:p w14:paraId="5225CC0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平均需求、安全库存、批量及运输规则</w:t>
            </w:r>
          </w:p>
        </w:tc>
        <w:tc>
          <w:tcPr>
            <w:tcW w:w="907" w:type="dxa"/>
            <w:shd w:val="clear" w:color="auto" w:fill="auto"/>
            <w:noWrap w:val="0"/>
            <w:tcMar>
              <w:top w:w="-1" w:type="dxa"/>
              <w:left w:w="-1" w:type="dxa"/>
              <w:bottom w:w="-1" w:type="dxa"/>
              <w:right w:w="-1" w:type="dxa"/>
            </w:tcMar>
            <w:vAlign w:val="center"/>
          </w:tcPr>
          <w:p w14:paraId="5AE4010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再订货点、订货量与到货日期建议</w:t>
            </w:r>
          </w:p>
        </w:tc>
        <w:tc>
          <w:tcPr>
            <w:tcW w:w="873" w:type="dxa"/>
            <w:shd w:val="clear" w:color="auto" w:fill="auto"/>
            <w:noWrap w:val="0"/>
            <w:tcMar>
              <w:top w:w="-1" w:type="dxa"/>
              <w:left w:w="-1" w:type="dxa"/>
              <w:bottom w:w="-1" w:type="dxa"/>
              <w:right w:w="-1" w:type="dxa"/>
            </w:tcMar>
            <w:vAlign w:val="center"/>
          </w:tcPr>
          <w:p w14:paraId="22A2A3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采购决策优化模块、SAP、WMS</w:t>
            </w:r>
          </w:p>
        </w:tc>
      </w:tr>
      <w:tr w14:paraId="49D3723E">
        <w:trPr>
          <w:trHeight w:val="0" w:hRule="atLeast"/>
          <w:jc w:val="center"/>
        </w:trPr>
        <w:tc>
          <w:tcPr>
            <w:tcW w:w="1372" w:type="dxa"/>
            <w:shd w:val="clear" w:color="auto" w:fill="auto"/>
            <w:noWrap w:val="0"/>
            <w:tcMar>
              <w:top w:w="80" w:type="dxa"/>
              <w:left w:w="80" w:type="dxa"/>
              <w:bottom w:w="80" w:type="dxa"/>
              <w:right w:w="80" w:type="dxa"/>
            </w:tcMar>
            <w:vAlign w:val="center"/>
          </w:tcPr>
          <w:p w14:paraId="0941C63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7A067A5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储罐仓容与兼容约束管理</w:t>
            </w:r>
          </w:p>
        </w:tc>
        <w:tc>
          <w:tcPr>
            <w:tcW w:w="2115" w:type="dxa"/>
            <w:shd w:val="clear" w:color="auto" w:fill="auto"/>
            <w:noWrap w:val="0"/>
            <w:tcMar>
              <w:top w:w="-1" w:type="dxa"/>
              <w:left w:w="-1" w:type="dxa"/>
              <w:bottom w:w="-1" w:type="dxa"/>
              <w:right w:w="-1" w:type="dxa"/>
            </w:tcMar>
            <w:vAlign w:val="center"/>
          </w:tcPr>
          <w:p w14:paraId="68DCED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F-ZLTC-SCOS-AQKCYH-006</w:t>
            </w:r>
          </w:p>
        </w:tc>
        <w:tc>
          <w:tcPr>
            <w:tcW w:w="3054" w:type="dxa"/>
            <w:shd w:val="clear" w:color="auto" w:fill="auto"/>
            <w:noWrap w:val="0"/>
            <w:tcMar>
              <w:top w:w="-1" w:type="dxa"/>
              <w:left w:w="-1" w:type="dxa"/>
              <w:bottom w:w="-1" w:type="dxa"/>
              <w:right w:w="-1" w:type="dxa"/>
            </w:tcMar>
            <w:vAlign w:val="center"/>
          </w:tcPr>
          <w:p w14:paraId="4C51C57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将储罐和仓库容量、物料兼容关系、封存与质量状态、同日进出限制、切换规则和可用库存口径作为硬约束，确保库存及补货建议满足现场物理条件，不以优化目标突破质量或容量边界。</w:t>
            </w:r>
          </w:p>
        </w:tc>
        <w:tc>
          <w:tcPr>
            <w:tcW w:w="1098" w:type="dxa"/>
            <w:shd w:val="clear" w:color="auto" w:fill="auto"/>
            <w:noWrap w:val="0"/>
            <w:tcMar>
              <w:top w:w="-1" w:type="dxa"/>
              <w:left w:w="-1" w:type="dxa"/>
              <w:bottom w:w="-1" w:type="dxa"/>
              <w:right w:w="-1" w:type="dxa"/>
            </w:tcMar>
            <w:vAlign w:val="center"/>
          </w:tcPr>
          <w:p w14:paraId="783D027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储罐仓容、物料兼容、质量与库位状态</w:t>
            </w:r>
          </w:p>
        </w:tc>
        <w:tc>
          <w:tcPr>
            <w:tcW w:w="907" w:type="dxa"/>
            <w:shd w:val="clear" w:color="auto" w:fill="auto"/>
            <w:noWrap w:val="0"/>
            <w:tcMar>
              <w:top w:w="-1" w:type="dxa"/>
              <w:left w:w="-1" w:type="dxa"/>
              <w:bottom w:w="-1" w:type="dxa"/>
              <w:right w:w="-1" w:type="dxa"/>
            </w:tcMar>
            <w:vAlign w:val="center"/>
          </w:tcPr>
          <w:p w14:paraId="767B219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可用仓容、兼容约束及冲突信息</w:t>
            </w:r>
          </w:p>
        </w:tc>
        <w:tc>
          <w:tcPr>
            <w:tcW w:w="873" w:type="dxa"/>
            <w:shd w:val="clear" w:color="auto" w:fill="auto"/>
            <w:noWrap w:val="0"/>
            <w:tcMar>
              <w:top w:w="-1" w:type="dxa"/>
              <w:left w:w="-1" w:type="dxa"/>
              <w:bottom w:w="-1" w:type="dxa"/>
              <w:right w:w="-1" w:type="dxa"/>
            </w:tcMar>
            <w:vAlign w:val="center"/>
          </w:tcPr>
          <w:p w14:paraId="155076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WMS、QMS/LIMS、DCS</w:t>
            </w:r>
          </w:p>
        </w:tc>
      </w:tr>
      <w:tr w14:paraId="7DAB3E7D">
        <w:trPr>
          <w:trHeight w:val="0" w:hRule="atLeast"/>
          <w:jc w:val="center"/>
        </w:trPr>
        <w:tc>
          <w:tcPr>
            <w:tcW w:w="1372" w:type="dxa"/>
            <w:shd w:val="clear" w:color="auto" w:fill="auto"/>
            <w:noWrap w:val="0"/>
            <w:tcMar>
              <w:top w:w="80" w:type="dxa"/>
              <w:left w:w="80" w:type="dxa"/>
              <w:bottom w:w="80" w:type="dxa"/>
              <w:right w:w="80" w:type="dxa"/>
            </w:tcMar>
            <w:vAlign w:val="center"/>
          </w:tcPr>
          <w:p w14:paraId="0E3D828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5C77D65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差异化库存策略管理</w:t>
            </w:r>
          </w:p>
        </w:tc>
        <w:tc>
          <w:tcPr>
            <w:tcW w:w="2115" w:type="dxa"/>
            <w:shd w:val="clear" w:color="auto" w:fill="auto"/>
            <w:noWrap w:val="0"/>
            <w:tcMar>
              <w:top w:w="-1" w:type="dxa"/>
              <w:left w:w="-1" w:type="dxa"/>
              <w:bottom w:w="-1" w:type="dxa"/>
              <w:right w:w="-1" w:type="dxa"/>
            </w:tcMar>
            <w:vAlign w:val="center"/>
          </w:tcPr>
          <w:p w14:paraId="73E482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F-ZLTC-SCOS-AQKCYH-007</w:t>
            </w:r>
          </w:p>
        </w:tc>
        <w:tc>
          <w:tcPr>
            <w:tcW w:w="3054" w:type="dxa"/>
            <w:shd w:val="clear" w:color="auto" w:fill="auto"/>
            <w:noWrap w:val="0"/>
            <w:tcMar>
              <w:top w:w="-1" w:type="dxa"/>
              <w:left w:w="-1" w:type="dxa"/>
              <w:bottom w:w="-1" w:type="dxa"/>
              <w:right w:w="-1" w:type="dxa"/>
            </w:tcMar>
            <w:vAlign w:val="center"/>
          </w:tcPr>
          <w:p w14:paraId="4CA3D26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按物料群组批量配置连续检查或周期检查、补货周期、最小最大库存、盘点间隔和锁定范围等策略，支持策略审批、生效、停用、复制和历史版本比较。</w:t>
            </w:r>
          </w:p>
        </w:tc>
        <w:tc>
          <w:tcPr>
            <w:tcW w:w="1098" w:type="dxa"/>
            <w:shd w:val="clear" w:color="auto" w:fill="auto"/>
            <w:noWrap w:val="0"/>
            <w:tcMar>
              <w:top w:w="-1" w:type="dxa"/>
              <w:left w:w="-1" w:type="dxa"/>
              <w:bottom w:w="-1" w:type="dxa"/>
              <w:right w:w="-1" w:type="dxa"/>
            </w:tcMar>
            <w:vAlign w:val="center"/>
          </w:tcPr>
          <w:p w14:paraId="6897F5F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物料分类、业务规则、补货周期及锁定范围</w:t>
            </w:r>
          </w:p>
        </w:tc>
        <w:tc>
          <w:tcPr>
            <w:tcW w:w="907" w:type="dxa"/>
            <w:shd w:val="clear" w:color="auto" w:fill="auto"/>
            <w:noWrap w:val="0"/>
            <w:tcMar>
              <w:top w:w="-1" w:type="dxa"/>
              <w:left w:w="-1" w:type="dxa"/>
              <w:bottom w:w="-1" w:type="dxa"/>
              <w:right w:w="-1" w:type="dxa"/>
            </w:tcMar>
            <w:vAlign w:val="center"/>
          </w:tcPr>
          <w:p w14:paraId="038107A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已审批库存策略及版本</w:t>
            </w:r>
          </w:p>
        </w:tc>
        <w:tc>
          <w:tcPr>
            <w:tcW w:w="873" w:type="dxa"/>
            <w:shd w:val="clear" w:color="auto" w:fill="auto"/>
            <w:noWrap w:val="0"/>
            <w:tcMar>
              <w:top w:w="-1" w:type="dxa"/>
              <w:left w:w="-1" w:type="dxa"/>
              <w:bottom w:w="-1" w:type="dxa"/>
              <w:right w:w="-1" w:type="dxa"/>
            </w:tcMar>
            <w:vAlign w:val="center"/>
          </w:tcPr>
          <w:p w14:paraId="0FB94C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SAP、WMS、OA/审批平台</w:t>
            </w:r>
          </w:p>
        </w:tc>
      </w:tr>
      <w:tr w14:paraId="5E04BF41">
        <w:trPr>
          <w:trHeight w:val="0" w:hRule="atLeast"/>
          <w:jc w:val="center"/>
        </w:trPr>
        <w:tc>
          <w:tcPr>
            <w:tcW w:w="1372" w:type="dxa"/>
            <w:shd w:val="clear" w:color="auto" w:fill="auto"/>
            <w:noWrap w:val="0"/>
            <w:tcMar>
              <w:top w:w="80" w:type="dxa"/>
              <w:left w:w="80" w:type="dxa"/>
              <w:bottom w:w="80" w:type="dxa"/>
              <w:right w:w="80" w:type="dxa"/>
            </w:tcMar>
            <w:vAlign w:val="center"/>
          </w:tcPr>
          <w:p w14:paraId="29D591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5FA39A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库存成本优化模型</w:t>
            </w:r>
          </w:p>
        </w:tc>
        <w:tc>
          <w:tcPr>
            <w:tcW w:w="2115" w:type="dxa"/>
            <w:shd w:val="clear" w:color="auto" w:fill="auto"/>
            <w:noWrap w:val="0"/>
            <w:tcMar>
              <w:top w:w="-1" w:type="dxa"/>
              <w:left w:w="-1" w:type="dxa"/>
              <w:bottom w:w="-1" w:type="dxa"/>
              <w:right w:w="-1" w:type="dxa"/>
            </w:tcMar>
            <w:vAlign w:val="center"/>
          </w:tcPr>
          <w:p w14:paraId="26EDF6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F-ZLTC-SCOS-AQKCYH-008</w:t>
            </w:r>
          </w:p>
        </w:tc>
        <w:tc>
          <w:tcPr>
            <w:tcW w:w="3054" w:type="dxa"/>
            <w:shd w:val="clear" w:color="auto" w:fill="auto"/>
            <w:noWrap w:val="0"/>
            <w:tcMar>
              <w:top w:w="-1" w:type="dxa"/>
              <w:left w:w="-1" w:type="dxa"/>
              <w:bottom w:w="-1" w:type="dxa"/>
              <w:right w:w="-1" w:type="dxa"/>
            </w:tcMar>
            <w:vAlign w:val="center"/>
          </w:tcPr>
          <w:p w14:paraId="7670953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允许维护单位库存持有成本和单位缺货成本，以总成本最小化为目标反向推导安全库存和服务水平，在满足关键客户、订单和生产保障要求的前提下平衡库存占用与缺货损失。</w:t>
            </w:r>
          </w:p>
        </w:tc>
        <w:tc>
          <w:tcPr>
            <w:tcW w:w="1098" w:type="dxa"/>
            <w:shd w:val="clear" w:color="auto" w:fill="auto"/>
            <w:noWrap w:val="0"/>
            <w:tcMar>
              <w:top w:w="-1" w:type="dxa"/>
              <w:left w:w="-1" w:type="dxa"/>
              <w:bottom w:w="-1" w:type="dxa"/>
              <w:right w:w="-1" w:type="dxa"/>
            </w:tcMar>
            <w:vAlign w:val="center"/>
          </w:tcPr>
          <w:p w14:paraId="42FA195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库存持有成本、缺货成本、服务水平及保障要求</w:t>
            </w:r>
          </w:p>
        </w:tc>
        <w:tc>
          <w:tcPr>
            <w:tcW w:w="907" w:type="dxa"/>
            <w:shd w:val="clear" w:color="auto" w:fill="auto"/>
            <w:noWrap w:val="0"/>
            <w:tcMar>
              <w:top w:w="-1" w:type="dxa"/>
              <w:left w:w="-1" w:type="dxa"/>
              <w:bottom w:w="-1" w:type="dxa"/>
              <w:right w:w="-1" w:type="dxa"/>
            </w:tcMar>
            <w:vAlign w:val="center"/>
          </w:tcPr>
          <w:p w14:paraId="3229F29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成本最优安全库存与服务水平建议</w:t>
            </w:r>
          </w:p>
        </w:tc>
        <w:tc>
          <w:tcPr>
            <w:tcW w:w="873" w:type="dxa"/>
            <w:shd w:val="clear" w:color="auto" w:fill="auto"/>
            <w:noWrap w:val="0"/>
            <w:tcMar>
              <w:top w:w="-1" w:type="dxa"/>
              <w:left w:w="-1" w:type="dxa"/>
              <w:bottom w:w="-1" w:type="dxa"/>
              <w:right w:w="-1" w:type="dxa"/>
            </w:tcMar>
            <w:vAlign w:val="center"/>
          </w:tcPr>
          <w:p w14:paraId="5C1277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SAP、AI优化平台</w:t>
            </w:r>
          </w:p>
        </w:tc>
      </w:tr>
      <w:tr w14:paraId="38370AA2">
        <w:trPr>
          <w:trHeight w:val="0" w:hRule="atLeast"/>
          <w:jc w:val="center"/>
        </w:trPr>
        <w:tc>
          <w:tcPr>
            <w:tcW w:w="1372" w:type="dxa"/>
            <w:shd w:val="clear" w:color="auto" w:fill="auto"/>
            <w:noWrap w:val="0"/>
            <w:tcMar>
              <w:top w:w="80" w:type="dxa"/>
              <w:left w:w="80" w:type="dxa"/>
              <w:bottom w:w="80" w:type="dxa"/>
              <w:right w:w="80" w:type="dxa"/>
            </w:tcMar>
            <w:vAlign w:val="center"/>
          </w:tcPr>
          <w:p w14:paraId="7015639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0388031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库存情景模拟分析</w:t>
            </w:r>
          </w:p>
        </w:tc>
        <w:tc>
          <w:tcPr>
            <w:tcW w:w="2115" w:type="dxa"/>
            <w:shd w:val="clear" w:color="auto" w:fill="auto"/>
            <w:noWrap w:val="0"/>
            <w:tcMar>
              <w:top w:w="-1" w:type="dxa"/>
              <w:left w:w="-1" w:type="dxa"/>
              <w:bottom w:w="-1" w:type="dxa"/>
              <w:right w:w="-1" w:type="dxa"/>
            </w:tcMar>
            <w:vAlign w:val="center"/>
          </w:tcPr>
          <w:p w14:paraId="52A7C6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F-ZLTC-SCOS-AQKCYH-009</w:t>
            </w:r>
          </w:p>
        </w:tc>
        <w:tc>
          <w:tcPr>
            <w:tcW w:w="3054" w:type="dxa"/>
            <w:shd w:val="clear" w:color="auto" w:fill="auto"/>
            <w:noWrap w:val="0"/>
            <w:tcMar>
              <w:top w:w="-1" w:type="dxa"/>
              <w:left w:w="-1" w:type="dxa"/>
              <w:bottom w:w="-1" w:type="dxa"/>
              <w:right w:w="-1" w:type="dxa"/>
            </w:tcMar>
            <w:vAlign w:val="center"/>
          </w:tcPr>
          <w:p w14:paraId="3DE3E68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模拟供应商提前期、服务水平、需求增长、产能变化和补货周期调整对安全库存、资金占用、缺货风险与交付的影响，以图表对比基线和不同方案，模拟结果与正式策略隔离。</w:t>
            </w:r>
          </w:p>
        </w:tc>
        <w:tc>
          <w:tcPr>
            <w:tcW w:w="1098" w:type="dxa"/>
            <w:shd w:val="clear" w:color="auto" w:fill="auto"/>
            <w:noWrap w:val="0"/>
            <w:tcMar>
              <w:top w:w="-1" w:type="dxa"/>
              <w:left w:w="-1" w:type="dxa"/>
              <w:bottom w:w="-1" w:type="dxa"/>
              <w:right w:w="-1" w:type="dxa"/>
            </w:tcMar>
            <w:vAlign w:val="center"/>
          </w:tcPr>
          <w:p w14:paraId="5DAE6F1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供应、需求、产能、服务水平及补货参数</w:t>
            </w:r>
          </w:p>
        </w:tc>
        <w:tc>
          <w:tcPr>
            <w:tcW w:w="907" w:type="dxa"/>
            <w:shd w:val="clear" w:color="auto" w:fill="auto"/>
            <w:noWrap w:val="0"/>
            <w:tcMar>
              <w:top w:w="-1" w:type="dxa"/>
              <w:left w:w="-1" w:type="dxa"/>
              <w:bottom w:w="-1" w:type="dxa"/>
              <w:right w:w="-1" w:type="dxa"/>
            </w:tcMar>
            <w:vAlign w:val="center"/>
          </w:tcPr>
          <w:p w14:paraId="4932EC2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情景方案、资金占用与缺货风险对比</w:t>
            </w:r>
          </w:p>
        </w:tc>
        <w:tc>
          <w:tcPr>
            <w:tcW w:w="873" w:type="dxa"/>
            <w:shd w:val="clear" w:color="auto" w:fill="auto"/>
            <w:noWrap w:val="0"/>
            <w:tcMar>
              <w:top w:w="-1" w:type="dxa"/>
              <w:left w:w="-1" w:type="dxa"/>
              <w:bottom w:w="-1" w:type="dxa"/>
              <w:right w:w="-1" w:type="dxa"/>
            </w:tcMar>
            <w:vAlign w:val="center"/>
          </w:tcPr>
          <w:p w14:paraId="3F3979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AI优化平台、SAP、WMS</w:t>
            </w:r>
          </w:p>
        </w:tc>
      </w:tr>
      <w:tr w14:paraId="1D7BB850">
        <w:trPr>
          <w:trHeight w:val="0" w:hRule="atLeast"/>
          <w:jc w:val="center"/>
        </w:trPr>
        <w:tc>
          <w:tcPr>
            <w:tcW w:w="1372" w:type="dxa"/>
            <w:shd w:val="clear" w:color="auto" w:fill="auto"/>
            <w:noWrap w:val="0"/>
            <w:tcMar>
              <w:top w:w="80" w:type="dxa"/>
              <w:left w:w="80" w:type="dxa"/>
              <w:bottom w:w="80" w:type="dxa"/>
              <w:right w:w="80" w:type="dxa"/>
            </w:tcMar>
            <w:vAlign w:val="center"/>
          </w:tcPr>
          <w:p w14:paraId="3A89B8B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78D9460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月度策略与周度补货建议</w:t>
            </w:r>
          </w:p>
        </w:tc>
        <w:tc>
          <w:tcPr>
            <w:tcW w:w="2115" w:type="dxa"/>
            <w:shd w:val="clear" w:color="auto" w:fill="auto"/>
            <w:noWrap w:val="0"/>
            <w:tcMar>
              <w:top w:w="-1" w:type="dxa"/>
              <w:left w:w="-1" w:type="dxa"/>
              <w:bottom w:w="-1" w:type="dxa"/>
              <w:right w:w="-1" w:type="dxa"/>
            </w:tcMar>
            <w:vAlign w:val="center"/>
          </w:tcPr>
          <w:p w14:paraId="552054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F-ZLTC-SCOS-AQKCYH-010</w:t>
            </w:r>
          </w:p>
        </w:tc>
        <w:tc>
          <w:tcPr>
            <w:tcW w:w="3054" w:type="dxa"/>
            <w:shd w:val="clear" w:color="auto" w:fill="auto"/>
            <w:noWrap w:val="0"/>
            <w:tcMar>
              <w:top w:w="-1" w:type="dxa"/>
              <w:left w:w="-1" w:type="dxa"/>
              <w:bottom w:w="-1" w:type="dxa"/>
              <w:right w:w="-1" w:type="dxa"/>
            </w:tcMar>
            <w:vAlign w:val="center"/>
          </w:tcPr>
          <w:p w14:paraId="77FE85E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按月形成安全库存、再订货点和目标库存策略，按周结合未来需求、现有库存、计划入库、生产补充和储罐能力生成滚动补货建议，明确风险日、补货量、期望入库日期及依据。</w:t>
            </w:r>
          </w:p>
        </w:tc>
        <w:tc>
          <w:tcPr>
            <w:tcW w:w="1098" w:type="dxa"/>
            <w:shd w:val="clear" w:color="auto" w:fill="auto"/>
            <w:noWrap w:val="0"/>
            <w:tcMar>
              <w:top w:w="-1" w:type="dxa"/>
              <w:left w:w="-1" w:type="dxa"/>
              <w:bottom w:w="-1" w:type="dxa"/>
              <w:right w:w="-1" w:type="dxa"/>
            </w:tcMar>
            <w:vAlign w:val="center"/>
          </w:tcPr>
          <w:p w14:paraId="20B4227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需求、库存、计划入库、生产补充及仓容</w:t>
            </w:r>
          </w:p>
        </w:tc>
        <w:tc>
          <w:tcPr>
            <w:tcW w:w="907" w:type="dxa"/>
            <w:shd w:val="clear" w:color="auto" w:fill="auto"/>
            <w:noWrap w:val="0"/>
            <w:tcMar>
              <w:top w:w="-1" w:type="dxa"/>
              <w:left w:w="-1" w:type="dxa"/>
              <w:bottom w:w="-1" w:type="dxa"/>
              <w:right w:w="-1" w:type="dxa"/>
            </w:tcMar>
            <w:vAlign w:val="center"/>
          </w:tcPr>
          <w:p w14:paraId="6EE8EFF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月度库存策略、周度补货建议</w:t>
            </w:r>
          </w:p>
        </w:tc>
        <w:tc>
          <w:tcPr>
            <w:tcW w:w="873" w:type="dxa"/>
            <w:shd w:val="clear" w:color="auto" w:fill="auto"/>
            <w:noWrap w:val="0"/>
            <w:tcMar>
              <w:top w:w="-1" w:type="dxa"/>
              <w:left w:w="-1" w:type="dxa"/>
              <w:bottom w:w="-1" w:type="dxa"/>
              <w:right w:w="-1" w:type="dxa"/>
            </w:tcMar>
            <w:vAlign w:val="center"/>
          </w:tcPr>
          <w:p w14:paraId="78AD1F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WMS、SAP、MES、采购决策优化模块</w:t>
            </w:r>
          </w:p>
        </w:tc>
      </w:tr>
      <w:tr w14:paraId="77297848">
        <w:trPr>
          <w:trHeight w:val="0" w:hRule="atLeast"/>
          <w:jc w:val="center"/>
        </w:trPr>
        <w:tc>
          <w:tcPr>
            <w:tcW w:w="1372" w:type="dxa"/>
            <w:shd w:val="clear" w:color="auto" w:fill="auto"/>
            <w:noWrap w:val="0"/>
            <w:tcMar>
              <w:top w:w="80" w:type="dxa"/>
              <w:left w:w="80" w:type="dxa"/>
              <w:bottom w:w="80" w:type="dxa"/>
              <w:right w:w="80" w:type="dxa"/>
            </w:tcMar>
            <w:vAlign w:val="center"/>
          </w:tcPr>
          <w:p w14:paraId="30186C6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6A92216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日度库存投影与滚动锁定</w:t>
            </w:r>
          </w:p>
        </w:tc>
        <w:tc>
          <w:tcPr>
            <w:tcW w:w="2115" w:type="dxa"/>
            <w:shd w:val="clear" w:color="auto" w:fill="auto"/>
            <w:noWrap w:val="0"/>
            <w:tcMar>
              <w:top w:w="-1" w:type="dxa"/>
              <w:left w:w="-1" w:type="dxa"/>
              <w:bottom w:w="-1" w:type="dxa"/>
              <w:right w:w="-1" w:type="dxa"/>
            </w:tcMar>
            <w:vAlign w:val="center"/>
          </w:tcPr>
          <w:p w14:paraId="2ECB61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F-ZLTC-SCOS-AQKCYH-011</w:t>
            </w:r>
          </w:p>
        </w:tc>
        <w:tc>
          <w:tcPr>
            <w:tcW w:w="3054" w:type="dxa"/>
            <w:shd w:val="clear" w:color="auto" w:fill="auto"/>
            <w:noWrap w:val="0"/>
            <w:tcMar>
              <w:top w:w="-1" w:type="dxa"/>
              <w:left w:w="-1" w:type="dxa"/>
              <w:bottom w:w="-1" w:type="dxa"/>
              <w:right w:w="-1" w:type="dxa"/>
            </w:tcMar>
            <w:vAlign w:val="center"/>
          </w:tcPr>
          <w:p w14:paraId="044A8F5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逐日投影可用库存、计划出库、计划入库、质量状态和储罐占用，识别低于安全库存、容量冲突和断供风险；首周、T+7及已发布安排按规则锁定，仅对未锁定范围滚动调整。</w:t>
            </w:r>
          </w:p>
        </w:tc>
        <w:tc>
          <w:tcPr>
            <w:tcW w:w="1098" w:type="dxa"/>
            <w:shd w:val="clear" w:color="auto" w:fill="auto"/>
            <w:noWrap w:val="0"/>
            <w:tcMar>
              <w:top w:w="-1" w:type="dxa"/>
              <w:left w:w="-1" w:type="dxa"/>
              <w:bottom w:w="-1" w:type="dxa"/>
              <w:right w:w="-1" w:type="dxa"/>
            </w:tcMar>
            <w:vAlign w:val="center"/>
          </w:tcPr>
          <w:p w14:paraId="7C36511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当前库存、计划出入库、质量状态及仓容</w:t>
            </w:r>
          </w:p>
        </w:tc>
        <w:tc>
          <w:tcPr>
            <w:tcW w:w="907" w:type="dxa"/>
            <w:shd w:val="clear" w:color="auto" w:fill="auto"/>
            <w:noWrap w:val="0"/>
            <w:tcMar>
              <w:top w:w="-1" w:type="dxa"/>
              <w:left w:w="-1" w:type="dxa"/>
              <w:bottom w:w="-1" w:type="dxa"/>
              <w:right w:w="-1" w:type="dxa"/>
            </w:tcMar>
            <w:vAlign w:val="center"/>
          </w:tcPr>
          <w:p w14:paraId="4A77D4E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日度库存投影、风险日及锁定范围</w:t>
            </w:r>
          </w:p>
        </w:tc>
        <w:tc>
          <w:tcPr>
            <w:tcW w:w="873" w:type="dxa"/>
            <w:shd w:val="clear" w:color="auto" w:fill="auto"/>
            <w:noWrap w:val="0"/>
            <w:tcMar>
              <w:top w:w="-1" w:type="dxa"/>
              <w:left w:w="-1" w:type="dxa"/>
              <w:bottom w:w="-1" w:type="dxa"/>
              <w:right w:w="-1" w:type="dxa"/>
            </w:tcMar>
            <w:vAlign w:val="center"/>
          </w:tcPr>
          <w:p w14:paraId="0B37C3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WMS、MES、QMS/LIMS</w:t>
            </w:r>
          </w:p>
        </w:tc>
      </w:tr>
      <w:tr w14:paraId="2FD291C2">
        <w:trPr>
          <w:trHeight w:val="0" w:hRule="atLeast"/>
          <w:jc w:val="center"/>
        </w:trPr>
        <w:tc>
          <w:tcPr>
            <w:tcW w:w="1372" w:type="dxa"/>
            <w:shd w:val="clear" w:color="auto" w:fill="auto"/>
            <w:noWrap w:val="0"/>
            <w:tcMar>
              <w:top w:w="80" w:type="dxa"/>
              <w:left w:w="80" w:type="dxa"/>
              <w:bottom w:w="80" w:type="dxa"/>
              <w:right w:w="80" w:type="dxa"/>
            </w:tcMar>
            <w:vAlign w:val="center"/>
          </w:tcPr>
          <w:p w14:paraId="6DD63A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1D0AAE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库存水位监控与预警</w:t>
            </w:r>
          </w:p>
        </w:tc>
        <w:tc>
          <w:tcPr>
            <w:tcW w:w="2115" w:type="dxa"/>
            <w:shd w:val="clear" w:color="auto" w:fill="auto"/>
            <w:noWrap w:val="0"/>
            <w:tcMar>
              <w:top w:w="-1" w:type="dxa"/>
              <w:left w:w="-1" w:type="dxa"/>
              <w:bottom w:w="-1" w:type="dxa"/>
              <w:right w:w="-1" w:type="dxa"/>
            </w:tcMar>
            <w:vAlign w:val="center"/>
          </w:tcPr>
          <w:p w14:paraId="5F086B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F-ZLTC-SCOS-AQKCYH-012</w:t>
            </w:r>
          </w:p>
        </w:tc>
        <w:tc>
          <w:tcPr>
            <w:tcW w:w="3054" w:type="dxa"/>
            <w:shd w:val="clear" w:color="auto" w:fill="auto"/>
            <w:noWrap w:val="0"/>
            <w:tcMar>
              <w:top w:w="-1" w:type="dxa"/>
              <w:left w:w="-1" w:type="dxa"/>
              <w:bottom w:w="-1" w:type="dxa"/>
              <w:right w:w="-1" w:type="dxa"/>
            </w:tcMar>
            <w:vAlign w:val="center"/>
          </w:tcPr>
          <w:p w14:paraId="4D1A000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实时比较当前和预测库存与安全库存、再订货点、目标库存及容量上限，触发低库存、超储、呆滞、临期和容量预警，并关联采购建议、生产补充建议和驾驶舱事件。</w:t>
            </w:r>
          </w:p>
        </w:tc>
        <w:tc>
          <w:tcPr>
            <w:tcW w:w="1098" w:type="dxa"/>
            <w:shd w:val="clear" w:color="auto" w:fill="auto"/>
            <w:noWrap w:val="0"/>
            <w:tcMar>
              <w:top w:w="-1" w:type="dxa"/>
              <w:left w:w="-1" w:type="dxa"/>
              <w:bottom w:w="-1" w:type="dxa"/>
              <w:right w:w="-1" w:type="dxa"/>
            </w:tcMar>
            <w:vAlign w:val="center"/>
          </w:tcPr>
          <w:p w14:paraId="1316B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实时及预测库存、安全库存、再订货点与容量上限</w:t>
            </w:r>
          </w:p>
        </w:tc>
        <w:tc>
          <w:tcPr>
            <w:tcW w:w="907" w:type="dxa"/>
            <w:shd w:val="clear" w:color="auto" w:fill="auto"/>
            <w:noWrap w:val="0"/>
            <w:tcMar>
              <w:top w:w="-1" w:type="dxa"/>
              <w:left w:w="-1" w:type="dxa"/>
              <w:bottom w:w="-1" w:type="dxa"/>
              <w:right w:w="-1" w:type="dxa"/>
            </w:tcMar>
            <w:vAlign w:val="center"/>
          </w:tcPr>
          <w:p w14:paraId="4104B42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低库存、超储、呆滞及容量预警</w:t>
            </w:r>
          </w:p>
        </w:tc>
        <w:tc>
          <w:tcPr>
            <w:tcW w:w="873" w:type="dxa"/>
            <w:shd w:val="clear" w:color="auto" w:fill="auto"/>
            <w:noWrap w:val="0"/>
            <w:tcMar>
              <w:top w:w="-1" w:type="dxa"/>
              <w:left w:w="-1" w:type="dxa"/>
              <w:bottom w:w="-1" w:type="dxa"/>
              <w:right w:w="-1" w:type="dxa"/>
            </w:tcMar>
            <w:vAlign w:val="center"/>
          </w:tcPr>
          <w:p w14:paraId="26B5F1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WMS、供应链驾驶舱</w:t>
            </w:r>
          </w:p>
        </w:tc>
      </w:tr>
      <w:tr w14:paraId="7C1E54C8">
        <w:trPr>
          <w:trHeight w:val="0" w:hRule="atLeast"/>
          <w:jc w:val="center"/>
        </w:trPr>
        <w:tc>
          <w:tcPr>
            <w:tcW w:w="1372" w:type="dxa"/>
            <w:shd w:val="clear" w:color="auto" w:fill="auto"/>
            <w:noWrap w:val="0"/>
            <w:tcMar>
              <w:top w:w="80" w:type="dxa"/>
              <w:left w:w="80" w:type="dxa"/>
              <w:bottom w:w="80" w:type="dxa"/>
              <w:right w:w="80" w:type="dxa"/>
            </w:tcMar>
            <w:vAlign w:val="center"/>
          </w:tcPr>
          <w:p w14:paraId="20829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1472" w:type="dxa"/>
            <w:shd w:val="clear" w:color="auto" w:fill="auto"/>
            <w:noWrap w:val="0"/>
            <w:tcMar>
              <w:top w:w="-1" w:type="dxa"/>
              <w:left w:w="-1" w:type="dxa"/>
              <w:bottom w:w="-1" w:type="dxa"/>
              <w:right w:w="-1" w:type="dxa"/>
            </w:tcMar>
            <w:vAlign w:val="center"/>
          </w:tcPr>
          <w:p w14:paraId="000E5A6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策略执行跟踪与健康度评价</w:t>
            </w:r>
          </w:p>
        </w:tc>
        <w:tc>
          <w:tcPr>
            <w:tcW w:w="2115" w:type="dxa"/>
            <w:shd w:val="clear" w:color="auto" w:fill="auto"/>
            <w:noWrap w:val="0"/>
            <w:tcMar>
              <w:top w:w="-1" w:type="dxa"/>
              <w:left w:w="-1" w:type="dxa"/>
              <w:bottom w:w="-1" w:type="dxa"/>
              <w:right w:w="-1" w:type="dxa"/>
            </w:tcMar>
            <w:vAlign w:val="center"/>
          </w:tcPr>
          <w:p w14:paraId="751531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F-ZLTC-SCOS-AQKCYH-013</w:t>
            </w:r>
          </w:p>
        </w:tc>
        <w:tc>
          <w:tcPr>
            <w:tcW w:w="3054" w:type="dxa"/>
            <w:shd w:val="clear" w:color="auto" w:fill="auto"/>
            <w:noWrap w:val="0"/>
            <w:tcMar>
              <w:top w:w="-1" w:type="dxa"/>
              <w:left w:w="-1" w:type="dxa"/>
              <w:bottom w:w="-1" w:type="dxa"/>
              <w:right w:w="-1" w:type="dxa"/>
            </w:tcMar>
            <w:vAlign w:val="center"/>
          </w:tcPr>
          <w:p w14:paraId="7C12982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记录策略建议、审批发布和实际执行情况，计算周转率、服务水平达成率、缺货次数、呆滞库存、资金占用和建议采纳率，验证策略有效性并形成下一轮参数和策略改进依据。</w:t>
            </w:r>
          </w:p>
        </w:tc>
        <w:tc>
          <w:tcPr>
            <w:tcW w:w="1098" w:type="dxa"/>
            <w:shd w:val="clear" w:color="auto" w:fill="auto"/>
            <w:noWrap w:val="0"/>
            <w:tcMar>
              <w:top w:w="-1" w:type="dxa"/>
              <w:left w:w="-1" w:type="dxa"/>
              <w:bottom w:w="-1" w:type="dxa"/>
              <w:right w:w="-1" w:type="dxa"/>
            </w:tcMar>
            <w:vAlign w:val="center"/>
          </w:tcPr>
          <w:p w14:paraId="00E03EB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策略建议、审批发布及实际库存执行数据</w:t>
            </w:r>
          </w:p>
        </w:tc>
        <w:tc>
          <w:tcPr>
            <w:tcW w:w="907" w:type="dxa"/>
            <w:shd w:val="clear" w:color="auto" w:fill="auto"/>
            <w:noWrap w:val="0"/>
            <w:tcMar>
              <w:top w:w="-1" w:type="dxa"/>
              <w:left w:w="-1" w:type="dxa"/>
              <w:bottom w:w="-1" w:type="dxa"/>
              <w:right w:w="-1" w:type="dxa"/>
            </w:tcMar>
            <w:vAlign w:val="center"/>
          </w:tcPr>
          <w:p w14:paraId="3AB2BEA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库存健康度、采纳率及改进建议</w:t>
            </w:r>
          </w:p>
        </w:tc>
        <w:tc>
          <w:tcPr>
            <w:tcW w:w="873" w:type="dxa"/>
            <w:shd w:val="clear" w:color="auto" w:fill="auto"/>
            <w:noWrap w:val="0"/>
            <w:tcMar>
              <w:top w:w="-1" w:type="dxa"/>
              <w:left w:w="-1" w:type="dxa"/>
              <w:bottom w:w="-1" w:type="dxa"/>
              <w:right w:w="-1" w:type="dxa"/>
            </w:tcMar>
            <w:vAlign w:val="center"/>
          </w:tcPr>
          <w:p w14:paraId="336440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WMS、SAP、供应链驾驶舱</w:t>
            </w:r>
          </w:p>
        </w:tc>
      </w:tr>
      <w:tr w14:paraId="40934AD8">
        <w:trPr>
          <w:trHeight w:val="0" w:hRule="atLeast"/>
          <w:jc w:val="center"/>
        </w:trPr>
        <w:tc>
          <w:tcPr>
            <w:tcW w:w="1372" w:type="dxa"/>
            <w:shd w:val="clear" w:color="auto" w:fill="auto"/>
            <w:noWrap w:val="0"/>
            <w:tcMar>
              <w:top w:w="80" w:type="dxa"/>
              <w:left w:w="80" w:type="dxa"/>
              <w:bottom w:w="80" w:type="dxa"/>
              <w:right w:w="80" w:type="dxa"/>
            </w:tcMar>
            <w:vAlign w:val="center"/>
          </w:tcPr>
          <w:p w14:paraId="50316D0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0673179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有限能力排程</w:t>
            </w:r>
          </w:p>
        </w:tc>
        <w:tc>
          <w:tcPr>
            <w:tcW w:w="2115" w:type="dxa"/>
            <w:shd w:val="clear" w:color="auto" w:fill="auto"/>
            <w:noWrap w:val="0"/>
            <w:tcMar>
              <w:top w:w="-1" w:type="dxa"/>
              <w:left w:w="-1" w:type="dxa"/>
              <w:bottom w:w="-1" w:type="dxa"/>
              <w:right w:w="-1" w:type="dxa"/>
            </w:tcMar>
            <w:vAlign w:val="center"/>
          </w:tcPr>
          <w:p w14:paraId="3655C7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F-ZLTC-SCOS-JYSCPC-001</w:t>
            </w:r>
          </w:p>
        </w:tc>
        <w:tc>
          <w:tcPr>
            <w:tcW w:w="3054" w:type="dxa"/>
            <w:shd w:val="clear" w:color="auto" w:fill="auto"/>
            <w:noWrap w:val="0"/>
            <w:tcMar>
              <w:top w:w="-1" w:type="dxa"/>
              <w:left w:w="-1" w:type="dxa"/>
              <w:bottom w:w="-1" w:type="dxa"/>
              <w:right w:w="-1" w:type="dxa"/>
            </w:tcMar>
            <w:vAlign w:val="center"/>
          </w:tcPr>
          <w:p w14:paraId="38B00E4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基于真实有限产能，综合生产线、设备、关键工位、人员、物料、储罐和时间窗口的可用能力生成可执行计划，避免以无限产能或事后人工修正代替约束求解。</w:t>
            </w:r>
          </w:p>
        </w:tc>
        <w:tc>
          <w:tcPr>
            <w:tcW w:w="1098" w:type="dxa"/>
            <w:shd w:val="clear" w:color="auto" w:fill="auto"/>
            <w:noWrap w:val="0"/>
            <w:tcMar>
              <w:top w:w="-1" w:type="dxa"/>
              <w:left w:w="-1" w:type="dxa"/>
              <w:bottom w:w="-1" w:type="dxa"/>
              <w:right w:w="-1" w:type="dxa"/>
            </w:tcMar>
            <w:vAlign w:val="center"/>
          </w:tcPr>
          <w:p w14:paraId="1226584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订单、产能、设备、人员、物料、储罐及时间窗口</w:t>
            </w:r>
          </w:p>
        </w:tc>
        <w:tc>
          <w:tcPr>
            <w:tcW w:w="907" w:type="dxa"/>
            <w:shd w:val="clear" w:color="auto" w:fill="auto"/>
            <w:noWrap w:val="0"/>
            <w:tcMar>
              <w:top w:w="-1" w:type="dxa"/>
              <w:left w:w="-1" w:type="dxa"/>
              <w:bottom w:w="-1" w:type="dxa"/>
              <w:right w:w="-1" w:type="dxa"/>
            </w:tcMar>
            <w:vAlign w:val="center"/>
          </w:tcPr>
          <w:p w14:paraId="5A7B050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有限能力生产排程方案</w:t>
            </w:r>
          </w:p>
        </w:tc>
        <w:tc>
          <w:tcPr>
            <w:tcW w:w="873" w:type="dxa"/>
            <w:shd w:val="clear" w:color="auto" w:fill="auto"/>
            <w:noWrap w:val="0"/>
            <w:tcMar>
              <w:top w:w="-1" w:type="dxa"/>
              <w:left w:w="-1" w:type="dxa"/>
              <w:bottom w:w="-1" w:type="dxa"/>
              <w:right w:w="-1" w:type="dxa"/>
            </w:tcMar>
            <w:vAlign w:val="center"/>
          </w:tcPr>
          <w:p w14:paraId="16AAD5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MES、SAP、WMS、EAM</w:t>
            </w:r>
          </w:p>
        </w:tc>
      </w:tr>
      <w:tr w14:paraId="238FA779">
        <w:trPr>
          <w:trHeight w:val="0" w:hRule="atLeast"/>
          <w:jc w:val="center"/>
        </w:trPr>
        <w:tc>
          <w:tcPr>
            <w:tcW w:w="1372" w:type="dxa"/>
            <w:shd w:val="clear" w:color="auto" w:fill="auto"/>
            <w:noWrap w:val="0"/>
            <w:tcMar>
              <w:top w:w="80" w:type="dxa"/>
              <w:left w:w="80" w:type="dxa"/>
              <w:bottom w:w="80" w:type="dxa"/>
              <w:right w:w="80" w:type="dxa"/>
            </w:tcMar>
            <w:vAlign w:val="center"/>
          </w:tcPr>
          <w:p w14:paraId="2CB01DF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4599CB0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多目标优化策略</w:t>
            </w:r>
          </w:p>
        </w:tc>
        <w:tc>
          <w:tcPr>
            <w:tcW w:w="2115" w:type="dxa"/>
            <w:shd w:val="clear" w:color="auto" w:fill="auto"/>
            <w:noWrap w:val="0"/>
            <w:tcMar>
              <w:top w:w="-1" w:type="dxa"/>
              <w:left w:w="-1" w:type="dxa"/>
              <w:bottom w:w="-1" w:type="dxa"/>
              <w:right w:w="-1" w:type="dxa"/>
            </w:tcMar>
            <w:vAlign w:val="center"/>
          </w:tcPr>
          <w:p w14:paraId="51932A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F-ZLTC-SCOS-JYSCPC-002</w:t>
            </w:r>
          </w:p>
        </w:tc>
        <w:tc>
          <w:tcPr>
            <w:tcW w:w="3054" w:type="dxa"/>
            <w:shd w:val="clear" w:color="auto" w:fill="auto"/>
            <w:noWrap w:val="0"/>
            <w:tcMar>
              <w:top w:w="-1" w:type="dxa"/>
              <w:left w:w="-1" w:type="dxa"/>
              <w:bottom w:w="-1" w:type="dxa"/>
              <w:right w:w="-1" w:type="dxa"/>
            </w:tcMar>
            <w:vAlign w:val="center"/>
          </w:tcPr>
          <w:p w14:paraId="7D3B02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支持订单准时交付、生产切换成本、能耗成本、总加工成本、设备利用率、产能吞吐量、生产周期和计划稳定性等目标的组合与权重配置，并输出目标取舍和方案评分。</w:t>
            </w:r>
          </w:p>
        </w:tc>
        <w:tc>
          <w:tcPr>
            <w:tcW w:w="1098" w:type="dxa"/>
            <w:shd w:val="clear" w:color="auto" w:fill="auto"/>
            <w:noWrap w:val="0"/>
            <w:tcMar>
              <w:top w:w="-1" w:type="dxa"/>
              <w:left w:w="-1" w:type="dxa"/>
              <w:bottom w:w="-1" w:type="dxa"/>
              <w:right w:w="-1" w:type="dxa"/>
            </w:tcMar>
            <w:vAlign w:val="center"/>
          </w:tcPr>
          <w:p w14:paraId="364220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交付、切换、能耗、成本、利用率及稳定性目标</w:t>
            </w:r>
          </w:p>
        </w:tc>
        <w:tc>
          <w:tcPr>
            <w:tcW w:w="907" w:type="dxa"/>
            <w:shd w:val="clear" w:color="auto" w:fill="auto"/>
            <w:noWrap w:val="0"/>
            <w:tcMar>
              <w:top w:w="-1" w:type="dxa"/>
              <w:left w:w="-1" w:type="dxa"/>
              <w:bottom w:w="-1" w:type="dxa"/>
              <w:right w:w="-1" w:type="dxa"/>
            </w:tcMar>
            <w:vAlign w:val="center"/>
          </w:tcPr>
          <w:p w14:paraId="644CC1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目标权重、方案评分与取舍说明</w:t>
            </w:r>
          </w:p>
        </w:tc>
        <w:tc>
          <w:tcPr>
            <w:tcW w:w="873" w:type="dxa"/>
            <w:shd w:val="clear" w:color="auto" w:fill="auto"/>
            <w:noWrap w:val="0"/>
            <w:tcMar>
              <w:top w:w="-1" w:type="dxa"/>
              <w:left w:w="-1" w:type="dxa"/>
              <w:bottom w:w="-1" w:type="dxa"/>
              <w:right w:w="-1" w:type="dxa"/>
            </w:tcMar>
            <w:vAlign w:val="center"/>
          </w:tcPr>
          <w:p w14:paraId="7009FD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AI优化平台、MES、EMS</w:t>
            </w:r>
          </w:p>
        </w:tc>
      </w:tr>
      <w:tr w14:paraId="45DEA5FB">
        <w:trPr>
          <w:trHeight w:val="0" w:hRule="atLeast"/>
          <w:jc w:val="center"/>
        </w:trPr>
        <w:tc>
          <w:tcPr>
            <w:tcW w:w="1372" w:type="dxa"/>
            <w:shd w:val="clear" w:color="auto" w:fill="auto"/>
            <w:noWrap w:val="0"/>
            <w:tcMar>
              <w:top w:w="80" w:type="dxa"/>
              <w:left w:w="80" w:type="dxa"/>
              <w:bottom w:w="80" w:type="dxa"/>
              <w:right w:w="80" w:type="dxa"/>
            </w:tcMar>
            <w:vAlign w:val="center"/>
          </w:tcPr>
          <w:p w14:paraId="055A3A5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0BA1222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智能生产顺序优化</w:t>
            </w:r>
          </w:p>
        </w:tc>
        <w:tc>
          <w:tcPr>
            <w:tcW w:w="2115" w:type="dxa"/>
            <w:shd w:val="clear" w:color="auto" w:fill="auto"/>
            <w:noWrap w:val="0"/>
            <w:tcMar>
              <w:top w:w="-1" w:type="dxa"/>
              <w:left w:w="-1" w:type="dxa"/>
              <w:bottom w:w="-1" w:type="dxa"/>
              <w:right w:w="-1" w:type="dxa"/>
            </w:tcMar>
            <w:vAlign w:val="center"/>
          </w:tcPr>
          <w:p w14:paraId="014A3E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F-ZLTC-SCOS-JYSCPC-003</w:t>
            </w:r>
          </w:p>
        </w:tc>
        <w:tc>
          <w:tcPr>
            <w:tcW w:w="3054" w:type="dxa"/>
            <w:shd w:val="clear" w:color="auto" w:fill="auto"/>
            <w:noWrap w:val="0"/>
            <w:tcMar>
              <w:top w:w="-1" w:type="dxa"/>
              <w:left w:w="-1" w:type="dxa"/>
              <w:bottom w:w="-1" w:type="dxa"/>
              <w:right w:w="-1" w:type="dxa"/>
            </w:tcMar>
            <w:vAlign w:val="center"/>
          </w:tcPr>
          <w:p w14:paraId="2A1D4AB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根据产品族、工艺路线、换产清洗、色泽或规格切换、订单优先级和连续生产要求自动计算生产顺序，减少换线、等待、清洗和在制品积压。</w:t>
            </w:r>
          </w:p>
        </w:tc>
        <w:tc>
          <w:tcPr>
            <w:tcW w:w="1098" w:type="dxa"/>
            <w:shd w:val="clear" w:color="auto" w:fill="auto"/>
            <w:noWrap w:val="0"/>
            <w:tcMar>
              <w:top w:w="-1" w:type="dxa"/>
              <w:left w:w="-1" w:type="dxa"/>
              <w:bottom w:w="-1" w:type="dxa"/>
              <w:right w:w="-1" w:type="dxa"/>
            </w:tcMar>
            <w:vAlign w:val="center"/>
          </w:tcPr>
          <w:p w14:paraId="58FBFC4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产品族、工艺路线、换产规则、订单优先级</w:t>
            </w:r>
          </w:p>
        </w:tc>
        <w:tc>
          <w:tcPr>
            <w:tcW w:w="907" w:type="dxa"/>
            <w:shd w:val="clear" w:color="auto" w:fill="auto"/>
            <w:noWrap w:val="0"/>
            <w:tcMar>
              <w:top w:w="-1" w:type="dxa"/>
              <w:left w:w="-1" w:type="dxa"/>
              <w:bottom w:w="-1" w:type="dxa"/>
              <w:right w:w="-1" w:type="dxa"/>
            </w:tcMar>
            <w:vAlign w:val="center"/>
          </w:tcPr>
          <w:p w14:paraId="619429B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优化生产顺序、换线与等待降低建议</w:t>
            </w:r>
          </w:p>
        </w:tc>
        <w:tc>
          <w:tcPr>
            <w:tcW w:w="873" w:type="dxa"/>
            <w:shd w:val="clear" w:color="auto" w:fill="auto"/>
            <w:noWrap w:val="0"/>
            <w:tcMar>
              <w:top w:w="-1" w:type="dxa"/>
              <w:left w:w="-1" w:type="dxa"/>
              <w:bottom w:w="-1" w:type="dxa"/>
              <w:right w:w="-1" w:type="dxa"/>
            </w:tcMar>
            <w:vAlign w:val="center"/>
          </w:tcPr>
          <w:p w14:paraId="003745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MES、SAP</w:t>
            </w:r>
          </w:p>
        </w:tc>
      </w:tr>
      <w:tr w14:paraId="41FEC1ED">
        <w:trPr>
          <w:trHeight w:val="0" w:hRule="atLeast"/>
          <w:jc w:val="center"/>
        </w:trPr>
        <w:tc>
          <w:tcPr>
            <w:tcW w:w="1372" w:type="dxa"/>
            <w:shd w:val="clear" w:color="auto" w:fill="auto"/>
            <w:noWrap w:val="0"/>
            <w:tcMar>
              <w:top w:w="80" w:type="dxa"/>
              <w:left w:w="80" w:type="dxa"/>
              <w:bottom w:w="80" w:type="dxa"/>
              <w:right w:w="80" w:type="dxa"/>
            </w:tcMar>
            <w:vAlign w:val="center"/>
          </w:tcPr>
          <w:p w14:paraId="5C61939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2B45CCF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多层级资源建模</w:t>
            </w:r>
          </w:p>
        </w:tc>
        <w:tc>
          <w:tcPr>
            <w:tcW w:w="2115" w:type="dxa"/>
            <w:shd w:val="clear" w:color="auto" w:fill="auto"/>
            <w:noWrap w:val="0"/>
            <w:tcMar>
              <w:top w:w="-1" w:type="dxa"/>
              <w:left w:w="-1" w:type="dxa"/>
              <w:bottom w:w="-1" w:type="dxa"/>
              <w:right w:w="-1" w:type="dxa"/>
            </w:tcMar>
            <w:vAlign w:val="center"/>
          </w:tcPr>
          <w:p w14:paraId="584A1D5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F-ZLTC-SCOS-JYSCPC-004</w:t>
            </w:r>
          </w:p>
        </w:tc>
        <w:tc>
          <w:tcPr>
            <w:tcW w:w="3054" w:type="dxa"/>
            <w:shd w:val="clear" w:color="auto" w:fill="auto"/>
            <w:noWrap w:val="0"/>
            <w:tcMar>
              <w:top w:w="-1" w:type="dxa"/>
              <w:left w:w="-1" w:type="dxa"/>
              <w:bottom w:w="-1" w:type="dxa"/>
              <w:right w:w="-1" w:type="dxa"/>
            </w:tcMar>
            <w:vAlign w:val="center"/>
          </w:tcPr>
          <w:p w14:paraId="71EF402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建立工厂、产线、设备组、单机、人员和辅助资源模型，维护能力、效率、状态、并行关系和替代资源，并与EAM维护窗口、班组日历和节假日同步。</w:t>
            </w:r>
          </w:p>
        </w:tc>
        <w:tc>
          <w:tcPr>
            <w:tcW w:w="1098" w:type="dxa"/>
            <w:shd w:val="clear" w:color="auto" w:fill="auto"/>
            <w:noWrap w:val="0"/>
            <w:tcMar>
              <w:top w:w="-1" w:type="dxa"/>
              <w:left w:w="-1" w:type="dxa"/>
              <w:bottom w:w="-1" w:type="dxa"/>
              <w:right w:w="-1" w:type="dxa"/>
            </w:tcMar>
            <w:vAlign w:val="center"/>
          </w:tcPr>
          <w:p w14:paraId="5965D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工厂、产线、设备、人员、能力、日历及维护窗口</w:t>
            </w:r>
          </w:p>
        </w:tc>
        <w:tc>
          <w:tcPr>
            <w:tcW w:w="907" w:type="dxa"/>
            <w:shd w:val="clear" w:color="auto" w:fill="auto"/>
            <w:noWrap w:val="0"/>
            <w:tcMar>
              <w:top w:w="-1" w:type="dxa"/>
              <w:left w:w="-1" w:type="dxa"/>
              <w:bottom w:w="-1" w:type="dxa"/>
              <w:right w:w="-1" w:type="dxa"/>
            </w:tcMar>
            <w:vAlign w:val="center"/>
          </w:tcPr>
          <w:p w14:paraId="747CFFA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资源模型、能力与替代关系</w:t>
            </w:r>
          </w:p>
        </w:tc>
        <w:tc>
          <w:tcPr>
            <w:tcW w:w="873" w:type="dxa"/>
            <w:shd w:val="clear" w:color="auto" w:fill="auto"/>
            <w:noWrap w:val="0"/>
            <w:tcMar>
              <w:top w:w="-1" w:type="dxa"/>
              <w:left w:w="-1" w:type="dxa"/>
              <w:bottom w:w="-1" w:type="dxa"/>
              <w:right w:w="-1" w:type="dxa"/>
            </w:tcMar>
            <w:vAlign w:val="center"/>
          </w:tcPr>
          <w:p w14:paraId="1E43CE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MES、EAM、HR/班组日历</w:t>
            </w:r>
          </w:p>
        </w:tc>
      </w:tr>
      <w:tr w14:paraId="10C76C39">
        <w:trPr>
          <w:trHeight w:val="0" w:hRule="atLeast"/>
          <w:jc w:val="center"/>
        </w:trPr>
        <w:tc>
          <w:tcPr>
            <w:tcW w:w="1372" w:type="dxa"/>
            <w:shd w:val="clear" w:color="auto" w:fill="auto"/>
            <w:noWrap w:val="0"/>
            <w:tcMar>
              <w:top w:w="80" w:type="dxa"/>
              <w:left w:w="80" w:type="dxa"/>
              <w:bottom w:w="80" w:type="dxa"/>
              <w:right w:w="80" w:type="dxa"/>
            </w:tcMar>
            <w:vAlign w:val="center"/>
          </w:tcPr>
          <w:p w14:paraId="3AC480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10BE2B3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工艺路线与复杂约束管理</w:t>
            </w:r>
          </w:p>
        </w:tc>
        <w:tc>
          <w:tcPr>
            <w:tcW w:w="2115" w:type="dxa"/>
            <w:shd w:val="clear" w:color="auto" w:fill="auto"/>
            <w:noWrap w:val="0"/>
            <w:tcMar>
              <w:top w:w="-1" w:type="dxa"/>
              <w:left w:w="-1" w:type="dxa"/>
              <w:bottom w:w="-1" w:type="dxa"/>
              <w:right w:w="-1" w:type="dxa"/>
            </w:tcMar>
            <w:vAlign w:val="center"/>
          </w:tcPr>
          <w:p w14:paraId="15F836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F-ZLTC-SCOS-JYSCPC-005</w:t>
            </w:r>
          </w:p>
        </w:tc>
        <w:tc>
          <w:tcPr>
            <w:tcW w:w="3054" w:type="dxa"/>
            <w:shd w:val="clear" w:color="auto" w:fill="auto"/>
            <w:noWrap w:val="0"/>
            <w:tcMar>
              <w:top w:w="-1" w:type="dxa"/>
              <w:left w:w="-1" w:type="dxa"/>
              <w:bottom w:w="-1" w:type="dxa"/>
              <w:right w:w="-1" w:type="dxa"/>
            </w:tcMar>
            <w:vAlign w:val="center"/>
          </w:tcPr>
          <w:p w14:paraId="7B4CCB1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配置工序前后依赖、并行与顺序关系、最小最大批量、连续运行、清洗换产、储罐占用、质量放行和设备维护等约束；约束可由业务管理员维护并进行冲突校验。</w:t>
            </w:r>
          </w:p>
        </w:tc>
        <w:tc>
          <w:tcPr>
            <w:tcW w:w="1098" w:type="dxa"/>
            <w:shd w:val="clear" w:color="auto" w:fill="auto"/>
            <w:noWrap w:val="0"/>
            <w:tcMar>
              <w:top w:w="-1" w:type="dxa"/>
              <w:left w:w="-1" w:type="dxa"/>
              <w:bottom w:w="-1" w:type="dxa"/>
              <w:right w:w="-1" w:type="dxa"/>
            </w:tcMar>
            <w:vAlign w:val="center"/>
          </w:tcPr>
          <w:p w14:paraId="331EB33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工艺路线、批量、连续运行、清洗、质量及维护规则</w:t>
            </w:r>
          </w:p>
        </w:tc>
        <w:tc>
          <w:tcPr>
            <w:tcW w:w="907" w:type="dxa"/>
            <w:shd w:val="clear" w:color="auto" w:fill="auto"/>
            <w:noWrap w:val="0"/>
            <w:tcMar>
              <w:top w:w="-1" w:type="dxa"/>
              <w:left w:w="-1" w:type="dxa"/>
              <w:bottom w:w="-1" w:type="dxa"/>
              <w:right w:w="-1" w:type="dxa"/>
            </w:tcMar>
            <w:vAlign w:val="center"/>
          </w:tcPr>
          <w:p w14:paraId="23DA906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约束库、冲突校验结果</w:t>
            </w:r>
          </w:p>
        </w:tc>
        <w:tc>
          <w:tcPr>
            <w:tcW w:w="873" w:type="dxa"/>
            <w:shd w:val="clear" w:color="auto" w:fill="auto"/>
            <w:noWrap w:val="0"/>
            <w:tcMar>
              <w:top w:w="-1" w:type="dxa"/>
              <w:left w:w="-1" w:type="dxa"/>
              <w:bottom w:w="-1" w:type="dxa"/>
              <w:right w:w="-1" w:type="dxa"/>
            </w:tcMar>
            <w:vAlign w:val="center"/>
          </w:tcPr>
          <w:p w14:paraId="5DA7BD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MES、QMS/LIMS、EAM</w:t>
            </w:r>
          </w:p>
        </w:tc>
      </w:tr>
      <w:tr w14:paraId="68BD5039">
        <w:trPr>
          <w:trHeight w:val="0" w:hRule="atLeast"/>
          <w:jc w:val="center"/>
        </w:trPr>
        <w:tc>
          <w:tcPr>
            <w:tcW w:w="1372" w:type="dxa"/>
            <w:shd w:val="clear" w:color="auto" w:fill="auto"/>
            <w:noWrap w:val="0"/>
            <w:tcMar>
              <w:top w:w="80" w:type="dxa"/>
              <w:left w:w="80" w:type="dxa"/>
              <w:bottom w:w="80" w:type="dxa"/>
              <w:right w:w="80" w:type="dxa"/>
            </w:tcMar>
            <w:vAlign w:val="center"/>
          </w:tcPr>
          <w:p w14:paraId="33CBF8B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0DFD151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物料与配方可用性约束</w:t>
            </w:r>
          </w:p>
        </w:tc>
        <w:tc>
          <w:tcPr>
            <w:tcW w:w="2115" w:type="dxa"/>
            <w:shd w:val="clear" w:color="auto" w:fill="auto"/>
            <w:noWrap w:val="0"/>
            <w:tcMar>
              <w:top w:w="-1" w:type="dxa"/>
              <w:left w:w="-1" w:type="dxa"/>
              <w:bottom w:w="-1" w:type="dxa"/>
              <w:right w:w="-1" w:type="dxa"/>
            </w:tcMar>
            <w:vAlign w:val="center"/>
          </w:tcPr>
          <w:p w14:paraId="0E611E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F-ZLTC-SCOS-JYSCPC-006</w:t>
            </w:r>
          </w:p>
        </w:tc>
        <w:tc>
          <w:tcPr>
            <w:tcW w:w="3054" w:type="dxa"/>
            <w:shd w:val="clear" w:color="auto" w:fill="auto"/>
            <w:noWrap w:val="0"/>
            <w:tcMar>
              <w:top w:w="-1" w:type="dxa"/>
              <w:left w:w="-1" w:type="dxa"/>
              <w:bottom w:w="-1" w:type="dxa"/>
              <w:right w:w="-1" w:type="dxa"/>
            </w:tcMar>
            <w:vAlign w:val="center"/>
          </w:tcPr>
          <w:p w14:paraId="7ADD3A1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结合配方、BOM、采购到货、安全库存、质量状态和领料计划校验排程所需物料可用性，识别短缺时间和受影响订单，并向采购及库存模块反馈需求和优先级。</w:t>
            </w:r>
          </w:p>
        </w:tc>
        <w:tc>
          <w:tcPr>
            <w:tcW w:w="1098" w:type="dxa"/>
            <w:shd w:val="clear" w:color="auto" w:fill="auto"/>
            <w:noWrap w:val="0"/>
            <w:tcMar>
              <w:top w:w="-1" w:type="dxa"/>
              <w:left w:w="-1" w:type="dxa"/>
              <w:bottom w:w="-1" w:type="dxa"/>
              <w:right w:w="-1" w:type="dxa"/>
            </w:tcMar>
            <w:vAlign w:val="center"/>
          </w:tcPr>
          <w:p w14:paraId="48F9B5A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BOM/配方、库存、到货、质量及领料计划</w:t>
            </w:r>
          </w:p>
        </w:tc>
        <w:tc>
          <w:tcPr>
            <w:tcW w:w="907" w:type="dxa"/>
            <w:shd w:val="clear" w:color="auto" w:fill="auto"/>
            <w:noWrap w:val="0"/>
            <w:tcMar>
              <w:top w:w="-1" w:type="dxa"/>
              <w:left w:w="-1" w:type="dxa"/>
              <w:bottom w:w="-1" w:type="dxa"/>
              <w:right w:w="-1" w:type="dxa"/>
            </w:tcMar>
            <w:vAlign w:val="center"/>
          </w:tcPr>
          <w:p w14:paraId="5B09DCE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物料可用性、短缺与受影响订单</w:t>
            </w:r>
          </w:p>
        </w:tc>
        <w:tc>
          <w:tcPr>
            <w:tcW w:w="873" w:type="dxa"/>
            <w:shd w:val="clear" w:color="auto" w:fill="auto"/>
            <w:noWrap w:val="0"/>
            <w:tcMar>
              <w:top w:w="-1" w:type="dxa"/>
              <w:left w:w="-1" w:type="dxa"/>
              <w:bottom w:w="-1" w:type="dxa"/>
              <w:right w:w="-1" w:type="dxa"/>
            </w:tcMar>
            <w:vAlign w:val="center"/>
          </w:tcPr>
          <w:p w14:paraId="4D6B21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SAP、WMS、QMS/LIMS、采购决策优化模块</w:t>
            </w:r>
          </w:p>
        </w:tc>
      </w:tr>
      <w:tr w14:paraId="23BD081D">
        <w:trPr>
          <w:trHeight w:val="0" w:hRule="atLeast"/>
          <w:jc w:val="center"/>
        </w:trPr>
        <w:tc>
          <w:tcPr>
            <w:tcW w:w="1372" w:type="dxa"/>
            <w:shd w:val="clear" w:color="auto" w:fill="auto"/>
            <w:noWrap w:val="0"/>
            <w:tcMar>
              <w:top w:w="80" w:type="dxa"/>
              <w:left w:w="80" w:type="dxa"/>
              <w:bottom w:w="80" w:type="dxa"/>
              <w:right w:w="80" w:type="dxa"/>
            </w:tcMar>
            <w:vAlign w:val="center"/>
          </w:tcPr>
          <w:p w14:paraId="7373C39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71BB46B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甘特图排程板</w:t>
            </w:r>
          </w:p>
        </w:tc>
        <w:tc>
          <w:tcPr>
            <w:tcW w:w="2115" w:type="dxa"/>
            <w:shd w:val="clear" w:color="auto" w:fill="auto"/>
            <w:noWrap w:val="0"/>
            <w:tcMar>
              <w:top w:w="-1" w:type="dxa"/>
              <w:left w:w="-1" w:type="dxa"/>
              <w:bottom w:w="-1" w:type="dxa"/>
              <w:right w:w="-1" w:type="dxa"/>
            </w:tcMar>
            <w:vAlign w:val="center"/>
          </w:tcPr>
          <w:p w14:paraId="3BB3C2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F-ZLTC-SCOS-JYSCPC-007</w:t>
            </w:r>
          </w:p>
        </w:tc>
        <w:tc>
          <w:tcPr>
            <w:tcW w:w="3054" w:type="dxa"/>
            <w:shd w:val="clear" w:color="auto" w:fill="auto"/>
            <w:noWrap w:val="0"/>
            <w:tcMar>
              <w:top w:w="-1" w:type="dxa"/>
              <w:left w:w="-1" w:type="dxa"/>
              <w:bottom w:w="-1" w:type="dxa"/>
              <w:right w:w="-1" w:type="dxa"/>
            </w:tcMar>
            <w:vAlign w:val="center"/>
          </w:tcPr>
          <w:p w14:paraId="007FF4E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以可缩放、可拖拽的时间轴甘特图展示各设备和产线的作业计划、顺序、状态、依赖和锁定范围，支持按订单、产品、资源和时间筛选，并突出冲突、延期和关键路径。</w:t>
            </w:r>
          </w:p>
        </w:tc>
        <w:tc>
          <w:tcPr>
            <w:tcW w:w="1098" w:type="dxa"/>
            <w:shd w:val="clear" w:color="auto" w:fill="auto"/>
            <w:noWrap w:val="0"/>
            <w:tcMar>
              <w:top w:w="-1" w:type="dxa"/>
              <w:left w:w="-1" w:type="dxa"/>
              <w:bottom w:w="-1" w:type="dxa"/>
              <w:right w:w="-1" w:type="dxa"/>
            </w:tcMar>
            <w:vAlign w:val="center"/>
          </w:tcPr>
          <w:p w14:paraId="546EB92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排程方案、资源、作业、依赖及锁定状态</w:t>
            </w:r>
          </w:p>
        </w:tc>
        <w:tc>
          <w:tcPr>
            <w:tcW w:w="907" w:type="dxa"/>
            <w:shd w:val="clear" w:color="auto" w:fill="auto"/>
            <w:noWrap w:val="0"/>
            <w:tcMar>
              <w:top w:w="-1" w:type="dxa"/>
              <w:left w:w="-1" w:type="dxa"/>
              <w:bottom w:w="-1" w:type="dxa"/>
              <w:right w:w="-1" w:type="dxa"/>
            </w:tcMar>
            <w:vAlign w:val="center"/>
          </w:tcPr>
          <w:p w14:paraId="773B8DC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可交互甘特图、冲突与关键路径</w:t>
            </w:r>
          </w:p>
        </w:tc>
        <w:tc>
          <w:tcPr>
            <w:tcW w:w="873" w:type="dxa"/>
            <w:shd w:val="clear" w:color="auto" w:fill="auto"/>
            <w:noWrap w:val="0"/>
            <w:tcMar>
              <w:top w:w="-1" w:type="dxa"/>
              <w:left w:w="-1" w:type="dxa"/>
              <w:bottom w:w="-1" w:type="dxa"/>
              <w:right w:w="-1" w:type="dxa"/>
            </w:tcMar>
            <w:vAlign w:val="center"/>
          </w:tcPr>
          <w:p w14:paraId="4B1E2B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MES、SCOS排程服务</w:t>
            </w:r>
          </w:p>
        </w:tc>
      </w:tr>
      <w:tr w14:paraId="11B103D3">
        <w:trPr>
          <w:trHeight w:val="0" w:hRule="atLeast"/>
          <w:jc w:val="center"/>
        </w:trPr>
        <w:tc>
          <w:tcPr>
            <w:tcW w:w="1372" w:type="dxa"/>
            <w:shd w:val="clear" w:color="auto" w:fill="auto"/>
            <w:noWrap w:val="0"/>
            <w:tcMar>
              <w:top w:w="80" w:type="dxa"/>
              <w:left w:w="80" w:type="dxa"/>
              <w:bottom w:w="80" w:type="dxa"/>
              <w:right w:w="80" w:type="dxa"/>
            </w:tcMar>
            <w:vAlign w:val="center"/>
          </w:tcPr>
          <w:p w14:paraId="0DA4D72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32D936F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资源负荷与瓶颈分析</w:t>
            </w:r>
          </w:p>
        </w:tc>
        <w:tc>
          <w:tcPr>
            <w:tcW w:w="2115" w:type="dxa"/>
            <w:shd w:val="clear" w:color="auto" w:fill="auto"/>
            <w:noWrap w:val="0"/>
            <w:tcMar>
              <w:top w:w="-1" w:type="dxa"/>
              <w:left w:w="-1" w:type="dxa"/>
              <w:bottom w:w="-1" w:type="dxa"/>
              <w:right w:w="-1" w:type="dxa"/>
            </w:tcMar>
            <w:vAlign w:val="center"/>
          </w:tcPr>
          <w:p w14:paraId="1A7506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F-ZLTC-SCOS-JYSCPC-008</w:t>
            </w:r>
          </w:p>
        </w:tc>
        <w:tc>
          <w:tcPr>
            <w:tcW w:w="3054" w:type="dxa"/>
            <w:shd w:val="clear" w:color="auto" w:fill="auto"/>
            <w:noWrap w:val="0"/>
            <w:tcMar>
              <w:top w:w="-1" w:type="dxa"/>
              <w:left w:w="-1" w:type="dxa"/>
              <w:bottom w:w="-1" w:type="dxa"/>
              <w:right w:w="-1" w:type="dxa"/>
            </w:tcMar>
            <w:vAlign w:val="center"/>
          </w:tcPr>
          <w:p w14:paraId="6C89C1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按资源和时间展示设备、产线、人员及储罐负荷率、空闲和超负荷区间，识别产能瓶颈、闲置能力和维护影响，为加班、资源替代和计划调整提供依据。</w:t>
            </w:r>
          </w:p>
        </w:tc>
        <w:tc>
          <w:tcPr>
            <w:tcW w:w="1098" w:type="dxa"/>
            <w:shd w:val="clear" w:color="auto" w:fill="auto"/>
            <w:noWrap w:val="0"/>
            <w:tcMar>
              <w:top w:w="-1" w:type="dxa"/>
              <w:left w:w="-1" w:type="dxa"/>
              <w:bottom w:w="-1" w:type="dxa"/>
              <w:right w:w="-1" w:type="dxa"/>
            </w:tcMar>
            <w:vAlign w:val="center"/>
          </w:tcPr>
          <w:p w14:paraId="58D11CA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资源能力、作业计划、维护及实际负荷</w:t>
            </w:r>
          </w:p>
        </w:tc>
        <w:tc>
          <w:tcPr>
            <w:tcW w:w="907" w:type="dxa"/>
            <w:shd w:val="clear" w:color="auto" w:fill="auto"/>
            <w:noWrap w:val="0"/>
            <w:tcMar>
              <w:top w:w="-1" w:type="dxa"/>
              <w:left w:w="-1" w:type="dxa"/>
              <w:bottom w:w="-1" w:type="dxa"/>
              <w:right w:w="-1" w:type="dxa"/>
            </w:tcMar>
            <w:vAlign w:val="center"/>
          </w:tcPr>
          <w:p w14:paraId="520F1AA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负荷曲线、瓶颈与资源调整建议</w:t>
            </w:r>
          </w:p>
        </w:tc>
        <w:tc>
          <w:tcPr>
            <w:tcW w:w="873" w:type="dxa"/>
            <w:shd w:val="clear" w:color="auto" w:fill="auto"/>
            <w:noWrap w:val="0"/>
            <w:tcMar>
              <w:top w:w="-1" w:type="dxa"/>
              <w:left w:w="-1" w:type="dxa"/>
              <w:bottom w:w="-1" w:type="dxa"/>
              <w:right w:w="-1" w:type="dxa"/>
            </w:tcMar>
            <w:vAlign w:val="center"/>
          </w:tcPr>
          <w:p w14:paraId="666692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MES、EAM、供应链驾驶舱</w:t>
            </w:r>
          </w:p>
        </w:tc>
      </w:tr>
      <w:tr w14:paraId="540BD1C4">
        <w:trPr>
          <w:trHeight w:val="0" w:hRule="atLeast"/>
          <w:jc w:val="center"/>
        </w:trPr>
        <w:tc>
          <w:tcPr>
            <w:tcW w:w="1372" w:type="dxa"/>
            <w:shd w:val="clear" w:color="auto" w:fill="auto"/>
            <w:noWrap w:val="0"/>
            <w:tcMar>
              <w:top w:w="80" w:type="dxa"/>
              <w:left w:w="80" w:type="dxa"/>
              <w:bottom w:w="80" w:type="dxa"/>
              <w:right w:w="80" w:type="dxa"/>
            </w:tcMar>
            <w:vAlign w:val="center"/>
          </w:tcPr>
          <w:p w14:paraId="463C3D5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79DC32E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人工调整与可行性校验</w:t>
            </w:r>
          </w:p>
        </w:tc>
        <w:tc>
          <w:tcPr>
            <w:tcW w:w="2115" w:type="dxa"/>
            <w:shd w:val="clear" w:color="auto" w:fill="auto"/>
            <w:noWrap w:val="0"/>
            <w:tcMar>
              <w:top w:w="-1" w:type="dxa"/>
              <w:left w:w="-1" w:type="dxa"/>
              <w:bottom w:w="-1" w:type="dxa"/>
              <w:right w:w="-1" w:type="dxa"/>
            </w:tcMar>
            <w:vAlign w:val="center"/>
          </w:tcPr>
          <w:p w14:paraId="162FFA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F-ZLTC-SCOS-JYSCPC-009</w:t>
            </w:r>
          </w:p>
        </w:tc>
        <w:tc>
          <w:tcPr>
            <w:tcW w:w="3054" w:type="dxa"/>
            <w:shd w:val="clear" w:color="auto" w:fill="auto"/>
            <w:noWrap w:val="0"/>
            <w:tcMar>
              <w:top w:w="-1" w:type="dxa"/>
              <w:left w:w="-1" w:type="dxa"/>
              <w:bottom w:w="-1" w:type="dxa"/>
              <w:right w:w="-1" w:type="dxa"/>
            </w:tcMar>
            <w:vAlign w:val="center"/>
          </w:tcPr>
          <w:p w14:paraId="1D14463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允许计划员在权限范围内拖拽或修改自动排程结果，系统实时重新校验产能、工艺、物料、储罐、日历和锁定约束；人工调整须记录调整前后内容、原因、责任人和审批状态。</w:t>
            </w:r>
          </w:p>
        </w:tc>
        <w:tc>
          <w:tcPr>
            <w:tcW w:w="1098" w:type="dxa"/>
            <w:shd w:val="clear" w:color="auto" w:fill="auto"/>
            <w:noWrap w:val="0"/>
            <w:tcMar>
              <w:top w:w="-1" w:type="dxa"/>
              <w:left w:w="-1" w:type="dxa"/>
              <w:bottom w:w="-1" w:type="dxa"/>
              <w:right w:w="-1" w:type="dxa"/>
            </w:tcMar>
            <w:vAlign w:val="center"/>
          </w:tcPr>
          <w:p w14:paraId="3A2FC5A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自动排程、人工调整、资源与业务约束</w:t>
            </w:r>
          </w:p>
        </w:tc>
        <w:tc>
          <w:tcPr>
            <w:tcW w:w="907" w:type="dxa"/>
            <w:shd w:val="clear" w:color="auto" w:fill="auto"/>
            <w:noWrap w:val="0"/>
            <w:tcMar>
              <w:top w:w="-1" w:type="dxa"/>
              <w:left w:w="-1" w:type="dxa"/>
              <w:bottom w:w="-1" w:type="dxa"/>
              <w:right w:w="-1" w:type="dxa"/>
            </w:tcMar>
            <w:vAlign w:val="center"/>
          </w:tcPr>
          <w:p w14:paraId="6E297C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校验后的调整方案、差异及审计记录</w:t>
            </w:r>
          </w:p>
        </w:tc>
        <w:tc>
          <w:tcPr>
            <w:tcW w:w="873" w:type="dxa"/>
            <w:shd w:val="clear" w:color="auto" w:fill="auto"/>
            <w:noWrap w:val="0"/>
            <w:tcMar>
              <w:top w:w="-1" w:type="dxa"/>
              <w:left w:w="-1" w:type="dxa"/>
              <w:bottom w:w="-1" w:type="dxa"/>
              <w:right w:w="-1" w:type="dxa"/>
            </w:tcMar>
            <w:vAlign w:val="center"/>
          </w:tcPr>
          <w:p w14:paraId="573C83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MES、OA/审批平台</w:t>
            </w:r>
          </w:p>
        </w:tc>
      </w:tr>
      <w:tr w14:paraId="447247A1">
        <w:trPr>
          <w:trHeight w:val="0" w:hRule="atLeast"/>
          <w:jc w:val="center"/>
        </w:trPr>
        <w:tc>
          <w:tcPr>
            <w:tcW w:w="1372" w:type="dxa"/>
            <w:shd w:val="clear" w:color="auto" w:fill="auto"/>
            <w:noWrap w:val="0"/>
            <w:tcMar>
              <w:top w:w="80" w:type="dxa"/>
              <w:left w:w="80" w:type="dxa"/>
              <w:bottom w:w="80" w:type="dxa"/>
              <w:right w:w="80" w:type="dxa"/>
            </w:tcMar>
            <w:vAlign w:val="center"/>
          </w:tcPr>
          <w:p w14:paraId="6BFF65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2F84B9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生产情景模拟</w:t>
            </w:r>
          </w:p>
        </w:tc>
        <w:tc>
          <w:tcPr>
            <w:tcW w:w="2115" w:type="dxa"/>
            <w:shd w:val="clear" w:color="auto" w:fill="auto"/>
            <w:noWrap w:val="0"/>
            <w:tcMar>
              <w:top w:w="-1" w:type="dxa"/>
              <w:left w:w="-1" w:type="dxa"/>
              <w:bottom w:w="-1" w:type="dxa"/>
              <w:right w:w="-1" w:type="dxa"/>
            </w:tcMar>
            <w:vAlign w:val="center"/>
          </w:tcPr>
          <w:p w14:paraId="06A7EF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F-ZLTC-SCOS-JYSCPC-010</w:t>
            </w:r>
          </w:p>
        </w:tc>
        <w:tc>
          <w:tcPr>
            <w:tcW w:w="3054" w:type="dxa"/>
            <w:shd w:val="clear" w:color="auto" w:fill="auto"/>
            <w:noWrap w:val="0"/>
            <w:tcMar>
              <w:top w:w="-1" w:type="dxa"/>
              <w:left w:w="-1" w:type="dxa"/>
              <w:bottom w:w="-1" w:type="dxa"/>
              <w:right w:w="-1" w:type="dxa"/>
            </w:tcMar>
            <w:vAlign w:val="center"/>
          </w:tcPr>
          <w:p w14:paraId="283326A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模拟紧急插单、设备停机、原料延迟、质量隔离、需求变化和产能调整等情景，比较订单交付、资源负荷、库存、成本和计划扰动程度，形成多个候选方案而不影响正式排程。</w:t>
            </w:r>
          </w:p>
        </w:tc>
        <w:tc>
          <w:tcPr>
            <w:tcW w:w="1098" w:type="dxa"/>
            <w:shd w:val="clear" w:color="auto" w:fill="auto"/>
            <w:noWrap w:val="0"/>
            <w:tcMar>
              <w:top w:w="-1" w:type="dxa"/>
              <w:left w:w="-1" w:type="dxa"/>
              <w:bottom w:w="-1" w:type="dxa"/>
              <w:right w:w="-1" w:type="dxa"/>
            </w:tcMar>
            <w:vAlign w:val="center"/>
          </w:tcPr>
          <w:p w14:paraId="337DB47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插单、停机、延迟、质量、需求及产能情景</w:t>
            </w:r>
          </w:p>
        </w:tc>
        <w:tc>
          <w:tcPr>
            <w:tcW w:w="907" w:type="dxa"/>
            <w:shd w:val="clear" w:color="auto" w:fill="auto"/>
            <w:noWrap w:val="0"/>
            <w:tcMar>
              <w:top w:w="-1" w:type="dxa"/>
              <w:left w:w="-1" w:type="dxa"/>
              <w:bottom w:w="-1" w:type="dxa"/>
              <w:right w:w="-1" w:type="dxa"/>
            </w:tcMar>
            <w:vAlign w:val="center"/>
          </w:tcPr>
          <w:p w14:paraId="5615B3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生产候选方案、交付与成本影响对比</w:t>
            </w:r>
          </w:p>
        </w:tc>
        <w:tc>
          <w:tcPr>
            <w:tcW w:w="873" w:type="dxa"/>
            <w:shd w:val="clear" w:color="auto" w:fill="auto"/>
            <w:noWrap w:val="0"/>
            <w:tcMar>
              <w:top w:w="-1" w:type="dxa"/>
              <w:left w:w="-1" w:type="dxa"/>
              <w:bottom w:w="-1" w:type="dxa"/>
              <w:right w:w="-1" w:type="dxa"/>
            </w:tcMar>
            <w:vAlign w:val="center"/>
          </w:tcPr>
          <w:p w14:paraId="0BB757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AI优化平台、MES、WMS</w:t>
            </w:r>
          </w:p>
        </w:tc>
      </w:tr>
      <w:tr w14:paraId="43F91CE8">
        <w:trPr>
          <w:trHeight w:val="0" w:hRule="atLeast"/>
          <w:jc w:val="center"/>
        </w:trPr>
        <w:tc>
          <w:tcPr>
            <w:tcW w:w="1372" w:type="dxa"/>
            <w:shd w:val="clear" w:color="auto" w:fill="auto"/>
            <w:noWrap w:val="0"/>
            <w:tcMar>
              <w:top w:w="80" w:type="dxa"/>
              <w:left w:w="80" w:type="dxa"/>
              <w:bottom w:w="80" w:type="dxa"/>
              <w:right w:w="80" w:type="dxa"/>
            </w:tcMar>
            <w:vAlign w:val="center"/>
          </w:tcPr>
          <w:p w14:paraId="72DB0CD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6B1B39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快速重排程</w:t>
            </w:r>
          </w:p>
        </w:tc>
        <w:tc>
          <w:tcPr>
            <w:tcW w:w="2115" w:type="dxa"/>
            <w:shd w:val="clear" w:color="auto" w:fill="auto"/>
            <w:noWrap w:val="0"/>
            <w:tcMar>
              <w:top w:w="-1" w:type="dxa"/>
              <w:left w:w="-1" w:type="dxa"/>
              <w:bottom w:w="-1" w:type="dxa"/>
              <w:right w:w="-1" w:type="dxa"/>
            </w:tcMar>
            <w:vAlign w:val="center"/>
          </w:tcPr>
          <w:p w14:paraId="01AA42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F-ZLTC-SCOS-JYSCPC-011</w:t>
            </w:r>
          </w:p>
        </w:tc>
        <w:tc>
          <w:tcPr>
            <w:tcW w:w="3054" w:type="dxa"/>
            <w:shd w:val="clear" w:color="auto" w:fill="auto"/>
            <w:noWrap w:val="0"/>
            <w:tcMar>
              <w:top w:w="-1" w:type="dxa"/>
              <w:left w:w="-1" w:type="dxa"/>
              <w:bottom w:w="-1" w:type="dxa"/>
              <w:right w:w="-1" w:type="dxa"/>
            </w:tcMar>
            <w:vAlign w:val="center"/>
          </w:tcPr>
          <w:p w14:paraId="39A18C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当设备故障、质量事故、插单、物料短缺等事件发生时，以当前执行状态和锁定范围为基线快速重排，仅调整允许变更的作业，并输出受影响订单、资源、物料、交期及新旧方案差异。</w:t>
            </w:r>
          </w:p>
        </w:tc>
        <w:tc>
          <w:tcPr>
            <w:tcW w:w="1098" w:type="dxa"/>
            <w:shd w:val="clear" w:color="auto" w:fill="auto"/>
            <w:noWrap w:val="0"/>
            <w:tcMar>
              <w:top w:w="-1" w:type="dxa"/>
              <w:left w:w="-1" w:type="dxa"/>
              <w:bottom w:w="-1" w:type="dxa"/>
              <w:right w:w="-1" w:type="dxa"/>
            </w:tcMar>
            <w:vAlign w:val="center"/>
          </w:tcPr>
          <w:p w14:paraId="4034B7C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执行状态、锁定范围及设备/质量/物料异常</w:t>
            </w:r>
          </w:p>
        </w:tc>
        <w:tc>
          <w:tcPr>
            <w:tcW w:w="907" w:type="dxa"/>
            <w:shd w:val="clear" w:color="auto" w:fill="auto"/>
            <w:noWrap w:val="0"/>
            <w:tcMar>
              <w:top w:w="-1" w:type="dxa"/>
              <w:left w:w="-1" w:type="dxa"/>
              <w:bottom w:w="-1" w:type="dxa"/>
              <w:right w:w="-1" w:type="dxa"/>
            </w:tcMar>
            <w:vAlign w:val="center"/>
          </w:tcPr>
          <w:p w14:paraId="301C86F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重排程方案、受影响对象及新旧差异</w:t>
            </w:r>
          </w:p>
        </w:tc>
        <w:tc>
          <w:tcPr>
            <w:tcW w:w="873" w:type="dxa"/>
            <w:shd w:val="clear" w:color="auto" w:fill="auto"/>
            <w:noWrap w:val="0"/>
            <w:tcMar>
              <w:top w:w="-1" w:type="dxa"/>
              <w:left w:w="-1" w:type="dxa"/>
              <w:bottom w:w="-1" w:type="dxa"/>
              <w:right w:w="-1" w:type="dxa"/>
            </w:tcMar>
            <w:vAlign w:val="center"/>
          </w:tcPr>
          <w:p w14:paraId="2DCBF9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MES、WMS、QMS/LIMS、EAM</w:t>
            </w:r>
          </w:p>
        </w:tc>
      </w:tr>
      <w:tr w14:paraId="61AFDC1A">
        <w:trPr>
          <w:trHeight w:val="0" w:hRule="atLeast"/>
          <w:jc w:val="center"/>
        </w:trPr>
        <w:tc>
          <w:tcPr>
            <w:tcW w:w="1372" w:type="dxa"/>
            <w:shd w:val="clear" w:color="auto" w:fill="auto"/>
            <w:noWrap w:val="0"/>
            <w:tcMar>
              <w:top w:w="80" w:type="dxa"/>
              <w:left w:w="80" w:type="dxa"/>
              <w:bottom w:w="80" w:type="dxa"/>
              <w:right w:w="80" w:type="dxa"/>
            </w:tcMar>
            <w:vAlign w:val="center"/>
          </w:tcPr>
          <w:p w14:paraId="1B992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11EC08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排程审批发布与工单下发</w:t>
            </w:r>
          </w:p>
        </w:tc>
        <w:tc>
          <w:tcPr>
            <w:tcW w:w="2115" w:type="dxa"/>
            <w:shd w:val="clear" w:color="auto" w:fill="auto"/>
            <w:noWrap w:val="0"/>
            <w:tcMar>
              <w:top w:w="-1" w:type="dxa"/>
              <w:left w:w="-1" w:type="dxa"/>
              <w:bottom w:w="-1" w:type="dxa"/>
              <w:right w:w="-1" w:type="dxa"/>
            </w:tcMar>
            <w:vAlign w:val="center"/>
          </w:tcPr>
          <w:p w14:paraId="66A380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F-ZLTC-SCOS-JYSCPC-012</w:t>
            </w:r>
          </w:p>
        </w:tc>
        <w:tc>
          <w:tcPr>
            <w:tcW w:w="3054" w:type="dxa"/>
            <w:shd w:val="clear" w:color="auto" w:fill="auto"/>
            <w:noWrap w:val="0"/>
            <w:tcMar>
              <w:top w:w="-1" w:type="dxa"/>
              <w:left w:w="-1" w:type="dxa"/>
              <w:bottom w:w="-1" w:type="dxa"/>
              <w:right w:w="-1" w:type="dxa"/>
            </w:tcMar>
            <w:vAlign w:val="center"/>
          </w:tcPr>
          <w:p w14:paraId="5AD40D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将选定排程方案连同输入快照、约束和人工调整提交审批，发布后生成或更新生产工单并通过接口下发MES；已下达、执行中和锁定工单受保护，异常下发支持重试、对账和人工介入。</w:t>
            </w:r>
          </w:p>
        </w:tc>
        <w:tc>
          <w:tcPr>
            <w:tcW w:w="1098" w:type="dxa"/>
            <w:shd w:val="clear" w:color="auto" w:fill="auto"/>
            <w:noWrap w:val="0"/>
            <w:tcMar>
              <w:top w:w="-1" w:type="dxa"/>
              <w:left w:w="-1" w:type="dxa"/>
              <w:bottom w:w="-1" w:type="dxa"/>
              <w:right w:w="-1" w:type="dxa"/>
            </w:tcMar>
            <w:vAlign w:val="center"/>
          </w:tcPr>
          <w:p w14:paraId="146BECD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选定排程、输入快照、约束及人工调整</w:t>
            </w:r>
          </w:p>
        </w:tc>
        <w:tc>
          <w:tcPr>
            <w:tcW w:w="907" w:type="dxa"/>
            <w:shd w:val="clear" w:color="auto" w:fill="auto"/>
            <w:noWrap w:val="0"/>
            <w:tcMar>
              <w:top w:w="-1" w:type="dxa"/>
              <w:left w:w="-1" w:type="dxa"/>
              <w:bottom w:w="-1" w:type="dxa"/>
              <w:right w:w="-1" w:type="dxa"/>
            </w:tcMar>
            <w:vAlign w:val="center"/>
          </w:tcPr>
          <w:p w14:paraId="3913BE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已发布排程、生产工单及下发回执</w:t>
            </w:r>
          </w:p>
        </w:tc>
        <w:tc>
          <w:tcPr>
            <w:tcW w:w="873" w:type="dxa"/>
            <w:shd w:val="clear" w:color="auto" w:fill="auto"/>
            <w:noWrap w:val="0"/>
            <w:tcMar>
              <w:top w:w="-1" w:type="dxa"/>
              <w:left w:w="-1" w:type="dxa"/>
              <w:bottom w:w="-1" w:type="dxa"/>
              <w:right w:w="-1" w:type="dxa"/>
            </w:tcMar>
            <w:vAlign w:val="center"/>
          </w:tcPr>
          <w:p w14:paraId="4EC2EC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OA/审批平台、MES、SAP</w:t>
            </w:r>
          </w:p>
        </w:tc>
      </w:tr>
      <w:tr w14:paraId="63A6FEED">
        <w:trPr>
          <w:trHeight w:val="0" w:hRule="atLeast"/>
          <w:jc w:val="center"/>
        </w:trPr>
        <w:tc>
          <w:tcPr>
            <w:tcW w:w="1372" w:type="dxa"/>
            <w:shd w:val="clear" w:color="auto" w:fill="auto"/>
            <w:noWrap w:val="0"/>
            <w:tcMar>
              <w:top w:w="80" w:type="dxa"/>
              <w:left w:w="80" w:type="dxa"/>
              <w:bottom w:w="80" w:type="dxa"/>
              <w:right w:w="80" w:type="dxa"/>
            </w:tcMar>
            <w:vAlign w:val="center"/>
          </w:tcPr>
          <w:p w14:paraId="7F72BF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精益生产排程模块</w:t>
            </w:r>
          </w:p>
        </w:tc>
        <w:tc>
          <w:tcPr>
            <w:tcW w:w="1472" w:type="dxa"/>
            <w:shd w:val="clear" w:color="auto" w:fill="auto"/>
            <w:noWrap w:val="0"/>
            <w:tcMar>
              <w:top w:w="-1" w:type="dxa"/>
              <w:left w:w="-1" w:type="dxa"/>
              <w:bottom w:w="-1" w:type="dxa"/>
              <w:right w:w="-1" w:type="dxa"/>
            </w:tcMar>
            <w:vAlign w:val="center"/>
          </w:tcPr>
          <w:p w14:paraId="6117F5B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生产执行反馈与绩效分析</w:t>
            </w:r>
          </w:p>
        </w:tc>
        <w:tc>
          <w:tcPr>
            <w:tcW w:w="2115" w:type="dxa"/>
            <w:shd w:val="clear" w:color="auto" w:fill="auto"/>
            <w:noWrap w:val="0"/>
            <w:tcMar>
              <w:top w:w="-1" w:type="dxa"/>
              <w:left w:w="-1" w:type="dxa"/>
              <w:bottom w:w="-1" w:type="dxa"/>
              <w:right w:w="-1" w:type="dxa"/>
            </w:tcMar>
            <w:vAlign w:val="center"/>
          </w:tcPr>
          <w:p w14:paraId="5D3727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F-ZLTC-SCOS-JYSCPC-013</w:t>
            </w:r>
          </w:p>
        </w:tc>
        <w:tc>
          <w:tcPr>
            <w:tcW w:w="3054" w:type="dxa"/>
            <w:shd w:val="clear" w:color="auto" w:fill="auto"/>
            <w:noWrap w:val="0"/>
            <w:tcMar>
              <w:top w:w="-1" w:type="dxa"/>
              <w:left w:w="-1" w:type="dxa"/>
              <w:bottom w:w="-1" w:type="dxa"/>
              <w:right w:w="-1" w:type="dxa"/>
            </w:tcMar>
            <w:vAlign w:val="center"/>
          </w:tcPr>
          <w:p w14:paraId="0D128B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接收MES及车间数据的实际开始结束时间、产量、合格率、停机和工单状态，在排程界面实时更新；对比计划与实际，计算计划达成率、延期、停机和模型偏差，反馈下一轮排程。</w:t>
            </w:r>
          </w:p>
        </w:tc>
        <w:tc>
          <w:tcPr>
            <w:tcW w:w="1098" w:type="dxa"/>
            <w:shd w:val="clear" w:color="auto" w:fill="auto"/>
            <w:noWrap w:val="0"/>
            <w:tcMar>
              <w:top w:w="-1" w:type="dxa"/>
              <w:left w:w="-1" w:type="dxa"/>
              <w:bottom w:w="-1" w:type="dxa"/>
              <w:right w:w="-1" w:type="dxa"/>
            </w:tcMar>
            <w:vAlign w:val="center"/>
          </w:tcPr>
          <w:p w14:paraId="51308EE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实际开完工、产量、质量、停机及工单状态</w:t>
            </w:r>
          </w:p>
        </w:tc>
        <w:tc>
          <w:tcPr>
            <w:tcW w:w="907" w:type="dxa"/>
            <w:shd w:val="clear" w:color="auto" w:fill="auto"/>
            <w:noWrap w:val="0"/>
            <w:tcMar>
              <w:top w:w="-1" w:type="dxa"/>
              <w:left w:w="-1" w:type="dxa"/>
              <w:bottom w:w="-1" w:type="dxa"/>
              <w:right w:w="-1" w:type="dxa"/>
            </w:tcMar>
            <w:vAlign w:val="center"/>
          </w:tcPr>
          <w:p w14:paraId="71FC80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计划实际偏差、绩效及模型反馈</w:t>
            </w:r>
          </w:p>
        </w:tc>
        <w:tc>
          <w:tcPr>
            <w:tcW w:w="873" w:type="dxa"/>
            <w:shd w:val="clear" w:color="auto" w:fill="auto"/>
            <w:noWrap w:val="0"/>
            <w:tcMar>
              <w:top w:w="-1" w:type="dxa"/>
              <w:left w:w="-1" w:type="dxa"/>
              <w:bottom w:w="-1" w:type="dxa"/>
              <w:right w:w="-1" w:type="dxa"/>
            </w:tcMar>
            <w:vAlign w:val="center"/>
          </w:tcPr>
          <w:p w14:paraId="217B56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MES、QMS/LIMS、供应链驾驶舱</w:t>
            </w:r>
          </w:p>
        </w:tc>
      </w:tr>
      <w:tr w14:paraId="3623FDDD">
        <w:trPr>
          <w:trHeight w:val="0" w:hRule="atLeast"/>
          <w:jc w:val="center"/>
        </w:trPr>
        <w:tc>
          <w:tcPr>
            <w:tcW w:w="1372" w:type="dxa"/>
            <w:shd w:val="clear" w:color="auto" w:fill="auto"/>
            <w:noWrap w:val="0"/>
            <w:tcMar>
              <w:top w:w="80" w:type="dxa"/>
              <w:left w:w="80" w:type="dxa"/>
              <w:bottom w:w="80" w:type="dxa"/>
              <w:right w:w="80" w:type="dxa"/>
            </w:tcMar>
            <w:vAlign w:val="center"/>
          </w:tcPr>
          <w:p w14:paraId="30891D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730114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多维度成本数据自动归集</w:t>
            </w:r>
          </w:p>
        </w:tc>
        <w:tc>
          <w:tcPr>
            <w:tcW w:w="2115" w:type="dxa"/>
            <w:shd w:val="clear" w:color="auto" w:fill="auto"/>
            <w:noWrap w:val="0"/>
            <w:tcMar>
              <w:top w:w="-1" w:type="dxa"/>
              <w:left w:w="-1" w:type="dxa"/>
              <w:bottom w:w="-1" w:type="dxa"/>
              <w:right w:w="-1" w:type="dxa"/>
            </w:tcMar>
            <w:vAlign w:val="center"/>
          </w:tcPr>
          <w:p w14:paraId="7C6416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320992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从SAP、采购、MES、WMS、TMS、EMS等系统自动归集原料、人工、制造、能源、仓储、运输、包装、质量和费用池数据，统一成本对象、期间、币种、单位、批次和订单口径并进行完整性对账。</w:t>
            </w:r>
          </w:p>
        </w:tc>
        <w:tc>
          <w:tcPr>
            <w:tcW w:w="1098" w:type="dxa"/>
            <w:shd w:val="clear" w:color="auto" w:fill="auto"/>
            <w:noWrap w:val="0"/>
            <w:tcMar>
              <w:top w:w="-1" w:type="dxa"/>
              <w:left w:w="-1" w:type="dxa"/>
              <w:bottom w:w="-1" w:type="dxa"/>
              <w:right w:w="-1" w:type="dxa"/>
            </w:tcMar>
            <w:vAlign w:val="center"/>
          </w:tcPr>
          <w:p w14:paraId="09B07E3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原料、人工、制造、能源、仓储、运输及费用池数据</w:t>
            </w:r>
          </w:p>
        </w:tc>
        <w:tc>
          <w:tcPr>
            <w:tcW w:w="907" w:type="dxa"/>
            <w:shd w:val="clear" w:color="auto" w:fill="auto"/>
            <w:noWrap w:val="0"/>
            <w:tcMar>
              <w:top w:w="-1" w:type="dxa"/>
              <w:left w:w="-1" w:type="dxa"/>
              <w:bottom w:w="-1" w:type="dxa"/>
              <w:right w:w="-1" w:type="dxa"/>
            </w:tcMar>
            <w:vAlign w:val="center"/>
          </w:tcPr>
          <w:p w14:paraId="1196047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统一成本事实、完整性对账结果</w:t>
            </w:r>
          </w:p>
        </w:tc>
        <w:tc>
          <w:tcPr>
            <w:tcW w:w="873" w:type="dxa"/>
            <w:shd w:val="clear" w:color="auto" w:fill="auto"/>
            <w:noWrap w:val="0"/>
            <w:tcMar>
              <w:top w:w="-1" w:type="dxa"/>
              <w:left w:w="-1" w:type="dxa"/>
              <w:bottom w:w="-1" w:type="dxa"/>
              <w:right w:w="-1" w:type="dxa"/>
            </w:tcMar>
            <w:vAlign w:val="center"/>
          </w:tcPr>
          <w:p w14:paraId="317E6A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SAP、MES、WMS、TMS、EMS</w:t>
            </w:r>
          </w:p>
        </w:tc>
      </w:tr>
      <w:tr w14:paraId="6D905655">
        <w:trPr>
          <w:trHeight w:val="0" w:hRule="atLeast"/>
          <w:jc w:val="center"/>
        </w:trPr>
        <w:tc>
          <w:tcPr>
            <w:tcW w:w="1372" w:type="dxa"/>
            <w:shd w:val="clear" w:color="auto" w:fill="auto"/>
            <w:noWrap w:val="0"/>
            <w:tcMar>
              <w:top w:w="80" w:type="dxa"/>
              <w:left w:w="80" w:type="dxa"/>
              <w:bottom w:w="80" w:type="dxa"/>
              <w:right w:w="80" w:type="dxa"/>
            </w:tcMar>
            <w:vAlign w:val="center"/>
          </w:tcPr>
          <w:p w14:paraId="3F50E9F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D80CCC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成本动因库管理</w:t>
            </w:r>
          </w:p>
        </w:tc>
        <w:tc>
          <w:tcPr>
            <w:tcW w:w="2115" w:type="dxa"/>
            <w:shd w:val="clear" w:color="auto" w:fill="auto"/>
            <w:noWrap w:val="0"/>
            <w:tcMar>
              <w:top w:w="-1" w:type="dxa"/>
              <w:left w:w="-1" w:type="dxa"/>
              <w:bottom w:w="-1" w:type="dxa"/>
              <w:right w:w="-1" w:type="dxa"/>
            </w:tcMar>
            <w:vAlign w:val="center"/>
          </w:tcPr>
          <w:p w14:paraId="6512FD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F-ZLTC-SCOS-CBFT-002</w:t>
            </w:r>
          </w:p>
        </w:tc>
        <w:tc>
          <w:tcPr>
            <w:tcW w:w="3054" w:type="dxa"/>
            <w:shd w:val="clear" w:color="auto" w:fill="auto"/>
            <w:noWrap w:val="0"/>
            <w:tcMar>
              <w:top w:w="-1" w:type="dxa"/>
              <w:left w:w="-1" w:type="dxa"/>
              <w:bottom w:w="-1" w:type="dxa"/>
              <w:right w:w="-1" w:type="dxa"/>
            </w:tcMar>
            <w:vAlign w:val="center"/>
          </w:tcPr>
          <w:p w14:paraId="4422689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建立卸货次数、订单行数、储存体积天数、设备工时、能耗、产量、运输里程等成本动因库，维护定义、计算规则、适用费用池、分摊层级、生效时间和版本，支撑多级间接费用分摊。</w:t>
            </w:r>
          </w:p>
        </w:tc>
        <w:tc>
          <w:tcPr>
            <w:tcW w:w="1098" w:type="dxa"/>
            <w:shd w:val="clear" w:color="auto" w:fill="auto"/>
            <w:noWrap w:val="0"/>
            <w:tcMar>
              <w:top w:w="-1" w:type="dxa"/>
              <w:left w:w="-1" w:type="dxa"/>
              <w:bottom w:w="-1" w:type="dxa"/>
              <w:right w:w="-1" w:type="dxa"/>
            </w:tcMar>
            <w:vAlign w:val="center"/>
          </w:tcPr>
          <w:p w14:paraId="433626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作业量、工时、能耗、产量、里程及分摊规则</w:t>
            </w:r>
          </w:p>
        </w:tc>
        <w:tc>
          <w:tcPr>
            <w:tcW w:w="907" w:type="dxa"/>
            <w:shd w:val="clear" w:color="auto" w:fill="auto"/>
            <w:noWrap w:val="0"/>
            <w:tcMar>
              <w:top w:w="-1" w:type="dxa"/>
              <w:left w:w="-1" w:type="dxa"/>
              <w:bottom w:w="-1" w:type="dxa"/>
              <w:right w:w="-1" w:type="dxa"/>
            </w:tcMar>
            <w:vAlign w:val="center"/>
          </w:tcPr>
          <w:p w14:paraId="318B98B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成本动因库、版本与适用关系</w:t>
            </w:r>
          </w:p>
        </w:tc>
        <w:tc>
          <w:tcPr>
            <w:tcW w:w="873" w:type="dxa"/>
            <w:shd w:val="clear" w:color="auto" w:fill="auto"/>
            <w:noWrap w:val="0"/>
            <w:tcMar>
              <w:top w:w="-1" w:type="dxa"/>
              <w:left w:w="-1" w:type="dxa"/>
              <w:bottom w:w="-1" w:type="dxa"/>
              <w:right w:w="-1" w:type="dxa"/>
            </w:tcMar>
            <w:vAlign w:val="center"/>
          </w:tcPr>
          <w:p w14:paraId="671E71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SAP、MES、WMS、TMS、EMS</w:t>
            </w:r>
          </w:p>
        </w:tc>
      </w:tr>
      <w:tr w14:paraId="52D95AA9">
        <w:trPr>
          <w:trHeight w:val="0" w:hRule="atLeast"/>
          <w:jc w:val="center"/>
        </w:trPr>
        <w:tc>
          <w:tcPr>
            <w:tcW w:w="1372" w:type="dxa"/>
            <w:shd w:val="clear" w:color="auto" w:fill="auto"/>
            <w:noWrap w:val="0"/>
            <w:tcMar>
              <w:top w:w="80" w:type="dxa"/>
              <w:left w:w="80" w:type="dxa"/>
              <w:bottom w:w="80" w:type="dxa"/>
              <w:right w:w="80" w:type="dxa"/>
            </w:tcMar>
            <w:vAlign w:val="center"/>
          </w:tcPr>
          <w:p w14:paraId="2CDFC1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79D8B0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批次成本核算</w:t>
            </w:r>
          </w:p>
        </w:tc>
        <w:tc>
          <w:tcPr>
            <w:tcW w:w="2115" w:type="dxa"/>
            <w:shd w:val="clear" w:color="auto" w:fill="auto"/>
            <w:noWrap w:val="0"/>
            <w:tcMar>
              <w:top w:w="-1" w:type="dxa"/>
              <w:left w:w="-1" w:type="dxa"/>
              <w:bottom w:w="-1" w:type="dxa"/>
              <w:right w:w="-1" w:type="dxa"/>
            </w:tcMar>
            <w:vAlign w:val="center"/>
          </w:tcPr>
          <w:p w14:paraId="6BDFDE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F-ZLTC-SCOS-CBFT-003</w:t>
            </w:r>
          </w:p>
        </w:tc>
        <w:tc>
          <w:tcPr>
            <w:tcW w:w="3054" w:type="dxa"/>
            <w:shd w:val="clear" w:color="auto" w:fill="auto"/>
            <w:noWrap w:val="0"/>
            <w:tcMar>
              <w:top w:w="-1" w:type="dxa"/>
              <w:left w:w="-1" w:type="dxa"/>
              <w:bottom w:w="-1" w:type="dxa"/>
              <w:right w:w="-1" w:type="dxa"/>
            </w:tcMar>
            <w:vAlign w:val="center"/>
          </w:tcPr>
          <w:p w14:paraId="1CE7110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沿生产批次谱系归集直接材料、直接人工、能源、制造费用和质量损失，形成批次完全成本，并按批次与生产订单、销售订单、产品和客户建立可追溯关系。</w:t>
            </w:r>
          </w:p>
        </w:tc>
        <w:tc>
          <w:tcPr>
            <w:tcW w:w="1098" w:type="dxa"/>
            <w:shd w:val="clear" w:color="auto" w:fill="auto"/>
            <w:noWrap w:val="0"/>
            <w:tcMar>
              <w:top w:w="-1" w:type="dxa"/>
              <w:left w:w="-1" w:type="dxa"/>
              <w:bottom w:w="-1" w:type="dxa"/>
              <w:right w:w="-1" w:type="dxa"/>
            </w:tcMar>
            <w:vAlign w:val="center"/>
          </w:tcPr>
          <w:p w14:paraId="7B5F51D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材料、人工、能源、制造费用及批次谱系</w:t>
            </w:r>
          </w:p>
        </w:tc>
        <w:tc>
          <w:tcPr>
            <w:tcW w:w="907" w:type="dxa"/>
            <w:shd w:val="clear" w:color="auto" w:fill="auto"/>
            <w:noWrap w:val="0"/>
            <w:tcMar>
              <w:top w:w="-1" w:type="dxa"/>
              <w:left w:w="-1" w:type="dxa"/>
              <w:bottom w:w="-1" w:type="dxa"/>
              <w:right w:w="-1" w:type="dxa"/>
            </w:tcMar>
            <w:vAlign w:val="center"/>
          </w:tcPr>
          <w:p w14:paraId="6E9BD99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批次完全成本、订单产品客户关联</w:t>
            </w:r>
          </w:p>
        </w:tc>
        <w:tc>
          <w:tcPr>
            <w:tcW w:w="873" w:type="dxa"/>
            <w:shd w:val="clear" w:color="auto" w:fill="auto"/>
            <w:noWrap w:val="0"/>
            <w:tcMar>
              <w:top w:w="-1" w:type="dxa"/>
              <w:left w:w="-1" w:type="dxa"/>
              <w:bottom w:w="-1" w:type="dxa"/>
              <w:right w:w="-1" w:type="dxa"/>
            </w:tcMar>
            <w:vAlign w:val="center"/>
          </w:tcPr>
          <w:p w14:paraId="761A38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w:t>
            </w:r>
          </w:p>
        </w:tc>
      </w:tr>
      <w:tr w14:paraId="041CB6F7">
        <w:trPr>
          <w:trHeight w:val="0" w:hRule="atLeast"/>
          <w:jc w:val="center"/>
        </w:trPr>
        <w:tc>
          <w:tcPr>
            <w:tcW w:w="1372" w:type="dxa"/>
            <w:shd w:val="clear" w:color="auto" w:fill="auto"/>
            <w:noWrap w:val="0"/>
            <w:tcMar>
              <w:top w:w="80" w:type="dxa"/>
              <w:left w:w="80" w:type="dxa"/>
              <w:bottom w:w="80" w:type="dxa"/>
              <w:right w:w="80" w:type="dxa"/>
            </w:tcMar>
            <w:vAlign w:val="center"/>
          </w:tcPr>
          <w:p w14:paraId="064C2CF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79CDBFF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联副产品成本分摊</w:t>
            </w:r>
          </w:p>
        </w:tc>
        <w:tc>
          <w:tcPr>
            <w:tcW w:w="2115" w:type="dxa"/>
            <w:shd w:val="clear" w:color="auto" w:fill="auto"/>
            <w:noWrap w:val="0"/>
            <w:tcMar>
              <w:top w:w="-1" w:type="dxa"/>
              <w:left w:w="-1" w:type="dxa"/>
              <w:bottom w:w="-1" w:type="dxa"/>
              <w:right w:w="-1" w:type="dxa"/>
            </w:tcMar>
            <w:vAlign w:val="center"/>
          </w:tcPr>
          <w:p w14:paraId="012BD6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F-ZLTC-SCOS-CBFT-004</w:t>
            </w:r>
          </w:p>
        </w:tc>
        <w:tc>
          <w:tcPr>
            <w:tcW w:w="3054" w:type="dxa"/>
            <w:shd w:val="clear" w:color="auto" w:fill="auto"/>
            <w:noWrap w:val="0"/>
            <w:tcMar>
              <w:top w:w="-1" w:type="dxa"/>
              <w:left w:w="-1" w:type="dxa"/>
              <w:bottom w:w="-1" w:type="dxa"/>
              <w:right w:w="-1" w:type="dxa"/>
            </w:tcMar>
            <w:vAlign w:val="center"/>
          </w:tcPr>
          <w:p w14:paraId="3B91861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针对同一生产过程产生的主产品、联产品、副产品和废弃物，支持市场价值法、净值法、固定比例法等分摊方法，对可销售副产品收入进行成本抵减，对废弃物处理成本进行合理归集。</w:t>
            </w:r>
          </w:p>
        </w:tc>
        <w:tc>
          <w:tcPr>
            <w:tcW w:w="1098" w:type="dxa"/>
            <w:shd w:val="clear" w:color="auto" w:fill="auto"/>
            <w:noWrap w:val="0"/>
            <w:tcMar>
              <w:top w:w="-1" w:type="dxa"/>
              <w:left w:w="-1" w:type="dxa"/>
              <w:bottom w:w="-1" w:type="dxa"/>
              <w:right w:w="-1" w:type="dxa"/>
            </w:tcMar>
            <w:vAlign w:val="center"/>
          </w:tcPr>
          <w:p w14:paraId="6468BB8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联合生产成本、产量、市场价值及处置收入成本</w:t>
            </w:r>
          </w:p>
        </w:tc>
        <w:tc>
          <w:tcPr>
            <w:tcW w:w="907" w:type="dxa"/>
            <w:shd w:val="clear" w:color="auto" w:fill="auto"/>
            <w:noWrap w:val="0"/>
            <w:tcMar>
              <w:top w:w="-1" w:type="dxa"/>
              <w:left w:w="-1" w:type="dxa"/>
              <w:bottom w:w="-1" w:type="dxa"/>
              <w:right w:w="-1" w:type="dxa"/>
            </w:tcMar>
            <w:vAlign w:val="center"/>
          </w:tcPr>
          <w:p w14:paraId="77726B6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主联副产品成本分摊结果</w:t>
            </w:r>
          </w:p>
        </w:tc>
        <w:tc>
          <w:tcPr>
            <w:tcW w:w="873" w:type="dxa"/>
            <w:shd w:val="clear" w:color="auto" w:fill="auto"/>
            <w:noWrap w:val="0"/>
            <w:tcMar>
              <w:top w:w="-1" w:type="dxa"/>
              <w:left w:w="-1" w:type="dxa"/>
              <w:bottom w:w="-1" w:type="dxa"/>
              <w:right w:w="-1" w:type="dxa"/>
            </w:tcMar>
            <w:vAlign w:val="center"/>
          </w:tcPr>
          <w:p w14:paraId="07823A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w:t>
            </w:r>
          </w:p>
        </w:tc>
      </w:tr>
      <w:tr w14:paraId="0E7C8A45">
        <w:trPr>
          <w:trHeight w:val="0" w:hRule="atLeast"/>
          <w:jc w:val="center"/>
        </w:trPr>
        <w:tc>
          <w:tcPr>
            <w:tcW w:w="1372" w:type="dxa"/>
            <w:shd w:val="clear" w:color="auto" w:fill="auto"/>
            <w:noWrap w:val="0"/>
            <w:tcMar>
              <w:top w:w="80" w:type="dxa"/>
              <w:left w:w="80" w:type="dxa"/>
              <w:bottom w:w="80" w:type="dxa"/>
              <w:right w:w="80" w:type="dxa"/>
            </w:tcMar>
            <w:vAlign w:val="center"/>
          </w:tcPr>
          <w:p w14:paraId="24DFA40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46552D8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标准成本BOM管理</w:t>
            </w:r>
          </w:p>
        </w:tc>
        <w:tc>
          <w:tcPr>
            <w:tcW w:w="2115" w:type="dxa"/>
            <w:shd w:val="clear" w:color="auto" w:fill="auto"/>
            <w:noWrap w:val="0"/>
            <w:tcMar>
              <w:top w:w="-1" w:type="dxa"/>
              <w:left w:w="-1" w:type="dxa"/>
              <w:bottom w:w="-1" w:type="dxa"/>
              <w:right w:w="-1" w:type="dxa"/>
            </w:tcMar>
            <w:vAlign w:val="center"/>
          </w:tcPr>
          <w:p w14:paraId="018A70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F-ZLTC-SCOS-CBFT-005</w:t>
            </w:r>
          </w:p>
        </w:tc>
        <w:tc>
          <w:tcPr>
            <w:tcW w:w="3054" w:type="dxa"/>
            <w:shd w:val="clear" w:color="auto" w:fill="auto"/>
            <w:noWrap w:val="0"/>
            <w:tcMar>
              <w:top w:w="-1" w:type="dxa"/>
              <w:left w:w="-1" w:type="dxa"/>
              <w:bottom w:w="-1" w:type="dxa"/>
              <w:right w:w="-1" w:type="dxa"/>
            </w:tcMar>
            <w:vAlign w:val="center"/>
          </w:tcPr>
          <w:p w14:paraId="4AF5AAC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维护包含材料、人工和制造费用标准的成本BOM及目标成本，支持版本、生效时间和审批管理，为实际成本比较、价格差异、用量差异和效率差异分析提供基准。</w:t>
            </w:r>
          </w:p>
        </w:tc>
        <w:tc>
          <w:tcPr>
            <w:tcW w:w="1098" w:type="dxa"/>
            <w:shd w:val="clear" w:color="auto" w:fill="auto"/>
            <w:noWrap w:val="0"/>
            <w:tcMar>
              <w:top w:w="-1" w:type="dxa"/>
              <w:left w:w="-1" w:type="dxa"/>
              <w:bottom w:w="-1" w:type="dxa"/>
              <w:right w:w="-1" w:type="dxa"/>
            </w:tcMar>
            <w:vAlign w:val="center"/>
          </w:tcPr>
          <w:p w14:paraId="6EFC30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材料、人工、制造费用标准及目标成本</w:t>
            </w:r>
          </w:p>
        </w:tc>
        <w:tc>
          <w:tcPr>
            <w:tcW w:w="907" w:type="dxa"/>
            <w:shd w:val="clear" w:color="auto" w:fill="auto"/>
            <w:noWrap w:val="0"/>
            <w:tcMar>
              <w:top w:w="-1" w:type="dxa"/>
              <w:left w:w="-1" w:type="dxa"/>
              <w:bottom w:w="-1" w:type="dxa"/>
              <w:right w:w="-1" w:type="dxa"/>
            </w:tcMar>
            <w:vAlign w:val="center"/>
          </w:tcPr>
          <w:p w14:paraId="5C1732A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标准成本BOM、版本与生效记录</w:t>
            </w:r>
          </w:p>
        </w:tc>
        <w:tc>
          <w:tcPr>
            <w:tcW w:w="873" w:type="dxa"/>
            <w:shd w:val="clear" w:color="auto" w:fill="auto"/>
            <w:noWrap w:val="0"/>
            <w:tcMar>
              <w:top w:w="-1" w:type="dxa"/>
              <w:left w:w="-1" w:type="dxa"/>
              <w:bottom w:w="-1" w:type="dxa"/>
              <w:right w:w="-1" w:type="dxa"/>
            </w:tcMar>
            <w:vAlign w:val="center"/>
          </w:tcPr>
          <w:p w14:paraId="543035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SAP、MES、OA/审批平台</w:t>
            </w:r>
          </w:p>
        </w:tc>
      </w:tr>
      <w:tr w14:paraId="4224B849">
        <w:trPr>
          <w:trHeight w:val="0" w:hRule="atLeast"/>
          <w:jc w:val="center"/>
        </w:trPr>
        <w:tc>
          <w:tcPr>
            <w:tcW w:w="1372" w:type="dxa"/>
            <w:shd w:val="clear" w:color="auto" w:fill="auto"/>
            <w:noWrap w:val="0"/>
            <w:tcMar>
              <w:top w:w="80" w:type="dxa"/>
              <w:left w:w="80" w:type="dxa"/>
              <w:bottom w:w="80" w:type="dxa"/>
              <w:right w:w="80" w:type="dxa"/>
            </w:tcMar>
            <w:vAlign w:val="center"/>
          </w:tcPr>
          <w:p w14:paraId="79F0AF1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A3D708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产品与客户盈利分析</w:t>
            </w:r>
          </w:p>
        </w:tc>
        <w:tc>
          <w:tcPr>
            <w:tcW w:w="2115" w:type="dxa"/>
            <w:shd w:val="clear" w:color="auto" w:fill="auto"/>
            <w:noWrap w:val="0"/>
            <w:tcMar>
              <w:top w:w="-1" w:type="dxa"/>
              <w:left w:w="-1" w:type="dxa"/>
              <w:bottom w:w="-1" w:type="dxa"/>
              <w:right w:w="-1" w:type="dxa"/>
            </w:tcMar>
            <w:vAlign w:val="center"/>
          </w:tcPr>
          <w:p w14:paraId="7E1CE0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F-ZLTC-SCOS-CBFT-006</w:t>
            </w:r>
          </w:p>
        </w:tc>
        <w:tc>
          <w:tcPr>
            <w:tcW w:w="3054" w:type="dxa"/>
            <w:shd w:val="clear" w:color="auto" w:fill="auto"/>
            <w:noWrap w:val="0"/>
            <w:tcMar>
              <w:top w:w="-1" w:type="dxa"/>
              <w:left w:w="-1" w:type="dxa"/>
              <w:bottom w:w="-1" w:type="dxa"/>
              <w:right w:w="-1" w:type="dxa"/>
            </w:tcMar>
            <w:vAlign w:val="center"/>
          </w:tcPr>
          <w:p w14:paraId="50C67B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按产品、规格、包装和客户计算销售收入、完全成本、边际贡献与净利润，区分不同运输、服务和质量要求造成的成本差异，识别高利润、低利润及负利润组合。</w:t>
            </w:r>
          </w:p>
        </w:tc>
        <w:tc>
          <w:tcPr>
            <w:tcW w:w="1098" w:type="dxa"/>
            <w:shd w:val="clear" w:color="auto" w:fill="auto"/>
            <w:noWrap w:val="0"/>
            <w:tcMar>
              <w:top w:w="-1" w:type="dxa"/>
              <w:left w:w="-1" w:type="dxa"/>
              <w:bottom w:w="-1" w:type="dxa"/>
              <w:right w:w="-1" w:type="dxa"/>
            </w:tcMar>
            <w:vAlign w:val="center"/>
          </w:tcPr>
          <w:p w14:paraId="6E03AC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收入、产品成本、运输服务及质量成本</w:t>
            </w:r>
          </w:p>
        </w:tc>
        <w:tc>
          <w:tcPr>
            <w:tcW w:w="907" w:type="dxa"/>
            <w:shd w:val="clear" w:color="auto" w:fill="auto"/>
            <w:noWrap w:val="0"/>
            <w:tcMar>
              <w:top w:w="-1" w:type="dxa"/>
              <w:left w:w="-1" w:type="dxa"/>
              <w:bottom w:w="-1" w:type="dxa"/>
              <w:right w:w="-1" w:type="dxa"/>
            </w:tcMar>
            <w:vAlign w:val="center"/>
          </w:tcPr>
          <w:p w14:paraId="16C0B45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产品/客户利润与边际贡献</w:t>
            </w:r>
          </w:p>
        </w:tc>
        <w:tc>
          <w:tcPr>
            <w:tcW w:w="873" w:type="dxa"/>
            <w:shd w:val="clear" w:color="auto" w:fill="auto"/>
            <w:noWrap w:val="0"/>
            <w:tcMar>
              <w:top w:w="-1" w:type="dxa"/>
              <w:left w:w="-1" w:type="dxa"/>
              <w:bottom w:w="-1" w:type="dxa"/>
              <w:right w:w="-1" w:type="dxa"/>
            </w:tcMar>
            <w:vAlign w:val="center"/>
          </w:tcPr>
          <w:p w14:paraId="2C8502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SAP、CRM、TMS</w:t>
            </w:r>
          </w:p>
        </w:tc>
      </w:tr>
      <w:tr w14:paraId="56177A65">
        <w:trPr>
          <w:trHeight w:val="0" w:hRule="atLeast"/>
          <w:jc w:val="center"/>
        </w:trPr>
        <w:tc>
          <w:tcPr>
            <w:tcW w:w="1372" w:type="dxa"/>
            <w:shd w:val="clear" w:color="auto" w:fill="auto"/>
            <w:noWrap w:val="0"/>
            <w:tcMar>
              <w:top w:w="80" w:type="dxa"/>
              <w:left w:w="80" w:type="dxa"/>
              <w:bottom w:w="80" w:type="dxa"/>
              <w:right w:w="80" w:type="dxa"/>
            </w:tcMar>
            <w:vAlign w:val="center"/>
          </w:tcPr>
          <w:p w14:paraId="306DE87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48F869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订单渠道与区域盈亏分析</w:t>
            </w:r>
          </w:p>
        </w:tc>
        <w:tc>
          <w:tcPr>
            <w:tcW w:w="2115" w:type="dxa"/>
            <w:shd w:val="clear" w:color="auto" w:fill="auto"/>
            <w:noWrap w:val="0"/>
            <w:tcMar>
              <w:top w:w="-1" w:type="dxa"/>
              <w:left w:w="-1" w:type="dxa"/>
              <w:bottom w:w="-1" w:type="dxa"/>
              <w:right w:w="-1" w:type="dxa"/>
            </w:tcMar>
            <w:vAlign w:val="center"/>
          </w:tcPr>
          <w:p w14:paraId="258109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F-ZLTC-SCOS-CBFT-007</w:t>
            </w:r>
          </w:p>
        </w:tc>
        <w:tc>
          <w:tcPr>
            <w:tcW w:w="3054" w:type="dxa"/>
            <w:shd w:val="clear" w:color="auto" w:fill="auto"/>
            <w:noWrap w:val="0"/>
            <w:tcMar>
              <w:top w:w="-1" w:type="dxa"/>
              <w:left w:w="-1" w:type="dxa"/>
              <w:bottom w:w="-1" w:type="dxa"/>
              <w:right w:w="-1" w:type="dxa"/>
            </w:tcMar>
            <w:vAlign w:val="center"/>
          </w:tcPr>
          <w:p w14:paraId="11EC624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将生产、仓储、物流、折扣和服务成本归集到销售订单，并按渠道、区域、项目和业务单元分析盈利能力，支持从汇总结果下钻至批次、费用事实和业务单据。</w:t>
            </w:r>
          </w:p>
        </w:tc>
        <w:tc>
          <w:tcPr>
            <w:tcW w:w="1098" w:type="dxa"/>
            <w:shd w:val="clear" w:color="auto" w:fill="auto"/>
            <w:noWrap w:val="0"/>
            <w:tcMar>
              <w:top w:w="-1" w:type="dxa"/>
              <w:left w:w="-1" w:type="dxa"/>
              <w:bottom w:w="-1" w:type="dxa"/>
              <w:right w:w="-1" w:type="dxa"/>
            </w:tcMar>
            <w:vAlign w:val="center"/>
          </w:tcPr>
          <w:p w14:paraId="5B07E82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订单、渠道、区域、生产仓储物流及折扣成本</w:t>
            </w:r>
          </w:p>
        </w:tc>
        <w:tc>
          <w:tcPr>
            <w:tcW w:w="907" w:type="dxa"/>
            <w:shd w:val="clear" w:color="auto" w:fill="auto"/>
            <w:noWrap w:val="0"/>
            <w:tcMar>
              <w:top w:w="-1" w:type="dxa"/>
              <w:left w:w="-1" w:type="dxa"/>
              <w:bottom w:w="-1" w:type="dxa"/>
              <w:right w:w="-1" w:type="dxa"/>
            </w:tcMar>
            <w:vAlign w:val="center"/>
          </w:tcPr>
          <w:p w14:paraId="27FDE15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订单/渠道/区域盈亏及下钻明细</w:t>
            </w:r>
          </w:p>
        </w:tc>
        <w:tc>
          <w:tcPr>
            <w:tcW w:w="873" w:type="dxa"/>
            <w:shd w:val="clear" w:color="auto" w:fill="auto"/>
            <w:noWrap w:val="0"/>
            <w:tcMar>
              <w:top w:w="-1" w:type="dxa"/>
              <w:left w:w="-1" w:type="dxa"/>
              <w:bottom w:w="-1" w:type="dxa"/>
              <w:right w:w="-1" w:type="dxa"/>
            </w:tcMar>
            <w:vAlign w:val="center"/>
          </w:tcPr>
          <w:p w14:paraId="08FE1D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SAP、CRM、MES、WMS、TMS</w:t>
            </w:r>
          </w:p>
        </w:tc>
      </w:tr>
      <w:tr w14:paraId="354BD13D">
        <w:trPr>
          <w:trHeight w:val="0" w:hRule="atLeast"/>
          <w:jc w:val="center"/>
        </w:trPr>
        <w:tc>
          <w:tcPr>
            <w:tcW w:w="1372" w:type="dxa"/>
            <w:shd w:val="clear" w:color="auto" w:fill="auto"/>
            <w:noWrap w:val="0"/>
            <w:tcMar>
              <w:top w:w="80" w:type="dxa"/>
              <w:left w:w="80" w:type="dxa"/>
              <w:bottom w:w="80" w:type="dxa"/>
              <w:right w:w="80" w:type="dxa"/>
            </w:tcMar>
            <w:vAlign w:val="center"/>
          </w:tcPr>
          <w:p w14:paraId="1FCD94B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7AC18A2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标准与实际成本差异分析</w:t>
            </w:r>
          </w:p>
        </w:tc>
        <w:tc>
          <w:tcPr>
            <w:tcW w:w="2115" w:type="dxa"/>
            <w:shd w:val="clear" w:color="auto" w:fill="auto"/>
            <w:noWrap w:val="0"/>
            <w:tcMar>
              <w:top w:w="-1" w:type="dxa"/>
              <w:left w:w="-1" w:type="dxa"/>
              <w:bottom w:w="-1" w:type="dxa"/>
              <w:right w:w="-1" w:type="dxa"/>
            </w:tcMar>
            <w:vAlign w:val="center"/>
          </w:tcPr>
          <w:p w14:paraId="54293B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F-ZLTC-SCOS-CBFT-008</w:t>
            </w:r>
          </w:p>
        </w:tc>
        <w:tc>
          <w:tcPr>
            <w:tcW w:w="3054" w:type="dxa"/>
            <w:shd w:val="clear" w:color="auto" w:fill="auto"/>
            <w:noWrap w:val="0"/>
            <w:tcMar>
              <w:top w:w="-1" w:type="dxa"/>
              <w:left w:w="-1" w:type="dxa"/>
              <w:bottom w:w="-1" w:type="dxa"/>
              <w:right w:w="-1" w:type="dxa"/>
            </w:tcMar>
            <w:vAlign w:val="center"/>
          </w:tcPr>
          <w:p w14:paraId="685DDAB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比较实际成本、标准成本和目标成本，分解价格、用量、收率、能耗、效率、费用分摊和交付差异，标识异常幅度、影响对象和责任环节，并保留口径与结果版本。</w:t>
            </w:r>
          </w:p>
        </w:tc>
        <w:tc>
          <w:tcPr>
            <w:tcW w:w="1098" w:type="dxa"/>
            <w:shd w:val="clear" w:color="auto" w:fill="auto"/>
            <w:noWrap w:val="0"/>
            <w:tcMar>
              <w:top w:w="-1" w:type="dxa"/>
              <w:left w:w="-1" w:type="dxa"/>
              <w:bottom w:w="-1" w:type="dxa"/>
              <w:right w:w="-1" w:type="dxa"/>
            </w:tcMar>
            <w:vAlign w:val="center"/>
          </w:tcPr>
          <w:p w14:paraId="47012E6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实际成本、标准成本、目标成本及业务动因</w:t>
            </w:r>
          </w:p>
        </w:tc>
        <w:tc>
          <w:tcPr>
            <w:tcW w:w="907" w:type="dxa"/>
            <w:shd w:val="clear" w:color="auto" w:fill="auto"/>
            <w:noWrap w:val="0"/>
            <w:tcMar>
              <w:top w:w="-1" w:type="dxa"/>
              <w:left w:w="-1" w:type="dxa"/>
              <w:bottom w:w="-1" w:type="dxa"/>
              <w:right w:w="-1" w:type="dxa"/>
            </w:tcMar>
            <w:vAlign w:val="center"/>
          </w:tcPr>
          <w:p w14:paraId="6CD993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价格、用量、效率及分摊差异</w:t>
            </w:r>
          </w:p>
        </w:tc>
        <w:tc>
          <w:tcPr>
            <w:tcW w:w="873" w:type="dxa"/>
            <w:shd w:val="clear" w:color="auto" w:fill="auto"/>
            <w:noWrap w:val="0"/>
            <w:tcMar>
              <w:top w:w="-1" w:type="dxa"/>
              <w:left w:w="-1" w:type="dxa"/>
              <w:bottom w:w="-1" w:type="dxa"/>
              <w:right w:w="-1" w:type="dxa"/>
            </w:tcMar>
            <w:vAlign w:val="center"/>
          </w:tcPr>
          <w:p w14:paraId="3732CD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SAP、MES、EMS</w:t>
            </w:r>
          </w:p>
        </w:tc>
      </w:tr>
      <w:tr w14:paraId="3944CB02">
        <w:trPr>
          <w:trHeight w:val="0" w:hRule="atLeast"/>
          <w:jc w:val="center"/>
        </w:trPr>
        <w:tc>
          <w:tcPr>
            <w:tcW w:w="1372" w:type="dxa"/>
            <w:shd w:val="clear" w:color="auto" w:fill="auto"/>
            <w:noWrap w:val="0"/>
            <w:tcMar>
              <w:top w:w="80" w:type="dxa"/>
              <w:left w:w="80" w:type="dxa"/>
              <w:bottom w:w="80" w:type="dxa"/>
              <w:right w:w="80" w:type="dxa"/>
            </w:tcMar>
            <w:vAlign w:val="center"/>
          </w:tcPr>
          <w:p w14:paraId="18F60F6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2B431F3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成本差异业务追溯</w:t>
            </w:r>
          </w:p>
        </w:tc>
        <w:tc>
          <w:tcPr>
            <w:tcW w:w="2115" w:type="dxa"/>
            <w:shd w:val="clear" w:color="auto" w:fill="auto"/>
            <w:noWrap w:val="0"/>
            <w:tcMar>
              <w:top w:w="-1" w:type="dxa"/>
              <w:left w:w="-1" w:type="dxa"/>
              <w:bottom w:w="-1" w:type="dxa"/>
              <w:right w:w="-1" w:type="dxa"/>
            </w:tcMar>
            <w:vAlign w:val="center"/>
          </w:tcPr>
          <w:p w14:paraId="315C16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F-ZLTC-SCOS-CBFT-009</w:t>
            </w:r>
          </w:p>
        </w:tc>
        <w:tc>
          <w:tcPr>
            <w:tcW w:w="3054" w:type="dxa"/>
            <w:shd w:val="clear" w:color="auto" w:fill="auto"/>
            <w:noWrap w:val="0"/>
            <w:tcMar>
              <w:top w:w="-1" w:type="dxa"/>
              <w:left w:w="-1" w:type="dxa"/>
              <w:bottom w:w="-1" w:type="dxa"/>
              <w:right w:w="-1" w:type="dxa"/>
            </w:tcMar>
            <w:vAlign w:val="center"/>
          </w:tcPr>
          <w:p w14:paraId="7CACE9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从成本差异下钻至采购价格、原料批次、实际投料、生产损耗、能耗、仓储作业、运输和质量记录，沿批次谱系和订单关系解释差异来源，避免仅给出不可复核的汇总结论。</w:t>
            </w:r>
          </w:p>
        </w:tc>
        <w:tc>
          <w:tcPr>
            <w:tcW w:w="1098" w:type="dxa"/>
            <w:shd w:val="clear" w:color="auto" w:fill="auto"/>
            <w:noWrap w:val="0"/>
            <w:tcMar>
              <w:top w:w="-1" w:type="dxa"/>
              <w:left w:w="-1" w:type="dxa"/>
              <w:bottom w:w="-1" w:type="dxa"/>
              <w:right w:w="-1" w:type="dxa"/>
            </w:tcMar>
            <w:vAlign w:val="center"/>
          </w:tcPr>
          <w:p w14:paraId="2788442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成本差异、采购、投料、损耗、能耗、仓储运输与质量记录</w:t>
            </w:r>
          </w:p>
        </w:tc>
        <w:tc>
          <w:tcPr>
            <w:tcW w:w="907" w:type="dxa"/>
            <w:shd w:val="clear" w:color="auto" w:fill="auto"/>
            <w:noWrap w:val="0"/>
            <w:tcMar>
              <w:top w:w="-1" w:type="dxa"/>
              <w:left w:w="-1" w:type="dxa"/>
              <w:bottom w:w="-1" w:type="dxa"/>
              <w:right w:w="-1" w:type="dxa"/>
            </w:tcMar>
            <w:vAlign w:val="center"/>
          </w:tcPr>
          <w:p w14:paraId="6FC29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差异来源链路、责任环节与证据</w:t>
            </w:r>
          </w:p>
        </w:tc>
        <w:tc>
          <w:tcPr>
            <w:tcW w:w="873" w:type="dxa"/>
            <w:shd w:val="clear" w:color="auto" w:fill="auto"/>
            <w:noWrap w:val="0"/>
            <w:tcMar>
              <w:top w:w="-1" w:type="dxa"/>
              <w:left w:w="-1" w:type="dxa"/>
              <w:bottom w:w="-1" w:type="dxa"/>
              <w:right w:w="-1" w:type="dxa"/>
            </w:tcMar>
            <w:vAlign w:val="center"/>
          </w:tcPr>
          <w:p w14:paraId="65346C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SAP、MES、WMS、TMS、QMS/LIMS</w:t>
            </w:r>
          </w:p>
        </w:tc>
      </w:tr>
      <w:tr w14:paraId="17166CB5">
        <w:trPr>
          <w:trHeight w:val="0" w:hRule="atLeast"/>
          <w:jc w:val="center"/>
        </w:trPr>
        <w:tc>
          <w:tcPr>
            <w:tcW w:w="1372" w:type="dxa"/>
            <w:shd w:val="clear" w:color="auto" w:fill="auto"/>
            <w:noWrap w:val="0"/>
            <w:tcMar>
              <w:top w:w="80" w:type="dxa"/>
              <w:left w:w="80" w:type="dxa"/>
              <w:bottom w:w="80" w:type="dxa"/>
              <w:right w:w="80" w:type="dxa"/>
            </w:tcMar>
            <w:vAlign w:val="center"/>
          </w:tcPr>
          <w:p w14:paraId="2968D3C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1A5EBA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预算与实际执行分析</w:t>
            </w:r>
          </w:p>
        </w:tc>
        <w:tc>
          <w:tcPr>
            <w:tcW w:w="2115" w:type="dxa"/>
            <w:shd w:val="clear" w:color="auto" w:fill="auto"/>
            <w:noWrap w:val="0"/>
            <w:tcMar>
              <w:top w:w="-1" w:type="dxa"/>
              <w:left w:w="-1" w:type="dxa"/>
              <w:bottom w:w="-1" w:type="dxa"/>
              <w:right w:w="-1" w:type="dxa"/>
            </w:tcMar>
            <w:vAlign w:val="center"/>
          </w:tcPr>
          <w:p w14:paraId="3EDF75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F-ZLTC-SCOS-CBFT-010</w:t>
            </w:r>
          </w:p>
        </w:tc>
        <w:tc>
          <w:tcPr>
            <w:tcW w:w="3054" w:type="dxa"/>
            <w:shd w:val="clear" w:color="auto" w:fill="auto"/>
            <w:noWrap w:val="0"/>
            <w:tcMar>
              <w:top w:w="-1" w:type="dxa"/>
              <w:left w:w="-1" w:type="dxa"/>
              <w:bottom w:w="-1" w:type="dxa"/>
              <w:right w:w="-1" w:type="dxa"/>
            </w:tcMar>
            <w:vAlign w:val="center"/>
          </w:tcPr>
          <w:p w14:paraId="2B18F8F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按部门、项目、产品和期间比较预算、标准与实际成本，监控预算执行率和趋势，对超预算或异常变化形成预警，并支持关联业务事实和后续处置。</w:t>
            </w:r>
          </w:p>
        </w:tc>
        <w:tc>
          <w:tcPr>
            <w:tcW w:w="1098" w:type="dxa"/>
            <w:shd w:val="clear" w:color="auto" w:fill="auto"/>
            <w:noWrap w:val="0"/>
            <w:tcMar>
              <w:top w:w="-1" w:type="dxa"/>
              <w:left w:w="-1" w:type="dxa"/>
              <w:bottom w:w="-1" w:type="dxa"/>
              <w:right w:w="-1" w:type="dxa"/>
            </w:tcMar>
            <w:vAlign w:val="center"/>
          </w:tcPr>
          <w:p w14:paraId="7ED2575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预算、标准及部门项目产品实际成本</w:t>
            </w:r>
          </w:p>
        </w:tc>
        <w:tc>
          <w:tcPr>
            <w:tcW w:w="907" w:type="dxa"/>
            <w:shd w:val="clear" w:color="auto" w:fill="auto"/>
            <w:noWrap w:val="0"/>
            <w:tcMar>
              <w:top w:w="-1" w:type="dxa"/>
              <w:left w:w="-1" w:type="dxa"/>
              <w:bottom w:w="-1" w:type="dxa"/>
              <w:right w:w="-1" w:type="dxa"/>
            </w:tcMar>
            <w:vAlign w:val="center"/>
          </w:tcPr>
          <w:p w14:paraId="3B314D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预算执行率、趋势与超预算预警</w:t>
            </w:r>
          </w:p>
        </w:tc>
        <w:tc>
          <w:tcPr>
            <w:tcW w:w="873" w:type="dxa"/>
            <w:shd w:val="clear" w:color="auto" w:fill="auto"/>
            <w:noWrap w:val="0"/>
            <w:tcMar>
              <w:top w:w="-1" w:type="dxa"/>
              <w:left w:w="-1" w:type="dxa"/>
              <w:bottom w:w="-1" w:type="dxa"/>
              <w:right w:w="-1" w:type="dxa"/>
            </w:tcMar>
            <w:vAlign w:val="center"/>
          </w:tcPr>
          <w:p w14:paraId="398258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SAP、OA/预算系统</w:t>
            </w:r>
          </w:p>
        </w:tc>
      </w:tr>
      <w:tr w14:paraId="0BF5A14E">
        <w:trPr>
          <w:trHeight w:val="0" w:hRule="atLeast"/>
          <w:jc w:val="center"/>
        </w:trPr>
        <w:tc>
          <w:tcPr>
            <w:tcW w:w="1372" w:type="dxa"/>
            <w:shd w:val="clear" w:color="auto" w:fill="auto"/>
            <w:noWrap w:val="0"/>
            <w:tcMar>
              <w:top w:w="80" w:type="dxa"/>
              <w:left w:w="80" w:type="dxa"/>
              <w:bottom w:w="80" w:type="dxa"/>
              <w:right w:w="80" w:type="dxa"/>
            </w:tcMar>
            <w:vAlign w:val="center"/>
          </w:tcPr>
          <w:p w14:paraId="03B2301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0F2239C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供应链总成本报告</w:t>
            </w:r>
          </w:p>
        </w:tc>
        <w:tc>
          <w:tcPr>
            <w:tcW w:w="2115" w:type="dxa"/>
            <w:shd w:val="clear" w:color="auto" w:fill="auto"/>
            <w:noWrap w:val="0"/>
            <w:tcMar>
              <w:top w:w="-1" w:type="dxa"/>
              <w:left w:w="-1" w:type="dxa"/>
              <w:bottom w:w="-1" w:type="dxa"/>
              <w:right w:w="-1" w:type="dxa"/>
            </w:tcMar>
            <w:vAlign w:val="center"/>
          </w:tcPr>
          <w:p w14:paraId="64C73D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F-ZLTC-SCOS-CBFT-011</w:t>
            </w:r>
          </w:p>
        </w:tc>
        <w:tc>
          <w:tcPr>
            <w:tcW w:w="3054" w:type="dxa"/>
            <w:shd w:val="clear" w:color="auto" w:fill="auto"/>
            <w:noWrap w:val="0"/>
            <w:tcMar>
              <w:top w:w="-1" w:type="dxa"/>
              <w:left w:w="-1" w:type="dxa"/>
              <w:bottom w:w="-1" w:type="dxa"/>
              <w:right w:w="-1" w:type="dxa"/>
            </w:tcMar>
            <w:vAlign w:val="center"/>
          </w:tcPr>
          <w:p w14:paraId="222EAB0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定期生成从采购、生产、库存、仓储、运输到交付的端到端供应链总成本报告，展示成本构成、趋势、主要动因及模块贡献，并支持日、周、月及多维分析。</w:t>
            </w:r>
          </w:p>
        </w:tc>
        <w:tc>
          <w:tcPr>
            <w:tcW w:w="1098" w:type="dxa"/>
            <w:shd w:val="clear" w:color="auto" w:fill="auto"/>
            <w:noWrap w:val="0"/>
            <w:tcMar>
              <w:top w:w="-1" w:type="dxa"/>
              <w:left w:w="-1" w:type="dxa"/>
              <w:bottom w:w="-1" w:type="dxa"/>
              <w:right w:w="-1" w:type="dxa"/>
            </w:tcMar>
            <w:vAlign w:val="center"/>
          </w:tcPr>
          <w:p w14:paraId="67D16C5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采购、生产、库存、仓储、运输及交付成本</w:t>
            </w:r>
          </w:p>
        </w:tc>
        <w:tc>
          <w:tcPr>
            <w:tcW w:w="907" w:type="dxa"/>
            <w:shd w:val="clear" w:color="auto" w:fill="auto"/>
            <w:noWrap w:val="0"/>
            <w:tcMar>
              <w:top w:w="-1" w:type="dxa"/>
              <w:left w:w="-1" w:type="dxa"/>
              <w:bottom w:w="-1" w:type="dxa"/>
              <w:right w:w="-1" w:type="dxa"/>
            </w:tcMar>
            <w:vAlign w:val="center"/>
          </w:tcPr>
          <w:p w14:paraId="2D66DC9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端到端供应链总成本报告</w:t>
            </w:r>
          </w:p>
        </w:tc>
        <w:tc>
          <w:tcPr>
            <w:tcW w:w="873" w:type="dxa"/>
            <w:shd w:val="clear" w:color="auto" w:fill="auto"/>
            <w:noWrap w:val="0"/>
            <w:tcMar>
              <w:top w:w="-1" w:type="dxa"/>
              <w:left w:w="-1" w:type="dxa"/>
              <w:bottom w:w="-1" w:type="dxa"/>
              <w:right w:w="-1" w:type="dxa"/>
            </w:tcMar>
            <w:vAlign w:val="center"/>
          </w:tcPr>
          <w:p w14:paraId="6D31E7F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w:t>
            </w:r>
          </w:p>
        </w:tc>
      </w:tr>
      <w:tr w14:paraId="5211BE1C">
        <w:trPr>
          <w:trHeight w:val="0" w:hRule="atLeast"/>
          <w:jc w:val="center"/>
        </w:trPr>
        <w:tc>
          <w:tcPr>
            <w:tcW w:w="1372" w:type="dxa"/>
            <w:shd w:val="clear" w:color="auto" w:fill="auto"/>
            <w:noWrap w:val="0"/>
            <w:tcMar>
              <w:top w:w="80" w:type="dxa"/>
              <w:left w:w="80" w:type="dxa"/>
              <w:bottom w:w="80" w:type="dxa"/>
              <w:right w:w="80" w:type="dxa"/>
            </w:tcMar>
            <w:vAlign w:val="center"/>
          </w:tcPr>
          <w:p w14:paraId="09E58FB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618CC8C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现金循环周期分析</w:t>
            </w:r>
          </w:p>
        </w:tc>
        <w:tc>
          <w:tcPr>
            <w:tcW w:w="2115" w:type="dxa"/>
            <w:shd w:val="clear" w:color="auto" w:fill="auto"/>
            <w:noWrap w:val="0"/>
            <w:tcMar>
              <w:top w:w="-1" w:type="dxa"/>
              <w:left w:w="-1" w:type="dxa"/>
              <w:bottom w:w="-1" w:type="dxa"/>
              <w:right w:w="-1" w:type="dxa"/>
            </w:tcMar>
            <w:vAlign w:val="center"/>
          </w:tcPr>
          <w:p w14:paraId="21F1BC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F-ZLTC-SCOS-CBFT-012</w:t>
            </w:r>
          </w:p>
        </w:tc>
        <w:tc>
          <w:tcPr>
            <w:tcW w:w="3054" w:type="dxa"/>
            <w:shd w:val="clear" w:color="auto" w:fill="auto"/>
            <w:noWrap w:val="0"/>
            <w:tcMar>
              <w:top w:w="-1" w:type="dxa"/>
              <w:left w:w="-1" w:type="dxa"/>
              <w:bottom w:w="-1" w:type="dxa"/>
              <w:right w:w="-1" w:type="dxa"/>
            </w:tcMar>
            <w:vAlign w:val="center"/>
          </w:tcPr>
          <w:p w14:paraId="2259F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结合库存资金、应收和应付数据计算现金循环周期及其组成，支持下钻存货、客户、供应商和订单明细，分析库存、账期和交付策略对资金效率的影响。</w:t>
            </w:r>
          </w:p>
        </w:tc>
        <w:tc>
          <w:tcPr>
            <w:tcW w:w="1098" w:type="dxa"/>
            <w:shd w:val="clear" w:color="auto" w:fill="auto"/>
            <w:noWrap w:val="0"/>
            <w:tcMar>
              <w:top w:w="-1" w:type="dxa"/>
              <w:left w:w="-1" w:type="dxa"/>
              <w:bottom w:w="-1" w:type="dxa"/>
              <w:right w:w="-1" w:type="dxa"/>
            </w:tcMar>
            <w:vAlign w:val="center"/>
          </w:tcPr>
          <w:p w14:paraId="7BE0000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库存资金、应收、应付、客户与供应商账期</w:t>
            </w:r>
          </w:p>
        </w:tc>
        <w:tc>
          <w:tcPr>
            <w:tcW w:w="907" w:type="dxa"/>
            <w:shd w:val="clear" w:color="auto" w:fill="auto"/>
            <w:noWrap w:val="0"/>
            <w:tcMar>
              <w:top w:w="-1" w:type="dxa"/>
              <w:left w:w="-1" w:type="dxa"/>
              <w:bottom w:w="-1" w:type="dxa"/>
              <w:right w:w="-1" w:type="dxa"/>
            </w:tcMar>
            <w:vAlign w:val="center"/>
          </w:tcPr>
          <w:p w14:paraId="43AF6D8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现金循环周期及组成分析</w:t>
            </w:r>
          </w:p>
        </w:tc>
        <w:tc>
          <w:tcPr>
            <w:tcW w:w="873" w:type="dxa"/>
            <w:shd w:val="clear" w:color="auto" w:fill="auto"/>
            <w:noWrap w:val="0"/>
            <w:tcMar>
              <w:top w:w="-1" w:type="dxa"/>
              <w:left w:w="-1" w:type="dxa"/>
              <w:bottom w:w="-1" w:type="dxa"/>
              <w:right w:w="-1" w:type="dxa"/>
            </w:tcMar>
            <w:vAlign w:val="center"/>
          </w:tcPr>
          <w:p w14:paraId="6443B0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SAP、CRM、供应链驾驶舱</w:t>
            </w:r>
          </w:p>
        </w:tc>
      </w:tr>
      <w:tr w14:paraId="788D29FA">
        <w:trPr>
          <w:trHeight w:val="0" w:hRule="atLeast"/>
          <w:jc w:val="center"/>
        </w:trPr>
        <w:tc>
          <w:tcPr>
            <w:tcW w:w="1372" w:type="dxa"/>
            <w:shd w:val="clear" w:color="auto" w:fill="auto"/>
            <w:noWrap w:val="0"/>
            <w:tcMar>
              <w:top w:w="80" w:type="dxa"/>
              <w:left w:w="80" w:type="dxa"/>
              <w:bottom w:w="80" w:type="dxa"/>
              <w:right w:w="80" w:type="dxa"/>
            </w:tcMar>
            <w:vAlign w:val="center"/>
          </w:tcPr>
          <w:p w14:paraId="10BD8AF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7EB694A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投资回报情景分析</w:t>
            </w:r>
          </w:p>
        </w:tc>
        <w:tc>
          <w:tcPr>
            <w:tcW w:w="2115" w:type="dxa"/>
            <w:shd w:val="clear" w:color="auto" w:fill="auto"/>
            <w:noWrap w:val="0"/>
            <w:tcMar>
              <w:top w:w="-1" w:type="dxa"/>
              <w:left w:w="-1" w:type="dxa"/>
              <w:bottom w:w="-1" w:type="dxa"/>
              <w:right w:w="-1" w:type="dxa"/>
            </w:tcMar>
            <w:vAlign w:val="center"/>
          </w:tcPr>
          <w:p w14:paraId="3E7961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F-ZLTC-SCOS-CBFT-013</w:t>
            </w:r>
          </w:p>
        </w:tc>
        <w:tc>
          <w:tcPr>
            <w:tcW w:w="3054" w:type="dxa"/>
            <w:shd w:val="clear" w:color="auto" w:fill="auto"/>
            <w:noWrap w:val="0"/>
            <w:tcMar>
              <w:top w:w="-1" w:type="dxa"/>
              <w:left w:w="-1" w:type="dxa"/>
              <w:bottom w:w="-1" w:type="dxa"/>
              <w:right w:w="-1" w:type="dxa"/>
            </w:tcMar>
            <w:vAlign w:val="center"/>
          </w:tcPr>
          <w:p w14:paraId="7601C48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面向仓库、设备、产能和供应链优化项目，基于投资额、成本节约、产能收益、库存变化和风险参数开展情景测算，输出回收期、收益变化和关键假设，为管理决策提供参考。</w:t>
            </w:r>
          </w:p>
        </w:tc>
        <w:tc>
          <w:tcPr>
            <w:tcW w:w="1098" w:type="dxa"/>
            <w:shd w:val="clear" w:color="auto" w:fill="auto"/>
            <w:noWrap w:val="0"/>
            <w:tcMar>
              <w:top w:w="-1" w:type="dxa"/>
              <w:left w:w="-1" w:type="dxa"/>
              <w:bottom w:w="-1" w:type="dxa"/>
              <w:right w:w="-1" w:type="dxa"/>
            </w:tcMar>
            <w:vAlign w:val="center"/>
          </w:tcPr>
          <w:p w14:paraId="7809102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投资额、节约收益、产能、库存及风险参数</w:t>
            </w:r>
          </w:p>
        </w:tc>
        <w:tc>
          <w:tcPr>
            <w:tcW w:w="907" w:type="dxa"/>
            <w:shd w:val="clear" w:color="auto" w:fill="auto"/>
            <w:noWrap w:val="0"/>
            <w:tcMar>
              <w:top w:w="-1" w:type="dxa"/>
              <w:left w:w="-1" w:type="dxa"/>
              <w:bottom w:w="-1" w:type="dxa"/>
              <w:right w:w="-1" w:type="dxa"/>
            </w:tcMar>
            <w:vAlign w:val="center"/>
          </w:tcPr>
          <w:p w14:paraId="2C2F08F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回收期、收益变化及关键假设</w:t>
            </w:r>
          </w:p>
        </w:tc>
        <w:tc>
          <w:tcPr>
            <w:tcW w:w="873" w:type="dxa"/>
            <w:shd w:val="clear" w:color="auto" w:fill="auto"/>
            <w:noWrap w:val="0"/>
            <w:tcMar>
              <w:top w:w="-1" w:type="dxa"/>
              <w:left w:w="-1" w:type="dxa"/>
              <w:bottom w:w="-1" w:type="dxa"/>
              <w:right w:w="-1" w:type="dxa"/>
            </w:tcMar>
            <w:vAlign w:val="center"/>
          </w:tcPr>
          <w:p w14:paraId="5B657E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SAP、AI优化平台</w:t>
            </w:r>
          </w:p>
        </w:tc>
      </w:tr>
      <w:tr w14:paraId="3A79DAB7">
        <w:trPr>
          <w:trHeight w:val="0" w:hRule="atLeast"/>
          <w:jc w:val="center"/>
        </w:trPr>
        <w:tc>
          <w:tcPr>
            <w:tcW w:w="1372" w:type="dxa"/>
            <w:shd w:val="clear" w:color="auto" w:fill="auto"/>
            <w:noWrap w:val="0"/>
            <w:tcMar>
              <w:top w:w="80" w:type="dxa"/>
              <w:left w:w="80" w:type="dxa"/>
              <w:bottom w:w="80" w:type="dxa"/>
              <w:right w:w="80" w:type="dxa"/>
            </w:tcMar>
            <w:vAlign w:val="center"/>
          </w:tcPr>
          <w:p w14:paraId="084C2DE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22F3E92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SAP权威数据同步与对账</w:t>
            </w:r>
          </w:p>
        </w:tc>
        <w:tc>
          <w:tcPr>
            <w:tcW w:w="2115" w:type="dxa"/>
            <w:shd w:val="clear" w:color="auto" w:fill="auto"/>
            <w:noWrap w:val="0"/>
            <w:tcMar>
              <w:top w:w="-1" w:type="dxa"/>
              <w:left w:w="-1" w:type="dxa"/>
              <w:bottom w:w="-1" w:type="dxa"/>
              <w:right w:w="-1" w:type="dxa"/>
            </w:tcMar>
            <w:vAlign w:val="center"/>
          </w:tcPr>
          <w:p w14:paraId="12FB4C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F-ZLTC-SCOS-CBFT-014</w:t>
            </w:r>
          </w:p>
        </w:tc>
        <w:tc>
          <w:tcPr>
            <w:tcW w:w="3054" w:type="dxa"/>
            <w:shd w:val="clear" w:color="auto" w:fill="auto"/>
            <w:noWrap w:val="0"/>
            <w:tcMar>
              <w:top w:w="-1" w:type="dxa"/>
              <w:left w:w="-1" w:type="dxa"/>
              <w:bottom w:w="-1" w:type="dxa"/>
              <w:right w:w="-1" w:type="dxa"/>
            </w:tcMar>
            <w:vAlign w:val="center"/>
          </w:tcPr>
          <w:p w14:paraId="3EE9DAD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明确物料价格、财务期间、费用池和分摊规则等财务数据以SAP为权威来源，配置同步频率、字段映射、差异对账和异常处理；SCOS提供管理成本分析，不替代SAP正式财务核算和凭证。</w:t>
            </w:r>
          </w:p>
        </w:tc>
        <w:tc>
          <w:tcPr>
            <w:tcW w:w="1098" w:type="dxa"/>
            <w:shd w:val="clear" w:color="auto" w:fill="auto"/>
            <w:noWrap w:val="0"/>
            <w:tcMar>
              <w:top w:w="-1" w:type="dxa"/>
              <w:left w:w="-1" w:type="dxa"/>
              <w:bottom w:w="-1" w:type="dxa"/>
              <w:right w:w="-1" w:type="dxa"/>
            </w:tcMar>
            <w:vAlign w:val="center"/>
          </w:tcPr>
          <w:p w14:paraId="77AAD40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SAP物料价格、期间、费用池及分摊规则</w:t>
            </w:r>
          </w:p>
        </w:tc>
        <w:tc>
          <w:tcPr>
            <w:tcW w:w="907" w:type="dxa"/>
            <w:shd w:val="clear" w:color="auto" w:fill="auto"/>
            <w:noWrap w:val="0"/>
            <w:tcMar>
              <w:top w:w="-1" w:type="dxa"/>
              <w:left w:w="-1" w:type="dxa"/>
              <w:bottom w:w="-1" w:type="dxa"/>
              <w:right w:w="-1" w:type="dxa"/>
            </w:tcMar>
            <w:vAlign w:val="center"/>
          </w:tcPr>
          <w:p w14:paraId="41EC5A2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同步状态、差异对账及异常记录</w:t>
            </w:r>
          </w:p>
        </w:tc>
        <w:tc>
          <w:tcPr>
            <w:tcW w:w="873" w:type="dxa"/>
            <w:shd w:val="clear" w:color="auto" w:fill="auto"/>
            <w:noWrap w:val="0"/>
            <w:tcMar>
              <w:top w:w="-1" w:type="dxa"/>
              <w:left w:w="-1" w:type="dxa"/>
              <w:bottom w:w="-1" w:type="dxa"/>
              <w:right w:w="-1" w:type="dxa"/>
            </w:tcMar>
            <w:vAlign w:val="center"/>
          </w:tcPr>
          <w:p w14:paraId="7A0B66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w:t>
            </w:r>
          </w:p>
        </w:tc>
      </w:tr>
      <w:tr w14:paraId="6C7BE2A5">
        <w:trPr>
          <w:trHeight w:val="0" w:hRule="atLeast"/>
          <w:jc w:val="center"/>
        </w:trPr>
        <w:tc>
          <w:tcPr>
            <w:tcW w:w="1372" w:type="dxa"/>
            <w:shd w:val="clear" w:color="auto" w:fill="auto"/>
            <w:noWrap w:val="0"/>
            <w:tcMar>
              <w:top w:w="80" w:type="dxa"/>
              <w:left w:w="80" w:type="dxa"/>
              <w:bottom w:w="80" w:type="dxa"/>
              <w:right w:w="80" w:type="dxa"/>
            </w:tcMar>
            <w:vAlign w:val="center"/>
          </w:tcPr>
          <w:p w14:paraId="17B2A54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1472" w:type="dxa"/>
            <w:shd w:val="clear" w:color="auto" w:fill="auto"/>
            <w:noWrap w:val="0"/>
            <w:tcMar>
              <w:top w:w="-1" w:type="dxa"/>
              <w:left w:w="-1" w:type="dxa"/>
              <w:bottom w:w="-1" w:type="dxa"/>
              <w:right w:w="-1" w:type="dxa"/>
            </w:tcMar>
            <w:vAlign w:val="center"/>
          </w:tcPr>
          <w:p w14:paraId="17AB24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成本报表与自助分析</w:t>
            </w:r>
          </w:p>
        </w:tc>
        <w:tc>
          <w:tcPr>
            <w:tcW w:w="2115" w:type="dxa"/>
            <w:shd w:val="clear" w:color="auto" w:fill="auto"/>
            <w:noWrap w:val="0"/>
            <w:tcMar>
              <w:top w:w="-1" w:type="dxa"/>
              <w:left w:w="-1" w:type="dxa"/>
              <w:bottom w:w="-1" w:type="dxa"/>
              <w:right w:w="-1" w:type="dxa"/>
            </w:tcMar>
            <w:vAlign w:val="center"/>
          </w:tcPr>
          <w:p w14:paraId="6F5F85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F-ZLTC-SCOS-CBFT-015</w:t>
            </w:r>
          </w:p>
        </w:tc>
        <w:tc>
          <w:tcPr>
            <w:tcW w:w="3054" w:type="dxa"/>
            <w:shd w:val="clear" w:color="auto" w:fill="auto"/>
            <w:noWrap w:val="0"/>
            <w:tcMar>
              <w:top w:w="-1" w:type="dxa"/>
              <w:left w:w="-1" w:type="dxa"/>
              <w:bottom w:w="-1" w:type="dxa"/>
              <w:right w:w="-1" w:type="dxa"/>
            </w:tcMar>
            <w:vAlign w:val="center"/>
          </w:tcPr>
          <w:p w14:paraId="47139EA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提供成本结构、利润瀑布、趋势、差异和多维盈利等预置报表，支持权限范围内的拖拽分析、筛选、下钻、导出和订阅；成本敏感数据实施行级、列级和字段级权限控制。</w:t>
            </w:r>
          </w:p>
        </w:tc>
        <w:tc>
          <w:tcPr>
            <w:tcW w:w="1098" w:type="dxa"/>
            <w:shd w:val="clear" w:color="auto" w:fill="auto"/>
            <w:noWrap w:val="0"/>
            <w:tcMar>
              <w:top w:w="-1" w:type="dxa"/>
              <w:left w:w="-1" w:type="dxa"/>
              <w:bottom w:w="-1" w:type="dxa"/>
              <w:right w:w="-1" w:type="dxa"/>
            </w:tcMar>
            <w:vAlign w:val="center"/>
          </w:tcPr>
          <w:p w14:paraId="71A7F4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成本事实、利润、差异及权限范围</w:t>
            </w:r>
          </w:p>
        </w:tc>
        <w:tc>
          <w:tcPr>
            <w:tcW w:w="907" w:type="dxa"/>
            <w:shd w:val="clear" w:color="auto" w:fill="auto"/>
            <w:noWrap w:val="0"/>
            <w:tcMar>
              <w:top w:w="-1" w:type="dxa"/>
              <w:left w:w="-1" w:type="dxa"/>
              <w:bottom w:w="-1" w:type="dxa"/>
              <w:right w:w="-1" w:type="dxa"/>
            </w:tcMar>
            <w:vAlign w:val="center"/>
          </w:tcPr>
          <w:p w14:paraId="3C06BAA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成本报表、自助分析、订阅与导出</w:t>
            </w:r>
          </w:p>
        </w:tc>
        <w:tc>
          <w:tcPr>
            <w:tcW w:w="873" w:type="dxa"/>
            <w:shd w:val="clear" w:color="auto" w:fill="auto"/>
            <w:noWrap w:val="0"/>
            <w:tcMar>
              <w:top w:w="-1" w:type="dxa"/>
              <w:left w:w="-1" w:type="dxa"/>
              <w:bottom w:w="-1" w:type="dxa"/>
              <w:right w:w="-1" w:type="dxa"/>
            </w:tcMar>
            <w:vAlign w:val="center"/>
          </w:tcPr>
          <w:p w14:paraId="34BFAC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SAP、供应链驾驶舱、权限中心</w:t>
            </w:r>
          </w:p>
        </w:tc>
      </w:tr>
      <w:tr w14:paraId="277767CA">
        <w:trPr>
          <w:trHeight w:val="0" w:hRule="atLeast"/>
          <w:jc w:val="center"/>
        </w:trPr>
        <w:tc>
          <w:tcPr>
            <w:tcW w:w="1372" w:type="dxa"/>
            <w:shd w:val="clear" w:color="auto" w:fill="auto"/>
            <w:noWrap w:val="0"/>
            <w:tcMar>
              <w:top w:w="80" w:type="dxa"/>
              <w:left w:w="80" w:type="dxa"/>
              <w:bottom w:w="80" w:type="dxa"/>
              <w:right w:w="80" w:type="dxa"/>
            </w:tcMar>
            <w:vAlign w:val="center"/>
          </w:tcPr>
          <w:p w14:paraId="56D0263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2CF18EF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统一批次链模型</w:t>
            </w:r>
          </w:p>
        </w:tc>
        <w:tc>
          <w:tcPr>
            <w:tcW w:w="2115" w:type="dxa"/>
            <w:shd w:val="clear" w:color="auto" w:fill="auto"/>
            <w:noWrap w:val="0"/>
            <w:tcMar>
              <w:top w:w="-1" w:type="dxa"/>
              <w:left w:w="-1" w:type="dxa"/>
              <w:bottom w:w="-1" w:type="dxa"/>
              <w:right w:w="-1" w:type="dxa"/>
            </w:tcMar>
            <w:vAlign w:val="center"/>
          </w:tcPr>
          <w:p w14:paraId="006F1F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F-ZLTC-SCOS-QCLYXT-001</w:t>
            </w:r>
          </w:p>
        </w:tc>
        <w:tc>
          <w:tcPr>
            <w:tcW w:w="3054" w:type="dxa"/>
            <w:shd w:val="clear" w:color="auto" w:fill="auto"/>
            <w:noWrap w:val="0"/>
            <w:tcMar>
              <w:top w:w="-1" w:type="dxa"/>
              <w:left w:w="-1" w:type="dxa"/>
              <w:bottom w:w="-1" w:type="dxa"/>
              <w:right w:w="-1" w:type="dxa"/>
            </w:tcMar>
            <w:vAlign w:val="center"/>
          </w:tcPr>
          <w:p w14:paraId="1624819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建立覆盖供应商批次、原料入库批次、生产批次、产成品批次、发货批次和客户收货批次的全局批次模型，定义产出、消耗、包含、拆分、合并和替代关系，并维护唯一标识与状态。</w:t>
            </w:r>
          </w:p>
        </w:tc>
        <w:tc>
          <w:tcPr>
            <w:tcW w:w="1098" w:type="dxa"/>
            <w:shd w:val="clear" w:color="auto" w:fill="auto"/>
            <w:noWrap w:val="0"/>
            <w:tcMar>
              <w:top w:w="-1" w:type="dxa"/>
              <w:left w:w="-1" w:type="dxa"/>
              <w:bottom w:w="-1" w:type="dxa"/>
              <w:right w:w="-1" w:type="dxa"/>
            </w:tcMar>
            <w:vAlign w:val="center"/>
          </w:tcPr>
          <w:p w14:paraId="0A175EE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供应商、原料、生产、成品、发运及客户批次关系</w:t>
            </w:r>
          </w:p>
        </w:tc>
        <w:tc>
          <w:tcPr>
            <w:tcW w:w="907" w:type="dxa"/>
            <w:shd w:val="clear" w:color="auto" w:fill="auto"/>
            <w:noWrap w:val="0"/>
            <w:tcMar>
              <w:top w:w="-1" w:type="dxa"/>
              <w:left w:w="-1" w:type="dxa"/>
              <w:bottom w:w="-1" w:type="dxa"/>
              <w:right w:w="-1" w:type="dxa"/>
            </w:tcMar>
            <w:vAlign w:val="center"/>
          </w:tcPr>
          <w:p w14:paraId="59DA963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统一批次链模型、节点与关系状态</w:t>
            </w:r>
          </w:p>
        </w:tc>
        <w:tc>
          <w:tcPr>
            <w:tcW w:w="873" w:type="dxa"/>
            <w:shd w:val="clear" w:color="auto" w:fill="auto"/>
            <w:noWrap w:val="0"/>
            <w:tcMar>
              <w:top w:w="-1" w:type="dxa"/>
              <w:left w:w="-1" w:type="dxa"/>
              <w:bottom w:w="-1" w:type="dxa"/>
              <w:right w:w="-1" w:type="dxa"/>
            </w:tcMar>
            <w:vAlign w:val="center"/>
          </w:tcPr>
          <w:p w14:paraId="672667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w:t>
            </w:r>
          </w:p>
        </w:tc>
      </w:tr>
      <w:tr w14:paraId="453A348F">
        <w:trPr>
          <w:trHeight w:val="0" w:hRule="atLeast"/>
          <w:jc w:val="center"/>
        </w:trPr>
        <w:tc>
          <w:tcPr>
            <w:tcW w:w="1372" w:type="dxa"/>
            <w:shd w:val="clear" w:color="auto" w:fill="auto"/>
            <w:noWrap w:val="0"/>
            <w:tcMar>
              <w:top w:w="80" w:type="dxa"/>
              <w:left w:w="80" w:type="dxa"/>
              <w:bottom w:w="80" w:type="dxa"/>
              <w:right w:w="80" w:type="dxa"/>
            </w:tcMar>
            <w:vAlign w:val="center"/>
          </w:tcPr>
          <w:p w14:paraId="42DBC67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199A229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多源批次数据实时聚合</w:t>
            </w:r>
          </w:p>
        </w:tc>
        <w:tc>
          <w:tcPr>
            <w:tcW w:w="2115" w:type="dxa"/>
            <w:shd w:val="clear" w:color="auto" w:fill="auto"/>
            <w:noWrap w:val="0"/>
            <w:tcMar>
              <w:top w:w="-1" w:type="dxa"/>
              <w:left w:w="-1" w:type="dxa"/>
              <w:bottom w:w="-1" w:type="dxa"/>
              <w:right w:w="-1" w:type="dxa"/>
            </w:tcMar>
            <w:vAlign w:val="center"/>
          </w:tcPr>
          <w:p w14:paraId="0164E8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F-ZLTC-SCOS-QCLYXT-002</w:t>
            </w:r>
          </w:p>
        </w:tc>
        <w:tc>
          <w:tcPr>
            <w:tcW w:w="3054" w:type="dxa"/>
            <w:shd w:val="clear" w:color="auto" w:fill="auto"/>
            <w:noWrap w:val="0"/>
            <w:tcMar>
              <w:top w:w="-1" w:type="dxa"/>
              <w:left w:w="-1" w:type="dxa"/>
              <w:bottom w:w="-1" w:type="dxa"/>
              <w:right w:w="-1" w:type="dxa"/>
            </w:tcMar>
            <w:vAlign w:val="center"/>
          </w:tcPr>
          <w:p w14:paraId="4D1FFCA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通过统一数据服务层聚合SAP订单与客户、采购供应商批次、MES生产批次与工艺片段、WMS出入库、TMS在途、QMS/LIMS检验结果等数据，监控缺失、迟到和关系断链。</w:t>
            </w:r>
          </w:p>
        </w:tc>
        <w:tc>
          <w:tcPr>
            <w:tcW w:w="1098" w:type="dxa"/>
            <w:shd w:val="clear" w:color="auto" w:fill="auto"/>
            <w:noWrap w:val="0"/>
            <w:tcMar>
              <w:top w:w="-1" w:type="dxa"/>
              <w:left w:w="-1" w:type="dxa"/>
              <w:bottom w:w="-1" w:type="dxa"/>
              <w:right w:w="-1" w:type="dxa"/>
            </w:tcMar>
            <w:vAlign w:val="center"/>
          </w:tcPr>
          <w:p w14:paraId="7A7B0AF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订单、采购、生产、库存、在途及检验批次数据</w:t>
            </w:r>
          </w:p>
        </w:tc>
        <w:tc>
          <w:tcPr>
            <w:tcW w:w="907" w:type="dxa"/>
            <w:shd w:val="clear" w:color="auto" w:fill="auto"/>
            <w:noWrap w:val="0"/>
            <w:tcMar>
              <w:top w:w="-1" w:type="dxa"/>
              <w:left w:w="-1" w:type="dxa"/>
              <w:bottom w:w="-1" w:type="dxa"/>
              <w:right w:w="-1" w:type="dxa"/>
            </w:tcMar>
            <w:vAlign w:val="center"/>
          </w:tcPr>
          <w:p w14:paraId="37D8D04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聚合批次主题、断链与迟到告警</w:t>
            </w:r>
          </w:p>
        </w:tc>
        <w:tc>
          <w:tcPr>
            <w:tcW w:w="873" w:type="dxa"/>
            <w:shd w:val="clear" w:color="auto" w:fill="auto"/>
            <w:noWrap w:val="0"/>
            <w:tcMar>
              <w:top w:w="-1" w:type="dxa"/>
              <w:left w:w="-1" w:type="dxa"/>
              <w:bottom w:w="-1" w:type="dxa"/>
              <w:right w:w="-1" w:type="dxa"/>
            </w:tcMar>
            <w:vAlign w:val="center"/>
          </w:tcPr>
          <w:p w14:paraId="7F0E0A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SAP、MES、WMS、TMS、QMS/LIMS</w:t>
            </w:r>
          </w:p>
        </w:tc>
      </w:tr>
      <w:tr w14:paraId="5BAE9070">
        <w:trPr>
          <w:trHeight w:val="0" w:hRule="atLeast"/>
          <w:jc w:val="center"/>
        </w:trPr>
        <w:tc>
          <w:tcPr>
            <w:tcW w:w="1372" w:type="dxa"/>
            <w:shd w:val="clear" w:color="auto" w:fill="auto"/>
            <w:noWrap w:val="0"/>
            <w:tcMar>
              <w:top w:w="80" w:type="dxa"/>
              <w:left w:w="80" w:type="dxa"/>
              <w:bottom w:w="80" w:type="dxa"/>
              <w:right w:w="80" w:type="dxa"/>
            </w:tcMar>
            <w:vAlign w:val="center"/>
          </w:tcPr>
          <w:p w14:paraId="6E83AC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2EE67F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反向追溯与问题定位</w:t>
            </w:r>
          </w:p>
        </w:tc>
        <w:tc>
          <w:tcPr>
            <w:tcW w:w="2115" w:type="dxa"/>
            <w:shd w:val="clear" w:color="auto" w:fill="auto"/>
            <w:noWrap w:val="0"/>
            <w:tcMar>
              <w:top w:w="-1" w:type="dxa"/>
              <w:left w:w="-1" w:type="dxa"/>
              <w:bottom w:w="-1" w:type="dxa"/>
              <w:right w:w="-1" w:type="dxa"/>
            </w:tcMar>
            <w:vAlign w:val="center"/>
          </w:tcPr>
          <w:p w14:paraId="2A9A10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F-ZLTC-SCOS-QCLYXT-003</w:t>
            </w:r>
          </w:p>
        </w:tc>
        <w:tc>
          <w:tcPr>
            <w:tcW w:w="3054" w:type="dxa"/>
            <w:shd w:val="clear" w:color="auto" w:fill="auto"/>
            <w:noWrap w:val="0"/>
            <w:tcMar>
              <w:top w:w="-1" w:type="dxa"/>
              <w:left w:w="-1" w:type="dxa"/>
              <w:bottom w:w="-1" w:type="dxa"/>
              <w:right w:w="-1" w:type="dxa"/>
            </w:tcMar>
            <w:vAlign w:val="center"/>
          </w:tcPr>
          <w:p w14:paraId="079C70A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输入客户、订单或产成品批次，生成其生产订单、生产批次、消耗原料批次、供应商、关键工艺、检验结果、销售订单和发运信息的可视化链路，实现问题根因的快速定位。</w:t>
            </w:r>
          </w:p>
        </w:tc>
        <w:tc>
          <w:tcPr>
            <w:tcW w:w="1098" w:type="dxa"/>
            <w:shd w:val="clear" w:color="auto" w:fill="auto"/>
            <w:noWrap w:val="0"/>
            <w:tcMar>
              <w:top w:w="-1" w:type="dxa"/>
              <w:left w:w="-1" w:type="dxa"/>
              <w:bottom w:w="-1" w:type="dxa"/>
              <w:right w:w="-1" w:type="dxa"/>
            </w:tcMar>
            <w:vAlign w:val="center"/>
          </w:tcPr>
          <w:p w14:paraId="3201D31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客户、订单或成品批次、生产与质量数据</w:t>
            </w:r>
          </w:p>
        </w:tc>
        <w:tc>
          <w:tcPr>
            <w:tcW w:w="907" w:type="dxa"/>
            <w:shd w:val="clear" w:color="auto" w:fill="auto"/>
            <w:noWrap w:val="0"/>
            <w:tcMar>
              <w:top w:w="-1" w:type="dxa"/>
              <w:left w:w="-1" w:type="dxa"/>
              <w:bottom w:w="-1" w:type="dxa"/>
              <w:right w:w="-1" w:type="dxa"/>
            </w:tcMar>
            <w:vAlign w:val="center"/>
          </w:tcPr>
          <w:p w14:paraId="75F615D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反向追溯链路、根因定位结果</w:t>
            </w:r>
          </w:p>
        </w:tc>
        <w:tc>
          <w:tcPr>
            <w:tcW w:w="873" w:type="dxa"/>
            <w:shd w:val="clear" w:color="auto" w:fill="auto"/>
            <w:noWrap w:val="0"/>
            <w:tcMar>
              <w:top w:w="-1" w:type="dxa"/>
              <w:left w:w="-1" w:type="dxa"/>
              <w:bottom w:w="-1" w:type="dxa"/>
              <w:right w:w="-1" w:type="dxa"/>
            </w:tcMar>
            <w:vAlign w:val="center"/>
          </w:tcPr>
          <w:p w14:paraId="13DED0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CRM、SAP、MES、WMS、QMS/LIMS</w:t>
            </w:r>
          </w:p>
        </w:tc>
      </w:tr>
      <w:tr w14:paraId="24CC106D">
        <w:trPr>
          <w:trHeight w:val="0" w:hRule="atLeast"/>
          <w:jc w:val="center"/>
        </w:trPr>
        <w:tc>
          <w:tcPr>
            <w:tcW w:w="1372" w:type="dxa"/>
            <w:shd w:val="clear" w:color="auto" w:fill="auto"/>
            <w:noWrap w:val="0"/>
            <w:tcMar>
              <w:top w:w="80" w:type="dxa"/>
              <w:left w:w="80" w:type="dxa"/>
              <w:bottom w:w="80" w:type="dxa"/>
              <w:right w:w="80" w:type="dxa"/>
            </w:tcMar>
            <w:vAlign w:val="center"/>
          </w:tcPr>
          <w:p w14:paraId="7ED908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1F90D44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正向追溯与影响评估</w:t>
            </w:r>
          </w:p>
        </w:tc>
        <w:tc>
          <w:tcPr>
            <w:tcW w:w="2115" w:type="dxa"/>
            <w:shd w:val="clear" w:color="auto" w:fill="auto"/>
            <w:noWrap w:val="0"/>
            <w:tcMar>
              <w:top w:w="-1" w:type="dxa"/>
              <w:left w:w="-1" w:type="dxa"/>
              <w:bottom w:w="-1" w:type="dxa"/>
              <w:right w:w="-1" w:type="dxa"/>
            </w:tcMar>
            <w:vAlign w:val="center"/>
          </w:tcPr>
          <w:p w14:paraId="25BA24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F-ZLTC-SCOS-QCLYXT-004</w:t>
            </w:r>
          </w:p>
        </w:tc>
        <w:tc>
          <w:tcPr>
            <w:tcW w:w="3054" w:type="dxa"/>
            <w:shd w:val="clear" w:color="auto" w:fill="auto"/>
            <w:noWrap w:val="0"/>
            <w:tcMar>
              <w:top w:w="-1" w:type="dxa"/>
              <w:left w:w="-1" w:type="dxa"/>
              <w:bottom w:w="-1" w:type="dxa"/>
              <w:right w:w="-1" w:type="dxa"/>
            </w:tcMar>
            <w:vAlign w:val="center"/>
          </w:tcPr>
          <w:p w14:paraId="5DD659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输入原料或供应商批次，快速识别所有受影响的生产批次、产成品批次、库存位置、在途车辆、已发货订单和客户，支持按时间、地点、状态和处置情况筛选。</w:t>
            </w:r>
          </w:p>
        </w:tc>
        <w:tc>
          <w:tcPr>
            <w:tcW w:w="1098" w:type="dxa"/>
            <w:shd w:val="clear" w:color="auto" w:fill="auto"/>
            <w:noWrap w:val="0"/>
            <w:tcMar>
              <w:top w:w="-1" w:type="dxa"/>
              <w:left w:w="-1" w:type="dxa"/>
              <w:bottom w:w="-1" w:type="dxa"/>
              <w:right w:w="-1" w:type="dxa"/>
            </w:tcMar>
            <w:vAlign w:val="center"/>
          </w:tcPr>
          <w:p w14:paraId="73B4B1A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原料或供应商批次及其生产发运关系</w:t>
            </w:r>
          </w:p>
        </w:tc>
        <w:tc>
          <w:tcPr>
            <w:tcW w:w="907" w:type="dxa"/>
            <w:shd w:val="clear" w:color="auto" w:fill="auto"/>
            <w:noWrap w:val="0"/>
            <w:tcMar>
              <w:top w:w="-1" w:type="dxa"/>
              <w:left w:w="-1" w:type="dxa"/>
              <w:bottom w:w="-1" w:type="dxa"/>
              <w:right w:w="-1" w:type="dxa"/>
            </w:tcMar>
            <w:vAlign w:val="center"/>
          </w:tcPr>
          <w:p w14:paraId="089616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受影响批次、库存、在途、订单与客户清单</w:t>
            </w:r>
          </w:p>
        </w:tc>
        <w:tc>
          <w:tcPr>
            <w:tcW w:w="873" w:type="dxa"/>
            <w:shd w:val="clear" w:color="auto" w:fill="auto"/>
            <w:noWrap w:val="0"/>
            <w:tcMar>
              <w:top w:w="-1" w:type="dxa"/>
              <w:left w:w="-1" w:type="dxa"/>
              <w:bottom w:w="-1" w:type="dxa"/>
              <w:right w:w="-1" w:type="dxa"/>
            </w:tcMar>
            <w:vAlign w:val="center"/>
          </w:tcPr>
          <w:p w14:paraId="7F3CEC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SAP、MES、WMS、TMS、CRM</w:t>
            </w:r>
          </w:p>
        </w:tc>
      </w:tr>
      <w:tr w14:paraId="2380AB32">
        <w:trPr>
          <w:trHeight w:val="0" w:hRule="atLeast"/>
          <w:jc w:val="center"/>
        </w:trPr>
        <w:tc>
          <w:tcPr>
            <w:tcW w:w="1372" w:type="dxa"/>
            <w:shd w:val="clear" w:color="auto" w:fill="auto"/>
            <w:noWrap w:val="0"/>
            <w:tcMar>
              <w:top w:w="80" w:type="dxa"/>
              <w:left w:w="80" w:type="dxa"/>
              <w:bottom w:w="80" w:type="dxa"/>
              <w:right w:w="80" w:type="dxa"/>
            </w:tcMar>
            <w:vAlign w:val="center"/>
          </w:tcPr>
          <w:p w14:paraId="69BDBD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53DEB14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库存影响分析</w:t>
            </w:r>
          </w:p>
        </w:tc>
        <w:tc>
          <w:tcPr>
            <w:tcW w:w="2115" w:type="dxa"/>
            <w:shd w:val="clear" w:color="auto" w:fill="auto"/>
            <w:noWrap w:val="0"/>
            <w:tcMar>
              <w:top w:w="-1" w:type="dxa"/>
              <w:left w:w="-1" w:type="dxa"/>
              <w:bottom w:w="-1" w:type="dxa"/>
              <w:right w:w="-1" w:type="dxa"/>
            </w:tcMar>
            <w:vAlign w:val="center"/>
          </w:tcPr>
          <w:p w14:paraId="23706C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F-ZLTC-SCOS-QCLYXT-005</w:t>
            </w:r>
          </w:p>
        </w:tc>
        <w:tc>
          <w:tcPr>
            <w:tcW w:w="3054" w:type="dxa"/>
            <w:shd w:val="clear" w:color="auto" w:fill="auto"/>
            <w:noWrap w:val="0"/>
            <w:tcMar>
              <w:top w:w="-1" w:type="dxa"/>
              <w:left w:w="-1" w:type="dxa"/>
              <w:bottom w:w="-1" w:type="dxa"/>
              <w:right w:w="-1" w:type="dxa"/>
            </w:tcMar>
            <w:vAlign w:val="center"/>
          </w:tcPr>
          <w:p w14:paraId="1F38924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自动汇总问题批次在本厂仓库、生产现场、在途及客户处的数量和位置，形成冻结、隔离、召回和补货建议，关联库存状态及质量放行信息，避免重复或遗漏处置对象。</w:t>
            </w:r>
          </w:p>
        </w:tc>
        <w:tc>
          <w:tcPr>
            <w:tcW w:w="1098" w:type="dxa"/>
            <w:shd w:val="clear" w:color="auto" w:fill="auto"/>
            <w:noWrap w:val="0"/>
            <w:tcMar>
              <w:top w:w="-1" w:type="dxa"/>
              <w:left w:w="-1" w:type="dxa"/>
              <w:bottom w:w="-1" w:type="dxa"/>
              <w:right w:w="-1" w:type="dxa"/>
            </w:tcMar>
            <w:vAlign w:val="center"/>
          </w:tcPr>
          <w:p w14:paraId="656A2DF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问题批次、库存位置、数量、状态及在途信息</w:t>
            </w:r>
          </w:p>
        </w:tc>
        <w:tc>
          <w:tcPr>
            <w:tcW w:w="907" w:type="dxa"/>
            <w:shd w:val="clear" w:color="auto" w:fill="auto"/>
            <w:noWrap w:val="0"/>
            <w:tcMar>
              <w:top w:w="-1" w:type="dxa"/>
              <w:left w:w="-1" w:type="dxa"/>
              <w:bottom w:w="-1" w:type="dxa"/>
              <w:right w:w="-1" w:type="dxa"/>
            </w:tcMar>
            <w:vAlign w:val="center"/>
          </w:tcPr>
          <w:p w14:paraId="0416E88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冻结隔离召回对象、库存与补货建议</w:t>
            </w:r>
          </w:p>
        </w:tc>
        <w:tc>
          <w:tcPr>
            <w:tcW w:w="873" w:type="dxa"/>
            <w:shd w:val="clear" w:color="auto" w:fill="auto"/>
            <w:noWrap w:val="0"/>
            <w:tcMar>
              <w:top w:w="-1" w:type="dxa"/>
              <w:left w:w="-1" w:type="dxa"/>
              <w:bottom w:w="-1" w:type="dxa"/>
              <w:right w:w="-1" w:type="dxa"/>
            </w:tcMar>
            <w:vAlign w:val="center"/>
          </w:tcPr>
          <w:p w14:paraId="5A09DD1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WMS、TMS、安全库存优化模块</w:t>
            </w:r>
          </w:p>
        </w:tc>
      </w:tr>
      <w:tr w14:paraId="680F05F9">
        <w:trPr>
          <w:trHeight w:val="0" w:hRule="atLeast"/>
          <w:jc w:val="center"/>
        </w:trPr>
        <w:tc>
          <w:tcPr>
            <w:tcW w:w="1372" w:type="dxa"/>
            <w:shd w:val="clear" w:color="auto" w:fill="auto"/>
            <w:noWrap w:val="0"/>
            <w:tcMar>
              <w:top w:w="80" w:type="dxa"/>
              <w:left w:w="80" w:type="dxa"/>
              <w:bottom w:w="80" w:type="dxa"/>
              <w:right w:w="80" w:type="dxa"/>
            </w:tcMar>
            <w:vAlign w:val="center"/>
          </w:tcPr>
          <w:p w14:paraId="6BE12C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1668D29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客户影响分析</w:t>
            </w:r>
          </w:p>
        </w:tc>
        <w:tc>
          <w:tcPr>
            <w:tcW w:w="2115" w:type="dxa"/>
            <w:shd w:val="clear" w:color="auto" w:fill="auto"/>
            <w:noWrap w:val="0"/>
            <w:tcMar>
              <w:top w:w="-1" w:type="dxa"/>
              <w:left w:w="-1" w:type="dxa"/>
              <w:bottom w:w="-1" w:type="dxa"/>
              <w:right w:w="-1" w:type="dxa"/>
            </w:tcMar>
            <w:vAlign w:val="center"/>
          </w:tcPr>
          <w:p w14:paraId="3656B1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F-ZLTC-SCOS-QCLYXT-006</w:t>
            </w:r>
          </w:p>
        </w:tc>
        <w:tc>
          <w:tcPr>
            <w:tcW w:w="3054" w:type="dxa"/>
            <w:shd w:val="clear" w:color="auto" w:fill="auto"/>
            <w:noWrap w:val="0"/>
            <w:tcMar>
              <w:top w:w="-1" w:type="dxa"/>
              <w:left w:w="-1" w:type="dxa"/>
              <w:bottom w:w="-1" w:type="dxa"/>
              <w:right w:w="-1" w:type="dxa"/>
            </w:tcMar>
            <w:vAlign w:val="center"/>
          </w:tcPr>
          <w:p w14:paraId="45ADCD0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列出接收问题批次的客户、销售订单、发运批次、收货数量和联系方式，为销售与客服提供准确沟通依据，并记录通知、确认、退换货和关闭状态。</w:t>
            </w:r>
          </w:p>
        </w:tc>
        <w:tc>
          <w:tcPr>
            <w:tcW w:w="1098" w:type="dxa"/>
            <w:shd w:val="clear" w:color="auto" w:fill="auto"/>
            <w:noWrap w:val="0"/>
            <w:tcMar>
              <w:top w:w="-1" w:type="dxa"/>
              <w:left w:w="-1" w:type="dxa"/>
              <w:bottom w:w="-1" w:type="dxa"/>
              <w:right w:w="-1" w:type="dxa"/>
            </w:tcMar>
            <w:vAlign w:val="center"/>
          </w:tcPr>
          <w:p w14:paraId="654070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问题批次、客户、订单、发运及收货数据</w:t>
            </w:r>
          </w:p>
        </w:tc>
        <w:tc>
          <w:tcPr>
            <w:tcW w:w="907" w:type="dxa"/>
            <w:shd w:val="clear" w:color="auto" w:fill="auto"/>
            <w:noWrap w:val="0"/>
            <w:tcMar>
              <w:top w:w="-1" w:type="dxa"/>
              <w:left w:w="-1" w:type="dxa"/>
              <w:bottom w:w="-1" w:type="dxa"/>
              <w:right w:w="-1" w:type="dxa"/>
            </w:tcMar>
            <w:vAlign w:val="center"/>
          </w:tcPr>
          <w:p w14:paraId="2AEB33F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受影响客户清单、沟通与关闭记录</w:t>
            </w:r>
          </w:p>
        </w:tc>
        <w:tc>
          <w:tcPr>
            <w:tcW w:w="873" w:type="dxa"/>
            <w:shd w:val="clear" w:color="auto" w:fill="auto"/>
            <w:noWrap w:val="0"/>
            <w:tcMar>
              <w:top w:w="-1" w:type="dxa"/>
              <w:left w:w="-1" w:type="dxa"/>
              <w:bottom w:w="-1" w:type="dxa"/>
              <w:right w:w="-1" w:type="dxa"/>
            </w:tcMar>
            <w:vAlign w:val="center"/>
          </w:tcPr>
          <w:p w14:paraId="363E2F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CRM、SAP、TMS</w:t>
            </w:r>
          </w:p>
        </w:tc>
      </w:tr>
      <w:tr w14:paraId="1F6F7C08">
        <w:trPr>
          <w:trHeight w:val="0" w:hRule="atLeast"/>
          <w:jc w:val="center"/>
        </w:trPr>
        <w:tc>
          <w:tcPr>
            <w:tcW w:w="1372" w:type="dxa"/>
            <w:shd w:val="clear" w:color="auto" w:fill="auto"/>
            <w:noWrap w:val="0"/>
            <w:tcMar>
              <w:top w:w="80" w:type="dxa"/>
              <w:left w:w="80" w:type="dxa"/>
              <w:bottom w:w="80" w:type="dxa"/>
              <w:right w:w="80" w:type="dxa"/>
            </w:tcMar>
            <w:vAlign w:val="center"/>
          </w:tcPr>
          <w:p w14:paraId="25999F1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6BF7EFF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质量数据关联分析</w:t>
            </w:r>
          </w:p>
        </w:tc>
        <w:tc>
          <w:tcPr>
            <w:tcW w:w="2115" w:type="dxa"/>
            <w:shd w:val="clear" w:color="auto" w:fill="auto"/>
            <w:noWrap w:val="0"/>
            <w:tcMar>
              <w:top w:w="-1" w:type="dxa"/>
              <w:left w:w="-1" w:type="dxa"/>
              <w:bottom w:w="-1" w:type="dxa"/>
              <w:right w:w="-1" w:type="dxa"/>
            </w:tcMar>
            <w:vAlign w:val="center"/>
          </w:tcPr>
          <w:p w14:paraId="34A9FA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F-ZLTC-SCOS-QCLYXT-007</w:t>
            </w:r>
          </w:p>
        </w:tc>
        <w:tc>
          <w:tcPr>
            <w:tcW w:w="3054" w:type="dxa"/>
            <w:shd w:val="clear" w:color="auto" w:fill="auto"/>
            <w:noWrap w:val="0"/>
            <w:tcMar>
              <w:top w:w="-1" w:type="dxa"/>
              <w:left w:w="-1" w:type="dxa"/>
              <w:bottom w:w="-1" w:type="dxa"/>
              <w:right w:w="-1" w:type="dxa"/>
            </w:tcMar>
            <w:vAlign w:val="center"/>
          </w:tcPr>
          <w:p w14:paraId="0F39A9D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在追溯图谱中关联查看原料、过程和产成品的QMS/LIMS检验报告、关键指标和异常记录，并可查看相关MES工艺参数片段，辅助判断质量问题的来源、传播路径和责任环节。</w:t>
            </w:r>
          </w:p>
        </w:tc>
        <w:tc>
          <w:tcPr>
            <w:tcW w:w="1098" w:type="dxa"/>
            <w:shd w:val="clear" w:color="auto" w:fill="auto"/>
            <w:noWrap w:val="0"/>
            <w:tcMar>
              <w:top w:w="-1" w:type="dxa"/>
              <w:left w:w="-1" w:type="dxa"/>
              <w:bottom w:w="-1" w:type="dxa"/>
              <w:right w:w="-1" w:type="dxa"/>
            </w:tcMar>
            <w:vAlign w:val="center"/>
          </w:tcPr>
          <w:p w14:paraId="55DE13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原料、过程、成品质检及工艺参数</w:t>
            </w:r>
          </w:p>
        </w:tc>
        <w:tc>
          <w:tcPr>
            <w:tcW w:w="907" w:type="dxa"/>
            <w:shd w:val="clear" w:color="auto" w:fill="auto"/>
            <w:noWrap w:val="0"/>
            <w:tcMar>
              <w:top w:w="-1" w:type="dxa"/>
              <w:left w:w="-1" w:type="dxa"/>
              <w:bottom w:w="-1" w:type="dxa"/>
              <w:right w:w="-1" w:type="dxa"/>
            </w:tcMar>
            <w:vAlign w:val="center"/>
          </w:tcPr>
          <w:p w14:paraId="348967B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质量关联视图、来源与传播路径</w:t>
            </w:r>
          </w:p>
        </w:tc>
        <w:tc>
          <w:tcPr>
            <w:tcW w:w="873" w:type="dxa"/>
            <w:shd w:val="clear" w:color="auto" w:fill="auto"/>
            <w:noWrap w:val="0"/>
            <w:tcMar>
              <w:top w:w="-1" w:type="dxa"/>
              <w:left w:w="-1" w:type="dxa"/>
              <w:bottom w:w="-1" w:type="dxa"/>
              <w:right w:w="-1" w:type="dxa"/>
            </w:tcMar>
            <w:vAlign w:val="center"/>
          </w:tcPr>
          <w:p w14:paraId="723243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QMS/LIMS、MES</w:t>
            </w:r>
          </w:p>
        </w:tc>
      </w:tr>
      <w:tr w14:paraId="2FF90330">
        <w:trPr>
          <w:trHeight w:val="0" w:hRule="atLeast"/>
          <w:jc w:val="center"/>
        </w:trPr>
        <w:tc>
          <w:tcPr>
            <w:tcW w:w="1372" w:type="dxa"/>
            <w:shd w:val="clear" w:color="auto" w:fill="auto"/>
            <w:noWrap w:val="0"/>
            <w:tcMar>
              <w:top w:w="80" w:type="dxa"/>
              <w:left w:w="80" w:type="dxa"/>
              <w:bottom w:w="80" w:type="dxa"/>
              <w:right w:w="80" w:type="dxa"/>
            </w:tcMar>
            <w:vAlign w:val="center"/>
          </w:tcPr>
          <w:p w14:paraId="4540C85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15F14D6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质量警报与库存联动</w:t>
            </w:r>
          </w:p>
        </w:tc>
        <w:tc>
          <w:tcPr>
            <w:tcW w:w="2115" w:type="dxa"/>
            <w:shd w:val="clear" w:color="auto" w:fill="auto"/>
            <w:noWrap w:val="0"/>
            <w:tcMar>
              <w:top w:w="-1" w:type="dxa"/>
              <w:left w:w="-1" w:type="dxa"/>
              <w:bottom w:w="-1" w:type="dxa"/>
              <w:right w:w="-1" w:type="dxa"/>
            </w:tcMar>
            <w:vAlign w:val="center"/>
          </w:tcPr>
          <w:p w14:paraId="04F3A8B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F-ZLTC-SCOS-QCLYXT-008</w:t>
            </w:r>
          </w:p>
        </w:tc>
        <w:tc>
          <w:tcPr>
            <w:tcW w:w="3054" w:type="dxa"/>
            <w:shd w:val="clear" w:color="auto" w:fill="auto"/>
            <w:noWrap w:val="0"/>
            <w:tcMar>
              <w:top w:w="-1" w:type="dxa"/>
              <w:left w:w="-1" w:type="dxa"/>
              <w:bottom w:w="-1" w:type="dxa"/>
              <w:right w:w="-1" w:type="dxa"/>
            </w:tcMar>
            <w:vAlign w:val="center"/>
          </w:tcPr>
          <w:p w14:paraId="3AD8FD2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重大质量追溯触发高级别警报并推送驾驶舱，按照经审批规则向库存和执行系统发出冻结、隔离或放行建议；正式库存状态仍由权威执行系统维护，SCOS跟踪指令回执与处置结果。</w:t>
            </w:r>
          </w:p>
        </w:tc>
        <w:tc>
          <w:tcPr>
            <w:tcW w:w="1098" w:type="dxa"/>
            <w:shd w:val="clear" w:color="auto" w:fill="auto"/>
            <w:noWrap w:val="0"/>
            <w:tcMar>
              <w:top w:w="-1" w:type="dxa"/>
              <w:left w:w="-1" w:type="dxa"/>
              <w:bottom w:w="-1" w:type="dxa"/>
              <w:right w:w="-1" w:type="dxa"/>
            </w:tcMar>
            <w:vAlign w:val="center"/>
          </w:tcPr>
          <w:p w14:paraId="208BA9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重大质量事件、追溯结果及审批规则</w:t>
            </w:r>
          </w:p>
        </w:tc>
        <w:tc>
          <w:tcPr>
            <w:tcW w:w="907" w:type="dxa"/>
            <w:shd w:val="clear" w:color="auto" w:fill="auto"/>
            <w:noWrap w:val="0"/>
            <w:tcMar>
              <w:top w:w="-1" w:type="dxa"/>
              <w:left w:w="-1" w:type="dxa"/>
              <w:bottom w:w="-1" w:type="dxa"/>
              <w:right w:w="-1" w:type="dxa"/>
            </w:tcMar>
            <w:vAlign w:val="center"/>
          </w:tcPr>
          <w:p w14:paraId="111C8D6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质量警报、冻结隔离建议及回执</w:t>
            </w:r>
          </w:p>
        </w:tc>
        <w:tc>
          <w:tcPr>
            <w:tcW w:w="873" w:type="dxa"/>
            <w:shd w:val="clear" w:color="auto" w:fill="auto"/>
            <w:noWrap w:val="0"/>
            <w:tcMar>
              <w:top w:w="-1" w:type="dxa"/>
              <w:left w:w="-1" w:type="dxa"/>
              <w:bottom w:w="-1" w:type="dxa"/>
              <w:right w:w="-1" w:type="dxa"/>
            </w:tcMar>
            <w:vAlign w:val="center"/>
          </w:tcPr>
          <w:p w14:paraId="026EEB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QMS/LIMS、WMS、供应链驾驶舱</w:t>
            </w:r>
          </w:p>
        </w:tc>
      </w:tr>
      <w:tr w14:paraId="1CCDB17F">
        <w:trPr>
          <w:trHeight w:val="0" w:hRule="atLeast"/>
          <w:jc w:val="center"/>
        </w:trPr>
        <w:tc>
          <w:tcPr>
            <w:tcW w:w="1372" w:type="dxa"/>
            <w:shd w:val="clear" w:color="auto" w:fill="auto"/>
            <w:noWrap w:val="0"/>
            <w:tcMar>
              <w:top w:w="80" w:type="dxa"/>
              <w:left w:w="80" w:type="dxa"/>
              <w:bottom w:w="80" w:type="dxa"/>
              <w:right w:w="80" w:type="dxa"/>
            </w:tcMar>
            <w:vAlign w:val="center"/>
          </w:tcPr>
          <w:p w14:paraId="6BEA75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0EF607E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跨部门任务协同</w:t>
            </w:r>
          </w:p>
        </w:tc>
        <w:tc>
          <w:tcPr>
            <w:tcW w:w="2115" w:type="dxa"/>
            <w:shd w:val="clear" w:color="auto" w:fill="auto"/>
            <w:noWrap w:val="0"/>
            <w:tcMar>
              <w:top w:w="-1" w:type="dxa"/>
              <w:left w:w="-1" w:type="dxa"/>
              <w:bottom w:w="-1" w:type="dxa"/>
              <w:right w:w="-1" w:type="dxa"/>
            </w:tcMar>
            <w:vAlign w:val="center"/>
          </w:tcPr>
          <w:p w14:paraId="0B48D7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F-ZLTC-SCOS-QCLYXT-009</w:t>
            </w:r>
          </w:p>
        </w:tc>
        <w:tc>
          <w:tcPr>
            <w:tcW w:w="3054" w:type="dxa"/>
            <w:shd w:val="clear" w:color="auto" w:fill="auto"/>
            <w:noWrap w:val="0"/>
            <w:tcMar>
              <w:top w:w="-1" w:type="dxa"/>
              <w:left w:w="-1" w:type="dxa"/>
              <w:bottom w:w="-1" w:type="dxa"/>
              <w:right w:w="-1" w:type="dxa"/>
            </w:tcMar>
            <w:vAlign w:val="center"/>
          </w:tcPr>
          <w:p w14:paraId="4A8ED91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根据追溯结果一键创建面向质量、销售、采购、生产、仓储和物流的协同任务，明确关联批次、责任人、处理要求、时限和升级规则，跟踪接受、处理、验证和关闭全过程。</w:t>
            </w:r>
          </w:p>
        </w:tc>
        <w:tc>
          <w:tcPr>
            <w:tcW w:w="1098" w:type="dxa"/>
            <w:shd w:val="clear" w:color="auto" w:fill="auto"/>
            <w:noWrap w:val="0"/>
            <w:tcMar>
              <w:top w:w="-1" w:type="dxa"/>
              <w:left w:w="-1" w:type="dxa"/>
              <w:bottom w:w="-1" w:type="dxa"/>
              <w:right w:w="-1" w:type="dxa"/>
            </w:tcMar>
            <w:vAlign w:val="center"/>
          </w:tcPr>
          <w:p w14:paraId="41B5FB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追溯结果、关联批次、责任与处理要求</w:t>
            </w:r>
          </w:p>
        </w:tc>
        <w:tc>
          <w:tcPr>
            <w:tcW w:w="907" w:type="dxa"/>
            <w:shd w:val="clear" w:color="auto" w:fill="auto"/>
            <w:noWrap w:val="0"/>
            <w:tcMar>
              <w:top w:w="-1" w:type="dxa"/>
              <w:left w:w="-1" w:type="dxa"/>
              <w:bottom w:w="-1" w:type="dxa"/>
              <w:right w:w="-1" w:type="dxa"/>
            </w:tcMar>
            <w:vAlign w:val="center"/>
          </w:tcPr>
          <w:p w14:paraId="73B7659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跨部门任务、升级及闭环记录</w:t>
            </w:r>
          </w:p>
        </w:tc>
        <w:tc>
          <w:tcPr>
            <w:tcW w:w="873" w:type="dxa"/>
            <w:shd w:val="clear" w:color="auto" w:fill="auto"/>
            <w:noWrap w:val="0"/>
            <w:tcMar>
              <w:top w:w="-1" w:type="dxa"/>
              <w:left w:w="-1" w:type="dxa"/>
              <w:bottom w:w="-1" w:type="dxa"/>
              <w:right w:w="-1" w:type="dxa"/>
            </w:tcMar>
            <w:vAlign w:val="center"/>
          </w:tcPr>
          <w:p w14:paraId="00FF69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OA/任务中心、CRM、WMS、MES</w:t>
            </w:r>
          </w:p>
        </w:tc>
      </w:tr>
      <w:tr w14:paraId="40FB6B2C">
        <w:trPr>
          <w:trHeight w:val="0" w:hRule="atLeast"/>
          <w:jc w:val="center"/>
        </w:trPr>
        <w:tc>
          <w:tcPr>
            <w:tcW w:w="1372" w:type="dxa"/>
            <w:shd w:val="clear" w:color="auto" w:fill="auto"/>
            <w:noWrap w:val="0"/>
            <w:tcMar>
              <w:top w:w="80" w:type="dxa"/>
              <w:left w:w="80" w:type="dxa"/>
              <w:bottom w:w="80" w:type="dxa"/>
              <w:right w:w="80" w:type="dxa"/>
            </w:tcMar>
            <w:vAlign w:val="center"/>
          </w:tcPr>
          <w:p w14:paraId="48E3C92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418C86A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客户服务门户协同</w:t>
            </w:r>
          </w:p>
        </w:tc>
        <w:tc>
          <w:tcPr>
            <w:tcW w:w="2115" w:type="dxa"/>
            <w:shd w:val="clear" w:color="auto" w:fill="auto"/>
            <w:noWrap w:val="0"/>
            <w:tcMar>
              <w:top w:w="-1" w:type="dxa"/>
              <w:left w:w="-1" w:type="dxa"/>
              <w:bottom w:w="-1" w:type="dxa"/>
              <w:right w:w="-1" w:type="dxa"/>
            </w:tcMar>
            <w:vAlign w:val="center"/>
          </w:tcPr>
          <w:p w14:paraId="4DF12A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F-ZLTC-SCOS-QCLYXT-010</w:t>
            </w:r>
          </w:p>
        </w:tc>
        <w:tc>
          <w:tcPr>
            <w:tcW w:w="3054" w:type="dxa"/>
            <w:shd w:val="clear" w:color="auto" w:fill="auto"/>
            <w:noWrap w:val="0"/>
            <w:tcMar>
              <w:top w:w="-1" w:type="dxa"/>
              <w:left w:w="-1" w:type="dxa"/>
              <w:bottom w:w="-1" w:type="dxa"/>
              <w:right w:w="-1" w:type="dxa"/>
            </w:tcMar>
            <w:vAlign w:val="center"/>
          </w:tcPr>
          <w:p w14:paraId="526CA9A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通过安全接口向授权客户提供其收货批次的生产日期、关键质检和溯源信息，实施客户、订单和字段范围隔离，并记录查询、下载和异常访问日志。</w:t>
            </w:r>
          </w:p>
        </w:tc>
        <w:tc>
          <w:tcPr>
            <w:tcW w:w="1098" w:type="dxa"/>
            <w:shd w:val="clear" w:color="auto" w:fill="auto"/>
            <w:noWrap w:val="0"/>
            <w:tcMar>
              <w:top w:w="-1" w:type="dxa"/>
              <w:left w:w="-1" w:type="dxa"/>
              <w:bottom w:w="-1" w:type="dxa"/>
              <w:right w:w="-1" w:type="dxa"/>
            </w:tcMar>
            <w:vAlign w:val="center"/>
          </w:tcPr>
          <w:p w14:paraId="3E251D9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授权客户、收货批次、质检及溯源信息</w:t>
            </w:r>
          </w:p>
        </w:tc>
        <w:tc>
          <w:tcPr>
            <w:tcW w:w="907" w:type="dxa"/>
            <w:shd w:val="clear" w:color="auto" w:fill="auto"/>
            <w:noWrap w:val="0"/>
            <w:tcMar>
              <w:top w:w="-1" w:type="dxa"/>
              <w:left w:w="-1" w:type="dxa"/>
              <w:bottom w:w="-1" w:type="dxa"/>
              <w:right w:w="-1" w:type="dxa"/>
            </w:tcMar>
            <w:vAlign w:val="center"/>
          </w:tcPr>
          <w:p w14:paraId="5E93DC9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客户查询结果、下载与访问日志</w:t>
            </w:r>
          </w:p>
        </w:tc>
        <w:tc>
          <w:tcPr>
            <w:tcW w:w="873" w:type="dxa"/>
            <w:shd w:val="clear" w:color="auto" w:fill="auto"/>
            <w:noWrap w:val="0"/>
            <w:tcMar>
              <w:top w:w="-1" w:type="dxa"/>
              <w:left w:w="-1" w:type="dxa"/>
              <w:bottom w:w="-1" w:type="dxa"/>
              <w:right w:w="-1" w:type="dxa"/>
            </w:tcMar>
            <w:vAlign w:val="center"/>
          </w:tcPr>
          <w:p w14:paraId="179442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客户门户、CRM、权限中心</w:t>
            </w:r>
          </w:p>
        </w:tc>
      </w:tr>
      <w:tr w14:paraId="0E4E6D0F">
        <w:trPr>
          <w:trHeight w:val="0" w:hRule="atLeast"/>
          <w:jc w:val="center"/>
        </w:trPr>
        <w:tc>
          <w:tcPr>
            <w:tcW w:w="1372" w:type="dxa"/>
            <w:shd w:val="clear" w:color="auto" w:fill="auto"/>
            <w:noWrap w:val="0"/>
            <w:tcMar>
              <w:top w:w="80" w:type="dxa"/>
              <w:left w:w="80" w:type="dxa"/>
              <w:bottom w:w="80" w:type="dxa"/>
              <w:right w:w="80" w:type="dxa"/>
            </w:tcMar>
            <w:vAlign w:val="center"/>
          </w:tcPr>
          <w:p w14:paraId="576787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27E4B6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追溯报告与审计留痕</w:t>
            </w:r>
          </w:p>
        </w:tc>
        <w:tc>
          <w:tcPr>
            <w:tcW w:w="2115" w:type="dxa"/>
            <w:shd w:val="clear" w:color="auto" w:fill="auto"/>
            <w:noWrap w:val="0"/>
            <w:tcMar>
              <w:top w:w="-1" w:type="dxa"/>
              <w:left w:w="-1" w:type="dxa"/>
              <w:bottom w:w="-1" w:type="dxa"/>
              <w:right w:w="-1" w:type="dxa"/>
            </w:tcMar>
            <w:vAlign w:val="center"/>
          </w:tcPr>
          <w:p w14:paraId="259DC8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F-ZLTC-SCOS-QCLYXT-011</w:t>
            </w:r>
          </w:p>
        </w:tc>
        <w:tc>
          <w:tcPr>
            <w:tcW w:w="3054" w:type="dxa"/>
            <w:shd w:val="clear" w:color="auto" w:fill="auto"/>
            <w:noWrap w:val="0"/>
            <w:tcMar>
              <w:top w:w="-1" w:type="dxa"/>
              <w:left w:w="-1" w:type="dxa"/>
              <w:bottom w:w="-1" w:type="dxa"/>
              <w:right w:w="-1" w:type="dxa"/>
            </w:tcMar>
            <w:vAlign w:val="center"/>
          </w:tcPr>
          <w:p w14:paraId="4F7078A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自动生成包含追溯条件、链路、证据、影响范围、处置措施和结果的标准报告，记录查询人、时间、数据版本和操作过程，满足内部审计、客户投诉和监管检查需要。</w:t>
            </w:r>
          </w:p>
        </w:tc>
        <w:tc>
          <w:tcPr>
            <w:tcW w:w="1098" w:type="dxa"/>
            <w:shd w:val="clear" w:color="auto" w:fill="auto"/>
            <w:noWrap w:val="0"/>
            <w:tcMar>
              <w:top w:w="-1" w:type="dxa"/>
              <w:left w:w="-1" w:type="dxa"/>
              <w:bottom w:w="-1" w:type="dxa"/>
              <w:right w:w="-1" w:type="dxa"/>
            </w:tcMar>
            <w:vAlign w:val="center"/>
          </w:tcPr>
          <w:p w14:paraId="558AB5E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追溯条件、链路、证据、处置及操作记录</w:t>
            </w:r>
          </w:p>
        </w:tc>
        <w:tc>
          <w:tcPr>
            <w:tcW w:w="907" w:type="dxa"/>
            <w:shd w:val="clear" w:color="auto" w:fill="auto"/>
            <w:noWrap w:val="0"/>
            <w:tcMar>
              <w:top w:w="-1" w:type="dxa"/>
              <w:left w:w="-1" w:type="dxa"/>
              <w:bottom w:w="-1" w:type="dxa"/>
              <w:right w:w="-1" w:type="dxa"/>
            </w:tcMar>
            <w:vAlign w:val="center"/>
          </w:tcPr>
          <w:p w14:paraId="7E1584F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标准追溯报告、审计留痕</w:t>
            </w:r>
          </w:p>
        </w:tc>
        <w:tc>
          <w:tcPr>
            <w:tcW w:w="873" w:type="dxa"/>
            <w:shd w:val="clear" w:color="auto" w:fill="auto"/>
            <w:noWrap w:val="0"/>
            <w:tcMar>
              <w:top w:w="-1" w:type="dxa"/>
              <w:left w:w="-1" w:type="dxa"/>
              <w:bottom w:w="-1" w:type="dxa"/>
              <w:right w:w="-1" w:type="dxa"/>
            </w:tcMar>
            <w:vAlign w:val="center"/>
          </w:tcPr>
          <w:p w14:paraId="189B42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QMS/LIMS、审计平台</w:t>
            </w:r>
          </w:p>
        </w:tc>
      </w:tr>
      <w:tr w14:paraId="4471D96A">
        <w:trPr>
          <w:trHeight w:val="0" w:hRule="atLeast"/>
          <w:jc w:val="center"/>
        </w:trPr>
        <w:tc>
          <w:tcPr>
            <w:tcW w:w="1372" w:type="dxa"/>
            <w:shd w:val="clear" w:color="auto" w:fill="auto"/>
            <w:noWrap w:val="0"/>
            <w:tcMar>
              <w:top w:w="80" w:type="dxa"/>
              <w:left w:w="80" w:type="dxa"/>
              <w:bottom w:w="80" w:type="dxa"/>
              <w:right w:w="80" w:type="dxa"/>
            </w:tcMar>
            <w:vAlign w:val="center"/>
          </w:tcPr>
          <w:p w14:paraId="584A9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3FC317C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合规与持续改进分析</w:t>
            </w:r>
          </w:p>
        </w:tc>
        <w:tc>
          <w:tcPr>
            <w:tcW w:w="2115" w:type="dxa"/>
            <w:shd w:val="clear" w:color="auto" w:fill="auto"/>
            <w:noWrap w:val="0"/>
            <w:tcMar>
              <w:top w:w="-1" w:type="dxa"/>
              <w:left w:w="-1" w:type="dxa"/>
              <w:bottom w:w="-1" w:type="dxa"/>
              <w:right w:w="-1" w:type="dxa"/>
            </w:tcMar>
            <w:vAlign w:val="center"/>
          </w:tcPr>
          <w:p w14:paraId="0B22AA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F-ZLTC-SCOS-QCLYXT-012</w:t>
            </w:r>
          </w:p>
        </w:tc>
        <w:tc>
          <w:tcPr>
            <w:tcW w:w="3054" w:type="dxa"/>
            <w:shd w:val="clear" w:color="auto" w:fill="auto"/>
            <w:noWrap w:val="0"/>
            <w:tcMar>
              <w:top w:w="-1" w:type="dxa"/>
              <w:left w:w="-1" w:type="dxa"/>
              <w:bottom w:w="-1" w:type="dxa"/>
              <w:right w:w="-1" w:type="dxa"/>
            </w:tcMar>
            <w:vAlign w:val="center"/>
          </w:tcPr>
          <w:p w14:paraId="4DC36A1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依据食品行业及企业内部追溯要求校验批次链完整性，通过历史追溯数据识别高发供应商、产线、产品、季节和问题模式，为供应商改进、预防性控制和流程优化提供洞见。</w:t>
            </w:r>
          </w:p>
        </w:tc>
        <w:tc>
          <w:tcPr>
            <w:tcW w:w="1098" w:type="dxa"/>
            <w:shd w:val="clear" w:color="auto" w:fill="auto"/>
            <w:noWrap w:val="0"/>
            <w:tcMar>
              <w:top w:w="-1" w:type="dxa"/>
              <w:left w:w="-1" w:type="dxa"/>
              <w:bottom w:w="-1" w:type="dxa"/>
              <w:right w:w="-1" w:type="dxa"/>
            </w:tcMar>
            <w:vAlign w:val="center"/>
          </w:tcPr>
          <w:p w14:paraId="2EADFE0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行业规则、批次链完整性及历史追溯问题</w:t>
            </w:r>
          </w:p>
        </w:tc>
        <w:tc>
          <w:tcPr>
            <w:tcW w:w="907" w:type="dxa"/>
            <w:shd w:val="clear" w:color="auto" w:fill="auto"/>
            <w:noWrap w:val="0"/>
            <w:tcMar>
              <w:top w:w="-1" w:type="dxa"/>
              <w:left w:w="-1" w:type="dxa"/>
              <w:bottom w:w="-1" w:type="dxa"/>
              <w:right w:w="-1" w:type="dxa"/>
            </w:tcMar>
            <w:vAlign w:val="center"/>
          </w:tcPr>
          <w:p w14:paraId="7D12F12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合规校验、问题模式与改进洞见</w:t>
            </w:r>
          </w:p>
        </w:tc>
        <w:tc>
          <w:tcPr>
            <w:tcW w:w="873" w:type="dxa"/>
            <w:shd w:val="clear" w:color="auto" w:fill="auto"/>
            <w:noWrap w:val="0"/>
            <w:tcMar>
              <w:top w:w="-1" w:type="dxa"/>
              <w:left w:w="-1" w:type="dxa"/>
              <w:bottom w:w="-1" w:type="dxa"/>
              <w:right w:w="-1" w:type="dxa"/>
            </w:tcMar>
            <w:vAlign w:val="center"/>
          </w:tcPr>
          <w:p w14:paraId="2B9F1D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QMS/LIMS、供应商管理系统</w:t>
            </w:r>
          </w:p>
        </w:tc>
      </w:tr>
      <w:tr w14:paraId="043E467F">
        <w:trPr>
          <w:trHeight w:val="0" w:hRule="atLeast"/>
          <w:jc w:val="center"/>
        </w:trPr>
        <w:tc>
          <w:tcPr>
            <w:tcW w:w="1372" w:type="dxa"/>
            <w:shd w:val="clear" w:color="auto" w:fill="auto"/>
            <w:noWrap w:val="0"/>
            <w:tcMar>
              <w:top w:w="80" w:type="dxa"/>
              <w:left w:w="80" w:type="dxa"/>
              <w:bottom w:w="80" w:type="dxa"/>
              <w:right w:w="80" w:type="dxa"/>
            </w:tcMar>
            <w:vAlign w:val="center"/>
          </w:tcPr>
          <w:p w14:paraId="78879A9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供应链全程追溯与协同分析模块</w:t>
            </w:r>
          </w:p>
        </w:tc>
        <w:tc>
          <w:tcPr>
            <w:tcW w:w="1472" w:type="dxa"/>
            <w:shd w:val="clear" w:color="auto" w:fill="auto"/>
            <w:noWrap w:val="0"/>
            <w:tcMar>
              <w:top w:w="-1" w:type="dxa"/>
              <w:left w:w="-1" w:type="dxa"/>
              <w:bottom w:w="-1" w:type="dxa"/>
              <w:right w:w="-1" w:type="dxa"/>
            </w:tcMar>
            <w:vAlign w:val="center"/>
          </w:tcPr>
          <w:p w14:paraId="5DBB118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追溯图谱交互与性能保障</w:t>
            </w:r>
          </w:p>
        </w:tc>
        <w:tc>
          <w:tcPr>
            <w:tcW w:w="2115" w:type="dxa"/>
            <w:shd w:val="clear" w:color="auto" w:fill="auto"/>
            <w:noWrap w:val="0"/>
            <w:tcMar>
              <w:top w:w="-1" w:type="dxa"/>
              <w:left w:w="-1" w:type="dxa"/>
              <w:bottom w:w="-1" w:type="dxa"/>
              <w:right w:w="-1" w:type="dxa"/>
            </w:tcMar>
            <w:vAlign w:val="center"/>
          </w:tcPr>
          <w:p w14:paraId="43B2E7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F-ZLTC-SCOS-QCLYXT-013</w:t>
            </w:r>
          </w:p>
        </w:tc>
        <w:tc>
          <w:tcPr>
            <w:tcW w:w="3054" w:type="dxa"/>
            <w:shd w:val="clear" w:color="auto" w:fill="auto"/>
            <w:noWrap w:val="0"/>
            <w:tcMar>
              <w:top w:w="-1" w:type="dxa"/>
              <w:left w:w="-1" w:type="dxa"/>
              <w:bottom w:w="-1" w:type="dxa"/>
              <w:right w:w="-1" w:type="dxa"/>
            </w:tcMar>
            <w:vAlign w:val="center"/>
          </w:tcPr>
          <w:p w14:paraId="1ACE993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提供可缩放、拖拽、筛选和节点下钻的专业追溯图谱，对百万级批次数据建立高效关联索引，保障正向和反向追溯在规定时限内返回，并支持高可用访问和异常降级。</w:t>
            </w:r>
          </w:p>
        </w:tc>
        <w:tc>
          <w:tcPr>
            <w:tcW w:w="1098" w:type="dxa"/>
            <w:shd w:val="clear" w:color="auto" w:fill="auto"/>
            <w:noWrap w:val="0"/>
            <w:tcMar>
              <w:top w:w="-1" w:type="dxa"/>
              <w:left w:w="-1" w:type="dxa"/>
              <w:bottom w:w="-1" w:type="dxa"/>
              <w:right w:w="-1" w:type="dxa"/>
            </w:tcMar>
            <w:vAlign w:val="center"/>
          </w:tcPr>
          <w:p w14:paraId="74F76C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批次图谱、查询条件、索引与运行指标</w:t>
            </w:r>
          </w:p>
        </w:tc>
        <w:tc>
          <w:tcPr>
            <w:tcW w:w="907" w:type="dxa"/>
            <w:shd w:val="clear" w:color="auto" w:fill="auto"/>
            <w:noWrap w:val="0"/>
            <w:tcMar>
              <w:top w:w="-1" w:type="dxa"/>
              <w:left w:w="-1" w:type="dxa"/>
              <w:bottom w:w="-1" w:type="dxa"/>
              <w:right w:w="-1" w:type="dxa"/>
            </w:tcMar>
            <w:vAlign w:val="center"/>
          </w:tcPr>
          <w:p w14:paraId="2C53C2F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b w:val="0"/>
                <w:i w:val="0"/>
                <w:iCs w:val="0"/>
                <w:color w:val="auto"/>
                <w:kern w:val="0"/>
                <w:sz w:val="18"/>
                <w:szCs w:val="18"/>
                <w:u w:val="none"/>
                <w:lang w:val="en-US" w:eastAsia="zh-CN" w:bidi="ar"/>
              </w:rPr>
              <w:t>交互式追溯图谱、性能与降级记录</w:t>
            </w:r>
          </w:p>
        </w:tc>
        <w:tc>
          <w:tcPr>
            <w:tcW w:w="873" w:type="dxa"/>
            <w:shd w:val="clear" w:color="auto" w:fill="auto"/>
            <w:noWrap w:val="0"/>
            <w:tcMar>
              <w:top w:w="-1" w:type="dxa"/>
              <w:left w:w="-1" w:type="dxa"/>
              <w:bottom w:w="-1" w:type="dxa"/>
              <w:right w:w="-1" w:type="dxa"/>
            </w:tcMar>
            <w:vAlign w:val="center"/>
          </w:tcPr>
          <w:p w14:paraId="25E4608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val="0"/>
                <w:i w:val="0"/>
                <w:iCs w:val="0"/>
                <w:color w:val="auto"/>
                <w:kern w:val="0"/>
                <w:sz w:val="18"/>
                <w:szCs w:val="18"/>
                <w:u w:val="none"/>
                <w:lang w:val="en-US" w:eastAsia="zh-CN" w:bidi="ar"/>
              </w:rPr>
              <w:t>SCOS追溯服务、监控平台</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7" w:name="_Toc298913976"/>
      <w:bookmarkStart w:id="28" w:name="_Toc71491904"/>
      <w:bookmarkStart w:id="29" w:name="_PLM角色权限矩阵"/>
      <w:bookmarkStart w:id="30" w:name="_SCOS角色权限矩阵"/>
      <w:r>
        <w:rPr>
          <w:rFonts w:hint="eastAsia" w:ascii="黑体" w:hAnsi="黑体" w:eastAsia="黑体" w:cs="黑体"/>
          <w:lang w:val="en-US" w:eastAsia="zh-CN"/>
        </w:rPr>
        <w:t>SCOS角色权限矩阵</w:t>
      </w:r>
      <w:bookmarkEnd w:id="27"/>
      <w:bookmarkEnd w:id="28"/>
    </w:p>
    <w:bookmarkEnd w:id="29"/>
    <w:bookmarkEnd w:id="30"/>
    <w:p w14:paraId="3FA09038">
      <w:pPr>
        <w:pStyle w:val="4"/>
        <w:bidi w:val="0"/>
        <w:ind w:left="161" w:leftChars="0" w:firstLineChars="0"/>
        <w:rPr>
          <w:rFonts w:hint="eastAsia" w:ascii="黑体" w:hAnsi="黑体" w:eastAsia="黑体" w:cs="黑体"/>
          <w:lang w:val="en-US" w:eastAsia="zh-CN"/>
        </w:rPr>
      </w:pPr>
      <w:bookmarkStart w:id="31" w:name="_Toc1121071855"/>
      <w:r>
        <w:rPr>
          <w:rFonts w:hint="eastAsia" w:ascii="黑体" w:hAnsi="黑体" w:eastAsia="黑体" w:cs="黑体"/>
          <w:lang w:val="en-US" w:eastAsia="zh-CN"/>
        </w:rPr>
        <w:t>角色定义</w:t>
      </w:r>
      <w:bookmarkEnd w:id="31"/>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32" w:name="_Toc26518"/>
      <w:bookmarkStart w:id="33" w:name="_Toc1980631854"/>
      <w:r>
        <w:rPr>
          <w:rFonts w:hint="eastAsia" w:ascii="黑体" w:hAnsi="黑体" w:eastAsia="黑体" w:cs="黑体"/>
          <w:lang w:val="en-US" w:eastAsia="zh-CN"/>
        </w:rPr>
        <w:t>权限矩阵</w:t>
      </w:r>
      <w:bookmarkEnd w:id="32"/>
      <w:bookmarkEnd w:id="33"/>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34" w:name="_Toc14744"/>
      <w:bookmarkStart w:id="35" w:name="_Toc335558031"/>
      <w:bookmarkStart w:id="36" w:name="_SCOS业务规则清单"/>
      <w:r>
        <w:rPr>
          <w:rFonts w:hint="eastAsia" w:ascii="黑体" w:hAnsi="黑体" w:eastAsia="黑体" w:cs="黑体"/>
          <w:lang w:val="en-US" w:eastAsia="zh-CN"/>
        </w:rPr>
        <w:t>SCOS业务规则清单</w:t>
      </w:r>
      <w:bookmarkEnd w:id="34"/>
      <w:bookmarkEnd w:id="35"/>
    </w:p>
    <w:bookmarkEnd w:id="36"/>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44"/>
        <w:gridCol w:w="945"/>
        <w:gridCol w:w="966"/>
        <w:gridCol w:w="955"/>
        <w:gridCol w:w="1098"/>
        <w:gridCol w:w="1406"/>
        <w:gridCol w:w="1088"/>
        <w:gridCol w:w="1460"/>
      </w:tblGrid>
      <w:tr w14:paraId="00117B41">
        <w:trPr>
          <w:trHeight w:val="586" w:hRule="atLeast"/>
          <w:tblHeader/>
          <w:jc w:val="center"/>
        </w:trPr>
        <w:tc>
          <w:tcPr>
            <w:tcW w:w="2944"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945"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3FCFFCAF">
        <w:trPr>
          <w:cantSplit/>
          <w:trHeight w:val="0" w:hRule="atLeast"/>
          <w:jc w:val="center"/>
        </w:trPr>
        <w:tc>
          <w:tcPr>
            <w:tcW w:w="2944" w:type="dxa"/>
            <w:tcBorders>
              <w:top w:val="nil"/>
              <w:left w:val="nil"/>
              <w:bottom w:val="nil"/>
              <w:right w:val="nil"/>
            </w:tcBorders>
            <w:shd w:val="clear" w:color="auto" w:fill="auto"/>
            <w:vAlign w:val="center"/>
          </w:tcPr>
          <w:p w14:paraId="52AC2B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945" w:type="dxa"/>
            <w:tcBorders>
              <w:top w:val="nil"/>
              <w:left w:val="nil"/>
              <w:bottom w:val="nil"/>
              <w:right w:val="nil"/>
            </w:tcBorders>
            <w:shd w:val="clear" w:color="auto" w:fill="auto"/>
            <w:vAlign w:val="center"/>
          </w:tcPr>
          <w:p w14:paraId="27293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292351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ACE0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54A951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119C31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明确指标口径、数据来源、更新频率及红黄预警阈值；必须字段或业务依据不完整时保留草稿。</w:t>
            </w:r>
          </w:p>
        </w:tc>
        <w:tc>
          <w:tcPr>
            <w:tcW w:w="1088" w:type="dxa"/>
            <w:tcBorders>
              <w:top w:val="nil"/>
              <w:left w:val="nil"/>
              <w:bottom w:val="nil"/>
              <w:right w:val="nil"/>
            </w:tcBorders>
            <w:shd w:val="clear" w:color="auto" w:fill="auto"/>
            <w:vAlign w:val="center"/>
          </w:tcPr>
          <w:p w14:paraId="62267F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33C9E5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5E81C1">
        <w:trPr>
          <w:cantSplit/>
          <w:trHeight w:val="0" w:hRule="atLeast"/>
          <w:jc w:val="center"/>
        </w:trPr>
        <w:tc>
          <w:tcPr>
            <w:tcW w:w="2944" w:type="dxa"/>
            <w:tcBorders>
              <w:top w:val="nil"/>
              <w:left w:val="nil"/>
              <w:bottom w:val="nil"/>
              <w:right w:val="nil"/>
            </w:tcBorders>
            <w:shd w:val="clear" w:color="auto" w:fill="auto"/>
            <w:vAlign w:val="center"/>
          </w:tcPr>
          <w:p w14:paraId="24AD2F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945" w:type="dxa"/>
            <w:tcBorders>
              <w:top w:val="nil"/>
              <w:left w:val="nil"/>
              <w:bottom w:val="nil"/>
              <w:right w:val="nil"/>
            </w:tcBorders>
            <w:shd w:val="clear" w:color="auto" w:fill="auto"/>
            <w:vAlign w:val="center"/>
          </w:tcPr>
          <w:p w14:paraId="269DB4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938F12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B51B4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411158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8B55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校验数据来源、计算口径、阈值区间及权限是否有效；数据源不可用或规则冲突时修改。</w:t>
            </w:r>
          </w:p>
        </w:tc>
        <w:tc>
          <w:tcPr>
            <w:tcW w:w="1088" w:type="dxa"/>
            <w:tcBorders>
              <w:top w:val="nil"/>
              <w:left w:val="nil"/>
              <w:bottom w:val="nil"/>
              <w:right w:val="nil"/>
            </w:tcBorders>
            <w:shd w:val="clear" w:color="auto" w:fill="auto"/>
            <w:vAlign w:val="center"/>
          </w:tcPr>
          <w:p w14:paraId="0C8F4D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6BBF142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193565">
        <w:trPr>
          <w:cantSplit/>
          <w:trHeight w:val="0" w:hRule="atLeast"/>
          <w:jc w:val="center"/>
        </w:trPr>
        <w:tc>
          <w:tcPr>
            <w:tcW w:w="2944" w:type="dxa"/>
            <w:tcBorders>
              <w:top w:val="nil"/>
              <w:left w:val="nil"/>
              <w:bottom w:val="nil"/>
              <w:right w:val="nil"/>
            </w:tcBorders>
            <w:shd w:val="clear" w:color="auto" w:fill="auto"/>
            <w:vAlign w:val="center"/>
          </w:tcPr>
          <w:p w14:paraId="266C2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945" w:type="dxa"/>
            <w:tcBorders>
              <w:top w:val="nil"/>
              <w:left w:val="nil"/>
              <w:bottom w:val="nil"/>
              <w:right w:val="nil"/>
            </w:tcBorders>
            <w:shd w:val="clear" w:color="auto" w:fill="auto"/>
            <w:vAlign w:val="center"/>
          </w:tcPr>
          <w:p w14:paraId="6A521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618F96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B21BB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E2D7B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61EC2F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确认指标口径、来源、频率及预警级别符合业务要求；存在歧义时补充口径。</w:t>
            </w:r>
          </w:p>
        </w:tc>
        <w:tc>
          <w:tcPr>
            <w:tcW w:w="1088" w:type="dxa"/>
            <w:tcBorders>
              <w:top w:val="nil"/>
              <w:left w:val="nil"/>
              <w:bottom w:val="nil"/>
              <w:right w:val="nil"/>
            </w:tcBorders>
            <w:shd w:val="clear" w:color="auto" w:fill="auto"/>
            <w:vAlign w:val="center"/>
          </w:tcPr>
          <w:p w14:paraId="41BFA4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B724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B98C8E">
        <w:trPr>
          <w:cantSplit/>
          <w:trHeight w:val="0" w:hRule="atLeast"/>
          <w:jc w:val="center"/>
        </w:trPr>
        <w:tc>
          <w:tcPr>
            <w:tcW w:w="2944" w:type="dxa"/>
            <w:tcBorders>
              <w:top w:val="nil"/>
              <w:left w:val="nil"/>
              <w:bottom w:val="nil"/>
              <w:right w:val="nil"/>
            </w:tcBorders>
            <w:shd w:val="clear" w:color="auto" w:fill="auto"/>
            <w:vAlign w:val="center"/>
          </w:tcPr>
          <w:p w14:paraId="77F67E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945" w:type="dxa"/>
            <w:tcBorders>
              <w:top w:val="nil"/>
              <w:left w:val="nil"/>
              <w:bottom w:val="nil"/>
              <w:right w:val="nil"/>
            </w:tcBorders>
            <w:shd w:val="clear" w:color="auto" w:fill="auto"/>
            <w:vAlign w:val="center"/>
          </w:tcPr>
          <w:p w14:paraId="663C1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8519C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F1CF1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CF64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FBA8D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3013A6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EEEBC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816C44">
        <w:trPr>
          <w:cantSplit/>
          <w:trHeight w:val="0" w:hRule="atLeast"/>
          <w:jc w:val="center"/>
        </w:trPr>
        <w:tc>
          <w:tcPr>
            <w:tcW w:w="2944" w:type="dxa"/>
            <w:tcBorders>
              <w:top w:val="nil"/>
              <w:left w:val="nil"/>
              <w:bottom w:val="nil"/>
              <w:right w:val="nil"/>
            </w:tcBorders>
            <w:shd w:val="clear" w:color="auto" w:fill="auto"/>
            <w:vAlign w:val="center"/>
          </w:tcPr>
          <w:p w14:paraId="2BEC7C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945" w:type="dxa"/>
            <w:tcBorders>
              <w:top w:val="nil"/>
              <w:left w:val="nil"/>
              <w:bottom w:val="nil"/>
              <w:right w:val="nil"/>
            </w:tcBorders>
            <w:shd w:val="clear" w:color="auto" w:fill="auto"/>
            <w:vAlign w:val="center"/>
          </w:tcPr>
          <w:p w14:paraId="2F4D26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0EBBD1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4FF80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00554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33B44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审核指标用途、预警级别、可见范围及管理决策影响；不通过时说明修改意见。</w:t>
            </w:r>
          </w:p>
        </w:tc>
        <w:tc>
          <w:tcPr>
            <w:tcW w:w="1088" w:type="dxa"/>
            <w:tcBorders>
              <w:top w:val="nil"/>
              <w:left w:val="nil"/>
              <w:bottom w:val="nil"/>
              <w:right w:val="nil"/>
            </w:tcBorders>
            <w:shd w:val="clear" w:color="auto" w:fill="auto"/>
            <w:vAlign w:val="center"/>
          </w:tcPr>
          <w:p w14:paraId="78043F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2BB2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309038">
        <w:trPr>
          <w:cantSplit/>
          <w:trHeight w:val="0" w:hRule="atLeast"/>
          <w:jc w:val="center"/>
        </w:trPr>
        <w:tc>
          <w:tcPr>
            <w:tcW w:w="2944" w:type="dxa"/>
            <w:tcBorders>
              <w:top w:val="nil"/>
              <w:left w:val="nil"/>
              <w:bottom w:val="nil"/>
              <w:right w:val="nil"/>
            </w:tcBorders>
            <w:shd w:val="clear" w:color="auto" w:fill="auto"/>
            <w:vAlign w:val="center"/>
          </w:tcPr>
          <w:p w14:paraId="487E71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945" w:type="dxa"/>
            <w:tcBorders>
              <w:top w:val="nil"/>
              <w:left w:val="nil"/>
              <w:bottom w:val="nil"/>
              <w:right w:val="nil"/>
            </w:tcBorders>
            <w:shd w:val="clear" w:color="auto" w:fill="auto"/>
            <w:vAlign w:val="center"/>
          </w:tcPr>
          <w:p w14:paraId="01836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097BF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A0B24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288096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197F3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40692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3ACDBC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A38099">
        <w:trPr>
          <w:cantSplit/>
          <w:trHeight w:val="0" w:hRule="atLeast"/>
          <w:jc w:val="center"/>
        </w:trPr>
        <w:tc>
          <w:tcPr>
            <w:tcW w:w="2944" w:type="dxa"/>
            <w:tcBorders>
              <w:top w:val="nil"/>
              <w:left w:val="nil"/>
              <w:bottom w:val="nil"/>
              <w:right w:val="nil"/>
            </w:tcBorders>
            <w:shd w:val="clear" w:color="auto" w:fill="auto"/>
            <w:vAlign w:val="center"/>
          </w:tcPr>
          <w:p w14:paraId="29AD29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945" w:type="dxa"/>
            <w:tcBorders>
              <w:top w:val="nil"/>
              <w:left w:val="nil"/>
              <w:bottom w:val="nil"/>
              <w:right w:val="nil"/>
            </w:tcBorders>
            <w:shd w:val="clear" w:color="auto" w:fill="auto"/>
            <w:vAlign w:val="center"/>
          </w:tcPr>
          <w:p w14:paraId="1AF89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E3B228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A948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供应链指标口径与预警规则配置</w:t>
            </w:r>
          </w:p>
        </w:tc>
        <w:tc>
          <w:tcPr>
            <w:tcW w:w="1098" w:type="dxa"/>
            <w:tcBorders>
              <w:top w:val="nil"/>
              <w:left w:val="nil"/>
              <w:bottom w:val="nil"/>
              <w:right w:val="nil"/>
            </w:tcBorders>
            <w:shd w:val="clear" w:color="auto" w:fill="auto"/>
            <w:vAlign w:val="center"/>
          </w:tcPr>
          <w:p w14:paraId="639D50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6E04A3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发布规则版本，保留原版本、生效时间、变更原因、试算和审批记录；发布失败时原有效版本继续生效。</w:t>
            </w:r>
          </w:p>
        </w:tc>
        <w:tc>
          <w:tcPr>
            <w:tcW w:w="1088" w:type="dxa"/>
            <w:tcBorders>
              <w:top w:val="nil"/>
              <w:left w:val="nil"/>
              <w:bottom w:val="nil"/>
              <w:right w:val="nil"/>
            </w:tcBorders>
            <w:shd w:val="clear" w:color="auto" w:fill="auto"/>
            <w:vAlign w:val="center"/>
          </w:tcPr>
          <w:p w14:paraId="281651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6A59E8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D631EF">
        <w:trPr>
          <w:cantSplit/>
          <w:trHeight w:val="0" w:hRule="atLeast"/>
          <w:jc w:val="center"/>
        </w:trPr>
        <w:tc>
          <w:tcPr>
            <w:tcW w:w="2944" w:type="dxa"/>
            <w:tcBorders>
              <w:top w:val="nil"/>
              <w:left w:val="nil"/>
              <w:bottom w:val="nil"/>
              <w:right w:val="nil"/>
            </w:tcBorders>
            <w:shd w:val="clear" w:color="auto" w:fill="auto"/>
            <w:vAlign w:val="center"/>
          </w:tcPr>
          <w:p w14:paraId="2D6E8F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945" w:type="dxa"/>
            <w:tcBorders>
              <w:top w:val="nil"/>
              <w:left w:val="nil"/>
              <w:bottom w:val="nil"/>
              <w:right w:val="nil"/>
            </w:tcBorders>
            <w:shd w:val="clear" w:color="auto" w:fill="auto"/>
            <w:vAlign w:val="center"/>
          </w:tcPr>
          <w:p w14:paraId="03A308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07FDBF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CA4D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1B8A0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080DC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明确使用角色、关注指标、专题页签、筛选条件及展示终端；需求与岗位职责不符时退回补充依据。</w:t>
            </w:r>
          </w:p>
        </w:tc>
        <w:tc>
          <w:tcPr>
            <w:tcW w:w="1088" w:type="dxa"/>
            <w:tcBorders>
              <w:top w:val="nil"/>
              <w:left w:val="nil"/>
              <w:bottom w:val="nil"/>
              <w:right w:val="nil"/>
            </w:tcBorders>
            <w:shd w:val="clear" w:color="auto" w:fill="auto"/>
            <w:vAlign w:val="center"/>
          </w:tcPr>
          <w:p w14:paraId="6B6604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14D57A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52C40">
        <w:trPr>
          <w:cantSplit/>
          <w:trHeight w:val="0" w:hRule="atLeast"/>
          <w:jc w:val="center"/>
        </w:trPr>
        <w:tc>
          <w:tcPr>
            <w:tcW w:w="2944" w:type="dxa"/>
            <w:tcBorders>
              <w:top w:val="nil"/>
              <w:left w:val="nil"/>
              <w:bottom w:val="nil"/>
              <w:right w:val="nil"/>
            </w:tcBorders>
            <w:shd w:val="clear" w:color="auto" w:fill="auto"/>
            <w:vAlign w:val="center"/>
          </w:tcPr>
          <w:p w14:paraId="2ABB8E1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945" w:type="dxa"/>
            <w:tcBorders>
              <w:top w:val="nil"/>
              <w:left w:val="nil"/>
              <w:bottom w:val="nil"/>
              <w:right w:val="nil"/>
            </w:tcBorders>
            <w:shd w:val="clear" w:color="auto" w:fill="auto"/>
            <w:vAlign w:val="center"/>
          </w:tcPr>
          <w:p w14:paraId="30309F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B87C9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8ED9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5801B6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2554D81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使用已发布指标配置全局总览及产销、储运、环保、资金等专题视图；指标尚未发布时先转指标配置流程。</w:t>
            </w:r>
          </w:p>
        </w:tc>
        <w:tc>
          <w:tcPr>
            <w:tcW w:w="1088" w:type="dxa"/>
            <w:tcBorders>
              <w:top w:val="nil"/>
              <w:left w:val="nil"/>
              <w:bottom w:val="nil"/>
              <w:right w:val="nil"/>
            </w:tcBorders>
            <w:shd w:val="clear" w:color="auto" w:fill="auto"/>
            <w:vAlign w:val="center"/>
          </w:tcPr>
          <w:p w14:paraId="0AFA9E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6B2565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17D3C6">
        <w:trPr>
          <w:cantSplit/>
          <w:trHeight w:val="0" w:hRule="atLeast"/>
          <w:jc w:val="center"/>
        </w:trPr>
        <w:tc>
          <w:tcPr>
            <w:tcW w:w="2944" w:type="dxa"/>
            <w:tcBorders>
              <w:top w:val="nil"/>
              <w:left w:val="nil"/>
              <w:bottom w:val="nil"/>
              <w:right w:val="nil"/>
            </w:tcBorders>
            <w:shd w:val="clear" w:color="auto" w:fill="auto"/>
            <w:vAlign w:val="center"/>
          </w:tcPr>
          <w:p w14:paraId="2DF1A7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945" w:type="dxa"/>
            <w:tcBorders>
              <w:top w:val="nil"/>
              <w:left w:val="nil"/>
              <w:bottom w:val="nil"/>
              <w:right w:val="nil"/>
            </w:tcBorders>
            <w:shd w:val="clear" w:color="auto" w:fill="auto"/>
            <w:vAlign w:val="center"/>
          </w:tcPr>
          <w:p w14:paraId="525C81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316410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2ABEBC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1368B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67FCE6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7BE28B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7EEA4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3D7FDB">
        <w:trPr>
          <w:cantSplit/>
          <w:trHeight w:val="0" w:hRule="atLeast"/>
          <w:jc w:val="center"/>
        </w:trPr>
        <w:tc>
          <w:tcPr>
            <w:tcW w:w="2944" w:type="dxa"/>
            <w:tcBorders>
              <w:top w:val="nil"/>
              <w:left w:val="nil"/>
              <w:bottom w:val="nil"/>
              <w:right w:val="nil"/>
            </w:tcBorders>
            <w:shd w:val="clear" w:color="auto" w:fill="auto"/>
            <w:vAlign w:val="center"/>
          </w:tcPr>
          <w:p w14:paraId="7924D3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945" w:type="dxa"/>
            <w:tcBorders>
              <w:top w:val="nil"/>
              <w:left w:val="nil"/>
              <w:bottom w:val="nil"/>
              <w:right w:val="nil"/>
            </w:tcBorders>
            <w:shd w:val="clear" w:color="auto" w:fill="auto"/>
            <w:vAlign w:val="center"/>
          </w:tcPr>
          <w:p w14:paraId="6ED45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B5FC2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940B0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78B56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EA45F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FFB18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611AE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D663A6">
        <w:trPr>
          <w:cantSplit/>
          <w:trHeight w:val="0" w:hRule="atLeast"/>
          <w:jc w:val="center"/>
        </w:trPr>
        <w:tc>
          <w:tcPr>
            <w:tcW w:w="2944" w:type="dxa"/>
            <w:tcBorders>
              <w:top w:val="nil"/>
              <w:left w:val="nil"/>
              <w:bottom w:val="nil"/>
              <w:right w:val="nil"/>
            </w:tcBorders>
            <w:shd w:val="clear" w:color="auto" w:fill="auto"/>
            <w:vAlign w:val="center"/>
          </w:tcPr>
          <w:p w14:paraId="34BC42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945" w:type="dxa"/>
            <w:tcBorders>
              <w:top w:val="nil"/>
              <w:left w:val="nil"/>
              <w:bottom w:val="nil"/>
              <w:right w:val="nil"/>
            </w:tcBorders>
            <w:shd w:val="clear" w:color="auto" w:fill="auto"/>
            <w:vAlign w:val="center"/>
          </w:tcPr>
          <w:p w14:paraId="20A953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1DF077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CB6B0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04F8BE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07F5FA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34CF7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4ABBDD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148D38">
        <w:trPr>
          <w:cantSplit/>
          <w:trHeight w:val="0" w:hRule="atLeast"/>
          <w:jc w:val="center"/>
        </w:trPr>
        <w:tc>
          <w:tcPr>
            <w:tcW w:w="2944" w:type="dxa"/>
            <w:tcBorders>
              <w:top w:val="nil"/>
              <w:left w:val="nil"/>
              <w:bottom w:val="nil"/>
              <w:right w:val="nil"/>
            </w:tcBorders>
            <w:shd w:val="clear" w:color="auto" w:fill="auto"/>
            <w:vAlign w:val="center"/>
          </w:tcPr>
          <w:p w14:paraId="36FE98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945" w:type="dxa"/>
            <w:tcBorders>
              <w:top w:val="nil"/>
              <w:left w:val="nil"/>
              <w:bottom w:val="nil"/>
              <w:right w:val="nil"/>
            </w:tcBorders>
            <w:shd w:val="clear" w:color="auto" w:fill="auto"/>
            <w:vAlign w:val="center"/>
          </w:tcPr>
          <w:p w14:paraId="7B5E45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F02836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61D49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9043A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D5FC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4DC6DA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2AC2FB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9010AD">
        <w:trPr>
          <w:cantSplit/>
          <w:trHeight w:val="0" w:hRule="atLeast"/>
          <w:jc w:val="center"/>
        </w:trPr>
        <w:tc>
          <w:tcPr>
            <w:tcW w:w="2944" w:type="dxa"/>
            <w:tcBorders>
              <w:top w:val="nil"/>
              <w:left w:val="nil"/>
              <w:bottom w:val="nil"/>
              <w:right w:val="nil"/>
            </w:tcBorders>
            <w:shd w:val="clear" w:color="auto" w:fill="auto"/>
            <w:vAlign w:val="center"/>
          </w:tcPr>
          <w:p w14:paraId="044042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945" w:type="dxa"/>
            <w:tcBorders>
              <w:top w:val="nil"/>
              <w:left w:val="nil"/>
              <w:bottom w:val="nil"/>
              <w:right w:val="nil"/>
            </w:tcBorders>
            <w:shd w:val="clear" w:color="auto" w:fill="auto"/>
            <w:vAlign w:val="center"/>
          </w:tcPr>
          <w:p w14:paraId="40264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B1CEBE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721B1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角色看板与专题视图配置</w:t>
            </w:r>
          </w:p>
        </w:tc>
        <w:tc>
          <w:tcPr>
            <w:tcW w:w="1098" w:type="dxa"/>
            <w:tcBorders>
              <w:top w:val="nil"/>
              <w:left w:val="nil"/>
              <w:bottom w:val="nil"/>
              <w:right w:val="nil"/>
            </w:tcBorders>
            <w:shd w:val="clear" w:color="auto" w:fill="auto"/>
            <w:vAlign w:val="center"/>
          </w:tcPr>
          <w:p w14:paraId="308139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0186FF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E9C2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61B0CA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7ABCE9">
        <w:trPr>
          <w:cantSplit/>
          <w:trHeight w:val="0" w:hRule="atLeast"/>
          <w:jc w:val="center"/>
        </w:trPr>
        <w:tc>
          <w:tcPr>
            <w:tcW w:w="2944" w:type="dxa"/>
            <w:tcBorders>
              <w:top w:val="nil"/>
              <w:left w:val="nil"/>
              <w:bottom w:val="nil"/>
              <w:right w:val="nil"/>
            </w:tcBorders>
            <w:shd w:val="clear" w:color="auto" w:fill="auto"/>
            <w:vAlign w:val="center"/>
          </w:tcPr>
          <w:p w14:paraId="662919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945" w:type="dxa"/>
            <w:tcBorders>
              <w:top w:val="nil"/>
              <w:left w:val="nil"/>
              <w:bottom w:val="nil"/>
              <w:right w:val="nil"/>
            </w:tcBorders>
            <w:shd w:val="clear" w:color="auto" w:fill="auto"/>
            <w:vAlign w:val="center"/>
          </w:tcPr>
          <w:p w14:paraId="5F43BA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D834A4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4049B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26CB8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37C3BD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3649D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50BFACF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DB02C7B">
        <w:trPr>
          <w:cantSplit/>
          <w:trHeight w:val="0" w:hRule="atLeast"/>
          <w:jc w:val="center"/>
        </w:trPr>
        <w:tc>
          <w:tcPr>
            <w:tcW w:w="2944" w:type="dxa"/>
            <w:tcBorders>
              <w:top w:val="nil"/>
              <w:left w:val="nil"/>
              <w:bottom w:val="nil"/>
              <w:right w:val="nil"/>
            </w:tcBorders>
            <w:shd w:val="clear" w:color="auto" w:fill="auto"/>
            <w:vAlign w:val="center"/>
          </w:tcPr>
          <w:p w14:paraId="0EA5375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945" w:type="dxa"/>
            <w:tcBorders>
              <w:top w:val="nil"/>
              <w:left w:val="nil"/>
              <w:bottom w:val="nil"/>
              <w:right w:val="nil"/>
            </w:tcBorders>
            <w:shd w:val="clear" w:color="auto" w:fill="auto"/>
            <w:vAlign w:val="center"/>
          </w:tcPr>
          <w:p w14:paraId="6F664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42FED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6FE38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5A78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5B158E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计算产销达成率、库存周转天数、准时交付率等核心指标；指标所需关键数据不完整时该指标标记“数据异常”，不使用人工值替代。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3482C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70771C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0F29AD">
        <w:trPr>
          <w:cantSplit/>
          <w:trHeight w:val="0" w:hRule="atLeast"/>
          <w:jc w:val="center"/>
        </w:trPr>
        <w:tc>
          <w:tcPr>
            <w:tcW w:w="2944" w:type="dxa"/>
            <w:tcBorders>
              <w:top w:val="nil"/>
              <w:left w:val="nil"/>
              <w:bottom w:val="nil"/>
              <w:right w:val="nil"/>
            </w:tcBorders>
            <w:shd w:val="clear" w:color="auto" w:fill="auto"/>
            <w:vAlign w:val="center"/>
          </w:tcPr>
          <w:p w14:paraId="5B259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945" w:type="dxa"/>
            <w:tcBorders>
              <w:top w:val="nil"/>
              <w:left w:val="nil"/>
              <w:bottom w:val="nil"/>
              <w:right w:val="nil"/>
            </w:tcBorders>
            <w:shd w:val="clear" w:color="auto" w:fill="auto"/>
            <w:vAlign w:val="center"/>
          </w:tcPr>
          <w:p w14:paraId="71B229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30087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06934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28B85A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7D5A6E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29DB79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279409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02DDC1">
        <w:trPr>
          <w:cantSplit/>
          <w:trHeight w:val="0" w:hRule="atLeast"/>
          <w:jc w:val="center"/>
        </w:trPr>
        <w:tc>
          <w:tcPr>
            <w:tcW w:w="2944" w:type="dxa"/>
            <w:tcBorders>
              <w:top w:val="nil"/>
              <w:left w:val="nil"/>
              <w:bottom w:val="nil"/>
              <w:right w:val="nil"/>
            </w:tcBorders>
            <w:shd w:val="clear" w:color="auto" w:fill="auto"/>
            <w:vAlign w:val="center"/>
          </w:tcPr>
          <w:p w14:paraId="591B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945" w:type="dxa"/>
            <w:tcBorders>
              <w:top w:val="nil"/>
              <w:left w:val="nil"/>
              <w:bottom w:val="nil"/>
              <w:right w:val="nil"/>
            </w:tcBorders>
            <w:shd w:val="clear" w:color="auto" w:fill="auto"/>
            <w:vAlign w:val="center"/>
          </w:tcPr>
          <w:p w14:paraId="7548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9314F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13F2B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3A9113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02307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3965D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106FB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DBE5B9">
        <w:trPr>
          <w:cantSplit/>
          <w:trHeight w:val="0" w:hRule="atLeast"/>
          <w:jc w:val="center"/>
        </w:trPr>
        <w:tc>
          <w:tcPr>
            <w:tcW w:w="2944" w:type="dxa"/>
            <w:tcBorders>
              <w:top w:val="nil"/>
              <w:left w:val="nil"/>
              <w:bottom w:val="nil"/>
              <w:right w:val="nil"/>
            </w:tcBorders>
            <w:shd w:val="clear" w:color="auto" w:fill="auto"/>
            <w:vAlign w:val="center"/>
          </w:tcPr>
          <w:p w14:paraId="7AC532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945" w:type="dxa"/>
            <w:tcBorders>
              <w:top w:val="nil"/>
              <w:left w:val="nil"/>
              <w:bottom w:val="nil"/>
              <w:right w:val="nil"/>
            </w:tcBorders>
            <w:shd w:val="clear" w:color="auto" w:fill="auto"/>
            <w:vAlign w:val="center"/>
          </w:tcPr>
          <w:p w14:paraId="344A12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1AC55E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AC966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088C9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440384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692DBC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7A7DBAF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BA309D">
        <w:trPr>
          <w:cantSplit/>
          <w:trHeight w:val="0" w:hRule="atLeast"/>
          <w:jc w:val="center"/>
        </w:trPr>
        <w:tc>
          <w:tcPr>
            <w:tcW w:w="2944" w:type="dxa"/>
            <w:tcBorders>
              <w:top w:val="nil"/>
              <w:left w:val="nil"/>
              <w:bottom w:val="nil"/>
              <w:right w:val="nil"/>
            </w:tcBorders>
            <w:shd w:val="clear" w:color="auto" w:fill="auto"/>
            <w:vAlign w:val="center"/>
          </w:tcPr>
          <w:p w14:paraId="7A7C013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945" w:type="dxa"/>
            <w:tcBorders>
              <w:top w:val="nil"/>
              <w:left w:val="nil"/>
              <w:bottom w:val="nil"/>
              <w:right w:val="nil"/>
            </w:tcBorders>
            <w:shd w:val="clear" w:color="auto" w:fill="auto"/>
            <w:vAlign w:val="center"/>
          </w:tcPr>
          <w:p w14:paraId="735530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9CB074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EAC90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6A681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6E0AFD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13643F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2C29C5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24A965">
        <w:trPr>
          <w:cantSplit/>
          <w:trHeight w:val="0" w:hRule="atLeast"/>
          <w:jc w:val="center"/>
        </w:trPr>
        <w:tc>
          <w:tcPr>
            <w:tcW w:w="2944" w:type="dxa"/>
            <w:tcBorders>
              <w:top w:val="nil"/>
              <w:left w:val="nil"/>
              <w:bottom w:val="nil"/>
              <w:right w:val="nil"/>
            </w:tcBorders>
            <w:shd w:val="clear" w:color="auto" w:fill="auto"/>
            <w:vAlign w:val="center"/>
          </w:tcPr>
          <w:p w14:paraId="4C135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945" w:type="dxa"/>
            <w:tcBorders>
              <w:top w:val="nil"/>
              <w:left w:val="nil"/>
              <w:bottom w:val="nil"/>
              <w:right w:val="nil"/>
            </w:tcBorders>
            <w:shd w:val="clear" w:color="auto" w:fill="auto"/>
            <w:vAlign w:val="center"/>
          </w:tcPr>
          <w:p w14:paraId="0000DA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B9748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E5775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供应链全局态势监测</w:t>
            </w:r>
          </w:p>
        </w:tc>
        <w:tc>
          <w:tcPr>
            <w:tcW w:w="1098" w:type="dxa"/>
            <w:tcBorders>
              <w:top w:val="nil"/>
              <w:left w:val="nil"/>
              <w:bottom w:val="nil"/>
              <w:right w:val="nil"/>
            </w:tcBorders>
            <w:shd w:val="clear" w:color="auto" w:fill="auto"/>
            <w:vAlign w:val="center"/>
          </w:tcPr>
          <w:p w14:paraId="5C419C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25E1E9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787E9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40F59E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EF5399">
        <w:trPr>
          <w:cantSplit/>
          <w:trHeight w:val="0" w:hRule="atLeast"/>
          <w:jc w:val="center"/>
        </w:trPr>
        <w:tc>
          <w:tcPr>
            <w:tcW w:w="2944" w:type="dxa"/>
            <w:tcBorders>
              <w:top w:val="nil"/>
              <w:left w:val="nil"/>
              <w:bottom w:val="nil"/>
              <w:right w:val="nil"/>
            </w:tcBorders>
            <w:shd w:val="clear" w:color="auto" w:fill="auto"/>
            <w:vAlign w:val="center"/>
          </w:tcPr>
          <w:p w14:paraId="01BBB9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945" w:type="dxa"/>
            <w:tcBorders>
              <w:top w:val="nil"/>
              <w:left w:val="nil"/>
              <w:bottom w:val="nil"/>
              <w:right w:val="nil"/>
            </w:tcBorders>
            <w:shd w:val="clear" w:color="auto" w:fill="auto"/>
            <w:vAlign w:val="center"/>
          </w:tcPr>
          <w:p w14:paraId="21098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55310C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2622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D2804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4810E6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B166F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43086A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2166D0">
        <w:trPr>
          <w:cantSplit/>
          <w:trHeight w:val="0" w:hRule="atLeast"/>
          <w:jc w:val="center"/>
        </w:trPr>
        <w:tc>
          <w:tcPr>
            <w:tcW w:w="2944" w:type="dxa"/>
            <w:tcBorders>
              <w:top w:val="nil"/>
              <w:left w:val="nil"/>
              <w:bottom w:val="nil"/>
              <w:right w:val="nil"/>
            </w:tcBorders>
            <w:shd w:val="clear" w:color="auto" w:fill="auto"/>
            <w:vAlign w:val="center"/>
          </w:tcPr>
          <w:p w14:paraId="4ABAC3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945" w:type="dxa"/>
            <w:tcBorders>
              <w:top w:val="nil"/>
              <w:left w:val="nil"/>
              <w:bottom w:val="nil"/>
              <w:right w:val="nil"/>
            </w:tcBorders>
            <w:shd w:val="clear" w:color="auto" w:fill="auto"/>
            <w:vAlign w:val="center"/>
          </w:tcPr>
          <w:p w14:paraId="634B6A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6AAB13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433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D8A20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26FBB7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7598D9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7E8006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226BB72">
        <w:trPr>
          <w:cantSplit/>
          <w:trHeight w:val="0" w:hRule="atLeast"/>
          <w:jc w:val="center"/>
        </w:trPr>
        <w:tc>
          <w:tcPr>
            <w:tcW w:w="2944" w:type="dxa"/>
            <w:tcBorders>
              <w:top w:val="nil"/>
              <w:left w:val="nil"/>
              <w:bottom w:val="nil"/>
              <w:right w:val="nil"/>
            </w:tcBorders>
            <w:shd w:val="clear" w:color="auto" w:fill="auto"/>
            <w:vAlign w:val="center"/>
          </w:tcPr>
          <w:p w14:paraId="04A8D2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945" w:type="dxa"/>
            <w:tcBorders>
              <w:top w:val="nil"/>
              <w:left w:val="nil"/>
              <w:bottom w:val="nil"/>
              <w:right w:val="nil"/>
            </w:tcBorders>
            <w:shd w:val="clear" w:color="auto" w:fill="auto"/>
            <w:vAlign w:val="center"/>
          </w:tcPr>
          <w:p w14:paraId="3735C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CB0B5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DDD6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1B854F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72FF656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按总览、专题、明细和源单据的层级逐步追溯；源系统不可用时保留驾驶舱已获取的明细和数据时间。</w:t>
            </w:r>
          </w:p>
        </w:tc>
        <w:tc>
          <w:tcPr>
            <w:tcW w:w="1088" w:type="dxa"/>
            <w:tcBorders>
              <w:top w:val="nil"/>
              <w:left w:val="nil"/>
              <w:bottom w:val="nil"/>
              <w:right w:val="nil"/>
            </w:tcBorders>
            <w:shd w:val="clear" w:color="auto" w:fill="auto"/>
            <w:vAlign w:val="center"/>
          </w:tcPr>
          <w:p w14:paraId="75F3BE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0539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CA3EB2">
        <w:trPr>
          <w:cantSplit/>
          <w:trHeight w:val="0" w:hRule="atLeast"/>
          <w:jc w:val="center"/>
        </w:trPr>
        <w:tc>
          <w:tcPr>
            <w:tcW w:w="2944" w:type="dxa"/>
            <w:tcBorders>
              <w:top w:val="nil"/>
              <w:left w:val="nil"/>
              <w:bottom w:val="nil"/>
              <w:right w:val="nil"/>
            </w:tcBorders>
            <w:shd w:val="clear" w:color="auto" w:fill="auto"/>
            <w:vAlign w:val="center"/>
          </w:tcPr>
          <w:p w14:paraId="28E7D3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945" w:type="dxa"/>
            <w:tcBorders>
              <w:top w:val="nil"/>
              <w:left w:val="nil"/>
              <w:bottom w:val="nil"/>
              <w:right w:val="nil"/>
            </w:tcBorders>
            <w:shd w:val="clear" w:color="auto" w:fill="auto"/>
            <w:vAlign w:val="center"/>
          </w:tcPr>
          <w:p w14:paraId="1ED1E3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D48A4E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693BC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4657F3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32F9E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75EA9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7700ED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2AB7C9">
        <w:trPr>
          <w:cantSplit/>
          <w:trHeight w:val="0" w:hRule="atLeast"/>
          <w:jc w:val="center"/>
        </w:trPr>
        <w:tc>
          <w:tcPr>
            <w:tcW w:w="2944" w:type="dxa"/>
            <w:tcBorders>
              <w:top w:val="nil"/>
              <w:left w:val="nil"/>
              <w:bottom w:val="nil"/>
              <w:right w:val="nil"/>
            </w:tcBorders>
            <w:shd w:val="clear" w:color="auto" w:fill="auto"/>
            <w:vAlign w:val="center"/>
          </w:tcPr>
          <w:p w14:paraId="6A473D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945" w:type="dxa"/>
            <w:tcBorders>
              <w:top w:val="nil"/>
              <w:left w:val="nil"/>
              <w:bottom w:val="nil"/>
              <w:right w:val="nil"/>
            </w:tcBorders>
            <w:shd w:val="clear" w:color="auto" w:fill="auto"/>
            <w:vAlign w:val="center"/>
          </w:tcPr>
          <w:p w14:paraId="11EB0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812080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FD9A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0FB6B1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18A471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47AE38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7A2B3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E7229B">
        <w:trPr>
          <w:cantSplit/>
          <w:trHeight w:val="0" w:hRule="atLeast"/>
          <w:jc w:val="center"/>
        </w:trPr>
        <w:tc>
          <w:tcPr>
            <w:tcW w:w="2944" w:type="dxa"/>
            <w:tcBorders>
              <w:top w:val="nil"/>
              <w:left w:val="nil"/>
              <w:bottom w:val="nil"/>
              <w:right w:val="nil"/>
            </w:tcBorders>
            <w:shd w:val="clear" w:color="auto" w:fill="auto"/>
            <w:vAlign w:val="center"/>
          </w:tcPr>
          <w:p w14:paraId="328CCB7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945" w:type="dxa"/>
            <w:tcBorders>
              <w:top w:val="nil"/>
              <w:left w:val="nil"/>
              <w:bottom w:val="nil"/>
              <w:right w:val="nil"/>
            </w:tcBorders>
            <w:shd w:val="clear" w:color="auto" w:fill="auto"/>
            <w:vAlign w:val="center"/>
          </w:tcPr>
          <w:p w14:paraId="26C968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4B176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4EF5AF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1F9B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7E3E4A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4C8E75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211B1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8B86C">
        <w:trPr>
          <w:cantSplit/>
          <w:trHeight w:val="0" w:hRule="atLeast"/>
          <w:jc w:val="center"/>
        </w:trPr>
        <w:tc>
          <w:tcPr>
            <w:tcW w:w="2944" w:type="dxa"/>
            <w:tcBorders>
              <w:top w:val="nil"/>
              <w:left w:val="nil"/>
              <w:bottom w:val="nil"/>
              <w:right w:val="nil"/>
            </w:tcBorders>
            <w:shd w:val="clear" w:color="auto" w:fill="auto"/>
            <w:vAlign w:val="center"/>
          </w:tcPr>
          <w:p w14:paraId="127133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945" w:type="dxa"/>
            <w:tcBorders>
              <w:top w:val="nil"/>
              <w:left w:val="nil"/>
              <w:bottom w:val="nil"/>
              <w:right w:val="nil"/>
            </w:tcBorders>
            <w:shd w:val="clear" w:color="auto" w:fill="auto"/>
            <w:vAlign w:val="center"/>
          </w:tcPr>
          <w:p w14:paraId="2903D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7FEF9E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84B3F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供应链指标异常追溯分析</w:t>
            </w:r>
          </w:p>
        </w:tc>
        <w:tc>
          <w:tcPr>
            <w:tcW w:w="1098" w:type="dxa"/>
            <w:tcBorders>
              <w:top w:val="nil"/>
              <w:left w:val="nil"/>
              <w:bottom w:val="nil"/>
              <w:right w:val="nil"/>
            </w:tcBorders>
            <w:shd w:val="clear" w:color="auto" w:fill="auto"/>
            <w:vAlign w:val="center"/>
          </w:tcPr>
          <w:p w14:paraId="643F1D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12DA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75DCAB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3E26919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B7E84B">
        <w:trPr>
          <w:cantSplit/>
          <w:trHeight w:val="0" w:hRule="atLeast"/>
          <w:jc w:val="center"/>
        </w:trPr>
        <w:tc>
          <w:tcPr>
            <w:tcW w:w="2944" w:type="dxa"/>
            <w:tcBorders>
              <w:top w:val="nil"/>
              <w:left w:val="nil"/>
              <w:bottom w:val="nil"/>
              <w:right w:val="nil"/>
            </w:tcBorders>
            <w:shd w:val="clear" w:color="auto" w:fill="auto"/>
            <w:vAlign w:val="center"/>
          </w:tcPr>
          <w:p w14:paraId="088280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945" w:type="dxa"/>
            <w:tcBorders>
              <w:top w:val="nil"/>
              <w:left w:val="nil"/>
              <w:bottom w:val="nil"/>
              <w:right w:val="nil"/>
            </w:tcBorders>
            <w:shd w:val="clear" w:color="auto" w:fill="auto"/>
            <w:vAlign w:val="center"/>
          </w:tcPr>
          <w:p w14:paraId="74D37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44EB1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8487B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36975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445B15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接收供应、库存、订单、产线和运输等预警事件；事件字段不完整时进入待核实队列。</w:t>
            </w:r>
          </w:p>
        </w:tc>
        <w:tc>
          <w:tcPr>
            <w:tcW w:w="1088" w:type="dxa"/>
            <w:tcBorders>
              <w:top w:val="nil"/>
              <w:left w:val="nil"/>
              <w:bottom w:val="nil"/>
              <w:right w:val="nil"/>
            </w:tcBorders>
            <w:shd w:val="clear" w:color="auto" w:fill="auto"/>
            <w:vAlign w:val="center"/>
          </w:tcPr>
          <w:p w14:paraId="3A386E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35335DC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907730">
        <w:trPr>
          <w:cantSplit/>
          <w:trHeight w:val="0" w:hRule="atLeast"/>
          <w:jc w:val="center"/>
        </w:trPr>
        <w:tc>
          <w:tcPr>
            <w:tcW w:w="2944" w:type="dxa"/>
            <w:tcBorders>
              <w:top w:val="nil"/>
              <w:left w:val="nil"/>
              <w:bottom w:val="nil"/>
              <w:right w:val="nil"/>
            </w:tcBorders>
            <w:shd w:val="clear" w:color="auto" w:fill="auto"/>
            <w:vAlign w:val="center"/>
          </w:tcPr>
          <w:p w14:paraId="2C39D1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945" w:type="dxa"/>
            <w:tcBorders>
              <w:top w:val="nil"/>
              <w:left w:val="nil"/>
              <w:bottom w:val="nil"/>
              <w:right w:val="nil"/>
            </w:tcBorders>
            <w:shd w:val="clear" w:color="auto" w:fill="auto"/>
            <w:vAlign w:val="center"/>
          </w:tcPr>
          <w:p w14:paraId="7D2568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AA25CE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09C80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6B03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0F8C63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1680F1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1F4164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3ADFBF">
        <w:trPr>
          <w:cantSplit/>
          <w:trHeight w:val="0" w:hRule="atLeast"/>
          <w:jc w:val="center"/>
        </w:trPr>
        <w:tc>
          <w:tcPr>
            <w:tcW w:w="2944" w:type="dxa"/>
            <w:tcBorders>
              <w:top w:val="nil"/>
              <w:left w:val="nil"/>
              <w:bottom w:val="nil"/>
              <w:right w:val="nil"/>
            </w:tcBorders>
            <w:shd w:val="clear" w:color="auto" w:fill="auto"/>
            <w:vAlign w:val="center"/>
          </w:tcPr>
          <w:p w14:paraId="11BFBB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945" w:type="dxa"/>
            <w:tcBorders>
              <w:top w:val="nil"/>
              <w:left w:val="nil"/>
              <w:bottom w:val="nil"/>
              <w:right w:val="nil"/>
            </w:tcBorders>
            <w:shd w:val="clear" w:color="auto" w:fill="auto"/>
            <w:vAlign w:val="center"/>
          </w:tcPr>
          <w:p w14:paraId="6F132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16AAEA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45E7AE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706BCB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09D10C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02D0C3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A44A3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008D3F">
        <w:trPr>
          <w:cantSplit/>
          <w:trHeight w:val="0" w:hRule="atLeast"/>
          <w:jc w:val="center"/>
        </w:trPr>
        <w:tc>
          <w:tcPr>
            <w:tcW w:w="2944" w:type="dxa"/>
            <w:tcBorders>
              <w:top w:val="nil"/>
              <w:left w:val="nil"/>
              <w:bottom w:val="nil"/>
              <w:right w:val="nil"/>
            </w:tcBorders>
            <w:shd w:val="clear" w:color="auto" w:fill="auto"/>
            <w:vAlign w:val="center"/>
          </w:tcPr>
          <w:p w14:paraId="10398A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945" w:type="dxa"/>
            <w:tcBorders>
              <w:top w:val="nil"/>
              <w:left w:val="nil"/>
              <w:bottom w:val="nil"/>
              <w:right w:val="nil"/>
            </w:tcBorders>
            <w:shd w:val="clear" w:color="auto" w:fill="auto"/>
            <w:vAlign w:val="center"/>
          </w:tcPr>
          <w:p w14:paraId="3D27F7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711959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9F03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545EE6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655308D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67EEA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5A0372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C2DD7D">
        <w:trPr>
          <w:cantSplit/>
          <w:trHeight w:val="0" w:hRule="atLeast"/>
          <w:jc w:val="center"/>
        </w:trPr>
        <w:tc>
          <w:tcPr>
            <w:tcW w:w="2944" w:type="dxa"/>
            <w:tcBorders>
              <w:top w:val="nil"/>
              <w:left w:val="nil"/>
              <w:bottom w:val="nil"/>
              <w:right w:val="nil"/>
            </w:tcBorders>
            <w:shd w:val="clear" w:color="auto" w:fill="auto"/>
            <w:vAlign w:val="center"/>
          </w:tcPr>
          <w:p w14:paraId="2EFA8A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945" w:type="dxa"/>
            <w:tcBorders>
              <w:top w:val="nil"/>
              <w:left w:val="nil"/>
              <w:bottom w:val="nil"/>
              <w:right w:val="nil"/>
            </w:tcBorders>
            <w:shd w:val="clear" w:color="auto" w:fill="auto"/>
            <w:vAlign w:val="center"/>
          </w:tcPr>
          <w:p w14:paraId="3CAD5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19F6C2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498B03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28645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4E424B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171065E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59041F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7B0F2A">
        <w:trPr>
          <w:cantSplit/>
          <w:trHeight w:val="0" w:hRule="atLeast"/>
          <w:jc w:val="center"/>
        </w:trPr>
        <w:tc>
          <w:tcPr>
            <w:tcW w:w="2944" w:type="dxa"/>
            <w:tcBorders>
              <w:top w:val="nil"/>
              <w:left w:val="nil"/>
              <w:bottom w:val="nil"/>
              <w:right w:val="nil"/>
            </w:tcBorders>
            <w:shd w:val="clear" w:color="auto" w:fill="auto"/>
            <w:vAlign w:val="center"/>
          </w:tcPr>
          <w:p w14:paraId="1777F1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945" w:type="dxa"/>
            <w:tcBorders>
              <w:top w:val="nil"/>
              <w:left w:val="nil"/>
              <w:bottom w:val="nil"/>
              <w:right w:val="nil"/>
            </w:tcBorders>
            <w:shd w:val="clear" w:color="auto" w:fill="auto"/>
            <w:vAlign w:val="center"/>
          </w:tcPr>
          <w:p w14:paraId="432993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596DF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B7571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供应链预警分级与处置派发</w:t>
            </w:r>
          </w:p>
        </w:tc>
        <w:tc>
          <w:tcPr>
            <w:tcW w:w="1098" w:type="dxa"/>
            <w:tcBorders>
              <w:top w:val="nil"/>
              <w:left w:val="nil"/>
              <w:bottom w:val="nil"/>
              <w:right w:val="nil"/>
            </w:tcBorders>
            <w:shd w:val="clear" w:color="auto" w:fill="auto"/>
            <w:vAlign w:val="center"/>
          </w:tcPr>
          <w:p w14:paraId="4C1020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499080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489C5E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1C5683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B8474">
        <w:trPr>
          <w:cantSplit/>
          <w:trHeight w:val="0" w:hRule="atLeast"/>
          <w:jc w:val="center"/>
        </w:trPr>
        <w:tc>
          <w:tcPr>
            <w:tcW w:w="2944" w:type="dxa"/>
            <w:tcBorders>
              <w:top w:val="nil"/>
              <w:left w:val="nil"/>
              <w:bottom w:val="nil"/>
              <w:right w:val="nil"/>
            </w:tcBorders>
            <w:shd w:val="clear" w:color="auto" w:fill="auto"/>
            <w:vAlign w:val="center"/>
          </w:tcPr>
          <w:p w14:paraId="70F44A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945" w:type="dxa"/>
            <w:tcBorders>
              <w:top w:val="nil"/>
              <w:left w:val="nil"/>
              <w:bottom w:val="nil"/>
              <w:right w:val="nil"/>
            </w:tcBorders>
            <w:shd w:val="clear" w:color="auto" w:fill="auto"/>
            <w:vAlign w:val="center"/>
          </w:tcPr>
          <w:p w14:paraId="68FDD7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A845B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1F65B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供应链预警接入与处置派发</w:t>
            </w:r>
          </w:p>
        </w:tc>
        <w:tc>
          <w:tcPr>
            <w:tcW w:w="1098" w:type="dxa"/>
            <w:tcBorders>
              <w:top w:val="nil"/>
              <w:left w:val="nil"/>
              <w:bottom w:val="nil"/>
              <w:right w:val="nil"/>
            </w:tcBorders>
            <w:shd w:val="clear" w:color="auto" w:fill="auto"/>
            <w:vAlign w:val="center"/>
          </w:tcPr>
          <w:p w14:paraId="1A9851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BCDE5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1BF6F9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57DCF8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E6D7BE">
        <w:trPr>
          <w:cantSplit/>
          <w:trHeight w:val="0" w:hRule="atLeast"/>
          <w:jc w:val="center"/>
        </w:trPr>
        <w:tc>
          <w:tcPr>
            <w:tcW w:w="2944" w:type="dxa"/>
            <w:tcBorders>
              <w:top w:val="nil"/>
              <w:left w:val="nil"/>
              <w:bottom w:val="nil"/>
              <w:right w:val="nil"/>
            </w:tcBorders>
            <w:shd w:val="clear" w:color="auto" w:fill="auto"/>
            <w:vAlign w:val="center"/>
          </w:tcPr>
          <w:p w14:paraId="134DFA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945" w:type="dxa"/>
            <w:tcBorders>
              <w:top w:val="nil"/>
              <w:left w:val="nil"/>
              <w:bottom w:val="nil"/>
              <w:right w:val="nil"/>
            </w:tcBorders>
            <w:shd w:val="clear" w:color="auto" w:fill="auto"/>
            <w:vAlign w:val="center"/>
          </w:tcPr>
          <w:p w14:paraId="1B09CC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18859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0DACA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107E6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7B138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251BD5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3C0384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CACC5">
        <w:trPr>
          <w:cantSplit/>
          <w:trHeight w:val="0" w:hRule="atLeast"/>
          <w:jc w:val="center"/>
        </w:trPr>
        <w:tc>
          <w:tcPr>
            <w:tcW w:w="2944" w:type="dxa"/>
            <w:tcBorders>
              <w:top w:val="nil"/>
              <w:left w:val="nil"/>
              <w:bottom w:val="nil"/>
              <w:right w:val="nil"/>
            </w:tcBorders>
            <w:shd w:val="clear" w:color="auto" w:fill="auto"/>
            <w:vAlign w:val="center"/>
          </w:tcPr>
          <w:p w14:paraId="59D9C6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945" w:type="dxa"/>
            <w:tcBorders>
              <w:top w:val="nil"/>
              <w:left w:val="nil"/>
              <w:bottom w:val="nil"/>
              <w:right w:val="nil"/>
            </w:tcBorders>
            <w:shd w:val="clear" w:color="auto" w:fill="auto"/>
            <w:vAlign w:val="center"/>
          </w:tcPr>
          <w:p w14:paraId="62DB65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664C72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289C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34E26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091BBB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在相关模块完成采购、补货、排程或质量等业务处置；处置受阻时说明原因和所需协同资源。</w:t>
            </w:r>
          </w:p>
        </w:tc>
        <w:tc>
          <w:tcPr>
            <w:tcW w:w="1088" w:type="dxa"/>
            <w:tcBorders>
              <w:top w:val="nil"/>
              <w:left w:val="nil"/>
              <w:bottom w:val="nil"/>
              <w:right w:val="nil"/>
            </w:tcBorders>
            <w:shd w:val="clear" w:color="auto" w:fill="auto"/>
            <w:vAlign w:val="center"/>
          </w:tcPr>
          <w:p w14:paraId="211530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7CD283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FEFF54">
        <w:trPr>
          <w:cantSplit/>
          <w:trHeight w:val="0" w:hRule="atLeast"/>
          <w:jc w:val="center"/>
        </w:trPr>
        <w:tc>
          <w:tcPr>
            <w:tcW w:w="2944" w:type="dxa"/>
            <w:tcBorders>
              <w:top w:val="nil"/>
              <w:left w:val="nil"/>
              <w:bottom w:val="nil"/>
              <w:right w:val="nil"/>
            </w:tcBorders>
            <w:shd w:val="clear" w:color="auto" w:fill="auto"/>
            <w:vAlign w:val="center"/>
          </w:tcPr>
          <w:p w14:paraId="0937E6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945" w:type="dxa"/>
            <w:tcBorders>
              <w:top w:val="nil"/>
              <w:left w:val="nil"/>
              <w:bottom w:val="nil"/>
              <w:right w:val="nil"/>
            </w:tcBorders>
            <w:shd w:val="clear" w:color="auto" w:fill="auto"/>
            <w:vAlign w:val="center"/>
          </w:tcPr>
          <w:p w14:paraId="2B3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AFEFF6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C7CE8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16EA9A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7FF88E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03A592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6ED59A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0DBEC">
        <w:trPr>
          <w:cantSplit/>
          <w:trHeight w:val="0" w:hRule="atLeast"/>
          <w:jc w:val="center"/>
        </w:trPr>
        <w:tc>
          <w:tcPr>
            <w:tcW w:w="2944" w:type="dxa"/>
            <w:tcBorders>
              <w:top w:val="nil"/>
              <w:left w:val="nil"/>
              <w:bottom w:val="nil"/>
              <w:right w:val="nil"/>
            </w:tcBorders>
            <w:shd w:val="clear" w:color="auto" w:fill="auto"/>
            <w:vAlign w:val="center"/>
          </w:tcPr>
          <w:p w14:paraId="61449E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945" w:type="dxa"/>
            <w:tcBorders>
              <w:top w:val="nil"/>
              <w:left w:val="nil"/>
              <w:bottom w:val="nil"/>
              <w:right w:val="nil"/>
            </w:tcBorders>
            <w:shd w:val="clear" w:color="auto" w:fill="auto"/>
            <w:vAlign w:val="center"/>
          </w:tcPr>
          <w:p w14:paraId="1B9D78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76CEC4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9B026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2864D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740230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0A62D0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6B5779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F54C48">
        <w:trPr>
          <w:cantSplit/>
          <w:trHeight w:val="0" w:hRule="atLeast"/>
          <w:jc w:val="center"/>
        </w:trPr>
        <w:tc>
          <w:tcPr>
            <w:tcW w:w="2944" w:type="dxa"/>
            <w:tcBorders>
              <w:top w:val="nil"/>
              <w:left w:val="nil"/>
              <w:bottom w:val="nil"/>
              <w:right w:val="nil"/>
            </w:tcBorders>
            <w:shd w:val="clear" w:color="auto" w:fill="auto"/>
            <w:vAlign w:val="center"/>
          </w:tcPr>
          <w:p w14:paraId="497CC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945" w:type="dxa"/>
            <w:tcBorders>
              <w:top w:val="nil"/>
              <w:left w:val="nil"/>
              <w:bottom w:val="nil"/>
              <w:right w:val="nil"/>
            </w:tcBorders>
            <w:shd w:val="clear" w:color="auto" w:fill="auto"/>
            <w:vAlign w:val="center"/>
          </w:tcPr>
          <w:p w14:paraId="50A0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08FAF7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B4B7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6F18D12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3C2F06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0E976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01E71BC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DE9EF">
        <w:trPr>
          <w:cantSplit/>
          <w:trHeight w:val="0" w:hRule="atLeast"/>
          <w:jc w:val="center"/>
        </w:trPr>
        <w:tc>
          <w:tcPr>
            <w:tcW w:w="2944" w:type="dxa"/>
            <w:tcBorders>
              <w:top w:val="nil"/>
              <w:left w:val="nil"/>
              <w:bottom w:val="nil"/>
              <w:right w:val="nil"/>
            </w:tcBorders>
            <w:shd w:val="clear" w:color="auto" w:fill="auto"/>
            <w:vAlign w:val="center"/>
          </w:tcPr>
          <w:p w14:paraId="1E83A2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945" w:type="dxa"/>
            <w:tcBorders>
              <w:top w:val="nil"/>
              <w:left w:val="nil"/>
              <w:bottom w:val="nil"/>
              <w:right w:val="nil"/>
            </w:tcBorders>
            <w:shd w:val="clear" w:color="auto" w:fill="auto"/>
            <w:vAlign w:val="center"/>
          </w:tcPr>
          <w:p w14:paraId="476E7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428747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45AA36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F0DE1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F0A61D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3DB9F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5DF8C4F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71815E">
        <w:trPr>
          <w:cantSplit/>
          <w:trHeight w:val="0" w:hRule="atLeast"/>
          <w:jc w:val="center"/>
        </w:trPr>
        <w:tc>
          <w:tcPr>
            <w:tcW w:w="2944" w:type="dxa"/>
            <w:tcBorders>
              <w:top w:val="nil"/>
              <w:left w:val="nil"/>
              <w:bottom w:val="nil"/>
              <w:right w:val="nil"/>
            </w:tcBorders>
            <w:shd w:val="clear" w:color="auto" w:fill="auto"/>
            <w:vAlign w:val="center"/>
          </w:tcPr>
          <w:p w14:paraId="10C806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945" w:type="dxa"/>
            <w:tcBorders>
              <w:top w:val="nil"/>
              <w:left w:val="nil"/>
              <w:bottom w:val="nil"/>
              <w:right w:val="nil"/>
            </w:tcBorders>
            <w:shd w:val="clear" w:color="auto" w:fill="auto"/>
            <w:vAlign w:val="center"/>
          </w:tcPr>
          <w:p w14:paraId="066EA7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11A283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522A78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供应链预警处置与关闭</w:t>
            </w:r>
          </w:p>
        </w:tc>
        <w:tc>
          <w:tcPr>
            <w:tcW w:w="1098" w:type="dxa"/>
            <w:tcBorders>
              <w:top w:val="nil"/>
              <w:left w:val="nil"/>
              <w:bottom w:val="nil"/>
              <w:right w:val="nil"/>
            </w:tcBorders>
            <w:shd w:val="clear" w:color="auto" w:fill="auto"/>
            <w:vAlign w:val="center"/>
          </w:tcPr>
          <w:p w14:paraId="71053A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3EE9D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429E1D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7F2FF5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471B6F">
        <w:trPr>
          <w:cantSplit/>
          <w:trHeight w:val="0" w:hRule="atLeast"/>
          <w:jc w:val="center"/>
        </w:trPr>
        <w:tc>
          <w:tcPr>
            <w:tcW w:w="2944" w:type="dxa"/>
            <w:tcBorders>
              <w:top w:val="nil"/>
              <w:left w:val="nil"/>
              <w:bottom w:val="nil"/>
              <w:right w:val="nil"/>
            </w:tcBorders>
            <w:shd w:val="clear" w:color="auto" w:fill="auto"/>
            <w:vAlign w:val="center"/>
          </w:tcPr>
          <w:p w14:paraId="77FB74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945" w:type="dxa"/>
            <w:tcBorders>
              <w:top w:val="nil"/>
              <w:left w:val="nil"/>
              <w:bottom w:val="nil"/>
              <w:right w:val="nil"/>
            </w:tcBorders>
            <w:shd w:val="clear" w:color="auto" w:fill="auto"/>
            <w:vAlign w:val="center"/>
          </w:tcPr>
          <w:p w14:paraId="4F7146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059D4C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5676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D3E9A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6C52B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选择需求、供应、采购、成本或库存策略等模拟情景；参数超出可模拟边界时提示修改。</w:t>
            </w:r>
          </w:p>
        </w:tc>
        <w:tc>
          <w:tcPr>
            <w:tcW w:w="1088" w:type="dxa"/>
            <w:tcBorders>
              <w:top w:val="nil"/>
              <w:left w:val="nil"/>
              <w:bottom w:val="nil"/>
              <w:right w:val="nil"/>
            </w:tcBorders>
            <w:shd w:val="clear" w:color="auto" w:fill="auto"/>
            <w:vAlign w:val="center"/>
          </w:tcPr>
          <w:p w14:paraId="2DE515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7BFD9E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370865">
        <w:trPr>
          <w:cantSplit/>
          <w:trHeight w:val="0" w:hRule="atLeast"/>
          <w:jc w:val="center"/>
        </w:trPr>
        <w:tc>
          <w:tcPr>
            <w:tcW w:w="2944" w:type="dxa"/>
            <w:tcBorders>
              <w:top w:val="nil"/>
              <w:left w:val="nil"/>
              <w:bottom w:val="nil"/>
              <w:right w:val="nil"/>
            </w:tcBorders>
            <w:shd w:val="clear" w:color="auto" w:fill="auto"/>
            <w:vAlign w:val="center"/>
          </w:tcPr>
          <w:p w14:paraId="20C230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945" w:type="dxa"/>
            <w:tcBorders>
              <w:top w:val="nil"/>
              <w:left w:val="nil"/>
              <w:bottom w:val="nil"/>
              <w:right w:val="nil"/>
            </w:tcBorders>
            <w:shd w:val="clear" w:color="auto" w:fill="auto"/>
            <w:vAlign w:val="center"/>
          </w:tcPr>
          <w:p w14:paraId="56E0B0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CFFA4F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9A933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046A8F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4F93B8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DBE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0FAAB6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B0398B">
        <w:trPr>
          <w:cantSplit/>
          <w:trHeight w:val="0" w:hRule="atLeast"/>
          <w:jc w:val="center"/>
        </w:trPr>
        <w:tc>
          <w:tcPr>
            <w:tcW w:w="2944" w:type="dxa"/>
            <w:tcBorders>
              <w:top w:val="nil"/>
              <w:left w:val="nil"/>
              <w:bottom w:val="nil"/>
              <w:right w:val="nil"/>
            </w:tcBorders>
            <w:shd w:val="clear" w:color="auto" w:fill="auto"/>
            <w:vAlign w:val="center"/>
          </w:tcPr>
          <w:p w14:paraId="7249B1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945" w:type="dxa"/>
            <w:tcBorders>
              <w:top w:val="nil"/>
              <w:left w:val="nil"/>
              <w:bottom w:val="nil"/>
              <w:right w:val="nil"/>
            </w:tcBorders>
            <w:shd w:val="clear" w:color="auto" w:fill="auto"/>
            <w:vAlign w:val="center"/>
          </w:tcPr>
          <w:p w14:paraId="234A15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4A896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D89E3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221F4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86080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驾驶舱调用相关业务模块进行情景模拟；计算失败时说明原因，且不改变正式业务数据。</w:t>
            </w:r>
          </w:p>
        </w:tc>
        <w:tc>
          <w:tcPr>
            <w:tcW w:w="1088" w:type="dxa"/>
            <w:tcBorders>
              <w:top w:val="nil"/>
              <w:left w:val="nil"/>
              <w:bottom w:val="nil"/>
              <w:right w:val="nil"/>
            </w:tcBorders>
            <w:shd w:val="clear" w:color="auto" w:fill="auto"/>
            <w:vAlign w:val="center"/>
          </w:tcPr>
          <w:p w14:paraId="55D10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5D6B0F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5CFA7">
        <w:trPr>
          <w:cantSplit/>
          <w:trHeight w:val="0" w:hRule="atLeast"/>
          <w:jc w:val="center"/>
        </w:trPr>
        <w:tc>
          <w:tcPr>
            <w:tcW w:w="2944" w:type="dxa"/>
            <w:tcBorders>
              <w:top w:val="nil"/>
              <w:left w:val="nil"/>
              <w:bottom w:val="nil"/>
              <w:right w:val="nil"/>
            </w:tcBorders>
            <w:shd w:val="clear" w:color="auto" w:fill="auto"/>
            <w:vAlign w:val="center"/>
          </w:tcPr>
          <w:p w14:paraId="6FC9C9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945" w:type="dxa"/>
            <w:tcBorders>
              <w:top w:val="nil"/>
              <w:left w:val="nil"/>
              <w:bottom w:val="nil"/>
              <w:right w:val="nil"/>
            </w:tcBorders>
            <w:shd w:val="clear" w:color="auto" w:fill="auto"/>
            <w:vAlign w:val="center"/>
          </w:tcPr>
          <w:p w14:paraId="49331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ECCE71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06F45A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14CE2E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219430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42F31B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1BAC1F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7308A90">
        <w:trPr>
          <w:cantSplit/>
          <w:trHeight w:val="0" w:hRule="atLeast"/>
          <w:jc w:val="center"/>
        </w:trPr>
        <w:tc>
          <w:tcPr>
            <w:tcW w:w="2944" w:type="dxa"/>
            <w:tcBorders>
              <w:top w:val="nil"/>
              <w:left w:val="nil"/>
              <w:bottom w:val="nil"/>
              <w:right w:val="nil"/>
            </w:tcBorders>
            <w:shd w:val="clear" w:color="auto" w:fill="auto"/>
            <w:vAlign w:val="center"/>
          </w:tcPr>
          <w:p w14:paraId="7048D9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945" w:type="dxa"/>
            <w:tcBorders>
              <w:top w:val="nil"/>
              <w:left w:val="nil"/>
              <w:bottom w:val="nil"/>
              <w:right w:val="nil"/>
            </w:tcBorders>
            <w:shd w:val="clear" w:color="auto" w:fill="auto"/>
            <w:vAlign w:val="center"/>
          </w:tcPr>
          <w:p w14:paraId="0934A0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1A36B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37343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45A9F6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7384B4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比较产能、库存、交付、成本、服务水平和供应风险；口径不一致时不强行形成综合结论。</w:t>
            </w:r>
          </w:p>
        </w:tc>
        <w:tc>
          <w:tcPr>
            <w:tcW w:w="1088" w:type="dxa"/>
            <w:tcBorders>
              <w:top w:val="nil"/>
              <w:left w:val="nil"/>
              <w:bottom w:val="nil"/>
              <w:right w:val="nil"/>
            </w:tcBorders>
            <w:shd w:val="clear" w:color="auto" w:fill="auto"/>
            <w:vAlign w:val="center"/>
          </w:tcPr>
          <w:p w14:paraId="5D657C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2570E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C38646">
        <w:trPr>
          <w:cantSplit/>
          <w:trHeight w:val="0" w:hRule="atLeast"/>
          <w:jc w:val="center"/>
        </w:trPr>
        <w:tc>
          <w:tcPr>
            <w:tcW w:w="2944" w:type="dxa"/>
            <w:tcBorders>
              <w:top w:val="nil"/>
              <w:left w:val="nil"/>
              <w:bottom w:val="nil"/>
              <w:right w:val="nil"/>
            </w:tcBorders>
            <w:shd w:val="clear" w:color="auto" w:fill="auto"/>
            <w:vAlign w:val="center"/>
          </w:tcPr>
          <w:p w14:paraId="13CB8A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945" w:type="dxa"/>
            <w:tcBorders>
              <w:top w:val="nil"/>
              <w:left w:val="nil"/>
              <w:bottom w:val="nil"/>
              <w:right w:val="nil"/>
            </w:tcBorders>
            <w:shd w:val="clear" w:color="auto" w:fill="auto"/>
            <w:vAlign w:val="center"/>
          </w:tcPr>
          <w:p w14:paraId="12443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FB4243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CB7B4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5A20C3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2675D5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0E37F1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716B64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34A40C">
        <w:trPr>
          <w:cantSplit/>
          <w:trHeight w:val="0" w:hRule="atLeast"/>
          <w:jc w:val="center"/>
        </w:trPr>
        <w:tc>
          <w:tcPr>
            <w:tcW w:w="2944" w:type="dxa"/>
            <w:tcBorders>
              <w:top w:val="nil"/>
              <w:left w:val="nil"/>
              <w:bottom w:val="nil"/>
              <w:right w:val="nil"/>
            </w:tcBorders>
            <w:shd w:val="clear" w:color="auto" w:fill="auto"/>
            <w:vAlign w:val="center"/>
          </w:tcPr>
          <w:p w14:paraId="500F9D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945" w:type="dxa"/>
            <w:tcBorders>
              <w:top w:val="nil"/>
              <w:left w:val="nil"/>
              <w:bottom w:val="nil"/>
              <w:right w:val="nil"/>
            </w:tcBorders>
            <w:shd w:val="clear" w:color="auto" w:fill="auto"/>
            <w:vAlign w:val="center"/>
          </w:tcPr>
          <w:p w14:paraId="52C725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FB0BDF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47BB7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供应链业务情景模拟与影响评估</w:t>
            </w:r>
          </w:p>
        </w:tc>
        <w:tc>
          <w:tcPr>
            <w:tcW w:w="1098" w:type="dxa"/>
            <w:tcBorders>
              <w:top w:val="nil"/>
              <w:left w:val="nil"/>
              <w:bottom w:val="nil"/>
              <w:right w:val="nil"/>
            </w:tcBorders>
            <w:shd w:val="clear" w:color="auto" w:fill="auto"/>
            <w:vAlign w:val="center"/>
          </w:tcPr>
          <w:p w14:paraId="6C0D3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24722C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核实业务假设和模拟结果是否合理；需要重算时明确调整内容，修正后重新测算。</w:t>
            </w:r>
          </w:p>
        </w:tc>
        <w:tc>
          <w:tcPr>
            <w:tcW w:w="1088" w:type="dxa"/>
            <w:tcBorders>
              <w:top w:val="nil"/>
              <w:left w:val="nil"/>
              <w:bottom w:val="nil"/>
              <w:right w:val="nil"/>
            </w:tcBorders>
            <w:shd w:val="clear" w:color="auto" w:fill="auto"/>
            <w:vAlign w:val="center"/>
          </w:tcPr>
          <w:p w14:paraId="6E4BC5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4A1ED2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F0D767">
        <w:trPr>
          <w:cantSplit/>
          <w:trHeight w:val="0" w:hRule="atLeast"/>
          <w:jc w:val="center"/>
        </w:trPr>
        <w:tc>
          <w:tcPr>
            <w:tcW w:w="2944" w:type="dxa"/>
            <w:tcBorders>
              <w:top w:val="nil"/>
              <w:left w:val="nil"/>
              <w:bottom w:val="nil"/>
              <w:right w:val="nil"/>
            </w:tcBorders>
            <w:shd w:val="clear" w:color="auto" w:fill="auto"/>
            <w:vAlign w:val="center"/>
          </w:tcPr>
          <w:p w14:paraId="0B8BCA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945" w:type="dxa"/>
            <w:tcBorders>
              <w:top w:val="nil"/>
              <w:left w:val="nil"/>
              <w:bottom w:val="nil"/>
              <w:right w:val="nil"/>
            </w:tcBorders>
            <w:shd w:val="clear" w:color="auto" w:fill="auto"/>
            <w:vAlign w:val="center"/>
          </w:tcPr>
          <w:p w14:paraId="05D12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09C4D2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93ED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8F21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34C1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结合成本、交付、服务和供应安全选择可实施的候选方案；无可接受方案时结束并保存分析记录。</w:t>
            </w:r>
          </w:p>
        </w:tc>
        <w:tc>
          <w:tcPr>
            <w:tcW w:w="1088" w:type="dxa"/>
            <w:tcBorders>
              <w:top w:val="nil"/>
              <w:left w:val="nil"/>
              <w:bottom w:val="nil"/>
              <w:right w:val="nil"/>
            </w:tcBorders>
            <w:shd w:val="clear" w:color="auto" w:fill="auto"/>
            <w:vAlign w:val="center"/>
          </w:tcPr>
          <w:p w14:paraId="3A873C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252DA5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A1173E7">
        <w:trPr>
          <w:cantSplit/>
          <w:trHeight w:val="0" w:hRule="atLeast"/>
          <w:jc w:val="center"/>
        </w:trPr>
        <w:tc>
          <w:tcPr>
            <w:tcW w:w="2944" w:type="dxa"/>
            <w:tcBorders>
              <w:top w:val="nil"/>
              <w:left w:val="nil"/>
              <w:bottom w:val="nil"/>
              <w:right w:val="nil"/>
            </w:tcBorders>
            <w:shd w:val="clear" w:color="auto" w:fill="auto"/>
            <w:vAlign w:val="center"/>
          </w:tcPr>
          <w:p w14:paraId="63543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945" w:type="dxa"/>
            <w:tcBorders>
              <w:top w:val="nil"/>
              <w:left w:val="nil"/>
              <w:bottom w:val="nil"/>
              <w:right w:val="nil"/>
            </w:tcBorders>
            <w:shd w:val="clear" w:color="auto" w:fill="auto"/>
            <w:vAlign w:val="center"/>
          </w:tcPr>
          <w:p w14:paraId="6F6F0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E2D869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9D83D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705F48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5735F5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148826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C3BDC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993A3E">
        <w:trPr>
          <w:cantSplit/>
          <w:trHeight w:val="0" w:hRule="atLeast"/>
          <w:jc w:val="center"/>
        </w:trPr>
        <w:tc>
          <w:tcPr>
            <w:tcW w:w="2944" w:type="dxa"/>
            <w:tcBorders>
              <w:top w:val="nil"/>
              <w:left w:val="nil"/>
              <w:bottom w:val="nil"/>
              <w:right w:val="nil"/>
            </w:tcBorders>
            <w:shd w:val="clear" w:color="auto" w:fill="auto"/>
            <w:vAlign w:val="center"/>
          </w:tcPr>
          <w:p w14:paraId="1BB00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945" w:type="dxa"/>
            <w:tcBorders>
              <w:top w:val="nil"/>
              <w:left w:val="nil"/>
              <w:bottom w:val="nil"/>
              <w:right w:val="nil"/>
            </w:tcBorders>
            <w:shd w:val="clear" w:color="auto" w:fill="auto"/>
            <w:vAlign w:val="center"/>
          </w:tcPr>
          <w:p w14:paraId="1A253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55581B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99D91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432434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183930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73A344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73E2F7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1D4CE9">
        <w:trPr>
          <w:cantSplit/>
          <w:trHeight w:val="0" w:hRule="atLeast"/>
          <w:jc w:val="center"/>
        </w:trPr>
        <w:tc>
          <w:tcPr>
            <w:tcW w:w="2944" w:type="dxa"/>
            <w:tcBorders>
              <w:top w:val="nil"/>
              <w:left w:val="nil"/>
              <w:bottom w:val="nil"/>
              <w:right w:val="nil"/>
            </w:tcBorders>
            <w:shd w:val="clear" w:color="auto" w:fill="auto"/>
            <w:vAlign w:val="center"/>
          </w:tcPr>
          <w:p w14:paraId="61A06E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945" w:type="dxa"/>
            <w:tcBorders>
              <w:top w:val="nil"/>
              <w:left w:val="nil"/>
              <w:bottom w:val="nil"/>
              <w:right w:val="nil"/>
            </w:tcBorders>
            <w:shd w:val="clear" w:color="auto" w:fill="auto"/>
            <w:vAlign w:val="center"/>
          </w:tcPr>
          <w:p w14:paraId="55B13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9613C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1552B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6DC0C1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3FF2A56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5091D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473566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552BB6">
        <w:trPr>
          <w:cantSplit/>
          <w:trHeight w:val="0" w:hRule="atLeast"/>
          <w:jc w:val="center"/>
        </w:trPr>
        <w:tc>
          <w:tcPr>
            <w:tcW w:w="2944" w:type="dxa"/>
            <w:tcBorders>
              <w:top w:val="nil"/>
              <w:left w:val="nil"/>
              <w:bottom w:val="nil"/>
              <w:right w:val="nil"/>
            </w:tcBorders>
            <w:shd w:val="clear" w:color="auto" w:fill="auto"/>
            <w:vAlign w:val="center"/>
          </w:tcPr>
          <w:p w14:paraId="244C57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945" w:type="dxa"/>
            <w:tcBorders>
              <w:top w:val="nil"/>
              <w:left w:val="nil"/>
              <w:bottom w:val="nil"/>
              <w:right w:val="nil"/>
            </w:tcBorders>
            <w:shd w:val="clear" w:color="auto" w:fill="auto"/>
            <w:vAlign w:val="center"/>
          </w:tcPr>
          <w:p w14:paraId="52DCC5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DDA724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30352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28AED7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71DEF2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711B74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5D5500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7F74D2">
        <w:trPr>
          <w:cantSplit/>
          <w:trHeight w:val="0" w:hRule="atLeast"/>
          <w:jc w:val="center"/>
        </w:trPr>
        <w:tc>
          <w:tcPr>
            <w:tcW w:w="2944" w:type="dxa"/>
            <w:tcBorders>
              <w:top w:val="nil"/>
              <w:left w:val="nil"/>
              <w:bottom w:val="nil"/>
              <w:right w:val="nil"/>
            </w:tcBorders>
            <w:shd w:val="clear" w:color="auto" w:fill="auto"/>
            <w:vAlign w:val="center"/>
          </w:tcPr>
          <w:p w14:paraId="33121D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945" w:type="dxa"/>
            <w:tcBorders>
              <w:top w:val="nil"/>
              <w:left w:val="nil"/>
              <w:bottom w:val="nil"/>
              <w:right w:val="nil"/>
            </w:tcBorders>
            <w:shd w:val="clear" w:color="auto" w:fill="auto"/>
            <w:vAlign w:val="center"/>
          </w:tcPr>
          <w:p w14:paraId="02C0C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FC10D9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794848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B67C4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0D99B2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550E8E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F6EC1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88D09A">
        <w:trPr>
          <w:cantSplit/>
          <w:trHeight w:val="0" w:hRule="atLeast"/>
          <w:jc w:val="center"/>
        </w:trPr>
        <w:tc>
          <w:tcPr>
            <w:tcW w:w="2944" w:type="dxa"/>
            <w:tcBorders>
              <w:top w:val="nil"/>
              <w:left w:val="nil"/>
              <w:bottom w:val="nil"/>
              <w:right w:val="nil"/>
            </w:tcBorders>
            <w:shd w:val="clear" w:color="auto" w:fill="auto"/>
            <w:vAlign w:val="center"/>
          </w:tcPr>
          <w:p w14:paraId="5F4AB9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945" w:type="dxa"/>
            <w:tcBorders>
              <w:top w:val="nil"/>
              <w:left w:val="nil"/>
              <w:bottom w:val="nil"/>
              <w:right w:val="nil"/>
            </w:tcBorders>
            <w:shd w:val="clear" w:color="auto" w:fill="auto"/>
            <w:vAlign w:val="center"/>
          </w:tcPr>
          <w:p w14:paraId="089CA6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5E4B7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供应链驾驶舱</w:t>
            </w:r>
          </w:p>
        </w:tc>
        <w:tc>
          <w:tcPr>
            <w:tcW w:w="955" w:type="dxa"/>
            <w:tcBorders>
              <w:top w:val="nil"/>
              <w:left w:val="nil"/>
              <w:bottom w:val="nil"/>
              <w:right w:val="nil"/>
            </w:tcBorders>
            <w:shd w:val="clear" w:color="auto" w:fill="auto"/>
            <w:vAlign w:val="center"/>
          </w:tcPr>
          <w:p w14:paraId="624B4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模拟方案采纳与业务调整协同</w:t>
            </w:r>
          </w:p>
        </w:tc>
        <w:tc>
          <w:tcPr>
            <w:tcW w:w="1098" w:type="dxa"/>
            <w:tcBorders>
              <w:top w:val="nil"/>
              <w:left w:val="nil"/>
              <w:bottom w:val="nil"/>
              <w:right w:val="nil"/>
            </w:tcBorders>
            <w:shd w:val="clear" w:color="auto" w:fill="auto"/>
            <w:vAlign w:val="center"/>
          </w:tcPr>
          <w:p w14:paraId="5946C2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4DC926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66053E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2DEFF89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0E5898">
        <w:trPr>
          <w:cantSplit/>
          <w:trHeight w:val="0" w:hRule="atLeast"/>
          <w:jc w:val="center"/>
        </w:trPr>
        <w:tc>
          <w:tcPr>
            <w:tcW w:w="2944" w:type="dxa"/>
            <w:tcBorders>
              <w:top w:val="nil"/>
              <w:left w:val="nil"/>
              <w:bottom w:val="nil"/>
              <w:right w:val="nil"/>
            </w:tcBorders>
            <w:shd w:val="clear" w:color="auto" w:fill="auto"/>
            <w:vAlign w:val="center"/>
          </w:tcPr>
          <w:p w14:paraId="2E5989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945" w:type="dxa"/>
            <w:tcBorders>
              <w:top w:val="nil"/>
              <w:left w:val="nil"/>
              <w:bottom w:val="nil"/>
              <w:right w:val="nil"/>
            </w:tcBorders>
            <w:shd w:val="clear" w:color="auto" w:fill="auto"/>
            <w:vAlign w:val="center"/>
          </w:tcPr>
          <w:p w14:paraId="19B91B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8E17FD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D1ACC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61B553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5D46F6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5B864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0390073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037A7F">
        <w:trPr>
          <w:cantSplit/>
          <w:trHeight w:val="0" w:hRule="atLeast"/>
          <w:jc w:val="center"/>
        </w:trPr>
        <w:tc>
          <w:tcPr>
            <w:tcW w:w="2944" w:type="dxa"/>
            <w:tcBorders>
              <w:top w:val="nil"/>
              <w:left w:val="nil"/>
              <w:bottom w:val="nil"/>
              <w:right w:val="nil"/>
            </w:tcBorders>
            <w:shd w:val="clear" w:color="auto" w:fill="auto"/>
            <w:vAlign w:val="center"/>
          </w:tcPr>
          <w:p w14:paraId="03E09A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945" w:type="dxa"/>
            <w:tcBorders>
              <w:top w:val="nil"/>
              <w:left w:val="nil"/>
              <w:bottom w:val="nil"/>
              <w:right w:val="nil"/>
            </w:tcBorders>
            <w:shd w:val="clear" w:color="auto" w:fill="auto"/>
            <w:vAlign w:val="center"/>
          </w:tcPr>
          <w:p w14:paraId="59F7B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84D0DC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D0427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35A94B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30313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44FBD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088575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8DCD7F">
        <w:trPr>
          <w:cantSplit/>
          <w:trHeight w:val="0" w:hRule="atLeast"/>
          <w:jc w:val="center"/>
        </w:trPr>
        <w:tc>
          <w:tcPr>
            <w:tcW w:w="2944" w:type="dxa"/>
            <w:tcBorders>
              <w:top w:val="nil"/>
              <w:left w:val="nil"/>
              <w:bottom w:val="nil"/>
              <w:right w:val="nil"/>
            </w:tcBorders>
            <w:shd w:val="clear" w:color="auto" w:fill="auto"/>
            <w:vAlign w:val="center"/>
          </w:tcPr>
          <w:p w14:paraId="7BF4FD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945" w:type="dxa"/>
            <w:tcBorders>
              <w:top w:val="nil"/>
              <w:left w:val="nil"/>
              <w:bottom w:val="nil"/>
              <w:right w:val="nil"/>
            </w:tcBorders>
            <w:shd w:val="clear" w:color="auto" w:fill="auto"/>
            <w:vAlign w:val="center"/>
          </w:tcPr>
          <w:p w14:paraId="2E8A28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4FFED9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D759C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月度采购方案评审与调整</w:t>
            </w:r>
          </w:p>
        </w:tc>
        <w:tc>
          <w:tcPr>
            <w:tcW w:w="1098" w:type="dxa"/>
            <w:tcBorders>
              <w:top w:val="nil"/>
              <w:left w:val="nil"/>
              <w:bottom w:val="nil"/>
              <w:right w:val="nil"/>
            </w:tcBorders>
            <w:shd w:val="clear" w:color="auto" w:fill="auto"/>
            <w:vAlign w:val="center"/>
          </w:tcPr>
          <w:p w14:paraId="01A81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2509B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0824BE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959B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D847D">
        <w:trPr>
          <w:cantSplit/>
          <w:trHeight w:val="0" w:hRule="atLeast"/>
          <w:jc w:val="center"/>
        </w:trPr>
        <w:tc>
          <w:tcPr>
            <w:tcW w:w="2944" w:type="dxa"/>
            <w:tcBorders>
              <w:top w:val="nil"/>
              <w:left w:val="nil"/>
              <w:bottom w:val="nil"/>
              <w:right w:val="nil"/>
            </w:tcBorders>
            <w:shd w:val="clear" w:color="auto" w:fill="auto"/>
            <w:vAlign w:val="center"/>
          </w:tcPr>
          <w:p w14:paraId="61756A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945" w:type="dxa"/>
            <w:tcBorders>
              <w:top w:val="nil"/>
              <w:left w:val="nil"/>
              <w:bottom w:val="nil"/>
              <w:right w:val="nil"/>
            </w:tcBorders>
            <w:shd w:val="clear" w:color="auto" w:fill="auto"/>
            <w:vAlign w:val="center"/>
          </w:tcPr>
          <w:p w14:paraId="5C517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3373B7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552D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9B90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7156B8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校验供应商可供量、采购数量合计及其他方案约束；未确认时退回调整；确认通过后继续处理。</w:t>
            </w:r>
          </w:p>
        </w:tc>
        <w:tc>
          <w:tcPr>
            <w:tcW w:w="1088" w:type="dxa"/>
            <w:tcBorders>
              <w:top w:val="nil"/>
              <w:left w:val="nil"/>
              <w:bottom w:val="nil"/>
              <w:right w:val="nil"/>
            </w:tcBorders>
            <w:shd w:val="clear" w:color="auto" w:fill="auto"/>
            <w:vAlign w:val="center"/>
          </w:tcPr>
          <w:p w14:paraId="096087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B5E62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D8890">
        <w:trPr>
          <w:cantSplit/>
          <w:trHeight w:val="0" w:hRule="atLeast"/>
          <w:jc w:val="center"/>
        </w:trPr>
        <w:tc>
          <w:tcPr>
            <w:tcW w:w="2944" w:type="dxa"/>
            <w:tcBorders>
              <w:top w:val="nil"/>
              <w:left w:val="nil"/>
              <w:bottom w:val="nil"/>
              <w:right w:val="nil"/>
            </w:tcBorders>
            <w:shd w:val="clear" w:color="auto" w:fill="auto"/>
            <w:vAlign w:val="center"/>
          </w:tcPr>
          <w:p w14:paraId="736EDC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945" w:type="dxa"/>
            <w:tcBorders>
              <w:top w:val="nil"/>
              <w:left w:val="nil"/>
              <w:bottom w:val="nil"/>
              <w:right w:val="nil"/>
            </w:tcBorders>
            <w:shd w:val="clear" w:color="auto" w:fill="auto"/>
            <w:vAlign w:val="center"/>
          </w:tcPr>
          <w:p w14:paraId="0FD96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C9461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6824E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08F5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B9F9B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审核需求依据、供应商选择、数量分配、成本及合同和锁价约束；审批未通过时退回修改；审批通过后继续处理。</w:t>
            </w:r>
          </w:p>
        </w:tc>
        <w:tc>
          <w:tcPr>
            <w:tcW w:w="1088" w:type="dxa"/>
            <w:tcBorders>
              <w:top w:val="nil"/>
              <w:left w:val="nil"/>
              <w:bottom w:val="nil"/>
              <w:right w:val="nil"/>
            </w:tcBorders>
            <w:shd w:val="clear" w:color="auto" w:fill="auto"/>
            <w:vAlign w:val="center"/>
          </w:tcPr>
          <w:p w14:paraId="2D767E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FC7EF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634E8">
        <w:trPr>
          <w:cantSplit/>
          <w:trHeight w:val="0" w:hRule="atLeast"/>
          <w:jc w:val="center"/>
        </w:trPr>
        <w:tc>
          <w:tcPr>
            <w:tcW w:w="2944" w:type="dxa"/>
            <w:tcBorders>
              <w:top w:val="nil"/>
              <w:left w:val="nil"/>
              <w:bottom w:val="nil"/>
              <w:right w:val="nil"/>
            </w:tcBorders>
            <w:shd w:val="clear" w:color="auto" w:fill="auto"/>
            <w:vAlign w:val="center"/>
          </w:tcPr>
          <w:p w14:paraId="248CE9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945" w:type="dxa"/>
            <w:tcBorders>
              <w:top w:val="nil"/>
              <w:left w:val="nil"/>
              <w:bottom w:val="nil"/>
              <w:right w:val="nil"/>
            </w:tcBorders>
            <w:shd w:val="clear" w:color="auto" w:fill="auto"/>
            <w:vAlign w:val="center"/>
          </w:tcPr>
          <w:p w14:paraId="69A25A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F92C60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46EF4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1839BE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0A60F8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C752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16B0DB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182CCE">
        <w:trPr>
          <w:cantSplit/>
          <w:trHeight w:val="0" w:hRule="atLeast"/>
          <w:jc w:val="center"/>
        </w:trPr>
        <w:tc>
          <w:tcPr>
            <w:tcW w:w="2944" w:type="dxa"/>
            <w:tcBorders>
              <w:top w:val="nil"/>
              <w:left w:val="nil"/>
              <w:bottom w:val="nil"/>
              <w:right w:val="nil"/>
            </w:tcBorders>
            <w:shd w:val="clear" w:color="auto" w:fill="auto"/>
            <w:vAlign w:val="center"/>
          </w:tcPr>
          <w:p w14:paraId="4CFA10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945" w:type="dxa"/>
            <w:tcBorders>
              <w:top w:val="nil"/>
              <w:left w:val="nil"/>
              <w:bottom w:val="nil"/>
              <w:right w:val="nil"/>
            </w:tcBorders>
            <w:shd w:val="clear" w:color="auto" w:fill="auto"/>
            <w:vAlign w:val="center"/>
          </w:tcPr>
          <w:p w14:paraId="474171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BF28C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41458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月度采购需求与供应商方案编制</w:t>
            </w:r>
          </w:p>
        </w:tc>
        <w:tc>
          <w:tcPr>
            <w:tcW w:w="1098" w:type="dxa"/>
            <w:tcBorders>
              <w:top w:val="nil"/>
              <w:left w:val="nil"/>
              <w:bottom w:val="nil"/>
              <w:right w:val="nil"/>
            </w:tcBorders>
            <w:shd w:val="clear" w:color="auto" w:fill="auto"/>
            <w:vAlign w:val="center"/>
          </w:tcPr>
          <w:p w14:paraId="2C1FAA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50765B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1BEC8B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658E01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3A4133A8">
        <w:trPr>
          <w:cantSplit/>
          <w:trHeight w:val="0" w:hRule="atLeast"/>
          <w:jc w:val="center"/>
        </w:trPr>
        <w:tc>
          <w:tcPr>
            <w:tcW w:w="2944" w:type="dxa"/>
            <w:tcBorders>
              <w:top w:val="nil"/>
              <w:left w:val="nil"/>
              <w:bottom w:val="nil"/>
              <w:right w:val="nil"/>
            </w:tcBorders>
            <w:shd w:val="clear" w:color="auto" w:fill="auto"/>
            <w:vAlign w:val="center"/>
          </w:tcPr>
          <w:p w14:paraId="393D2D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945" w:type="dxa"/>
            <w:tcBorders>
              <w:top w:val="nil"/>
              <w:left w:val="nil"/>
              <w:bottom w:val="nil"/>
              <w:right w:val="nil"/>
            </w:tcBorders>
            <w:shd w:val="clear" w:color="auto" w:fill="auto"/>
            <w:vAlign w:val="center"/>
          </w:tcPr>
          <w:p w14:paraId="314B20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3B7F8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2F9C9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467B1D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E030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58AB0F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3AE052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008AF">
        <w:trPr>
          <w:cantSplit/>
          <w:trHeight w:val="0" w:hRule="atLeast"/>
          <w:jc w:val="center"/>
        </w:trPr>
        <w:tc>
          <w:tcPr>
            <w:tcW w:w="2944" w:type="dxa"/>
            <w:tcBorders>
              <w:top w:val="nil"/>
              <w:left w:val="nil"/>
              <w:bottom w:val="nil"/>
              <w:right w:val="nil"/>
            </w:tcBorders>
            <w:shd w:val="clear" w:color="auto" w:fill="auto"/>
            <w:vAlign w:val="center"/>
          </w:tcPr>
          <w:p w14:paraId="0F328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945" w:type="dxa"/>
            <w:tcBorders>
              <w:top w:val="nil"/>
              <w:left w:val="nil"/>
              <w:bottom w:val="nil"/>
              <w:right w:val="nil"/>
            </w:tcBorders>
            <w:shd w:val="clear" w:color="auto" w:fill="auto"/>
            <w:vAlign w:val="center"/>
          </w:tcPr>
          <w:p w14:paraId="082EE2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B8355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B56FE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1611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1F556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69FD6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65D5E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951FB8">
        <w:trPr>
          <w:cantSplit/>
          <w:trHeight w:val="0" w:hRule="atLeast"/>
          <w:jc w:val="center"/>
        </w:trPr>
        <w:tc>
          <w:tcPr>
            <w:tcW w:w="2944" w:type="dxa"/>
            <w:tcBorders>
              <w:top w:val="nil"/>
              <w:left w:val="nil"/>
              <w:bottom w:val="nil"/>
              <w:right w:val="nil"/>
            </w:tcBorders>
            <w:shd w:val="clear" w:color="auto" w:fill="auto"/>
            <w:vAlign w:val="center"/>
          </w:tcPr>
          <w:p w14:paraId="547818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945" w:type="dxa"/>
            <w:tcBorders>
              <w:top w:val="nil"/>
              <w:left w:val="nil"/>
              <w:bottom w:val="nil"/>
              <w:right w:val="nil"/>
            </w:tcBorders>
            <w:shd w:val="clear" w:color="auto" w:fill="auto"/>
            <w:vAlign w:val="center"/>
          </w:tcPr>
          <w:p w14:paraId="421B2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276BB8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C25FE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5C5413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64F060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54ABB7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3DDB08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D3033B">
        <w:trPr>
          <w:cantSplit/>
          <w:trHeight w:val="0" w:hRule="atLeast"/>
          <w:jc w:val="center"/>
        </w:trPr>
        <w:tc>
          <w:tcPr>
            <w:tcW w:w="2944" w:type="dxa"/>
            <w:tcBorders>
              <w:top w:val="nil"/>
              <w:left w:val="nil"/>
              <w:bottom w:val="nil"/>
              <w:right w:val="nil"/>
            </w:tcBorders>
            <w:shd w:val="clear" w:color="auto" w:fill="auto"/>
            <w:vAlign w:val="center"/>
          </w:tcPr>
          <w:p w14:paraId="012B5C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945" w:type="dxa"/>
            <w:tcBorders>
              <w:top w:val="nil"/>
              <w:left w:val="nil"/>
              <w:bottom w:val="nil"/>
              <w:right w:val="nil"/>
            </w:tcBorders>
            <w:shd w:val="clear" w:color="auto" w:fill="auto"/>
            <w:vAlign w:val="center"/>
          </w:tcPr>
          <w:p w14:paraId="3BEE31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997796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BE6D3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314237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8045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133B1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4AE79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640AB4">
        <w:trPr>
          <w:cantSplit/>
          <w:trHeight w:val="0" w:hRule="atLeast"/>
          <w:jc w:val="center"/>
        </w:trPr>
        <w:tc>
          <w:tcPr>
            <w:tcW w:w="2944" w:type="dxa"/>
            <w:tcBorders>
              <w:top w:val="nil"/>
              <w:left w:val="nil"/>
              <w:bottom w:val="nil"/>
              <w:right w:val="nil"/>
            </w:tcBorders>
            <w:shd w:val="clear" w:color="auto" w:fill="auto"/>
            <w:vAlign w:val="center"/>
          </w:tcPr>
          <w:p w14:paraId="07BE72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945" w:type="dxa"/>
            <w:tcBorders>
              <w:top w:val="nil"/>
              <w:left w:val="nil"/>
              <w:bottom w:val="nil"/>
              <w:right w:val="nil"/>
            </w:tcBorders>
            <w:shd w:val="clear" w:color="auto" w:fill="auto"/>
            <w:vAlign w:val="center"/>
          </w:tcPr>
          <w:p w14:paraId="291725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D13933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A763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7CC8F2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4E668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判断是否限制选择、暂停合作、恢复合作或维持现状；需要调整时提出状态变更建议，无需调整时保留现状。</w:t>
            </w:r>
          </w:p>
        </w:tc>
        <w:tc>
          <w:tcPr>
            <w:tcW w:w="1088" w:type="dxa"/>
            <w:tcBorders>
              <w:top w:val="nil"/>
              <w:left w:val="nil"/>
              <w:bottom w:val="nil"/>
              <w:right w:val="nil"/>
            </w:tcBorders>
            <w:shd w:val="clear" w:color="auto" w:fill="auto"/>
            <w:vAlign w:val="center"/>
          </w:tcPr>
          <w:p w14:paraId="0E88A5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29A860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F97543">
        <w:trPr>
          <w:cantSplit/>
          <w:trHeight w:val="0" w:hRule="atLeast"/>
          <w:jc w:val="center"/>
        </w:trPr>
        <w:tc>
          <w:tcPr>
            <w:tcW w:w="2944" w:type="dxa"/>
            <w:tcBorders>
              <w:top w:val="nil"/>
              <w:left w:val="nil"/>
              <w:bottom w:val="nil"/>
              <w:right w:val="nil"/>
            </w:tcBorders>
            <w:shd w:val="clear" w:color="auto" w:fill="auto"/>
            <w:vAlign w:val="center"/>
          </w:tcPr>
          <w:p w14:paraId="412909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945" w:type="dxa"/>
            <w:tcBorders>
              <w:top w:val="nil"/>
              <w:left w:val="nil"/>
              <w:bottom w:val="nil"/>
              <w:right w:val="nil"/>
            </w:tcBorders>
            <w:shd w:val="clear" w:color="auto" w:fill="auto"/>
            <w:vAlign w:val="center"/>
          </w:tcPr>
          <w:p w14:paraId="21134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70054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356C0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228947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59B415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5A1B8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69DCB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FBC5E2">
        <w:trPr>
          <w:cantSplit/>
          <w:trHeight w:val="0" w:hRule="atLeast"/>
          <w:jc w:val="center"/>
        </w:trPr>
        <w:tc>
          <w:tcPr>
            <w:tcW w:w="2944" w:type="dxa"/>
            <w:tcBorders>
              <w:top w:val="nil"/>
              <w:left w:val="nil"/>
              <w:bottom w:val="nil"/>
              <w:right w:val="nil"/>
            </w:tcBorders>
            <w:shd w:val="clear" w:color="auto" w:fill="auto"/>
            <w:vAlign w:val="center"/>
          </w:tcPr>
          <w:p w14:paraId="178717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945" w:type="dxa"/>
            <w:tcBorders>
              <w:top w:val="nil"/>
              <w:left w:val="nil"/>
              <w:bottom w:val="nil"/>
              <w:right w:val="nil"/>
            </w:tcBorders>
            <w:shd w:val="clear" w:color="auto" w:fill="auto"/>
            <w:vAlign w:val="center"/>
          </w:tcPr>
          <w:p w14:paraId="628DE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673DA3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0AE2C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供应商履约评价与风险预警</w:t>
            </w:r>
          </w:p>
        </w:tc>
        <w:tc>
          <w:tcPr>
            <w:tcW w:w="1098" w:type="dxa"/>
            <w:tcBorders>
              <w:top w:val="nil"/>
              <w:left w:val="nil"/>
              <w:bottom w:val="nil"/>
              <w:right w:val="nil"/>
            </w:tcBorders>
            <w:shd w:val="clear" w:color="auto" w:fill="auto"/>
            <w:vAlign w:val="center"/>
          </w:tcPr>
          <w:p w14:paraId="00933D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1DF3D1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0B9F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265E3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ABD8E">
        <w:trPr>
          <w:cantSplit/>
          <w:trHeight w:val="0" w:hRule="atLeast"/>
          <w:jc w:val="center"/>
        </w:trPr>
        <w:tc>
          <w:tcPr>
            <w:tcW w:w="2944" w:type="dxa"/>
            <w:tcBorders>
              <w:top w:val="nil"/>
              <w:left w:val="nil"/>
              <w:bottom w:val="nil"/>
              <w:right w:val="nil"/>
            </w:tcBorders>
            <w:shd w:val="clear" w:color="auto" w:fill="auto"/>
            <w:vAlign w:val="center"/>
          </w:tcPr>
          <w:p w14:paraId="0C8320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945" w:type="dxa"/>
            <w:tcBorders>
              <w:top w:val="nil"/>
              <w:left w:val="nil"/>
              <w:bottom w:val="nil"/>
              <w:right w:val="nil"/>
            </w:tcBorders>
            <w:shd w:val="clear" w:color="auto" w:fill="auto"/>
            <w:vAlign w:val="center"/>
          </w:tcPr>
          <w:p w14:paraId="04D0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659DA9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B209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11D12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A517C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736FA3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5E24F02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3D4222">
        <w:trPr>
          <w:cantSplit/>
          <w:trHeight w:val="0" w:hRule="atLeast"/>
          <w:jc w:val="center"/>
        </w:trPr>
        <w:tc>
          <w:tcPr>
            <w:tcW w:w="2944" w:type="dxa"/>
            <w:tcBorders>
              <w:top w:val="nil"/>
              <w:left w:val="nil"/>
              <w:bottom w:val="nil"/>
              <w:right w:val="nil"/>
            </w:tcBorders>
            <w:shd w:val="clear" w:color="auto" w:fill="auto"/>
            <w:vAlign w:val="center"/>
          </w:tcPr>
          <w:p w14:paraId="6B7010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945" w:type="dxa"/>
            <w:tcBorders>
              <w:top w:val="nil"/>
              <w:left w:val="nil"/>
              <w:bottom w:val="nil"/>
              <w:right w:val="nil"/>
            </w:tcBorders>
            <w:shd w:val="clear" w:color="auto" w:fill="auto"/>
            <w:vAlign w:val="center"/>
          </w:tcPr>
          <w:p w14:paraId="183A7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0BDAD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3E19F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38AA4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48CAC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212AE9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75145A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3B69DA">
        <w:trPr>
          <w:cantSplit/>
          <w:trHeight w:val="0" w:hRule="atLeast"/>
          <w:jc w:val="center"/>
        </w:trPr>
        <w:tc>
          <w:tcPr>
            <w:tcW w:w="2944" w:type="dxa"/>
            <w:tcBorders>
              <w:top w:val="nil"/>
              <w:left w:val="nil"/>
              <w:bottom w:val="nil"/>
              <w:right w:val="nil"/>
            </w:tcBorders>
            <w:shd w:val="clear" w:color="auto" w:fill="auto"/>
            <w:vAlign w:val="center"/>
          </w:tcPr>
          <w:p w14:paraId="647CFB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945" w:type="dxa"/>
            <w:tcBorders>
              <w:top w:val="nil"/>
              <w:left w:val="nil"/>
              <w:bottom w:val="nil"/>
              <w:right w:val="nil"/>
            </w:tcBorders>
            <w:shd w:val="clear" w:color="auto" w:fill="auto"/>
            <w:vAlign w:val="center"/>
          </w:tcPr>
          <w:p w14:paraId="125A8E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107A3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393AA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2E3E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32DFA4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2D07F4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683B04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ACC1E5">
        <w:trPr>
          <w:cantSplit/>
          <w:trHeight w:val="0" w:hRule="atLeast"/>
          <w:jc w:val="center"/>
        </w:trPr>
        <w:tc>
          <w:tcPr>
            <w:tcW w:w="2944" w:type="dxa"/>
            <w:tcBorders>
              <w:top w:val="nil"/>
              <w:left w:val="nil"/>
              <w:bottom w:val="nil"/>
              <w:right w:val="nil"/>
            </w:tcBorders>
            <w:shd w:val="clear" w:color="auto" w:fill="auto"/>
            <w:vAlign w:val="center"/>
          </w:tcPr>
          <w:p w14:paraId="5341C2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945" w:type="dxa"/>
            <w:tcBorders>
              <w:top w:val="nil"/>
              <w:left w:val="nil"/>
              <w:bottom w:val="nil"/>
              <w:right w:val="nil"/>
            </w:tcBorders>
            <w:shd w:val="clear" w:color="auto" w:fill="auto"/>
            <w:vAlign w:val="center"/>
          </w:tcPr>
          <w:p w14:paraId="599D87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40BDC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B1876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EA5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35AD09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538C01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C94F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4081CD">
        <w:trPr>
          <w:cantSplit/>
          <w:trHeight w:val="0" w:hRule="atLeast"/>
          <w:jc w:val="center"/>
        </w:trPr>
        <w:tc>
          <w:tcPr>
            <w:tcW w:w="2944" w:type="dxa"/>
            <w:tcBorders>
              <w:top w:val="nil"/>
              <w:left w:val="nil"/>
              <w:bottom w:val="nil"/>
              <w:right w:val="nil"/>
            </w:tcBorders>
            <w:shd w:val="clear" w:color="auto" w:fill="auto"/>
            <w:vAlign w:val="center"/>
          </w:tcPr>
          <w:p w14:paraId="166066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945" w:type="dxa"/>
            <w:tcBorders>
              <w:top w:val="nil"/>
              <w:left w:val="nil"/>
              <w:bottom w:val="nil"/>
              <w:right w:val="nil"/>
            </w:tcBorders>
            <w:shd w:val="clear" w:color="auto" w:fill="auto"/>
            <w:vAlign w:val="center"/>
          </w:tcPr>
          <w:p w14:paraId="5592EC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1186DA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C76A0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0B05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49C533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发布新版本，并保留原方案、输入数据、计算参数及结果；发布失败时保留待发布状态。</w:t>
            </w:r>
          </w:p>
        </w:tc>
        <w:tc>
          <w:tcPr>
            <w:tcW w:w="1088" w:type="dxa"/>
            <w:tcBorders>
              <w:top w:val="nil"/>
              <w:left w:val="nil"/>
              <w:bottom w:val="nil"/>
              <w:right w:val="nil"/>
            </w:tcBorders>
            <w:shd w:val="clear" w:color="auto" w:fill="auto"/>
            <w:vAlign w:val="center"/>
          </w:tcPr>
          <w:p w14:paraId="5CD98C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1D93F42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26595C">
        <w:trPr>
          <w:cantSplit/>
          <w:trHeight w:val="0" w:hRule="atLeast"/>
          <w:jc w:val="center"/>
        </w:trPr>
        <w:tc>
          <w:tcPr>
            <w:tcW w:w="2944" w:type="dxa"/>
            <w:tcBorders>
              <w:top w:val="nil"/>
              <w:left w:val="nil"/>
              <w:bottom w:val="nil"/>
              <w:right w:val="nil"/>
            </w:tcBorders>
            <w:shd w:val="clear" w:color="auto" w:fill="auto"/>
            <w:vAlign w:val="center"/>
          </w:tcPr>
          <w:p w14:paraId="42D3E6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945" w:type="dxa"/>
            <w:tcBorders>
              <w:top w:val="nil"/>
              <w:left w:val="nil"/>
              <w:bottom w:val="nil"/>
              <w:right w:val="nil"/>
            </w:tcBorders>
            <w:shd w:val="clear" w:color="auto" w:fill="auto"/>
            <w:vAlign w:val="center"/>
          </w:tcPr>
          <w:p w14:paraId="406023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782119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8842E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未执行采购安排滚动调整</w:t>
            </w:r>
          </w:p>
        </w:tc>
        <w:tc>
          <w:tcPr>
            <w:tcW w:w="1098" w:type="dxa"/>
            <w:tcBorders>
              <w:top w:val="nil"/>
              <w:left w:val="nil"/>
              <w:bottom w:val="nil"/>
              <w:right w:val="nil"/>
            </w:tcBorders>
            <w:shd w:val="clear" w:color="auto" w:fill="auto"/>
            <w:vAlign w:val="center"/>
          </w:tcPr>
          <w:p w14:paraId="5220A2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12780A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3546BE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460007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16833607">
        <w:trPr>
          <w:cantSplit/>
          <w:trHeight w:val="0" w:hRule="atLeast"/>
          <w:jc w:val="center"/>
        </w:trPr>
        <w:tc>
          <w:tcPr>
            <w:tcW w:w="2944" w:type="dxa"/>
            <w:tcBorders>
              <w:top w:val="nil"/>
              <w:left w:val="nil"/>
              <w:bottom w:val="nil"/>
              <w:right w:val="nil"/>
            </w:tcBorders>
            <w:shd w:val="clear" w:color="auto" w:fill="auto"/>
            <w:vAlign w:val="center"/>
          </w:tcPr>
          <w:p w14:paraId="77A092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945" w:type="dxa"/>
            <w:tcBorders>
              <w:top w:val="nil"/>
              <w:left w:val="nil"/>
              <w:bottom w:val="nil"/>
              <w:right w:val="nil"/>
            </w:tcBorders>
            <w:shd w:val="clear" w:color="auto" w:fill="auto"/>
            <w:vAlign w:val="center"/>
          </w:tcPr>
          <w:p w14:paraId="5560FD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9280ED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3B550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6A704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2054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61026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156517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49B968F7">
        <w:trPr>
          <w:cantSplit/>
          <w:trHeight w:val="0" w:hRule="atLeast"/>
          <w:jc w:val="center"/>
        </w:trPr>
        <w:tc>
          <w:tcPr>
            <w:tcW w:w="2944" w:type="dxa"/>
            <w:tcBorders>
              <w:top w:val="nil"/>
              <w:left w:val="nil"/>
              <w:bottom w:val="nil"/>
              <w:right w:val="nil"/>
            </w:tcBorders>
            <w:shd w:val="clear" w:color="auto" w:fill="auto"/>
            <w:vAlign w:val="center"/>
          </w:tcPr>
          <w:p w14:paraId="05944B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945" w:type="dxa"/>
            <w:tcBorders>
              <w:top w:val="nil"/>
              <w:left w:val="nil"/>
              <w:bottom w:val="nil"/>
              <w:right w:val="nil"/>
            </w:tcBorders>
            <w:shd w:val="clear" w:color="auto" w:fill="auto"/>
            <w:vAlign w:val="center"/>
          </w:tcPr>
          <w:p w14:paraId="012CAE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E4FAD8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5E876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730747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10C5E1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44551A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4FA2EA0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33465E25">
        <w:trPr>
          <w:cantSplit/>
          <w:trHeight w:val="0" w:hRule="atLeast"/>
          <w:jc w:val="center"/>
        </w:trPr>
        <w:tc>
          <w:tcPr>
            <w:tcW w:w="2944" w:type="dxa"/>
            <w:tcBorders>
              <w:top w:val="nil"/>
              <w:left w:val="nil"/>
              <w:bottom w:val="nil"/>
              <w:right w:val="nil"/>
            </w:tcBorders>
            <w:shd w:val="clear" w:color="auto" w:fill="auto"/>
            <w:vAlign w:val="center"/>
          </w:tcPr>
          <w:p w14:paraId="729860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945" w:type="dxa"/>
            <w:tcBorders>
              <w:top w:val="nil"/>
              <w:left w:val="nil"/>
              <w:bottom w:val="nil"/>
              <w:right w:val="nil"/>
            </w:tcBorders>
            <w:shd w:val="clear" w:color="auto" w:fill="auto"/>
            <w:vAlign w:val="center"/>
          </w:tcPr>
          <w:p w14:paraId="211D49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201C58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A38D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471E2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08B84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188555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4D608E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7A399840">
        <w:trPr>
          <w:cantSplit/>
          <w:trHeight w:val="0" w:hRule="atLeast"/>
          <w:jc w:val="center"/>
        </w:trPr>
        <w:tc>
          <w:tcPr>
            <w:tcW w:w="2944" w:type="dxa"/>
            <w:tcBorders>
              <w:top w:val="nil"/>
              <w:left w:val="nil"/>
              <w:bottom w:val="nil"/>
              <w:right w:val="nil"/>
            </w:tcBorders>
            <w:shd w:val="clear" w:color="auto" w:fill="auto"/>
            <w:vAlign w:val="center"/>
          </w:tcPr>
          <w:p w14:paraId="030B9C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945" w:type="dxa"/>
            <w:tcBorders>
              <w:top w:val="nil"/>
              <w:left w:val="nil"/>
              <w:bottom w:val="nil"/>
              <w:right w:val="nil"/>
            </w:tcBorders>
            <w:shd w:val="clear" w:color="auto" w:fill="auto"/>
            <w:vAlign w:val="center"/>
          </w:tcPr>
          <w:p w14:paraId="6EF483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974DB3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2A412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2CE993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411E2C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4DEF1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1D6449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0F96">
        <w:trPr>
          <w:cantSplit/>
          <w:trHeight w:val="0" w:hRule="atLeast"/>
          <w:jc w:val="center"/>
        </w:trPr>
        <w:tc>
          <w:tcPr>
            <w:tcW w:w="2944" w:type="dxa"/>
            <w:tcBorders>
              <w:top w:val="nil"/>
              <w:left w:val="nil"/>
              <w:bottom w:val="nil"/>
              <w:right w:val="nil"/>
            </w:tcBorders>
            <w:shd w:val="clear" w:color="auto" w:fill="auto"/>
            <w:vAlign w:val="center"/>
          </w:tcPr>
          <w:p w14:paraId="45AC8EA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945" w:type="dxa"/>
            <w:tcBorders>
              <w:top w:val="nil"/>
              <w:left w:val="nil"/>
              <w:bottom w:val="nil"/>
              <w:right w:val="nil"/>
            </w:tcBorders>
            <w:shd w:val="clear" w:color="auto" w:fill="auto"/>
            <w:vAlign w:val="center"/>
          </w:tcPr>
          <w:p w14:paraId="6F676A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7AAF9F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5C5FF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5CD6B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01BB3F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判断需求变化、延期、到货不足或质检异常是否影响未执行安排；不需要调整时完成本次跟踪；需要调整时继续处理。</w:t>
            </w:r>
          </w:p>
        </w:tc>
        <w:tc>
          <w:tcPr>
            <w:tcW w:w="1088" w:type="dxa"/>
            <w:tcBorders>
              <w:top w:val="nil"/>
              <w:left w:val="nil"/>
              <w:bottom w:val="nil"/>
              <w:right w:val="nil"/>
            </w:tcBorders>
            <w:shd w:val="clear" w:color="auto" w:fill="auto"/>
            <w:vAlign w:val="center"/>
          </w:tcPr>
          <w:p w14:paraId="27BAF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1FCD2C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578F18">
        <w:trPr>
          <w:cantSplit/>
          <w:trHeight w:val="0" w:hRule="atLeast"/>
          <w:jc w:val="center"/>
        </w:trPr>
        <w:tc>
          <w:tcPr>
            <w:tcW w:w="2944" w:type="dxa"/>
            <w:tcBorders>
              <w:top w:val="nil"/>
              <w:left w:val="nil"/>
              <w:bottom w:val="nil"/>
              <w:right w:val="nil"/>
            </w:tcBorders>
            <w:shd w:val="clear" w:color="auto" w:fill="auto"/>
            <w:vAlign w:val="center"/>
          </w:tcPr>
          <w:p w14:paraId="58D892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945" w:type="dxa"/>
            <w:tcBorders>
              <w:top w:val="nil"/>
              <w:left w:val="nil"/>
              <w:bottom w:val="nil"/>
              <w:right w:val="nil"/>
            </w:tcBorders>
            <w:shd w:val="clear" w:color="auto" w:fill="auto"/>
            <w:vAlign w:val="center"/>
          </w:tcPr>
          <w:p w14:paraId="417D3A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01205D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2397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采购订单执行与到货跟踪</w:t>
            </w:r>
          </w:p>
        </w:tc>
        <w:tc>
          <w:tcPr>
            <w:tcW w:w="1098" w:type="dxa"/>
            <w:tcBorders>
              <w:top w:val="nil"/>
              <w:left w:val="nil"/>
              <w:bottom w:val="nil"/>
              <w:right w:val="nil"/>
            </w:tcBorders>
            <w:shd w:val="clear" w:color="auto" w:fill="auto"/>
            <w:vAlign w:val="center"/>
          </w:tcPr>
          <w:p w14:paraId="3BD08E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01D488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40149EC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6A6DF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0B8B84">
        <w:trPr>
          <w:cantSplit/>
          <w:trHeight w:val="0" w:hRule="atLeast"/>
          <w:jc w:val="center"/>
        </w:trPr>
        <w:tc>
          <w:tcPr>
            <w:tcW w:w="2944" w:type="dxa"/>
            <w:tcBorders>
              <w:top w:val="nil"/>
              <w:left w:val="nil"/>
              <w:bottom w:val="nil"/>
              <w:right w:val="nil"/>
            </w:tcBorders>
            <w:shd w:val="clear" w:color="auto" w:fill="auto"/>
            <w:vAlign w:val="center"/>
          </w:tcPr>
          <w:p w14:paraId="796B2F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945" w:type="dxa"/>
            <w:tcBorders>
              <w:top w:val="nil"/>
              <w:left w:val="nil"/>
              <w:bottom w:val="nil"/>
              <w:right w:val="nil"/>
            </w:tcBorders>
            <w:shd w:val="clear" w:color="auto" w:fill="auto"/>
            <w:vAlign w:val="center"/>
          </w:tcPr>
          <w:p w14:paraId="629E50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DFFD63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405F0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611FB3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EC300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56BB2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0C9AF4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4727A2FC">
        <w:trPr>
          <w:cantSplit/>
          <w:trHeight w:val="0" w:hRule="atLeast"/>
          <w:jc w:val="center"/>
        </w:trPr>
        <w:tc>
          <w:tcPr>
            <w:tcW w:w="2944" w:type="dxa"/>
            <w:tcBorders>
              <w:top w:val="nil"/>
              <w:left w:val="nil"/>
              <w:bottom w:val="nil"/>
              <w:right w:val="nil"/>
            </w:tcBorders>
            <w:shd w:val="clear" w:color="auto" w:fill="auto"/>
            <w:vAlign w:val="center"/>
          </w:tcPr>
          <w:p w14:paraId="42BC07C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945" w:type="dxa"/>
            <w:tcBorders>
              <w:top w:val="nil"/>
              <w:left w:val="nil"/>
              <w:bottom w:val="nil"/>
              <w:right w:val="nil"/>
            </w:tcBorders>
            <w:shd w:val="clear" w:color="auto" w:fill="auto"/>
            <w:vAlign w:val="center"/>
          </w:tcPr>
          <w:p w14:paraId="38E5E5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D717E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D037A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CD0DD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4748FFA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373CD6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0C33AC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603282">
        <w:trPr>
          <w:cantSplit/>
          <w:trHeight w:val="0" w:hRule="atLeast"/>
          <w:jc w:val="center"/>
        </w:trPr>
        <w:tc>
          <w:tcPr>
            <w:tcW w:w="2944" w:type="dxa"/>
            <w:tcBorders>
              <w:top w:val="nil"/>
              <w:left w:val="nil"/>
              <w:bottom w:val="nil"/>
              <w:right w:val="nil"/>
            </w:tcBorders>
            <w:shd w:val="clear" w:color="auto" w:fill="auto"/>
            <w:vAlign w:val="center"/>
          </w:tcPr>
          <w:p w14:paraId="0A1DED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945" w:type="dxa"/>
            <w:tcBorders>
              <w:top w:val="nil"/>
              <w:left w:val="nil"/>
              <w:bottom w:val="nil"/>
              <w:right w:val="nil"/>
            </w:tcBorders>
            <w:shd w:val="clear" w:color="auto" w:fill="auto"/>
            <w:vAlign w:val="center"/>
          </w:tcPr>
          <w:p w14:paraId="161F0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4D08C7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C95F4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12A14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3EEFA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405136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2D930B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2B6829">
        <w:trPr>
          <w:cantSplit/>
          <w:trHeight w:val="0" w:hRule="atLeast"/>
          <w:jc w:val="center"/>
        </w:trPr>
        <w:tc>
          <w:tcPr>
            <w:tcW w:w="2944" w:type="dxa"/>
            <w:tcBorders>
              <w:top w:val="nil"/>
              <w:left w:val="nil"/>
              <w:bottom w:val="nil"/>
              <w:right w:val="nil"/>
            </w:tcBorders>
            <w:shd w:val="clear" w:color="auto" w:fill="auto"/>
            <w:vAlign w:val="center"/>
          </w:tcPr>
          <w:p w14:paraId="3F84A2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945" w:type="dxa"/>
            <w:tcBorders>
              <w:top w:val="nil"/>
              <w:left w:val="nil"/>
              <w:bottom w:val="nil"/>
              <w:right w:val="nil"/>
            </w:tcBorders>
            <w:shd w:val="clear" w:color="auto" w:fill="auto"/>
            <w:vAlign w:val="center"/>
          </w:tcPr>
          <w:p w14:paraId="257404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F92B4C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9CA3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4700E8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787E7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52F653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3027ED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4BA3C">
        <w:trPr>
          <w:cantSplit/>
          <w:trHeight w:val="0" w:hRule="atLeast"/>
          <w:jc w:val="center"/>
        </w:trPr>
        <w:tc>
          <w:tcPr>
            <w:tcW w:w="2944" w:type="dxa"/>
            <w:tcBorders>
              <w:top w:val="nil"/>
              <w:left w:val="nil"/>
              <w:bottom w:val="nil"/>
              <w:right w:val="nil"/>
            </w:tcBorders>
            <w:shd w:val="clear" w:color="auto" w:fill="auto"/>
            <w:vAlign w:val="center"/>
          </w:tcPr>
          <w:p w14:paraId="56A4B2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945" w:type="dxa"/>
            <w:tcBorders>
              <w:top w:val="nil"/>
              <w:left w:val="nil"/>
              <w:bottom w:val="nil"/>
              <w:right w:val="nil"/>
            </w:tcBorders>
            <w:shd w:val="clear" w:color="auto" w:fill="auto"/>
            <w:vAlign w:val="center"/>
          </w:tcPr>
          <w:p w14:paraId="24AB04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6828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1BE6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184582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1CB564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核对合同有效性、可安排余量、交期及运输提前期等条件；条件不完整可用时退回补充或调整；条件完整可用时继续处理。</w:t>
            </w:r>
          </w:p>
        </w:tc>
        <w:tc>
          <w:tcPr>
            <w:tcW w:w="1088" w:type="dxa"/>
            <w:tcBorders>
              <w:top w:val="nil"/>
              <w:left w:val="nil"/>
              <w:bottom w:val="nil"/>
              <w:right w:val="nil"/>
            </w:tcBorders>
            <w:shd w:val="clear" w:color="auto" w:fill="auto"/>
            <w:vAlign w:val="center"/>
          </w:tcPr>
          <w:p w14:paraId="022FB0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D7DA6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41A3A6">
        <w:trPr>
          <w:cantSplit/>
          <w:trHeight w:val="0" w:hRule="atLeast"/>
          <w:jc w:val="center"/>
        </w:trPr>
        <w:tc>
          <w:tcPr>
            <w:tcW w:w="2944" w:type="dxa"/>
            <w:tcBorders>
              <w:top w:val="nil"/>
              <w:left w:val="nil"/>
              <w:bottom w:val="nil"/>
              <w:right w:val="nil"/>
            </w:tcBorders>
            <w:shd w:val="clear" w:color="auto" w:fill="auto"/>
            <w:vAlign w:val="center"/>
          </w:tcPr>
          <w:p w14:paraId="423883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945" w:type="dxa"/>
            <w:tcBorders>
              <w:top w:val="nil"/>
              <w:left w:val="nil"/>
              <w:bottom w:val="nil"/>
              <w:right w:val="nil"/>
            </w:tcBorders>
            <w:shd w:val="clear" w:color="auto" w:fill="auto"/>
            <w:vAlign w:val="center"/>
          </w:tcPr>
          <w:p w14:paraId="2FA2D9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401AF9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63F3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5BD07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0F1A7A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7BF36D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60F27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B77DFA">
        <w:trPr>
          <w:cantSplit/>
          <w:trHeight w:val="0" w:hRule="atLeast"/>
          <w:jc w:val="center"/>
        </w:trPr>
        <w:tc>
          <w:tcPr>
            <w:tcW w:w="2944" w:type="dxa"/>
            <w:tcBorders>
              <w:top w:val="nil"/>
              <w:left w:val="nil"/>
              <w:bottom w:val="nil"/>
              <w:right w:val="nil"/>
            </w:tcBorders>
            <w:shd w:val="clear" w:color="auto" w:fill="auto"/>
            <w:vAlign w:val="center"/>
          </w:tcPr>
          <w:p w14:paraId="3330B1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945" w:type="dxa"/>
            <w:tcBorders>
              <w:top w:val="nil"/>
              <w:left w:val="nil"/>
              <w:bottom w:val="nil"/>
              <w:right w:val="nil"/>
            </w:tcBorders>
            <w:shd w:val="clear" w:color="auto" w:fill="auto"/>
            <w:vAlign w:val="center"/>
          </w:tcPr>
          <w:p w14:paraId="626EC7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8EC96F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1B92D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原材料要货基础条件维护</w:t>
            </w:r>
          </w:p>
        </w:tc>
        <w:tc>
          <w:tcPr>
            <w:tcW w:w="1098" w:type="dxa"/>
            <w:tcBorders>
              <w:top w:val="nil"/>
              <w:left w:val="nil"/>
              <w:bottom w:val="nil"/>
              <w:right w:val="nil"/>
            </w:tcBorders>
            <w:shd w:val="clear" w:color="auto" w:fill="auto"/>
            <w:vAlign w:val="center"/>
          </w:tcPr>
          <w:p w14:paraId="36E405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3CF719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45B354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27014B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C3483">
        <w:trPr>
          <w:cantSplit/>
          <w:trHeight w:val="0" w:hRule="atLeast"/>
          <w:jc w:val="center"/>
        </w:trPr>
        <w:tc>
          <w:tcPr>
            <w:tcW w:w="2944" w:type="dxa"/>
            <w:tcBorders>
              <w:top w:val="nil"/>
              <w:left w:val="nil"/>
              <w:bottom w:val="nil"/>
              <w:right w:val="nil"/>
            </w:tcBorders>
            <w:shd w:val="clear" w:color="auto" w:fill="auto"/>
            <w:vAlign w:val="center"/>
          </w:tcPr>
          <w:p w14:paraId="1F043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945" w:type="dxa"/>
            <w:tcBorders>
              <w:top w:val="nil"/>
              <w:left w:val="nil"/>
              <w:bottom w:val="nil"/>
              <w:right w:val="nil"/>
            </w:tcBorders>
            <w:shd w:val="clear" w:color="auto" w:fill="auto"/>
            <w:vAlign w:val="center"/>
          </w:tcPr>
          <w:p w14:paraId="121E06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783042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E5244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1C5A5F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263C99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4668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60C961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959E417">
        <w:trPr>
          <w:cantSplit/>
          <w:trHeight w:val="0" w:hRule="atLeast"/>
          <w:jc w:val="center"/>
        </w:trPr>
        <w:tc>
          <w:tcPr>
            <w:tcW w:w="2944" w:type="dxa"/>
            <w:tcBorders>
              <w:top w:val="nil"/>
              <w:left w:val="nil"/>
              <w:bottom w:val="nil"/>
              <w:right w:val="nil"/>
            </w:tcBorders>
            <w:shd w:val="clear" w:color="auto" w:fill="auto"/>
            <w:vAlign w:val="center"/>
          </w:tcPr>
          <w:p w14:paraId="090019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945" w:type="dxa"/>
            <w:tcBorders>
              <w:top w:val="nil"/>
              <w:left w:val="nil"/>
              <w:bottom w:val="nil"/>
              <w:right w:val="nil"/>
            </w:tcBorders>
            <w:shd w:val="clear" w:color="auto" w:fill="auto"/>
            <w:vAlign w:val="center"/>
          </w:tcPr>
          <w:p w14:paraId="560A56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83506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C38EF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1FE1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135D54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按日投影库存；计划期末继续读取缓冲天数内的耗用；现有已确定的到货安排已满足需求时，该日期不新增要货。</w:t>
            </w:r>
          </w:p>
        </w:tc>
        <w:tc>
          <w:tcPr>
            <w:tcW w:w="1088" w:type="dxa"/>
            <w:tcBorders>
              <w:top w:val="nil"/>
              <w:left w:val="nil"/>
              <w:bottom w:val="nil"/>
              <w:right w:val="nil"/>
            </w:tcBorders>
            <w:shd w:val="clear" w:color="auto" w:fill="auto"/>
            <w:vAlign w:val="center"/>
          </w:tcPr>
          <w:p w14:paraId="31E1D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11A299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AC747">
        <w:trPr>
          <w:cantSplit/>
          <w:trHeight w:val="0" w:hRule="atLeast"/>
          <w:jc w:val="center"/>
        </w:trPr>
        <w:tc>
          <w:tcPr>
            <w:tcW w:w="2944" w:type="dxa"/>
            <w:tcBorders>
              <w:top w:val="nil"/>
              <w:left w:val="nil"/>
              <w:bottom w:val="nil"/>
              <w:right w:val="nil"/>
            </w:tcBorders>
            <w:shd w:val="clear" w:color="auto" w:fill="auto"/>
            <w:vAlign w:val="center"/>
          </w:tcPr>
          <w:p w14:paraId="233743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945" w:type="dxa"/>
            <w:tcBorders>
              <w:top w:val="nil"/>
              <w:left w:val="nil"/>
              <w:bottom w:val="nil"/>
              <w:right w:val="nil"/>
            </w:tcBorders>
            <w:shd w:val="clear" w:color="auto" w:fill="auto"/>
            <w:vAlign w:val="center"/>
          </w:tcPr>
          <w:p w14:paraId="60B61C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274103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EEC3C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31AE4D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22252E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492440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2BA3E6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D96BD6">
        <w:trPr>
          <w:cantSplit/>
          <w:trHeight w:val="0" w:hRule="atLeast"/>
          <w:jc w:val="center"/>
        </w:trPr>
        <w:tc>
          <w:tcPr>
            <w:tcW w:w="2944" w:type="dxa"/>
            <w:tcBorders>
              <w:top w:val="nil"/>
              <w:left w:val="nil"/>
              <w:bottom w:val="nil"/>
              <w:right w:val="nil"/>
            </w:tcBorders>
            <w:shd w:val="clear" w:color="auto" w:fill="auto"/>
            <w:vAlign w:val="center"/>
          </w:tcPr>
          <w:p w14:paraId="15F6A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945" w:type="dxa"/>
            <w:tcBorders>
              <w:top w:val="nil"/>
              <w:left w:val="nil"/>
              <w:bottom w:val="nil"/>
              <w:right w:val="nil"/>
            </w:tcBorders>
            <w:shd w:val="clear" w:color="auto" w:fill="auto"/>
            <w:vAlign w:val="center"/>
          </w:tcPr>
          <w:p w14:paraId="622933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4CEA08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5774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2F6843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337057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根据供应商协商结果调整优先顺序、合同、到货日期和数量；可重新生成系统方案；人工调整和移除均保留记录。</w:t>
            </w:r>
          </w:p>
        </w:tc>
        <w:tc>
          <w:tcPr>
            <w:tcW w:w="1088" w:type="dxa"/>
            <w:tcBorders>
              <w:top w:val="nil"/>
              <w:left w:val="nil"/>
              <w:bottom w:val="nil"/>
              <w:right w:val="nil"/>
            </w:tcBorders>
            <w:shd w:val="clear" w:color="auto" w:fill="auto"/>
            <w:vAlign w:val="center"/>
          </w:tcPr>
          <w:p w14:paraId="5AD571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EAB4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F35DFF">
        <w:trPr>
          <w:cantSplit/>
          <w:trHeight w:val="0" w:hRule="atLeast"/>
          <w:jc w:val="center"/>
        </w:trPr>
        <w:tc>
          <w:tcPr>
            <w:tcW w:w="2944" w:type="dxa"/>
            <w:tcBorders>
              <w:top w:val="nil"/>
              <w:left w:val="nil"/>
              <w:bottom w:val="nil"/>
              <w:right w:val="nil"/>
            </w:tcBorders>
            <w:shd w:val="clear" w:color="auto" w:fill="auto"/>
            <w:vAlign w:val="center"/>
          </w:tcPr>
          <w:p w14:paraId="6D9850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945" w:type="dxa"/>
            <w:tcBorders>
              <w:top w:val="nil"/>
              <w:left w:val="nil"/>
              <w:bottom w:val="nil"/>
              <w:right w:val="nil"/>
            </w:tcBorders>
            <w:shd w:val="clear" w:color="auto" w:fill="auto"/>
            <w:vAlign w:val="center"/>
          </w:tcPr>
          <w:p w14:paraId="0D18A5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7B4577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FC6BD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67ED46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4E3E4C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615F09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367D4B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262774">
        <w:trPr>
          <w:cantSplit/>
          <w:trHeight w:val="0" w:hRule="atLeast"/>
          <w:jc w:val="center"/>
        </w:trPr>
        <w:tc>
          <w:tcPr>
            <w:tcW w:w="2944" w:type="dxa"/>
            <w:tcBorders>
              <w:top w:val="nil"/>
              <w:left w:val="nil"/>
              <w:bottom w:val="nil"/>
              <w:right w:val="nil"/>
            </w:tcBorders>
            <w:shd w:val="clear" w:color="auto" w:fill="auto"/>
            <w:vAlign w:val="center"/>
          </w:tcPr>
          <w:p w14:paraId="1FE750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945" w:type="dxa"/>
            <w:tcBorders>
              <w:top w:val="nil"/>
              <w:left w:val="nil"/>
              <w:bottom w:val="nil"/>
              <w:right w:val="nil"/>
            </w:tcBorders>
            <w:shd w:val="clear" w:color="auto" w:fill="auto"/>
            <w:vAlign w:val="center"/>
          </w:tcPr>
          <w:p w14:paraId="10F0DC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8BDC70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F858C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5EC52C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555C8F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核对供应商、合同、日期、数量、补位原因及风险；未确认当前计划时退回调整；确认当前计划时继续处理。</w:t>
            </w:r>
          </w:p>
        </w:tc>
        <w:tc>
          <w:tcPr>
            <w:tcW w:w="1088" w:type="dxa"/>
            <w:tcBorders>
              <w:top w:val="nil"/>
              <w:left w:val="nil"/>
              <w:bottom w:val="nil"/>
              <w:right w:val="nil"/>
            </w:tcBorders>
            <w:shd w:val="clear" w:color="auto" w:fill="auto"/>
            <w:vAlign w:val="center"/>
          </w:tcPr>
          <w:p w14:paraId="71C286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89F48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664652">
        <w:trPr>
          <w:cantSplit/>
          <w:trHeight w:val="0" w:hRule="atLeast"/>
          <w:jc w:val="center"/>
        </w:trPr>
        <w:tc>
          <w:tcPr>
            <w:tcW w:w="2944" w:type="dxa"/>
            <w:tcBorders>
              <w:top w:val="nil"/>
              <w:left w:val="nil"/>
              <w:bottom w:val="nil"/>
              <w:right w:val="nil"/>
            </w:tcBorders>
            <w:shd w:val="clear" w:color="auto" w:fill="auto"/>
            <w:vAlign w:val="center"/>
          </w:tcPr>
          <w:p w14:paraId="4A9C3C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945" w:type="dxa"/>
            <w:tcBorders>
              <w:top w:val="nil"/>
              <w:left w:val="nil"/>
              <w:bottom w:val="nil"/>
              <w:right w:val="nil"/>
            </w:tcBorders>
            <w:shd w:val="clear" w:color="auto" w:fill="auto"/>
            <w:vAlign w:val="center"/>
          </w:tcPr>
          <w:p w14:paraId="2BA1D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CC9C93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9C3DB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日度原材料要货安排编制</w:t>
            </w:r>
          </w:p>
        </w:tc>
        <w:tc>
          <w:tcPr>
            <w:tcW w:w="1098" w:type="dxa"/>
            <w:tcBorders>
              <w:top w:val="nil"/>
              <w:left w:val="nil"/>
              <w:bottom w:val="nil"/>
              <w:right w:val="nil"/>
            </w:tcBorders>
            <w:shd w:val="clear" w:color="auto" w:fill="auto"/>
            <w:vAlign w:val="center"/>
          </w:tcPr>
          <w:p w14:paraId="48B551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7691B7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5DDD31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2B069F2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188A79">
        <w:trPr>
          <w:cantSplit/>
          <w:trHeight w:val="0" w:hRule="atLeast"/>
          <w:jc w:val="center"/>
        </w:trPr>
        <w:tc>
          <w:tcPr>
            <w:tcW w:w="2944" w:type="dxa"/>
            <w:tcBorders>
              <w:top w:val="nil"/>
              <w:left w:val="nil"/>
              <w:bottom w:val="nil"/>
              <w:right w:val="nil"/>
            </w:tcBorders>
            <w:shd w:val="clear" w:color="auto" w:fill="auto"/>
            <w:vAlign w:val="center"/>
          </w:tcPr>
          <w:p w14:paraId="3FA6A3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945" w:type="dxa"/>
            <w:tcBorders>
              <w:top w:val="nil"/>
              <w:left w:val="nil"/>
              <w:bottom w:val="nil"/>
              <w:right w:val="nil"/>
            </w:tcBorders>
            <w:shd w:val="clear" w:color="auto" w:fill="auto"/>
            <w:vAlign w:val="center"/>
          </w:tcPr>
          <w:p w14:paraId="28FB58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83A06B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3E8DC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14DB6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747BCE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21F8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47DCE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67AB1A">
        <w:trPr>
          <w:cantSplit/>
          <w:trHeight w:val="0" w:hRule="atLeast"/>
          <w:jc w:val="center"/>
        </w:trPr>
        <w:tc>
          <w:tcPr>
            <w:tcW w:w="2944" w:type="dxa"/>
            <w:tcBorders>
              <w:top w:val="nil"/>
              <w:left w:val="nil"/>
              <w:bottom w:val="nil"/>
              <w:right w:val="nil"/>
            </w:tcBorders>
            <w:shd w:val="clear" w:color="auto" w:fill="auto"/>
            <w:vAlign w:val="center"/>
          </w:tcPr>
          <w:p w14:paraId="6AFDE6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945" w:type="dxa"/>
            <w:tcBorders>
              <w:top w:val="nil"/>
              <w:left w:val="nil"/>
              <w:bottom w:val="nil"/>
              <w:right w:val="nil"/>
            </w:tcBorders>
            <w:shd w:val="clear" w:color="auto" w:fill="auto"/>
            <w:vAlign w:val="center"/>
          </w:tcPr>
          <w:p w14:paraId="0900FF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C135B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4CB22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615F5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42F925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0D6B7B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31C74D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2B388BD4">
        <w:trPr>
          <w:cantSplit/>
          <w:trHeight w:val="0" w:hRule="atLeast"/>
          <w:jc w:val="center"/>
        </w:trPr>
        <w:tc>
          <w:tcPr>
            <w:tcW w:w="2944" w:type="dxa"/>
            <w:tcBorders>
              <w:top w:val="nil"/>
              <w:left w:val="nil"/>
              <w:bottom w:val="nil"/>
              <w:right w:val="nil"/>
            </w:tcBorders>
            <w:shd w:val="clear" w:color="auto" w:fill="auto"/>
            <w:vAlign w:val="center"/>
          </w:tcPr>
          <w:p w14:paraId="556510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945" w:type="dxa"/>
            <w:tcBorders>
              <w:top w:val="nil"/>
              <w:left w:val="nil"/>
              <w:bottom w:val="nil"/>
              <w:right w:val="nil"/>
            </w:tcBorders>
            <w:shd w:val="clear" w:color="auto" w:fill="auto"/>
            <w:vAlign w:val="center"/>
          </w:tcPr>
          <w:p w14:paraId="018DAA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855DD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F01C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1EC4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6BDF9A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供应商确认能否按计划到货；无法满足时记录执行偏差，并评估是否需要调整要货计划。</w:t>
            </w:r>
          </w:p>
        </w:tc>
        <w:tc>
          <w:tcPr>
            <w:tcW w:w="1088" w:type="dxa"/>
            <w:tcBorders>
              <w:top w:val="nil"/>
              <w:left w:val="nil"/>
              <w:bottom w:val="nil"/>
              <w:right w:val="nil"/>
            </w:tcBorders>
            <w:shd w:val="clear" w:color="auto" w:fill="auto"/>
            <w:vAlign w:val="center"/>
          </w:tcPr>
          <w:p w14:paraId="53A86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28340B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4BA2111E">
        <w:trPr>
          <w:cantSplit/>
          <w:trHeight w:val="0" w:hRule="atLeast"/>
          <w:jc w:val="center"/>
        </w:trPr>
        <w:tc>
          <w:tcPr>
            <w:tcW w:w="2944" w:type="dxa"/>
            <w:tcBorders>
              <w:top w:val="nil"/>
              <w:left w:val="nil"/>
              <w:bottom w:val="nil"/>
              <w:right w:val="nil"/>
            </w:tcBorders>
            <w:shd w:val="clear" w:color="auto" w:fill="auto"/>
            <w:vAlign w:val="center"/>
          </w:tcPr>
          <w:p w14:paraId="44EF130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945" w:type="dxa"/>
            <w:tcBorders>
              <w:top w:val="nil"/>
              <w:left w:val="nil"/>
              <w:bottom w:val="nil"/>
              <w:right w:val="nil"/>
            </w:tcBorders>
            <w:shd w:val="clear" w:color="auto" w:fill="auto"/>
            <w:vAlign w:val="center"/>
          </w:tcPr>
          <w:p w14:paraId="06A2DC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A0775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B7603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77C423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1A97FCE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1D6948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325CA19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6D413816">
        <w:trPr>
          <w:cantSplit/>
          <w:trHeight w:val="0" w:hRule="atLeast"/>
          <w:jc w:val="center"/>
        </w:trPr>
        <w:tc>
          <w:tcPr>
            <w:tcW w:w="2944" w:type="dxa"/>
            <w:tcBorders>
              <w:top w:val="nil"/>
              <w:left w:val="nil"/>
              <w:bottom w:val="nil"/>
              <w:right w:val="nil"/>
            </w:tcBorders>
            <w:shd w:val="clear" w:color="auto" w:fill="auto"/>
            <w:vAlign w:val="center"/>
          </w:tcPr>
          <w:p w14:paraId="4C568A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945" w:type="dxa"/>
            <w:tcBorders>
              <w:top w:val="nil"/>
              <w:left w:val="nil"/>
              <w:bottom w:val="nil"/>
              <w:right w:val="nil"/>
            </w:tcBorders>
            <w:shd w:val="clear" w:color="auto" w:fill="auto"/>
            <w:vAlign w:val="center"/>
          </w:tcPr>
          <w:p w14:paraId="10E759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0A8189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6981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6D87B3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53B39E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D6D7C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1700A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35836370">
        <w:trPr>
          <w:cantSplit/>
          <w:trHeight w:val="0" w:hRule="atLeast"/>
          <w:jc w:val="center"/>
        </w:trPr>
        <w:tc>
          <w:tcPr>
            <w:tcW w:w="2944" w:type="dxa"/>
            <w:tcBorders>
              <w:top w:val="nil"/>
              <w:left w:val="nil"/>
              <w:bottom w:val="nil"/>
              <w:right w:val="nil"/>
            </w:tcBorders>
            <w:shd w:val="clear" w:color="auto" w:fill="auto"/>
            <w:vAlign w:val="center"/>
          </w:tcPr>
          <w:p w14:paraId="354F265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945" w:type="dxa"/>
            <w:tcBorders>
              <w:top w:val="nil"/>
              <w:left w:val="nil"/>
              <w:bottom w:val="nil"/>
              <w:right w:val="nil"/>
            </w:tcBorders>
            <w:shd w:val="clear" w:color="auto" w:fill="auto"/>
            <w:vAlign w:val="center"/>
          </w:tcPr>
          <w:p w14:paraId="5F381C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更新执行状态与已确定的到货安排规则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81D14A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4AD39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27425D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4D5C93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491DC0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要货执行进度和已确定的到货安排</w:t>
            </w:r>
          </w:p>
        </w:tc>
        <w:tc>
          <w:tcPr>
            <w:tcW w:w="1460" w:type="dxa"/>
            <w:tcBorders>
              <w:top w:val="nil"/>
              <w:left w:val="nil"/>
              <w:bottom w:val="nil"/>
              <w:right w:val="nil"/>
            </w:tcBorders>
            <w:shd w:val="clear" w:color="auto" w:fill="auto"/>
            <w:vAlign w:val="center"/>
          </w:tcPr>
          <w:p w14:paraId="2ABAC4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77AB8C1">
        <w:trPr>
          <w:cantSplit/>
          <w:trHeight w:val="0" w:hRule="atLeast"/>
          <w:jc w:val="center"/>
        </w:trPr>
        <w:tc>
          <w:tcPr>
            <w:tcW w:w="2944" w:type="dxa"/>
            <w:tcBorders>
              <w:top w:val="nil"/>
              <w:left w:val="nil"/>
              <w:bottom w:val="nil"/>
              <w:right w:val="nil"/>
            </w:tcBorders>
            <w:shd w:val="clear" w:color="auto" w:fill="auto"/>
            <w:vAlign w:val="center"/>
          </w:tcPr>
          <w:p w14:paraId="186591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945" w:type="dxa"/>
            <w:tcBorders>
              <w:top w:val="nil"/>
              <w:left w:val="nil"/>
              <w:bottom w:val="nil"/>
              <w:right w:val="nil"/>
            </w:tcBorders>
            <w:shd w:val="clear" w:color="auto" w:fill="auto"/>
            <w:vAlign w:val="center"/>
          </w:tcPr>
          <w:p w14:paraId="0C75CC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523A1F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A5FA5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原材料要货下达与到货跟踪</w:t>
            </w:r>
          </w:p>
        </w:tc>
        <w:tc>
          <w:tcPr>
            <w:tcW w:w="1098" w:type="dxa"/>
            <w:tcBorders>
              <w:top w:val="nil"/>
              <w:left w:val="nil"/>
              <w:bottom w:val="nil"/>
              <w:right w:val="nil"/>
            </w:tcBorders>
            <w:shd w:val="clear" w:color="auto" w:fill="auto"/>
            <w:vAlign w:val="center"/>
          </w:tcPr>
          <w:p w14:paraId="5258C0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要货执行进度和已确定的到货安排形成后</w:t>
            </w:r>
          </w:p>
        </w:tc>
        <w:tc>
          <w:tcPr>
            <w:tcW w:w="1406" w:type="dxa"/>
            <w:tcBorders>
              <w:top w:val="nil"/>
              <w:left w:val="nil"/>
              <w:bottom w:val="nil"/>
              <w:right w:val="nil"/>
            </w:tcBorders>
            <w:shd w:val="clear" w:color="auto" w:fill="auto"/>
            <w:vAlign w:val="center"/>
          </w:tcPr>
          <w:p w14:paraId="67CA9F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FE748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4F4C42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10A4C1">
        <w:trPr>
          <w:cantSplit/>
          <w:trHeight w:val="0" w:hRule="atLeast"/>
          <w:jc w:val="center"/>
        </w:trPr>
        <w:tc>
          <w:tcPr>
            <w:tcW w:w="2944" w:type="dxa"/>
            <w:tcBorders>
              <w:top w:val="nil"/>
              <w:left w:val="nil"/>
              <w:bottom w:val="nil"/>
              <w:right w:val="nil"/>
            </w:tcBorders>
            <w:shd w:val="clear" w:color="auto" w:fill="auto"/>
            <w:vAlign w:val="center"/>
          </w:tcPr>
          <w:p w14:paraId="3275E1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945" w:type="dxa"/>
            <w:tcBorders>
              <w:top w:val="nil"/>
              <w:left w:val="nil"/>
              <w:bottom w:val="nil"/>
              <w:right w:val="nil"/>
            </w:tcBorders>
            <w:shd w:val="clear" w:color="auto" w:fill="auto"/>
            <w:vAlign w:val="center"/>
          </w:tcPr>
          <w:p w14:paraId="4544D9D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6FDE8C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34C3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60B86A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78F953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48BF194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681BA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673848FF">
        <w:trPr>
          <w:cantSplit/>
          <w:trHeight w:val="0" w:hRule="atLeast"/>
          <w:jc w:val="center"/>
        </w:trPr>
        <w:tc>
          <w:tcPr>
            <w:tcW w:w="2944" w:type="dxa"/>
            <w:tcBorders>
              <w:top w:val="nil"/>
              <w:left w:val="nil"/>
              <w:bottom w:val="nil"/>
              <w:right w:val="nil"/>
            </w:tcBorders>
            <w:shd w:val="clear" w:color="auto" w:fill="auto"/>
            <w:vAlign w:val="center"/>
          </w:tcPr>
          <w:p w14:paraId="4F1EF6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945" w:type="dxa"/>
            <w:tcBorders>
              <w:top w:val="nil"/>
              <w:left w:val="nil"/>
              <w:bottom w:val="nil"/>
              <w:right w:val="nil"/>
            </w:tcBorders>
            <w:shd w:val="clear" w:color="auto" w:fill="auto"/>
            <w:vAlign w:val="center"/>
          </w:tcPr>
          <w:p w14:paraId="2CF0A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96E9D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D1371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8D609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10CDD9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25099D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41262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BA2E0C">
        <w:trPr>
          <w:cantSplit/>
          <w:trHeight w:val="0" w:hRule="atLeast"/>
          <w:jc w:val="center"/>
        </w:trPr>
        <w:tc>
          <w:tcPr>
            <w:tcW w:w="2944" w:type="dxa"/>
            <w:tcBorders>
              <w:top w:val="nil"/>
              <w:left w:val="nil"/>
              <w:bottom w:val="nil"/>
              <w:right w:val="nil"/>
            </w:tcBorders>
            <w:shd w:val="clear" w:color="auto" w:fill="auto"/>
            <w:vAlign w:val="center"/>
          </w:tcPr>
          <w:p w14:paraId="7C713C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945" w:type="dxa"/>
            <w:tcBorders>
              <w:top w:val="nil"/>
              <w:left w:val="nil"/>
              <w:bottom w:val="nil"/>
              <w:right w:val="nil"/>
            </w:tcBorders>
            <w:shd w:val="clear" w:color="auto" w:fill="auto"/>
            <w:vAlign w:val="center"/>
          </w:tcPr>
          <w:p w14:paraId="31BFE1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481A5B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13166E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351A76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F499F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已确认、已下达、已有在途及人工锁定安排作为已确定的到货安排；已固定安排本身出现偏差时，仅更新执行信息并将影响传递给可调整部分或异常协调流程。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1BBBA5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69F995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E07D8D">
        <w:trPr>
          <w:cantSplit/>
          <w:trHeight w:val="0" w:hRule="atLeast"/>
          <w:jc w:val="center"/>
        </w:trPr>
        <w:tc>
          <w:tcPr>
            <w:tcW w:w="2944" w:type="dxa"/>
            <w:tcBorders>
              <w:top w:val="nil"/>
              <w:left w:val="nil"/>
              <w:bottom w:val="nil"/>
              <w:right w:val="nil"/>
            </w:tcBorders>
            <w:shd w:val="clear" w:color="auto" w:fill="auto"/>
            <w:vAlign w:val="center"/>
          </w:tcPr>
          <w:p w14:paraId="046063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945" w:type="dxa"/>
            <w:tcBorders>
              <w:top w:val="nil"/>
              <w:left w:val="nil"/>
              <w:bottom w:val="nil"/>
              <w:right w:val="nil"/>
            </w:tcBorders>
            <w:shd w:val="clear" w:color="auto" w:fill="auto"/>
            <w:vAlign w:val="center"/>
          </w:tcPr>
          <w:p w14:paraId="1D373C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DFBE1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30A73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7534C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52827D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3543D3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384474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6A0F35">
        <w:trPr>
          <w:cantSplit/>
          <w:trHeight w:val="0" w:hRule="atLeast"/>
          <w:jc w:val="center"/>
        </w:trPr>
        <w:tc>
          <w:tcPr>
            <w:tcW w:w="2944" w:type="dxa"/>
            <w:tcBorders>
              <w:top w:val="nil"/>
              <w:left w:val="nil"/>
              <w:bottom w:val="nil"/>
              <w:right w:val="nil"/>
            </w:tcBorders>
            <w:shd w:val="clear" w:color="auto" w:fill="auto"/>
            <w:vAlign w:val="center"/>
          </w:tcPr>
          <w:p w14:paraId="63E3E5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945" w:type="dxa"/>
            <w:tcBorders>
              <w:top w:val="nil"/>
              <w:left w:val="nil"/>
              <w:bottom w:val="nil"/>
              <w:right w:val="nil"/>
            </w:tcBorders>
            <w:shd w:val="clear" w:color="auto" w:fill="auto"/>
            <w:vAlign w:val="center"/>
          </w:tcPr>
          <w:p w14:paraId="779B97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2E7994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E576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2B0F7E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3CAF76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6F6BB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29DC3B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35E0B7">
        <w:trPr>
          <w:cantSplit/>
          <w:trHeight w:val="0" w:hRule="atLeast"/>
          <w:jc w:val="center"/>
        </w:trPr>
        <w:tc>
          <w:tcPr>
            <w:tcW w:w="2944" w:type="dxa"/>
            <w:tcBorders>
              <w:top w:val="nil"/>
              <w:left w:val="nil"/>
              <w:bottom w:val="nil"/>
              <w:right w:val="nil"/>
            </w:tcBorders>
            <w:shd w:val="clear" w:color="auto" w:fill="auto"/>
            <w:vAlign w:val="center"/>
          </w:tcPr>
          <w:p w14:paraId="28062D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945" w:type="dxa"/>
            <w:tcBorders>
              <w:top w:val="nil"/>
              <w:left w:val="nil"/>
              <w:bottom w:val="nil"/>
              <w:right w:val="nil"/>
            </w:tcBorders>
            <w:shd w:val="clear" w:color="auto" w:fill="auto"/>
            <w:vAlign w:val="center"/>
          </w:tcPr>
          <w:p w14:paraId="7E400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F3BCEB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5CA9F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539BD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534436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4C565E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B02C3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DE08A3">
        <w:trPr>
          <w:cantSplit/>
          <w:trHeight w:val="0" w:hRule="atLeast"/>
          <w:jc w:val="center"/>
        </w:trPr>
        <w:tc>
          <w:tcPr>
            <w:tcW w:w="2944" w:type="dxa"/>
            <w:tcBorders>
              <w:top w:val="nil"/>
              <w:left w:val="nil"/>
              <w:bottom w:val="nil"/>
              <w:right w:val="nil"/>
            </w:tcBorders>
            <w:shd w:val="clear" w:color="auto" w:fill="auto"/>
            <w:vAlign w:val="center"/>
          </w:tcPr>
          <w:p w14:paraId="099355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945" w:type="dxa"/>
            <w:tcBorders>
              <w:top w:val="nil"/>
              <w:left w:val="nil"/>
              <w:bottom w:val="nil"/>
              <w:right w:val="nil"/>
            </w:tcBorders>
            <w:shd w:val="clear" w:color="auto" w:fill="auto"/>
            <w:vAlign w:val="center"/>
          </w:tcPr>
          <w:p w14:paraId="2ACD6F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2EB353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0EEDCD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未执行要货安排滚动调整</w:t>
            </w:r>
          </w:p>
        </w:tc>
        <w:tc>
          <w:tcPr>
            <w:tcW w:w="1098" w:type="dxa"/>
            <w:tcBorders>
              <w:top w:val="nil"/>
              <w:left w:val="nil"/>
              <w:bottom w:val="nil"/>
              <w:right w:val="nil"/>
            </w:tcBorders>
            <w:shd w:val="clear" w:color="auto" w:fill="auto"/>
            <w:vAlign w:val="center"/>
          </w:tcPr>
          <w:p w14:paraId="4FBDBD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7204FD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56A536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411AE1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025015">
        <w:trPr>
          <w:cantSplit/>
          <w:trHeight w:val="0" w:hRule="atLeast"/>
          <w:jc w:val="center"/>
        </w:trPr>
        <w:tc>
          <w:tcPr>
            <w:tcW w:w="2944" w:type="dxa"/>
            <w:tcBorders>
              <w:top w:val="nil"/>
              <w:left w:val="nil"/>
              <w:bottom w:val="nil"/>
              <w:right w:val="nil"/>
            </w:tcBorders>
            <w:shd w:val="clear" w:color="auto" w:fill="auto"/>
            <w:vAlign w:val="center"/>
          </w:tcPr>
          <w:p w14:paraId="5F04A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945" w:type="dxa"/>
            <w:tcBorders>
              <w:top w:val="nil"/>
              <w:left w:val="nil"/>
              <w:bottom w:val="nil"/>
              <w:right w:val="nil"/>
            </w:tcBorders>
            <w:shd w:val="clear" w:color="auto" w:fill="auto"/>
            <w:vAlign w:val="center"/>
          </w:tcPr>
          <w:p w14:paraId="4A1F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09F5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045BF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58A81B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00122C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3FB43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2F30510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C298C8">
        <w:trPr>
          <w:cantSplit/>
          <w:trHeight w:val="0" w:hRule="atLeast"/>
          <w:jc w:val="center"/>
        </w:trPr>
        <w:tc>
          <w:tcPr>
            <w:tcW w:w="2944" w:type="dxa"/>
            <w:tcBorders>
              <w:top w:val="nil"/>
              <w:left w:val="nil"/>
              <w:bottom w:val="nil"/>
              <w:right w:val="nil"/>
            </w:tcBorders>
            <w:shd w:val="clear" w:color="auto" w:fill="auto"/>
            <w:vAlign w:val="center"/>
          </w:tcPr>
          <w:p w14:paraId="10EB5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945" w:type="dxa"/>
            <w:tcBorders>
              <w:top w:val="nil"/>
              <w:left w:val="nil"/>
              <w:bottom w:val="nil"/>
              <w:right w:val="nil"/>
            </w:tcBorders>
            <w:shd w:val="clear" w:color="auto" w:fill="auto"/>
            <w:vAlign w:val="center"/>
          </w:tcPr>
          <w:p w14:paraId="37A833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EDE47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5FE7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61FF3E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4C97F1C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0F558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155127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FD77AF">
        <w:trPr>
          <w:cantSplit/>
          <w:trHeight w:val="0" w:hRule="atLeast"/>
          <w:jc w:val="center"/>
        </w:trPr>
        <w:tc>
          <w:tcPr>
            <w:tcW w:w="2944" w:type="dxa"/>
            <w:tcBorders>
              <w:top w:val="nil"/>
              <w:left w:val="nil"/>
              <w:bottom w:val="nil"/>
              <w:right w:val="nil"/>
            </w:tcBorders>
            <w:shd w:val="clear" w:color="auto" w:fill="auto"/>
            <w:vAlign w:val="center"/>
          </w:tcPr>
          <w:p w14:paraId="7207AB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945" w:type="dxa"/>
            <w:tcBorders>
              <w:top w:val="nil"/>
              <w:left w:val="nil"/>
              <w:bottom w:val="nil"/>
              <w:right w:val="nil"/>
            </w:tcBorders>
            <w:shd w:val="clear" w:color="auto" w:fill="auto"/>
            <w:vAlign w:val="center"/>
          </w:tcPr>
          <w:p w14:paraId="629F15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584A24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20CF6E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2BE2B7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6585FD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F7668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8C50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524BA8">
        <w:trPr>
          <w:cantSplit/>
          <w:trHeight w:val="0" w:hRule="atLeast"/>
          <w:jc w:val="center"/>
        </w:trPr>
        <w:tc>
          <w:tcPr>
            <w:tcW w:w="2944" w:type="dxa"/>
            <w:tcBorders>
              <w:top w:val="nil"/>
              <w:left w:val="nil"/>
              <w:bottom w:val="nil"/>
              <w:right w:val="nil"/>
            </w:tcBorders>
            <w:shd w:val="clear" w:color="auto" w:fill="auto"/>
            <w:vAlign w:val="center"/>
          </w:tcPr>
          <w:p w14:paraId="5F9C798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945" w:type="dxa"/>
            <w:tcBorders>
              <w:top w:val="nil"/>
              <w:left w:val="nil"/>
              <w:bottom w:val="nil"/>
              <w:right w:val="nil"/>
            </w:tcBorders>
            <w:shd w:val="clear" w:color="auto" w:fill="auto"/>
            <w:vAlign w:val="center"/>
          </w:tcPr>
          <w:p w14:paraId="3EC4541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5D3996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70283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64B3F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154A7C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2F1455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76BADC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DF19EB">
        <w:trPr>
          <w:cantSplit/>
          <w:trHeight w:val="0" w:hRule="atLeast"/>
          <w:jc w:val="center"/>
        </w:trPr>
        <w:tc>
          <w:tcPr>
            <w:tcW w:w="2944" w:type="dxa"/>
            <w:tcBorders>
              <w:top w:val="nil"/>
              <w:left w:val="nil"/>
              <w:bottom w:val="nil"/>
              <w:right w:val="nil"/>
            </w:tcBorders>
            <w:shd w:val="clear" w:color="auto" w:fill="auto"/>
            <w:vAlign w:val="center"/>
          </w:tcPr>
          <w:p w14:paraId="2F68BD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945" w:type="dxa"/>
            <w:tcBorders>
              <w:top w:val="nil"/>
              <w:left w:val="nil"/>
              <w:bottom w:val="nil"/>
              <w:right w:val="nil"/>
            </w:tcBorders>
            <w:shd w:val="clear" w:color="auto" w:fill="auto"/>
            <w:vAlign w:val="center"/>
          </w:tcPr>
          <w:p w14:paraId="771D2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6FDEA8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1D29D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371275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4728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116BA1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331746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0C00EA3">
        <w:trPr>
          <w:cantSplit/>
          <w:trHeight w:val="0" w:hRule="atLeast"/>
          <w:jc w:val="center"/>
        </w:trPr>
        <w:tc>
          <w:tcPr>
            <w:tcW w:w="2944" w:type="dxa"/>
            <w:tcBorders>
              <w:top w:val="nil"/>
              <w:left w:val="nil"/>
              <w:bottom w:val="nil"/>
              <w:right w:val="nil"/>
            </w:tcBorders>
            <w:shd w:val="clear" w:color="auto" w:fill="auto"/>
            <w:vAlign w:val="center"/>
          </w:tcPr>
          <w:p w14:paraId="4E1985E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945" w:type="dxa"/>
            <w:tcBorders>
              <w:top w:val="nil"/>
              <w:left w:val="nil"/>
              <w:bottom w:val="nil"/>
              <w:right w:val="nil"/>
            </w:tcBorders>
            <w:shd w:val="clear" w:color="auto" w:fill="auto"/>
            <w:vAlign w:val="center"/>
          </w:tcPr>
          <w:p w14:paraId="13A517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58DB9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EFD61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0B6ED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522082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对无法通过要货计划调整消除的风险，确认临时措施或升级处置；未形成结论时保持风险开放并持续预警。</w:t>
            </w:r>
          </w:p>
        </w:tc>
        <w:tc>
          <w:tcPr>
            <w:tcW w:w="1088" w:type="dxa"/>
            <w:tcBorders>
              <w:top w:val="nil"/>
              <w:left w:val="nil"/>
              <w:bottom w:val="nil"/>
              <w:right w:val="nil"/>
            </w:tcBorders>
            <w:shd w:val="clear" w:color="auto" w:fill="auto"/>
            <w:vAlign w:val="center"/>
          </w:tcPr>
          <w:p w14:paraId="6D20E3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AEE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5CF4D7">
        <w:trPr>
          <w:cantSplit/>
          <w:trHeight w:val="0" w:hRule="atLeast"/>
          <w:jc w:val="center"/>
        </w:trPr>
        <w:tc>
          <w:tcPr>
            <w:tcW w:w="2944" w:type="dxa"/>
            <w:tcBorders>
              <w:top w:val="nil"/>
              <w:left w:val="nil"/>
              <w:bottom w:val="nil"/>
              <w:right w:val="nil"/>
            </w:tcBorders>
            <w:shd w:val="clear" w:color="auto" w:fill="auto"/>
            <w:vAlign w:val="center"/>
          </w:tcPr>
          <w:p w14:paraId="06271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945" w:type="dxa"/>
            <w:tcBorders>
              <w:top w:val="nil"/>
              <w:left w:val="nil"/>
              <w:bottom w:val="nil"/>
              <w:right w:val="nil"/>
            </w:tcBorders>
            <w:shd w:val="clear" w:color="auto" w:fill="auto"/>
            <w:vAlign w:val="center"/>
          </w:tcPr>
          <w:p w14:paraId="5C4054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F20267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259135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原材料要货缺口与风险协调</w:t>
            </w:r>
          </w:p>
        </w:tc>
        <w:tc>
          <w:tcPr>
            <w:tcW w:w="1098" w:type="dxa"/>
            <w:tcBorders>
              <w:top w:val="nil"/>
              <w:left w:val="nil"/>
              <w:bottom w:val="nil"/>
              <w:right w:val="nil"/>
            </w:tcBorders>
            <w:shd w:val="clear" w:color="auto" w:fill="auto"/>
            <w:vAlign w:val="center"/>
          </w:tcPr>
          <w:p w14:paraId="494832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72940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4AEAB4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16F275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ED0B2">
        <w:trPr>
          <w:cantSplit/>
          <w:trHeight w:val="0" w:hRule="atLeast"/>
          <w:jc w:val="center"/>
        </w:trPr>
        <w:tc>
          <w:tcPr>
            <w:tcW w:w="2944" w:type="dxa"/>
            <w:tcBorders>
              <w:top w:val="nil"/>
              <w:left w:val="nil"/>
              <w:bottom w:val="nil"/>
              <w:right w:val="nil"/>
            </w:tcBorders>
            <w:shd w:val="clear" w:color="auto" w:fill="auto"/>
            <w:vAlign w:val="center"/>
          </w:tcPr>
          <w:p w14:paraId="1C18DB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945" w:type="dxa"/>
            <w:tcBorders>
              <w:top w:val="nil"/>
              <w:left w:val="nil"/>
              <w:bottom w:val="nil"/>
              <w:right w:val="nil"/>
            </w:tcBorders>
            <w:shd w:val="clear" w:color="auto" w:fill="auto"/>
            <w:vAlign w:val="center"/>
          </w:tcPr>
          <w:p w14:paraId="2C8733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B542CA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CB2B0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8B3D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28A2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明确申请类型、供应商、适用范围、生效时间、原因和证据；依据或影响范围不清时退回补充。</w:t>
            </w:r>
          </w:p>
        </w:tc>
        <w:tc>
          <w:tcPr>
            <w:tcW w:w="1088" w:type="dxa"/>
            <w:tcBorders>
              <w:top w:val="nil"/>
              <w:left w:val="nil"/>
              <w:bottom w:val="nil"/>
              <w:right w:val="nil"/>
            </w:tcBorders>
            <w:shd w:val="clear" w:color="auto" w:fill="auto"/>
            <w:vAlign w:val="center"/>
          </w:tcPr>
          <w:p w14:paraId="0B0DE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01D7C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932E22">
        <w:trPr>
          <w:cantSplit/>
          <w:trHeight w:val="0" w:hRule="atLeast"/>
          <w:jc w:val="center"/>
        </w:trPr>
        <w:tc>
          <w:tcPr>
            <w:tcW w:w="2944" w:type="dxa"/>
            <w:tcBorders>
              <w:top w:val="nil"/>
              <w:left w:val="nil"/>
              <w:bottom w:val="nil"/>
              <w:right w:val="nil"/>
            </w:tcBorders>
            <w:shd w:val="clear" w:color="auto" w:fill="auto"/>
            <w:vAlign w:val="center"/>
          </w:tcPr>
          <w:p w14:paraId="4529923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945" w:type="dxa"/>
            <w:tcBorders>
              <w:top w:val="nil"/>
              <w:left w:val="nil"/>
              <w:bottom w:val="nil"/>
              <w:right w:val="nil"/>
            </w:tcBorders>
            <w:shd w:val="clear" w:color="auto" w:fill="auto"/>
            <w:vAlign w:val="center"/>
          </w:tcPr>
          <w:p w14:paraId="1A63E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9531D9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308DF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4893C4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22024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核对申请依据、受影响合同和计划、在途情况及状态变更影响；信息不完整时补充；已有在途不作为新增要货处理。</w:t>
            </w:r>
          </w:p>
        </w:tc>
        <w:tc>
          <w:tcPr>
            <w:tcW w:w="1088" w:type="dxa"/>
            <w:tcBorders>
              <w:top w:val="nil"/>
              <w:left w:val="nil"/>
              <w:bottom w:val="nil"/>
              <w:right w:val="nil"/>
            </w:tcBorders>
            <w:shd w:val="clear" w:color="auto" w:fill="auto"/>
            <w:vAlign w:val="center"/>
          </w:tcPr>
          <w:p w14:paraId="0E4017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350F36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DDB3C">
        <w:trPr>
          <w:cantSplit/>
          <w:trHeight w:val="0" w:hRule="atLeast"/>
          <w:jc w:val="center"/>
        </w:trPr>
        <w:tc>
          <w:tcPr>
            <w:tcW w:w="2944" w:type="dxa"/>
            <w:tcBorders>
              <w:top w:val="nil"/>
              <w:left w:val="nil"/>
              <w:bottom w:val="nil"/>
              <w:right w:val="nil"/>
            </w:tcBorders>
            <w:shd w:val="clear" w:color="auto" w:fill="auto"/>
            <w:vAlign w:val="center"/>
          </w:tcPr>
          <w:p w14:paraId="08F600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945" w:type="dxa"/>
            <w:tcBorders>
              <w:top w:val="nil"/>
              <w:left w:val="nil"/>
              <w:bottom w:val="nil"/>
              <w:right w:val="nil"/>
            </w:tcBorders>
            <w:shd w:val="clear" w:color="auto" w:fill="auto"/>
            <w:vAlign w:val="center"/>
          </w:tcPr>
          <w:p w14:paraId="171150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F81E4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15FE3C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52944C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5028860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2E3D0F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1F16C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DFD209">
        <w:trPr>
          <w:cantSplit/>
          <w:trHeight w:val="0" w:hRule="atLeast"/>
          <w:jc w:val="center"/>
        </w:trPr>
        <w:tc>
          <w:tcPr>
            <w:tcW w:w="2944" w:type="dxa"/>
            <w:tcBorders>
              <w:top w:val="nil"/>
              <w:left w:val="nil"/>
              <w:bottom w:val="nil"/>
              <w:right w:val="nil"/>
            </w:tcBorders>
            <w:shd w:val="clear" w:color="auto" w:fill="auto"/>
            <w:vAlign w:val="center"/>
          </w:tcPr>
          <w:p w14:paraId="4F85E8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945" w:type="dxa"/>
            <w:tcBorders>
              <w:top w:val="nil"/>
              <w:left w:val="nil"/>
              <w:bottom w:val="nil"/>
              <w:right w:val="nil"/>
            </w:tcBorders>
            <w:shd w:val="clear" w:color="auto" w:fill="auto"/>
            <w:vAlign w:val="center"/>
          </w:tcPr>
          <w:p w14:paraId="38CE4C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54B306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B9E26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2788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13C52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51C49F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4C86098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4647CAA">
        <w:trPr>
          <w:cantSplit/>
          <w:trHeight w:val="0" w:hRule="atLeast"/>
          <w:jc w:val="center"/>
        </w:trPr>
        <w:tc>
          <w:tcPr>
            <w:tcW w:w="2944" w:type="dxa"/>
            <w:tcBorders>
              <w:top w:val="nil"/>
              <w:left w:val="nil"/>
              <w:bottom w:val="nil"/>
              <w:right w:val="nil"/>
            </w:tcBorders>
            <w:shd w:val="clear" w:color="auto" w:fill="auto"/>
            <w:vAlign w:val="center"/>
          </w:tcPr>
          <w:p w14:paraId="179D77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945" w:type="dxa"/>
            <w:tcBorders>
              <w:top w:val="nil"/>
              <w:left w:val="nil"/>
              <w:bottom w:val="nil"/>
              <w:right w:val="nil"/>
            </w:tcBorders>
            <w:shd w:val="clear" w:color="auto" w:fill="auto"/>
            <w:vAlign w:val="center"/>
          </w:tcPr>
          <w:p w14:paraId="6BBC10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0A9319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6500A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BB00B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4A5AEC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02BA81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6C61F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E15DE1">
        <w:trPr>
          <w:cantSplit/>
          <w:trHeight w:val="0" w:hRule="atLeast"/>
          <w:jc w:val="center"/>
        </w:trPr>
        <w:tc>
          <w:tcPr>
            <w:tcW w:w="2944" w:type="dxa"/>
            <w:tcBorders>
              <w:top w:val="nil"/>
              <w:left w:val="nil"/>
              <w:bottom w:val="nil"/>
              <w:right w:val="nil"/>
            </w:tcBorders>
            <w:shd w:val="clear" w:color="auto" w:fill="auto"/>
            <w:vAlign w:val="center"/>
          </w:tcPr>
          <w:p w14:paraId="0D8E74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945" w:type="dxa"/>
            <w:tcBorders>
              <w:top w:val="nil"/>
              <w:left w:val="nil"/>
              <w:bottom w:val="nil"/>
              <w:right w:val="nil"/>
            </w:tcBorders>
            <w:shd w:val="clear" w:color="auto" w:fill="auto"/>
            <w:vAlign w:val="center"/>
          </w:tcPr>
          <w:p w14:paraId="7E6730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9EE6F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45272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035BC3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D947C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5BB71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60F965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076568E8">
        <w:trPr>
          <w:cantSplit/>
          <w:trHeight w:val="0" w:hRule="atLeast"/>
          <w:jc w:val="center"/>
        </w:trPr>
        <w:tc>
          <w:tcPr>
            <w:tcW w:w="2944" w:type="dxa"/>
            <w:tcBorders>
              <w:top w:val="nil"/>
              <w:left w:val="nil"/>
              <w:bottom w:val="nil"/>
              <w:right w:val="nil"/>
            </w:tcBorders>
            <w:shd w:val="clear" w:color="auto" w:fill="auto"/>
            <w:vAlign w:val="center"/>
          </w:tcPr>
          <w:p w14:paraId="733803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945" w:type="dxa"/>
            <w:tcBorders>
              <w:top w:val="nil"/>
              <w:left w:val="nil"/>
              <w:bottom w:val="nil"/>
              <w:right w:val="nil"/>
            </w:tcBorders>
            <w:shd w:val="clear" w:color="auto" w:fill="auto"/>
            <w:vAlign w:val="center"/>
          </w:tcPr>
          <w:p w14:paraId="512BC8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7A32F0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采购决策优化模块</w:t>
            </w:r>
          </w:p>
        </w:tc>
        <w:tc>
          <w:tcPr>
            <w:tcW w:w="955" w:type="dxa"/>
            <w:tcBorders>
              <w:top w:val="nil"/>
              <w:left w:val="nil"/>
              <w:bottom w:val="nil"/>
              <w:right w:val="nil"/>
            </w:tcBorders>
            <w:shd w:val="clear" w:color="auto" w:fill="auto"/>
            <w:vAlign w:val="center"/>
          </w:tcPr>
          <w:p w14:paraId="77C2C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供应商禁运状态与要货资格管理</w:t>
            </w:r>
          </w:p>
        </w:tc>
        <w:tc>
          <w:tcPr>
            <w:tcW w:w="1098" w:type="dxa"/>
            <w:tcBorders>
              <w:top w:val="nil"/>
              <w:left w:val="nil"/>
              <w:bottom w:val="nil"/>
              <w:right w:val="nil"/>
            </w:tcBorders>
            <w:shd w:val="clear" w:color="auto" w:fill="auto"/>
            <w:vAlign w:val="center"/>
          </w:tcPr>
          <w:p w14:paraId="108F90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2927074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116A59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75398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0D4B7">
        <w:trPr>
          <w:cantSplit/>
          <w:trHeight w:val="0" w:hRule="atLeast"/>
          <w:jc w:val="center"/>
        </w:trPr>
        <w:tc>
          <w:tcPr>
            <w:tcW w:w="2944" w:type="dxa"/>
            <w:tcBorders>
              <w:top w:val="nil"/>
              <w:left w:val="nil"/>
              <w:bottom w:val="nil"/>
              <w:right w:val="nil"/>
            </w:tcBorders>
            <w:shd w:val="clear" w:color="auto" w:fill="auto"/>
            <w:vAlign w:val="center"/>
          </w:tcPr>
          <w:p w14:paraId="75F70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945" w:type="dxa"/>
            <w:tcBorders>
              <w:top w:val="nil"/>
              <w:left w:val="nil"/>
              <w:bottom w:val="nil"/>
              <w:right w:val="nil"/>
            </w:tcBorders>
            <w:shd w:val="clear" w:color="auto" w:fill="auto"/>
            <w:vAlign w:val="center"/>
          </w:tcPr>
          <w:p w14:paraId="34A108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394E89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3DD4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08F79B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20FC8D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2B300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各成品的日度计划需求和策略计算范围</w:t>
            </w:r>
          </w:p>
        </w:tc>
        <w:tc>
          <w:tcPr>
            <w:tcW w:w="1460" w:type="dxa"/>
            <w:tcBorders>
              <w:top w:val="nil"/>
              <w:left w:val="nil"/>
              <w:bottom w:val="nil"/>
              <w:right w:val="nil"/>
            </w:tcBorders>
            <w:shd w:val="clear" w:color="auto" w:fill="auto"/>
            <w:vAlign w:val="center"/>
          </w:tcPr>
          <w:p w14:paraId="7AFE974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B8E461">
        <w:trPr>
          <w:cantSplit/>
          <w:trHeight w:val="0" w:hRule="atLeast"/>
          <w:jc w:val="center"/>
        </w:trPr>
        <w:tc>
          <w:tcPr>
            <w:tcW w:w="2944" w:type="dxa"/>
            <w:tcBorders>
              <w:top w:val="nil"/>
              <w:left w:val="nil"/>
              <w:bottom w:val="nil"/>
              <w:right w:val="nil"/>
            </w:tcBorders>
            <w:shd w:val="clear" w:color="auto" w:fill="auto"/>
            <w:vAlign w:val="center"/>
          </w:tcPr>
          <w:p w14:paraId="45A4BA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945" w:type="dxa"/>
            <w:tcBorders>
              <w:top w:val="nil"/>
              <w:left w:val="nil"/>
              <w:bottom w:val="nil"/>
              <w:right w:val="nil"/>
            </w:tcBorders>
            <w:shd w:val="clear" w:color="auto" w:fill="auto"/>
            <w:vAlign w:val="center"/>
          </w:tcPr>
          <w:p w14:paraId="7771C9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C99F16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5F9F8C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544782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各成品的日度计划需求和策略计算范围形成后</w:t>
            </w:r>
          </w:p>
        </w:tc>
        <w:tc>
          <w:tcPr>
            <w:tcW w:w="1406" w:type="dxa"/>
            <w:tcBorders>
              <w:top w:val="nil"/>
              <w:left w:val="nil"/>
              <w:bottom w:val="nil"/>
              <w:right w:val="nil"/>
            </w:tcBorders>
            <w:shd w:val="clear" w:color="auto" w:fill="auto"/>
            <w:vAlign w:val="center"/>
          </w:tcPr>
          <w:p w14:paraId="0411BB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结合各成品的需求、库存和补货周期，测算安全库存、补货触发点及目标库存；容量不足时给出可执行建议，并提示供货风险。</w:t>
            </w:r>
          </w:p>
        </w:tc>
        <w:tc>
          <w:tcPr>
            <w:tcW w:w="1088" w:type="dxa"/>
            <w:tcBorders>
              <w:top w:val="nil"/>
              <w:left w:val="nil"/>
              <w:bottom w:val="nil"/>
              <w:right w:val="nil"/>
            </w:tcBorders>
            <w:shd w:val="clear" w:color="auto" w:fill="auto"/>
            <w:vAlign w:val="center"/>
          </w:tcPr>
          <w:p w14:paraId="77250B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300D1A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A017A">
        <w:trPr>
          <w:cantSplit/>
          <w:trHeight w:val="0" w:hRule="atLeast"/>
          <w:jc w:val="center"/>
        </w:trPr>
        <w:tc>
          <w:tcPr>
            <w:tcW w:w="2944" w:type="dxa"/>
            <w:tcBorders>
              <w:top w:val="nil"/>
              <w:left w:val="nil"/>
              <w:bottom w:val="nil"/>
              <w:right w:val="nil"/>
            </w:tcBorders>
            <w:shd w:val="clear" w:color="auto" w:fill="auto"/>
            <w:vAlign w:val="center"/>
          </w:tcPr>
          <w:p w14:paraId="2065A4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945" w:type="dxa"/>
            <w:tcBorders>
              <w:top w:val="nil"/>
              <w:left w:val="nil"/>
              <w:bottom w:val="nil"/>
              <w:right w:val="nil"/>
            </w:tcBorders>
            <w:shd w:val="clear" w:color="auto" w:fill="auto"/>
            <w:vAlign w:val="center"/>
          </w:tcPr>
          <w:p w14:paraId="46407C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C8C2C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EAEFC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16B5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28B0DF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40526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647F5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5DFE1F">
        <w:trPr>
          <w:cantSplit/>
          <w:trHeight w:val="0" w:hRule="atLeast"/>
          <w:jc w:val="center"/>
        </w:trPr>
        <w:tc>
          <w:tcPr>
            <w:tcW w:w="2944" w:type="dxa"/>
            <w:tcBorders>
              <w:top w:val="nil"/>
              <w:left w:val="nil"/>
              <w:bottom w:val="nil"/>
              <w:right w:val="nil"/>
            </w:tcBorders>
            <w:shd w:val="clear" w:color="auto" w:fill="auto"/>
            <w:vAlign w:val="center"/>
          </w:tcPr>
          <w:p w14:paraId="1FD436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945" w:type="dxa"/>
            <w:tcBorders>
              <w:top w:val="nil"/>
              <w:left w:val="nil"/>
              <w:bottom w:val="nil"/>
              <w:right w:val="nil"/>
            </w:tcBorders>
            <w:shd w:val="clear" w:color="auto" w:fill="auto"/>
            <w:vAlign w:val="center"/>
          </w:tcPr>
          <w:p w14:paraId="105035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9F1017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59A6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3C076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06F05C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40D005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66157B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0A0D87">
        <w:trPr>
          <w:cantSplit/>
          <w:trHeight w:val="0" w:hRule="atLeast"/>
          <w:jc w:val="center"/>
        </w:trPr>
        <w:tc>
          <w:tcPr>
            <w:tcW w:w="2944" w:type="dxa"/>
            <w:tcBorders>
              <w:top w:val="nil"/>
              <w:left w:val="nil"/>
              <w:bottom w:val="nil"/>
              <w:right w:val="nil"/>
            </w:tcBorders>
            <w:shd w:val="clear" w:color="auto" w:fill="auto"/>
            <w:vAlign w:val="center"/>
          </w:tcPr>
          <w:p w14:paraId="42D22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945" w:type="dxa"/>
            <w:tcBorders>
              <w:top w:val="nil"/>
              <w:left w:val="nil"/>
              <w:bottom w:val="nil"/>
              <w:right w:val="nil"/>
            </w:tcBorders>
            <w:shd w:val="clear" w:color="auto" w:fill="auto"/>
            <w:vAlign w:val="center"/>
          </w:tcPr>
          <w:p w14:paraId="5154DE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72D938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8F6D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4425CF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2B30E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613E6F5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5E5C9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41546E">
        <w:trPr>
          <w:cantSplit/>
          <w:trHeight w:val="0" w:hRule="atLeast"/>
          <w:jc w:val="center"/>
        </w:trPr>
        <w:tc>
          <w:tcPr>
            <w:tcW w:w="2944" w:type="dxa"/>
            <w:tcBorders>
              <w:top w:val="nil"/>
              <w:left w:val="nil"/>
              <w:bottom w:val="nil"/>
              <w:right w:val="nil"/>
            </w:tcBorders>
            <w:shd w:val="clear" w:color="auto" w:fill="auto"/>
            <w:vAlign w:val="center"/>
          </w:tcPr>
          <w:p w14:paraId="6EB7A0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945" w:type="dxa"/>
            <w:tcBorders>
              <w:top w:val="nil"/>
              <w:left w:val="nil"/>
              <w:bottom w:val="nil"/>
              <w:right w:val="nil"/>
            </w:tcBorders>
            <w:shd w:val="clear" w:color="auto" w:fill="auto"/>
            <w:vAlign w:val="center"/>
          </w:tcPr>
          <w:p w14:paraId="356CFD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58FEE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59835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687886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419D54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2ECAB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6989FB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5DF43C">
        <w:trPr>
          <w:cantSplit/>
          <w:trHeight w:val="0" w:hRule="atLeast"/>
          <w:jc w:val="center"/>
        </w:trPr>
        <w:tc>
          <w:tcPr>
            <w:tcW w:w="2944" w:type="dxa"/>
            <w:tcBorders>
              <w:top w:val="nil"/>
              <w:left w:val="nil"/>
              <w:bottom w:val="nil"/>
              <w:right w:val="nil"/>
            </w:tcBorders>
            <w:shd w:val="clear" w:color="auto" w:fill="auto"/>
            <w:vAlign w:val="center"/>
          </w:tcPr>
          <w:p w14:paraId="7DB45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945" w:type="dxa"/>
            <w:tcBorders>
              <w:top w:val="nil"/>
              <w:left w:val="nil"/>
              <w:bottom w:val="nil"/>
              <w:right w:val="nil"/>
            </w:tcBorders>
            <w:shd w:val="clear" w:color="auto" w:fill="auto"/>
            <w:vAlign w:val="center"/>
          </w:tcPr>
          <w:p w14:paraId="4E105D0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FB497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23F5DB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月度成品库存目标与补货节奏规划</w:t>
            </w:r>
          </w:p>
        </w:tc>
        <w:tc>
          <w:tcPr>
            <w:tcW w:w="1098" w:type="dxa"/>
            <w:tcBorders>
              <w:top w:val="nil"/>
              <w:left w:val="nil"/>
              <w:bottom w:val="nil"/>
              <w:right w:val="nil"/>
            </w:tcBorders>
            <w:shd w:val="clear" w:color="auto" w:fill="auto"/>
            <w:vAlign w:val="center"/>
          </w:tcPr>
          <w:p w14:paraId="12C228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AFAAB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30822F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4A40426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52739F">
        <w:trPr>
          <w:cantSplit/>
          <w:trHeight w:val="0" w:hRule="atLeast"/>
          <w:jc w:val="center"/>
        </w:trPr>
        <w:tc>
          <w:tcPr>
            <w:tcW w:w="2944" w:type="dxa"/>
            <w:tcBorders>
              <w:top w:val="nil"/>
              <w:left w:val="nil"/>
              <w:bottom w:val="nil"/>
              <w:right w:val="nil"/>
            </w:tcBorders>
            <w:shd w:val="clear" w:color="auto" w:fill="auto"/>
            <w:vAlign w:val="center"/>
          </w:tcPr>
          <w:p w14:paraId="608226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945" w:type="dxa"/>
            <w:tcBorders>
              <w:top w:val="nil"/>
              <w:left w:val="nil"/>
              <w:bottom w:val="nil"/>
              <w:right w:val="nil"/>
            </w:tcBorders>
            <w:shd w:val="clear" w:color="auto" w:fill="auto"/>
            <w:vAlign w:val="center"/>
          </w:tcPr>
          <w:p w14:paraId="0ECC9B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BC94C1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F4ADC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458440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04EC07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3DAFB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06A043E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71F0C">
        <w:trPr>
          <w:cantSplit/>
          <w:trHeight w:val="0" w:hRule="atLeast"/>
          <w:jc w:val="center"/>
        </w:trPr>
        <w:tc>
          <w:tcPr>
            <w:tcW w:w="2944" w:type="dxa"/>
            <w:tcBorders>
              <w:top w:val="nil"/>
              <w:left w:val="nil"/>
              <w:bottom w:val="nil"/>
              <w:right w:val="nil"/>
            </w:tcBorders>
            <w:shd w:val="clear" w:color="auto" w:fill="auto"/>
            <w:vAlign w:val="center"/>
          </w:tcPr>
          <w:p w14:paraId="60FAD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945" w:type="dxa"/>
            <w:tcBorders>
              <w:top w:val="nil"/>
              <w:left w:val="nil"/>
              <w:bottom w:val="nil"/>
              <w:right w:val="nil"/>
            </w:tcBorders>
            <w:shd w:val="clear" w:color="auto" w:fill="auto"/>
            <w:vAlign w:val="center"/>
          </w:tcPr>
          <w:p w14:paraId="30FE55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586881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550B4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4BE82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3D34D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4D5AA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各成品未来4周的日度生产补充量</w:t>
            </w:r>
          </w:p>
        </w:tc>
        <w:tc>
          <w:tcPr>
            <w:tcW w:w="1460" w:type="dxa"/>
            <w:tcBorders>
              <w:top w:val="nil"/>
              <w:left w:val="nil"/>
              <w:bottom w:val="nil"/>
              <w:right w:val="nil"/>
            </w:tcBorders>
            <w:shd w:val="clear" w:color="auto" w:fill="auto"/>
            <w:vAlign w:val="center"/>
          </w:tcPr>
          <w:p w14:paraId="04BE9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CCB8A0">
        <w:trPr>
          <w:cantSplit/>
          <w:trHeight w:val="0" w:hRule="atLeast"/>
          <w:jc w:val="center"/>
        </w:trPr>
        <w:tc>
          <w:tcPr>
            <w:tcW w:w="2944" w:type="dxa"/>
            <w:tcBorders>
              <w:top w:val="nil"/>
              <w:left w:val="nil"/>
              <w:bottom w:val="nil"/>
              <w:right w:val="nil"/>
            </w:tcBorders>
            <w:shd w:val="clear" w:color="auto" w:fill="auto"/>
            <w:vAlign w:val="center"/>
          </w:tcPr>
          <w:p w14:paraId="6B7AF0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945" w:type="dxa"/>
            <w:tcBorders>
              <w:top w:val="nil"/>
              <w:left w:val="nil"/>
              <w:bottom w:val="nil"/>
              <w:right w:val="nil"/>
            </w:tcBorders>
            <w:shd w:val="clear" w:color="auto" w:fill="auto"/>
            <w:vAlign w:val="center"/>
          </w:tcPr>
          <w:p w14:paraId="72A0DB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758C2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6D2A3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717AF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各成品未来4周的日度生产补充量形成后</w:t>
            </w:r>
          </w:p>
        </w:tc>
        <w:tc>
          <w:tcPr>
            <w:tcW w:w="1406" w:type="dxa"/>
            <w:tcBorders>
              <w:top w:val="nil"/>
              <w:left w:val="nil"/>
              <w:bottom w:val="nil"/>
              <w:right w:val="nil"/>
            </w:tcBorders>
            <w:shd w:val="clear" w:color="auto" w:fill="auto"/>
            <w:vAlign w:val="center"/>
          </w:tcPr>
          <w:p w14:paraId="26A5EF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40EE34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未来4周各成品的周度生产补充建议</w:t>
            </w:r>
          </w:p>
        </w:tc>
        <w:tc>
          <w:tcPr>
            <w:tcW w:w="1460" w:type="dxa"/>
            <w:tcBorders>
              <w:top w:val="nil"/>
              <w:left w:val="nil"/>
              <w:bottom w:val="nil"/>
              <w:right w:val="nil"/>
            </w:tcBorders>
            <w:shd w:val="clear" w:color="auto" w:fill="auto"/>
            <w:vAlign w:val="center"/>
          </w:tcPr>
          <w:p w14:paraId="0B2940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EA71BC">
        <w:trPr>
          <w:cantSplit/>
          <w:trHeight w:val="0" w:hRule="atLeast"/>
          <w:jc w:val="center"/>
        </w:trPr>
        <w:tc>
          <w:tcPr>
            <w:tcW w:w="2944" w:type="dxa"/>
            <w:tcBorders>
              <w:top w:val="nil"/>
              <w:left w:val="nil"/>
              <w:bottom w:val="nil"/>
              <w:right w:val="nil"/>
            </w:tcBorders>
            <w:shd w:val="clear" w:color="auto" w:fill="auto"/>
            <w:vAlign w:val="center"/>
          </w:tcPr>
          <w:p w14:paraId="09AB68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945" w:type="dxa"/>
            <w:tcBorders>
              <w:top w:val="nil"/>
              <w:left w:val="nil"/>
              <w:bottom w:val="nil"/>
              <w:right w:val="nil"/>
            </w:tcBorders>
            <w:shd w:val="clear" w:color="auto" w:fill="auto"/>
            <w:vAlign w:val="center"/>
          </w:tcPr>
          <w:p w14:paraId="54A1FA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38543C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59F3F1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FCE8C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未来4周各成品的周度生产补充建议形成并具备评审条件后</w:t>
            </w:r>
          </w:p>
        </w:tc>
        <w:tc>
          <w:tcPr>
            <w:tcW w:w="1406" w:type="dxa"/>
            <w:tcBorders>
              <w:top w:val="nil"/>
              <w:left w:val="nil"/>
              <w:bottom w:val="nil"/>
              <w:right w:val="nil"/>
            </w:tcBorders>
            <w:shd w:val="clear" w:color="auto" w:fill="auto"/>
            <w:vAlign w:val="center"/>
          </w:tcPr>
          <w:p w14:paraId="63703AE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复核未来4周补货总量、各周及每日分配、月度剩余可补充量和已排程安排；业务条件或建议数量需要修改时，可重新计算日度生产补充量。</w:t>
            </w:r>
          </w:p>
        </w:tc>
        <w:tc>
          <w:tcPr>
            <w:tcW w:w="1088" w:type="dxa"/>
            <w:tcBorders>
              <w:top w:val="nil"/>
              <w:left w:val="nil"/>
              <w:bottom w:val="nil"/>
              <w:right w:val="nil"/>
            </w:tcBorders>
            <w:shd w:val="clear" w:color="auto" w:fill="auto"/>
            <w:vAlign w:val="center"/>
          </w:tcPr>
          <w:p w14:paraId="2059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2D97C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4C1834">
        <w:trPr>
          <w:cantSplit/>
          <w:trHeight w:val="0" w:hRule="atLeast"/>
          <w:jc w:val="center"/>
        </w:trPr>
        <w:tc>
          <w:tcPr>
            <w:tcW w:w="2944" w:type="dxa"/>
            <w:tcBorders>
              <w:top w:val="nil"/>
              <w:left w:val="nil"/>
              <w:bottom w:val="nil"/>
              <w:right w:val="nil"/>
            </w:tcBorders>
            <w:shd w:val="clear" w:color="auto" w:fill="auto"/>
            <w:vAlign w:val="center"/>
          </w:tcPr>
          <w:p w14:paraId="4EEA51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945" w:type="dxa"/>
            <w:tcBorders>
              <w:top w:val="nil"/>
              <w:left w:val="nil"/>
              <w:bottom w:val="nil"/>
              <w:right w:val="nil"/>
            </w:tcBorders>
            <w:shd w:val="clear" w:color="auto" w:fill="auto"/>
            <w:vAlign w:val="center"/>
          </w:tcPr>
          <w:p w14:paraId="297CAC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71E6AB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A8780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0C77274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4B3C7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校验4周汇总结果与日度明细一致，且已排程量未被重复计入；未确认时退回调整；确认通过后继续处理。</w:t>
            </w:r>
          </w:p>
        </w:tc>
        <w:tc>
          <w:tcPr>
            <w:tcW w:w="1088" w:type="dxa"/>
            <w:tcBorders>
              <w:top w:val="nil"/>
              <w:left w:val="nil"/>
              <w:bottom w:val="nil"/>
              <w:right w:val="nil"/>
            </w:tcBorders>
            <w:shd w:val="clear" w:color="auto" w:fill="auto"/>
            <w:vAlign w:val="center"/>
          </w:tcPr>
          <w:p w14:paraId="203B3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4078BCF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31EEA6">
        <w:trPr>
          <w:cantSplit/>
          <w:trHeight w:val="0" w:hRule="atLeast"/>
          <w:jc w:val="center"/>
        </w:trPr>
        <w:tc>
          <w:tcPr>
            <w:tcW w:w="2944" w:type="dxa"/>
            <w:tcBorders>
              <w:top w:val="nil"/>
              <w:left w:val="nil"/>
              <w:bottom w:val="nil"/>
              <w:right w:val="nil"/>
            </w:tcBorders>
            <w:shd w:val="clear" w:color="auto" w:fill="auto"/>
            <w:vAlign w:val="center"/>
          </w:tcPr>
          <w:p w14:paraId="6DDE2B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945" w:type="dxa"/>
            <w:tcBorders>
              <w:top w:val="nil"/>
              <w:left w:val="nil"/>
              <w:bottom w:val="nil"/>
              <w:right w:val="nil"/>
            </w:tcBorders>
            <w:shd w:val="clear" w:color="auto" w:fill="auto"/>
            <w:vAlign w:val="center"/>
          </w:tcPr>
          <w:p w14:paraId="74C482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18D625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11A633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0FBF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71C185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核对产能、设备、原料、工艺及已确认任务，判断补货建议能否纳入生产排程；无法承接时，应明确受影响周次、可承接数量及约束原因。</w:t>
            </w:r>
          </w:p>
        </w:tc>
        <w:tc>
          <w:tcPr>
            <w:tcW w:w="1088" w:type="dxa"/>
            <w:tcBorders>
              <w:top w:val="nil"/>
              <w:left w:val="nil"/>
              <w:bottom w:val="nil"/>
              <w:right w:val="nil"/>
            </w:tcBorders>
            <w:shd w:val="clear" w:color="auto" w:fill="auto"/>
            <w:vAlign w:val="center"/>
          </w:tcPr>
          <w:p w14:paraId="7A5328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0F669A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B4DF3E">
        <w:trPr>
          <w:cantSplit/>
          <w:trHeight w:val="0" w:hRule="atLeast"/>
          <w:jc w:val="center"/>
        </w:trPr>
        <w:tc>
          <w:tcPr>
            <w:tcW w:w="2944" w:type="dxa"/>
            <w:tcBorders>
              <w:top w:val="nil"/>
              <w:left w:val="nil"/>
              <w:bottom w:val="nil"/>
              <w:right w:val="nil"/>
            </w:tcBorders>
            <w:shd w:val="clear" w:color="auto" w:fill="auto"/>
            <w:vAlign w:val="center"/>
          </w:tcPr>
          <w:p w14:paraId="2B7886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945" w:type="dxa"/>
            <w:tcBorders>
              <w:top w:val="nil"/>
              <w:left w:val="nil"/>
              <w:bottom w:val="nil"/>
              <w:right w:val="nil"/>
            </w:tcBorders>
            <w:shd w:val="clear" w:color="auto" w:fill="auto"/>
            <w:vAlign w:val="center"/>
          </w:tcPr>
          <w:p w14:paraId="43CD5B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E09E75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134BFC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56BA32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1E32F6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4FC54E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7CE7F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A38815">
        <w:trPr>
          <w:cantSplit/>
          <w:trHeight w:val="0" w:hRule="atLeast"/>
          <w:jc w:val="center"/>
        </w:trPr>
        <w:tc>
          <w:tcPr>
            <w:tcW w:w="2944" w:type="dxa"/>
            <w:tcBorders>
              <w:top w:val="nil"/>
              <w:left w:val="nil"/>
              <w:bottom w:val="nil"/>
              <w:right w:val="nil"/>
            </w:tcBorders>
            <w:shd w:val="clear" w:color="auto" w:fill="auto"/>
            <w:vAlign w:val="center"/>
          </w:tcPr>
          <w:p w14:paraId="249CF9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945" w:type="dxa"/>
            <w:tcBorders>
              <w:top w:val="nil"/>
              <w:left w:val="nil"/>
              <w:bottom w:val="nil"/>
              <w:right w:val="nil"/>
            </w:tcBorders>
            <w:shd w:val="clear" w:color="auto" w:fill="auto"/>
            <w:vAlign w:val="center"/>
          </w:tcPr>
          <w:p w14:paraId="494FF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9A76C9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7ACA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70CA1F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290EA7A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锁定第1周（周六至下周五）的生产补充量；锁定失败时不进入发布，并保留待锁定状态及失败原因。</w:t>
            </w:r>
          </w:p>
        </w:tc>
        <w:tc>
          <w:tcPr>
            <w:tcW w:w="1088" w:type="dxa"/>
            <w:tcBorders>
              <w:top w:val="nil"/>
              <w:left w:val="nil"/>
              <w:bottom w:val="nil"/>
              <w:right w:val="nil"/>
            </w:tcBorders>
            <w:shd w:val="clear" w:color="auto" w:fill="auto"/>
            <w:vAlign w:val="center"/>
          </w:tcPr>
          <w:p w14:paraId="746723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4D4492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FB81F6">
        <w:trPr>
          <w:cantSplit/>
          <w:trHeight w:val="0" w:hRule="atLeast"/>
          <w:jc w:val="center"/>
        </w:trPr>
        <w:tc>
          <w:tcPr>
            <w:tcW w:w="2944" w:type="dxa"/>
            <w:tcBorders>
              <w:top w:val="nil"/>
              <w:left w:val="nil"/>
              <w:bottom w:val="nil"/>
              <w:right w:val="nil"/>
            </w:tcBorders>
            <w:shd w:val="clear" w:color="auto" w:fill="auto"/>
            <w:vAlign w:val="center"/>
          </w:tcPr>
          <w:p w14:paraId="3443B6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945" w:type="dxa"/>
            <w:tcBorders>
              <w:top w:val="nil"/>
              <w:left w:val="nil"/>
              <w:bottom w:val="nil"/>
              <w:right w:val="nil"/>
            </w:tcBorders>
            <w:shd w:val="clear" w:color="auto" w:fill="auto"/>
            <w:vAlign w:val="center"/>
          </w:tcPr>
          <w:p w14:paraId="347C36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B98CE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1CC46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未来四周生产补货计划编制</w:t>
            </w:r>
          </w:p>
        </w:tc>
        <w:tc>
          <w:tcPr>
            <w:tcW w:w="1098" w:type="dxa"/>
            <w:tcBorders>
              <w:top w:val="nil"/>
              <w:left w:val="nil"/>
              <w:bottom w:val="nil"/>
              <w:right w:val="nil"/>
            </w:tcBorders>
            <w:shd w:val="clear" w:color="auto" w:fill="auto"/>
            <w:vAlign w:val="center"/>
          </w:tcPr>
          <w:p w14:paraId="349720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1EC11A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22E6B1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5EE086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4597BC">
        <w:trPr>
          <w:cantSplit/>
          <w:trHeight w:val="0" w:hRule="atLeast"/>
          <w:jc w:val="center"/>
        </w:trPr>
        <w:tc>
          <w:tcPr>
            <w:tcW w:w="2944" w:type="dxa"/>
            <w:tcBorders>
              <w:top w:val="nil"/>
              <w:left w:val="nil"/>
              <w:bottom w:val="nil"/>
              <w:right w:val="nil"/>
            </w:tcBorders>
            <w:shd w:val="clear" w:color="auto" w:fill="auto"/>
            <w:vAlign w:val="center"/>
          </w:tcPr>
          <w:p w14:paraId="051B16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945" w:type="dxa"/>
            <w:tcBorders>
              <w:top w:val="nil"/>
              <w:left w:val="nil"/>
              <w:bottom w:val="nil"/>
              <w:right w:val="nil"/>
            </w:tcBorders>
            <w:shd w:val="clear" w:color="auto" w:fill="auto"/>
            <w:vAlign w:val="center"/>
          </w:tcPr>
          <w:p w14:paraId="3A30A8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B4E854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6575E7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B9750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6FCC73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汇集库存、需求、未来4周补货建议、排程状态及储罐可用状态；数据缺失、过期或状态冲突时标记数据风险，提示人工核实。</w:t>
            </w:r>
          </w:p>
        </w:tc>
        <w:tc>
          <w:tcPr>
            <w:tcW w:w="1088" w:type="dxa"/>
            <w:tcBorders>
              <w:top w:val="nil"/>
              <w:left w:val="nil"/>
              <w:bottom w:val="nil"/>
              <w:right w:val="nil"/>
            </w:tcBorders>
            <w:shd w:val="clear" w:color="auto" w:fill="auto"/>
            <w:vAlign w:val="center"/>
          </w:tcPr>
          <w:p w14:paraId="18BE6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39A5E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5E4407F2">
        <w:trPr>
          <w:cantSplit/>
          <w:trHeight w:val="0" w:hRule="atLeast"/>
          <w:jc w:val="center"/>
        </w:trPr>
        <w:tc>
          <w:tcPr>
            <w:tcW w:w="2944" w:type="dxa"/>
            <w:tcBorders>
              <w:top w:val="nil"/>
              <w:left w:val="nil"/>
              <w:bottom w:val="nil"/>
              <w:right w:val="nil"/>
            </w:tcBorders>
            <w:shd w:val="clear" w:color="auto" w:fill="auto"/>
            <w:vAlign w:val="center"/>
          </w:tcPr>
          <w:p w14:paraId="38BB1F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945" w:type="dxa"/>
            <w:tcBorders>
              <w:top w:val="nil"/>
              <w:left w:val="nil"/>
              <w:bottom w:val="nil"/>
              <w:right w:val="nil"/>
            </w:tcBorders>
            <w:shd w:val="clear" w:color="auto" w:fill="auto"/>
            <w:vAlign w:val="center"/>
          </w:tcPr>
          <w:p w14:paraId="29A25F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A0EC76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524D69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381270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1F453B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按日测算未来4周预计库存，综合现有库存、需求和计划入库量；数据不足以形成可靠测算时，输出数据风险和受影响日期，不生成误导性的库存结论。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60B67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w:t>
            </w:r>
          </w:p>
        </w:tc>
        <w:tc>
          <w:tcPr>
            <w:tcW w:w="1460" w:type="dxa"/>
            <w:tcBorders>
              <w:top w:val="nil"/>
              <w:left w:val="nil"/>
              <w:bottom w:val="nil"/>
              <w:right w:val="nil"/>
            </w:tcBorders>
            <w:shd w:val="clear" w:color="auto" w:fill="auto"/>
            <w:vAlign w:val="center"/>
          </w:tcPr>
          <w:p w14:paraId="644911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284387">
        <w:trPr>
          <w:cantSplit/>
          <w:trHeight w:val="0" w:hRule="atLeast"/>
          <w:jc w:val="center"/>
        </w:trPr>
        <w:tc>
          <w:tcPr>
            <w:tcW w:w="2944" w:type="dxa"/>
            <w:tcBorders>
              <w:top w:val="nil"/>
              <w:left w:val="nil"/>
              <w:bottom w:val="nil"/>
              <w:right w:val="nil"/>
            </w:tcBorders>
            <w:shd w:val="clear" w:color="auto" w:fill="auto"/>
            <w:vAlign w:val="center"/>
          </w:tcPr>
          <w:p w14:paraId="7486E6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945" w:type="dxa"/>
            <w:tcBorders>
              <w:top w:val="nil"/>
              <w:left w:val="nil"/>
              <w:bottom w:val="nil"/>
              <w:right w:val="nil"/>
            </w:tcBorders>
            <w:shd w:val="clear" w:color="auto" w:fill="auto"/>
            <w:vAlign w:val="center"/>
          </w:tcPr>
          <w:p w14:paraId="50A10F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09FEDE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0946E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76C88D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每日库存预测更新，或库存、需求、排程发生关键变化时</w:t>
            </w:r>
          </w:p>
        </w:tc>
        <w:tc>
          <w:tcPr>
            <w:tcW w:w="1406" w:type="dxa"/>
            <w:tcBorders>
              <w:top w:val="nil"/>
              <w:left w:val="nil"/>
              <w:bottom w:val="nil"/>
              <w:right w:val="nil"/>
            </w:tcBorders>
            <w:shd w:val="clear" w:color="auto" w:fill="auto"/>
            <w:vAlign w:val="center"/>
          </w:tcPr>
          <w:p w14:paraId="1F9334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逐日判断预计可用库存是否低于安全库存，以及计划生产入库是否会使成品库存超过对应储罐的有效容量；任一越界时记录风险类型、日期和缺口或超量，两项均未越界时记录正常状态。</w:t>
            </w:r>
          </w:p>
        </w:tc>
        <w:tc>
          <w:tcPr>
            <w:tcW w:w="1088" w:type="dxa"/>
            <w:tcBorders>
              <w:top w:val="nil"/>
              <w:left w:val="nil"/>
              <w:bottom w:val="nil"/>
              <w:right w:val="nil"/>
            </w:tcBorders>
            <w:shd w:val="clear" w:color="auto" w:fill="auto"/>
            <w:vAlign w:val="center"/>
          </w:tcPr>
          <w:p w14:paraId="63C94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库存风险判断、风险类型、日期及缺口或超量</w:t>
            </w:r>
          </w:p>
        </w:tc>
        <w:tc>
          <w:tcPr>
            <w:tcW w:w="1460" w:type="dxa"/>
            <w:tcBorders>
              <w:top w:val="nil"/>
              <w:left w:val="nil"/>
              <w:bottom w:val="nil"/>
              <w:right w:val="nil"/>
            </w:tcBorders>
            <w:shd w:val="clear" w:color="auto" w:fill="auto"/>
            <w:vAlign w:val="center"/>
          </w:tcPr>
          <w:p w14:paraId="71F9FC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BA932">
        <w:trPr>
          <w:cantSplit/>
          <w:trHeight w:val="0" w:hRule="atLeast"/>
          <w:jc w:val="center"/>
        </w:trPr>
        <w:tc>
          <w:tcPr>
            <w:tcW w:w="2944" w:type="dxa"/>
            <w:tcBorders>
              <w:top w:val="nil"/>
              <w:left w:val="nil"/>
              <w:bottom w:val="nil"/>
              <w:right w:val="nil"/>
            </w:tcBorders>
            <w:shd w:val="clear" w:color="auto" w:fill="auto"/>
            <w:vAlign w:val="center"/>
          </w:tcPr>
          <w:p w14:paraId="3BC10F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945" w:type="dxa"/>
            <w:tcBorders>
              <w:top w:val="nil"/>
              <w:left w:val="nil"/>
              <w:bottom w:val="nil"/>
              <w:right w:val="nil"/>
            </w:tcBorders>
            <w:shd w:val="clear" w:color="auto" w:fill="auto"/>
            <w:vAlign w:val="center"/>
          </w:tcPr>
          <w:p w14:paraId="08BB60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E9C5C0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10E599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A0BB9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760D0D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6F8FD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375D02B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88F7165">
        <w:trPr>
          <w:cantSplit/>
          <w:trHeight w:val="0" w:hRule="atLeast"/>
          <w:jc w:val="center"/>
        </w:trPr>
        <w:tc>
          <w:tcPr>
            <w:tcW w:w="2944" w:type="dxa"/>
            <w:tcBorders>
              <w:top w:val="nil"/>
              <w:left w:val="nil"/>
              <w:bottom w:val="nil"/>
              <w:right w:val="nil"/>
            </w:tcBorders>
            <w:shd w:val="clear" w:color="auto" w:fill="auto"/>
            <w:vAlign w:val="center"/>
          </w:tcPr>
          <w:p w14:paraId="46F15D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945" w:type="dxa"/>
            <w:tcBorders>
              <w:top w:val="nil"/>
              <w:left w:val="nil"/>
              <w:bottom w:val="nil"/>
              <w:right w:val="nil"/>
            </w:tcBorders>
            <w:shd w:val="clear" w:color="auto" w:fill="auto"/>
            <w:vAlign w:val="center"/>
          </w:tcPr>
          <w:p w14:paraId="7FD4D1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B3AD8A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0BED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55E911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AFC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对第1周锁定期内的安全库存不足或容量超限风险生成预警；即使风险持续或扩大，也不得直接修改第1周锁定的生产补充量。</w:t>
            </w:r>
          </w:p>
        </w:tc>
        <w:tc>
          <w:tcPr>
            <w:tcW w:w="1088" w:type="dxa"/>
            <w:tcBorders>
              <w:top w:val="nil"/>
              <w:left w:val="nil"/>
              <w:bottom w:val="nil"/>
              <w:right w:val="nil"/>
            </w:tcBorders>
            <w:shd w:val="clear" w:color="auto" w:fill="auto"/>
            <w:vAlign w:val="center"/>
          </w:tcPr>
          <w:p w14:paraId="25AC15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26FC887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C3CC73">
        <w:trPr>
          <w:cantSplit/>
          <w:trHeight w:val="0" w:hRule="atLeast"/>
          <w:jc w:val="center"/>
        </w:trPr>
        <w:tc>
          <w:tcPr>
            <w:tcW w:w="2944" w:type="dxa"/>
            <w:tcBorders>
              <w:top w:val="nil"/>
              <w:left w:val="nil"/>
              <w:bottom w:val="nil"/>
              <w:right w:val="nil"/>
            </w:tcBorders>
            <w:shd w:val="clear" w:color="auto" w:fill="auto"/>
            <w:vAlign w:val="center"/>
          </w:tcPr>
          <w:p w14:paraId="3F98F2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945" w:type="dxa"/>
            <w:tcBorders>
              <w:top w:val="nil"/>
              <w:left w:val="nil"/>
              <w:bottom w:val="nil"/>
              <w:right w:val="nil"/>
            </w:tcBorders>
            <w:shd w:val="clear" w:color="auto" w:fill="auto"/>
            <w:vAlign w:val="center"/>
          </w:tcPr>
          <w:p w14:paraId="5D29C8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74C694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AF82D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锁定期成品库存风险预警与处置</w:t>
            </w:r>
          </w:p>
        </w:tc>
        <w:tc>
          <w:tcPr>
            <w:tcW w:w="1098" w:type="dxa"/>
            <w:tcBorders>
              <w:top w:val="nil"/>
              <w:left w:val="nil"/>
              <w:bottom w:val="nil"/>
              <w:right w:val="nil"/>
            </w:tcBorders>
            <w:shd w:val="clear" w:color="auto" w:fill="auto"/>
            <w:vAlign w:val="center"/>
          </w:tcPr>
          <w:p w14:paraId="2732E2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7B7D34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56F094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62130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FFDD72">
        <w:trPr>
          <w:cantSplit/>
          <w:trHeight w:val="0" w:hRule="atLeast"/>
          <w:jc w:val="center"/>
        </w:trPr>
        <w:tc>
          <w:tcPr>
            <w:tcW w:w="2944" w:type="dxa"/>
            <w:tcBorders>
              <w:top w:val="nil"/>
              <w:left w:val="nil"/>
              <w:bottom w:val="nil"/>
              <w:right w:val="nil"/>
            </w:tcBorders>
            <w:shd w:val="clear" w:color="auto" w:fill="auto"/>
            <w:vAlign w:val="center"/>
          </w:tcPr>
          <w:p w14:paraId="4E7DC4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945" w:type="dxa"/>
            <w:tcBorders>
              <w:top w:val="nil"/>
              <w:left w:val="nil"/>
              <w:bottom w:val="nil"/>
              <w:right w:val="nil"/>
            </w:tcBorders>
            <w:shd w:val="clear" w:color="auto" w:fill="auto"/>
            <w:vAlign w:val="center"/>
          </w:tcPr>
          <w:p w14:paraId="31261C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E3DBE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3D0BE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非锁定期库存风险预警与补货调整</w:t>
            </w:r>
          </w:p>
        </w:tc>
        <w:tc>
          <w:tcPr>
            <w:tcW w:w="1098" w:type="dxa"/>
            <w:tcBorders>
              <w:top w:val="nil"/>
              <w:left w:val="nil"/>
              <w:bottom w:val="nil"/>
              <w:right w:val="nil"/>
            </w:tcBorders>
            <w:shd w:val="clear" w:color="auto" w:fill="auto"/>
            <w:vAlign w:val="center"/>
          </w:tcPr>
          <w:p w14:paraId="5AF425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54943E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对第2至第4周的安全库存不足或容量超限风险生成预警，按风险类型调整未锁定补货建议的日期和数量；扣除已有计划入库，保持第1周锁定量不变；无法消除的风险继续预警。</w:t>
            </w:r>
          </w:p>
        </w:tc>
        <w:tc>
          <w:tcPr>
            <w:tcW w:w="1088" w:type="dxa"/>
            <w:tcBorders>
              <w:top w:val="nil"/>
              <w:left w:val="nil"/>
              <w:bottom w:val="nil"/>
              <w:right w:val="nil"/>
            </w:tcBorders>
            <w:shd w:val="clear" w:color="auto" w:fill="auto"/>
            <w:vAlign w:val="center"/>
          </w:tcPr>
          <w:p w14:paraId="20D06C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4BD46B6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DF711D">
        <w:trPr>
          <w:cantSplit/>
          <w:trHeight w:val="0" w:hRule="atLeast"/>
          <w:jc w:val="center"/>
        </w:trPr>
        <w:tc>
          <w:tcPr>
            <w:tcW w:w="2944" w:type="dxa"/>
            <w:tcBorders>
              <w:top w:val="nil"/>
              <w:left w:val="nil"/>
              <w:bottom w:val="nil"/>
              <w:right w:val="nil"/>
            </w:tcBorders>
            <w:shd w:val="clear" w:color="auto" w:fill="auto"/>
            <w:vAlign w:val="center"/>
          </w:tcPr>
          <w:p w14:paraId="4D1532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945" w:type="dxa"/>
            <w:tcBorders>
              <w:top w:val="nil"/>
              <w:left w:val="nil"/>
              <w:bottom w:val="nil"/>
              <w:right w:val="nil"/>
            </w:tcBorders>
            <w:shd w:val="clear" w:color="auto" w:fill="auto"/>
            <w:vAlign w:val="center"/>
          </w:tcPr>
          <w:p w14:paraId="042965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CC35E3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B231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445805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5AA842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0C3844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73CA4F7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CCDE27">
        <w:trPr>
          <w:cantSplit/>
          <w:trHeight w:val="0" w:hRule="atLeast"/>
          <w:jc w:val="center"/>
        </w:trPr>
        <w:tc>
          <w:tcPr>
            <w:tcW w:w="2944" w:type="dxa"/>
            <w:tcBorders>
              <w:top w:val="nil"/>
              <w:left w:val="nil"/>
              <w:bottom w:val="nil"/>
              <w:right w:val="nil"/>
            </w:tcBorders>
            <w:shd w:val="clear" w:color="auto" w:fill="auto"/>
            <w:vAlign w:val="center"/>
          </w:tcPr>
          <w:p w14:paraId="3B90E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945" w:type="dxa"/>
            <w:tcBorders>
              <w:top w:val="nil"/>
              <w:left w:val="nil"/>
              <w:bottom w:val="nil"/>
              <w:right w:val="nil"/>
            </w:tcBorders>
            <w:shd w:val="clear" w:color="auto" w:fill="auto"/>
            <w:vAlign w:val="center"/>
          </w:tcPr>
          <w:p w14:paraId="4E0CD0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F58FE9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34A157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644CC3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64D134B4">
            <w:pPr>
              <w:keepNext w:val="0"/>
              <w:keepLines w:val="0"/>
              <w:suppressLineNumbers w:val="0"/>
              <w:spacing w:before="0" w:beforeAutospacing="0" w:after="0" w:afterAutospacing="0" w:line="240" w:lineRule="auto"/>
              <w:ind w:left="0" w:right="0"/>
              <w:jc w:val="left"/>
              <w:rPr>
                <w:rFonts w:hint="default"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结合产能、设备、原料、工艺和既有排程，判断是否调整生产计划；无需调整时记录原因，需要调整时协调生产排程。</w:t>
            </w:r>
            <w:r>
              <w:rPr>
                <w:rFonts w:hint="eastAsia" w:ascii="宋体" w:hAnsi="宋体" w:cs="宋体"/>
                <w:b w:val="0"/>
                <w:sz w:val="18"/>
                <w:szCs w:val="18"/>
                <w:lang w:val="en-US" w:eastAsia="zh-CN"/>
              </w:rPr>
              <w:t>确认后，每日额外向后锁定一天，确保每日锁定期为T+7天。</w:t>
            </w:r>
          </w:p>
        </w:tc>
        <w:tc>
          <w:tcPr>
            <w:tcW w:w="1088" w:type="dxa"/>
            <w:tcBorders>
              <w:top w:val="nil"/>
              <w:left w:val="nil"/>
              <w:bottom w:val="nil"/>
              <w:right w:val="nil"/>
            </w:tcBorders>
            <w:shd w:val="clear" w:color="auto" w:fill="auto"/>
            <w:vAlign w:val="center"/>
          </w:tcPr>
          <w:p w14:paraId="0F0042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290F22C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6FDC69">
        <w:trPr>
          <w:cantSplit/>
          <w:trHeight w:val="0" w:hRule="atLeast"/>
          <w:jc w:val="center"/>
        </w:trPr>
        <w:tc>
          <w:tcPr>
            <w:tcW w:w="2944" w:type="dxa"/>
            <w:tcBorders>
              <w:top w:val="nil"/>
              <w:left w:val="nil"/>
              <w:bottom w:val="nil"/>
              <w:right w:val="nil"/>
            </w:tcBorders>
            <w:shd w:val="clear" w:color="auto" w:fill="auto"/>
            <w:vAlign w:val="center"/>
          </w:tcPr>
          <w:p w14:paraId="18CA1C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945" w:type="dxa"/>
            <w:tcBorders>
              <w:top w:val="nil"/>
              <w:left w:val="nil"/>
              <w:bottom w:val="nil"/>
              <w:right w:val="nil"/>
            </w:tcBorders>
            <w:shd w:val="clear" w:color="auto" w:fill="auto"/>
            <w:vAlign w:val="center"/>
          </w:tcPr>
          <w:p w14:paraId="29AFEA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A7E6D7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6706B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成品库存风险监测与补货调整</w:t>
            </w:r>
          </w:p>
        </w:tc>
        <w:tc>
          <w:tcPr>
            <w:tcW w:w="1098" w:type="dxa"/>
            <w:tcBorders>
              <w:top w:val="nil"/>
              <w:left w:val="nil"/>
              <w:bottom w:val="nil"/>
              <w:right w:val="nil"/>
            </w:tcBorders>
            <w:shd w:val="clear" w:color="auto" w:fill="auto"/>
            <w:vAlign w:val="center"/>
          </w:tcPr>
          <w:p w14:paraId="062E7F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51A37EC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将采纳的补货调整建议交由生产排程处理；排程无法满足建议日期或数量时，更新未消除的库存风险并继续协调。</w:t>
            </w:r>
          </w:p>
        </w:tc>
        <w:tc>
          <w:tcPr>
            <w:tcW w:w="1088" w:type="dxa"/>
            <w:tcBorders>
              <w:top w:val="nil"/>
              <w:left w:val="nil"/>
              <w:bottom w:val="nil"/>
              <w:right w:val="nil"/>
            </w:tcBorders>
            <w:shd w:val="clear" w:color="auto" w:fill="auto"/>
            <w:vAlign w:val="center"/>
          </w:tcPr>
          <w:p w14:paraId="6DCF4A6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4359219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F7543B">
        <w:trPr>
          <w:cantSplit/>
          <w:trHeight w:val="0" w:hRule="atLeast"/>
          <w:jc w:val="center"/>
        </w:trPr>
        <w:tc>
          <w:tcPr>
            <w:tcW w:w="2944" w:type="dxa"/>
            <w:tcBorders>
              <w:top w:val="nil"/>
              <w:left w:val="nil"/>
              <w:bottom w:val="nil"/>
              <w:right w:val="nil"/>
            </w:tcBorders>
            <w:shd w:val="clear" w:color="auto" w:fill="auto"/>
            <w:vAlign w:val="center"/>
          </w:tcPr>
          <w:p w14:paraId="33ACDC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945" w:type="dxa"/>
            <w:tcBorders>
              <w:top w:val="nil"/>
              <w:left w:val="nil"/>
              <w:bottom w:val="nil"/>
              <w:right w:val="nil"/>
            </w:tcBorders>
            <w:shd w:val="clear" w:color="auto" w:fill="auto"/>
            <w:vAlign w:val="center"/>
          </w:tcPr>
          <w:p w14:paraId="7C8140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FBD29F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285C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B2C64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29D633A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5B4DF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508318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7DC6AF">
        <w:trPr>
          <w:cantSplit/>
          <w:trHeight w:val="0" w:hRule="atLeast"/>
          <w:jc w:val="center"/>
        </w:trPr>
        <w:tc>
          <w:tcPr>
            <w:tcW w:w="2944" w:type="dxa"/>
            <w:tcBorders>
              <w:top w:val="nil"/>
              <w:left w:val="nil"/>
              <w:bottom w:val="nil"/>
              <w:right w:val="nil"/>
            </w:tcBorders>
            <w:shd w:val="clear" w:color="auto" w:fill="auto"/>
            <w:vAlign w:val="center"/>
          </w:tcPr>
          <w:p w14:paraId="44648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945" w:type="dxa"/>
            <w:tcBorders>
              <w:top w:val="nil"/>
              <w:left w:val="nil"/>
              <w:bottom w:val="nil"/>
              <w:right w:val="nil"/>
            </w:tcBorders>
            <w:shd w:val="clear" w:color="auto" w:fill="auto"/>
            <w:vAlign w:val="center"/>
          </w:tcPr>
          <w:p w14:paraId="388AD24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E2E4D7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7F4336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74AF0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3B5B3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4EC2D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9EF9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907928">
        <w:trPr>
          <w:cantSplit/>
          <w:trHeight w:val="0" w:hRule="atLeast"/>
          <w:jc w:val="center"/>
        </w:trPr>
        <w:tc>
          <w:tcPr>
            <w:tcW w:w="2944" w:type="dxa"/>
            <w:tcBorders>
              <w:top w:val="nil"/>
              <w:left w:val="nil"/>
              <w:bottom w:val="nil"/>
              <w:right w:val="nil"/>
            </w:tcBorders>
            <w:shd w:val="clear" w:color="auto" w:fill="auto"/>
            <w:vAlign w:val="center"/>
          </w:tcPr>
          <w:p w14:paraId="149397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945" w:type="dxa"/>
            <w:tcBorders>
              <w:top w:val="nil"/>
              <w:left w:val="nil"/>
              <w:bottom w:val="nil"/>
              <w:right w:val="nil"/>
            </w:tcBorders>
            <w:shd w:val="clear" w:color="auto" w:fill="auto"/>
            <w:vAlign w:val="center"/>
          </w:tcPr>
          <w:p w14:paraId="425C82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FD7779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80ED9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63BEA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2A1D56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2EA944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08DD889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474F30">
        <w:trPr>
          <w:cantSplit/>
          <w:trHeight w:val="0" w:hRule="atLeast"/>
          <w:jc w:val="center"/>
        </w:trPr>
        <w:tc>
          <w:tcPr>
            <w:tcW w:w="2944" w:type="dxa"/>
            <w:tcBorders>
              <w:top w:val="nil"/>
              <w:left w:val="nil"/>
              <w:bottom w:val="nil"/>
              <w:right w:val="nil"/>
            </w:tcBorders>
            <w:shd w:val="clear" w:color="auto" w:fill="auto"/>
            <w:vAlign w:val="center"/>
          </w:tcPr>
          <w:p w14:paraId="2890C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945" w:type="dxa"/>
            <w:tcBorders>
              <w:top w:val="nil"/>
              <w:left w:val="nil"/>
              <w:bottom w:val="nil"/>
              <w:right w:val="nil"/>
            </w:tcBorders>
            <w:shd w:val="clear" w:color="auto" w:fill="auto"/>
            <w:vAlign w:val="center"/>
          </w:tcPr>
          <w:p w14:paraId="588124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6DCA23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2CAD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C2D7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E3CA0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647AF2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41D4F2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7E7F6E">
        <w:trPr>
          <w:cantSplit/>
          <w:trHeight w:val="0" w:hRule="atLeast"/>
          <w:jc w:val="center"/>
        </w:trPr>
        <w:tc>
          <w:tcPr>
            <w:tcW w:w="2944" w:type="dxa"/>
            <w:tcBorders>
              <w:top w:val="nil"/>
              <w:left w:val="nil"/>
              <w:bottom w:val="nil"/>
              <w:right w:val="nil"/>
            </w:tcBorders>
            <w:shd w:val="clear" w:color="auto" w:fill="auto"/>
            <w:vAlign w:val="center"/>
          </w:tcPr>
          <w:p w14:paraId="493A77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945" w:type="dxa"/>
            <w:tcBorders>
              <w:top w:val="nil"/>
              <w:left w:val="nil"/>
              <w:bottom w:val="nil"/>
              <w:right w:val="nil"/>
            </w:tcBorders>
            <w:shd w:val="clear" w:color="auto" w:fill="auto"/>
            <w:vAlign w:val="center"/>
          </w:tcPr>
          <w:p w14:paraId="1649D7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7716EA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22B1BB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0EF27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4C3213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3DF36D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6CF11D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1DF5FCA">
        <w:trPr>
          <w:cantSplit/>
          <w:trHeight w:val="0" w:hRule="atLeast"/>
          <w:jc w:val="center"/>
        </w:trPr>
        <w:tc>
          <w:tcPr>
            <w:tcW w:w="2944" w:type="dxa"/>
            <w:tcBorders>
              <w:top w:val="nil"/>
              <w:left w:val="nil"/>
              <w:bottom w:val="nil"/>
              <w:right w:val="nil"/>
            </w:tcBorders>
            <w:shd w:val="clear" w:color="auto" w:fill="auto"/>
            <w:vAlign w:val="center"/>
          </w:tcPr>
          <w:p w14:paraId="288643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945" w:type="dxa"/>
            <w:tcBorders>
              <w:top w:val="nil"/>
              <w:left w:val="nil"/>
              <w:bottom w:val="nil"/>
              <w:right w:val="nil"/>
            </w:tcBorders>
            <w:shd w:val="clear" w:color="auto" w:fill="auto"/>
            <w:vAlign w:val="center"/>
          </w:tcPr>
          <w:p w14:paraId="46DCF2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DCD2BF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46B2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63257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4203F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3C8895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2A1CFD6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6CAC4E">
        <w:trPr>
          <w:cantSplit/>
          <w:trHeight w:val="0" w:hRule="atLeast"/>
          <w:jc w:val="center"/>
        </w:trPr>
        <w:tc>
          <w:tcPr>
            <w:tcW w:w="2944" w:type="dxa"/>
            <w:tcBorders>
              <w:top w:val="nil"/>
              <w:left w:val="nil"/>
              <w:bottom w:val="nil"/>
              <w:right w:val="nil"/>
            </w:tcBorders>
            <w:shd w:val="clear" w:color="auto" w:fill="auto"/>
            <w:vAlign w:val="center"/>
          </w:tcPr>
          <w:p w14:paraId="5849C6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945" w:type="dxa"/>
            <w:tcBorders>
              <w:top w:val="nil"/>
              <w:left w:val="nil"/>
              <w:bottom w:val="nil"/>
              <w:right w:val="nil"/>
            </w:tcBorders>
            <w:shd w:val="clear" w:color="auto" w:fill="auto"/>
            <w:vAlign w:val="center"/>
          </w:tcPr>
          <w:p w14:paraId="7297F1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CC6187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37AF85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月中库存策略调整</w:t>
            </w:r>
          </w:p>
        </w:tc>
        <w:tc>
          <w:tcPr>
            <w:tcW w:w="1098" w:type="dxa"/>
            <w:tcBorders>
              <w:top w:val="nil"/>
              <w:left w:val="nil"/>
              <w:bottom w:val="nil"/>
              <w:right w:val="nil"/>
            </w:tcBorders>
            <w:shd w:val="clear" w:color="auto" w:fill="auto"/>
            <w:vAlign w:val="center"/>
          </w:tcPr>
          <w:p w14:paraId="31E934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11D40A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发布新版本，并保留原策略、输入、参数、结果和审批记录；发布失败时保留待发布状态，原有效版本继续生效。</w:t>
            </w:r>
          </w:p>
        </w:tc>
        <w:tc>
          <w:tcPr>
            <w:tcW w:w="1088" w:type="dxa"/>
            <w:tcBorders>
              <w:top w:val="nil"/>
              <w:left w:val="nil"/>
              <w:bottom w:val="nil"/>
              <w:right w:val="nil"/>
            </w:tcBorders>
            <w:shd w:val="clear" w:color="auto" w:fill="auto"/>
            <w:vAlign w:val="center"/>
          </w:tcPr>
          <w:p w14:paraId="4DF58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27053C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312928">
        <w:trPr>
          <w:cantSplit/>
          <w:trHeight w:val="0" w:hRule="atLeast"/>
          <w:jc w:val="center"/>
        </w:trPr>
        <w:tc>
          <w:tcPr>
            <w:tcW w:w="2944" w:type="dxa"/>
            <w:tcBorders>
              <w:top w:val="nil"/>
              <w:left w:val="nil"/>
              <w:bottom w:val="nil"/>
              <w:right w:val="nil"/>
            </w:tcBorders>
            <w:shd w:val="clear" w:color="auto" w:fill="auto"/>
            <w:vAlign w:val="center"/>
          </w:tcPr>
          <w:p w14:paraId="56FEE1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945" w:type="dxa"/>
            <w:tcBorders>
              <w:top w:val="nil"/>
              <w:left w:val="nil"/>
              <w:bottom w:val="nil"/>
              <w:right w:val="nil"/>
            </w:tcBorders>
            <w:shd w:val="clear" w:color="auto" w:fill="auto"/>
            <w:vAlign w:val="center"/>
          </w:tcPr>
          <w:p w14:paraId="71469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EC76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626493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6E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18C9CA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汇总已发布的策略目标和对应周期的实际库存数据；数据不完整时标记本期评价口径和不可评价指标。</w:t>
            </w:r>
          </w:p>
        </w:tc>
        <w:tc>
          <w:tcPr>
            <w:tcW w:w="1088" w:type="dxa"/>
            <w:tcBorders>
              <w:top w:val="nil"/>
              <w:left w:val="nil"/>
              <w:bottom w:val="nil"/>
              <w:right w:val="nil"/>
            </w:tcBorders>
            <w:shd w:val="clear" w:color="auto" w:fill="auto"/>
            <w:vAlign w:val="center"/>
          </w:tcPr>
          <w:p w14:paraId="6D1AEB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145768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50F5B4">
        <w:trPr>
          <w:cantSplit/>
          <w:trHeight w:val="0" w:hRule="atLeast"/>
          <w:jc w:val="center"/>
        </w:trPr>
        <w:tc>
          <w:tcPr>
            <w:tcW w:w="2944" w:type="dxa"/>
            <w:tcBorders>
              <w:top w:val="nil"/>
              <w:left w:val="nil"/>
              <w:bottom w:val="nil"/>
              <w:right w:val="nil"/>
            </w:tcBorders>
            <w:shd w:val="clear" w:color="auto" w:fill="auto"/>
            <w:vAlign w:val="center"/>
          </w:tcPr>
          <w:p w14:paraId="64B58D1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945" w:type="dxa"/>
            <w:tcBorders>
              <w:top w:val="nil"/>
              <w:left w:val="nil"/>
              <w:bottom w:val="nil"/>
              <w:right w:val="nil"/>
            </w:tcBorders>
            <w:shd w:val="clear" w:color="auto" w:fill="auto"/>
            <w:vAlign w:val="center"/>
          </w:tcPr>
          <w:p w14:paraId="7DD92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8334AB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4E1E3E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4E64B5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3A3CDC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统计库存周转、订单满足、服务水平及缺货等指标；口径或数据周期不可比时，不输出误导性趋势结论。</w:t>
            </w:r>
          </w:p>
        </w:tc>
        <w:tc>
          <w:tcPr>
            <w:tcW w:w="1088" w:type="dxa"/>
            <w:tcBorders>
              <w:top w:val="nil"/>
              <w:left w:val="nil"/>
              <w:bottom w:val="nil"/>
              <w:right w:val="nil"/>
            </w:tcBorders>
            <w:shd w:val="clear" w:color="auto" w:fill="auto"/>
            <w:vAlign w:val="center"/>
          </w:tcPr>
          <w:p w14:paraId="04E6A86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38C3D7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3FB2F5">
        <w:trPr>
          <w:cantSplit/>
          <w:trHeight w:val="0" w:hRule="atLeast"/>
          <w:jc w:val="center"/>
        </w:trPr>
        <w:tc>
          <w:tcPr>
            <w:tcW w:w="2944" w:type="dxa"/>
            <w:tcBorders>
              <w:top w:val="nil"/>
              <w:left w:val="nil"/>
              <w:bottom w:val="nil"/>
              <w:right w:val="nil"/>
            </w:tcBorders>
            <w:shd w:val="clear" w:color="auto" w:fill="auto"/>
            <w:vAlign w:val="center"/>
          </w:tcPr>
          <w:p w14:paraId="01E982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945" w:type="dxa"/>
            <w:tcBorders>
              <w:top w:val="nil"/>
              <w:left w:val="nil"/>
              <w:bottom w:val="nil"/>
              <w:right w:val="nil"/>
            </w:tcBorders>
            <w:shd w:val="clear" w:color="auto" w:fill="auto"/>
            <w:vAlign w:val="center"/>
          </w:tcPr>
          <w:p w14:paraId="7687B8E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80F5F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690814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A650A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4E1E4D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分析库存参数、需求、生产补充执行和质量状态等差异原因；数据异常时返回源系统核实；执行问题转相应业务流程处理。</w:t>
            </w:r>
          </w:p>
        </w:tc>
        <w:tc>
          <w:tcPr>
            <w:tcW w:w="1088" w:type="dxa"/>
            <w:tcBorders>
              <w:top w:val="nil"/>
              <w:left w:val="nil"/>
              <w:bottom w:val="nil"/>
              <w:right w:val="nil"/>
            </w:tcBorders>
            <w:shd w:val="clear" w:color="auto" w:fill="auto"/>
            <w:vAlign w:val="center"/>
          </w:tcPr>
          <w:p w14:paraId="152FA3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304F03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645DC8">
        <w:trPr>
          <w:cantSplit/>
          <w:trHeight w:val="0" w:hRule="atLeast"/>
          <w:jc w:val="center"/>
        </w:trPr>
        <w:tc>
          <w:tcPr>
            <w:tcW w:w="2944" w:type="dxa"/>
            <w:tcBorders>
              <w:top w:val="nil"/>
              <w:left w:val="nil"/>
              <w:bottom w:val="nil"/>
              <w:right w:val="nil"/>
            </w:tcBorders>
            <w:shd w:val="clear" w:color="auto" w:fill="auto"/>
            <w:vAlign w:val="center"/>
          </w:tcPr>
          <w:p w14:paraId="5AC0B9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945" w:type="dxa"/>
            <w:tcBorders>
              <w:top w:val="nil"/>
              <w:left w:val="nil"/>
              <w:bottom w:val="nil"/>
              <w:right w:val="nil"/>
            </w:tcBorders>
            <w:shd w:val="clear" w:color="auto" w:fill="auto"/>
            <w:vAlign w:val="center"/>
          </w:tcPr>
          <w:p w14:paraId="6429A0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743510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2BC409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54CCC8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10AD9B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判断是否需要调整服务水平、安全系数或生产补充周期等参数；无参数改进建议时发布评价结论；需要改进策略时继续处理。</w:t>
            </w:r>
          </w:p>
        </w:tc>
        <w:tc>
          <w:tcPr>
            <w:tcW w:w="1088" w:type="dxa"/>
            <w:tcBorders>
              <w:top w:val="nil"/>
              <w:left w:val="nil"/>
              <w:bottom w:val="nil"/>
              <w:right w:val="nil"/>
            </w:tcBorders>
            <w:shd w:val="clear" w:color="auto" w:fill="auto"/>
            <w:vAlign w:val="center"/>
          </w:tcPr>
          <w:p w14:paraId="7C9E0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78B807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2E5500">
        <w:trPr>
          <w:cantSplit/>
          <w:trHeight w:val="0" w:hRule="atLeast"/>
          <w:jc w:val="center"/>
        </w:trPr>
        <w:tc>
          <w:tcPr>
            <w:tcW w:w="2944" w:type="dxa"/>
            <w:tcBorders>
              <w:top w:val="nil"/>
              <w:left w:val="nil"/>
              <w:bottom w:val="nil"/>
              <w:right w:val="nil"/>
            </w:tcBorders>
            <w:shd w:val="clear" w:color="auto" w:fill="auto"/>
            <w:vAlign w:val="center"/>
          </w:tcPr>
          <w:p w14:paraId="7CA941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945" w:type="dxa"/>
            <w:tcBorders>
              <w:top w:val="nil"/>
              <w:left w:val="nil"/>
              <w:bottom w:val="nil"/>
              <w:right w:val="nil"/>
            </w:tcBorders>
            <w:shd w:val="clear" w:color="auto" w:fill="auto"/>
            <w:vAlign w:val="center"/>
          </w:tcPr>
          <w:p w14:paraId="0EE6F9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172B77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0E9FC2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23BF16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3AF9F2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说明拟调整对象、参数、原因、预期影响及建议生效周期；无法确定建议参数时，只形成待进一步验证的问题清单。</w:t>
            </w:r>
          </w:p>
        </w:tc>
        <w:tc>
          <w:tcPr>
            <w:tcW w:w="1088" w:type="dxa"/>
            <w:tcBorders>
              <w:top w:val="nil"/>
              <w:left w:val="nil"/>
              <w:bottom w:val="nil"/>
              <w:right w:val="nil"/>
            </w:tcBorders>
            <w:shd w:val="clear" w:color="auto" w:fill="auto"/>
            <w:vAlign w:val="center"/>
          </w:tcPr>
          <w:p w14:paraId="172985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0614BA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C42521">
        <w:trPr>
          <w:cantSplit/>
          <w:trHeight w:val="0" w:hRule="atLeast"/>
          <w:jc w:val="center"/>
        </w:trPr>
        <w:tc>
          <w:tcPr>
            <w:tcW w:w="2944" w:type="dxa"/>
            <w:tcBorders>
              <w:top w:val="nil"/>
              <w:left w:val="nil"/>
              <w:bottom w:val="nil"/>
              <w:right w:val="nil"/>
            </w:tcBorders>
            <w:shd w:val="clear" w:color="auto" w:fill="auto"/>
            <w:vAlign w:val="center"/>
          </w:tcPr>
          <w:p w14:paraId="5E12D0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945" w:type="dxa"/>
            <w:tcBorders>
              <w:top w:val="nil"/>
              <w:left w:val="nil"/>
              <w:bottom w:val="nil"/>
              <w:right w:val="nil"/>
            </w:tcBorders>
            <w:shd w:val="clear" w:color="auto" w:fill="auto"/>
            <w:vAlign w:val="center"/>
          </w:tcPr>
          <w:p w14:paraId="6410E5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C0476E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6CF672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02677D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551CA8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A28B9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4A7E657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92ECF9">
        <w:trPr>
          <w:cantSplit/>
          <w:trHeight w:val="0" w:hRule="atLeast"/>
          <w:jc w:val="center"/>
        </w:trPr>
        <w:tc>
          <w:tcPr>
            <w:tcW w:w="2944" w:type="dxa"/>
            <w:tcBorders>
              <w:top w:val="nil"/>
              <w:left w:val="nil"/>
              <w:bottom w:val="nil"/>
              <w:right w:val="nil"/>
            </w:tcBorders>
            <w:shd w:val="clear" w:color="auto" w:fill="auto"/>
            <w:vAlign w:val="center"/>
          </w:tcPr>
          <w:p w14:paraId="4E11FA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945" w:type="dxa"/>
            <w:tcBorders>
              <w:top w:val="nil"/>
              <w:left w:val="nil"/>
              <w:bottom w:val="nil"/>
              <w:right w:val="nil"/>
            </w:tcBorders>
            <w:shd w:val="clear" w:color="auto" w:fill="auto"/>
            <w:vAlign w:val="center"/>
          </w:tcPr>
          <w:p w14:paraId="095699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9A726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安全库存优化模块</w:t>
            </w:r>
          </w:p>
        </w:tc>
        <w:tc>
          <w:tcPr>
            <w:tcW w:w="955" w:type="dxa"/>
            <w:tcBorders>
              <w:top w:val="nil"/>
              <w:left w:val="nil"/>
              <w:bottom w:val="nil"/>
              <w:right w:val="nil"/>
            </w:tcBorders>
            <w:shd w:val="clear" w:color="auto" w:fill="auto"/>
            <w:vAlign w:val="center"/>
          </w:tcPr>
          <w:p w14:paraId="3D738D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成品库存健康度评价与改进</w:t>
            </w:r>
          </w:p>
        </w:tc>
        <w:tc>
          <w:tcPr>
            <w:tcW w:w="1098" w:type="dxa"/>
            <w:tcBorders>
              <w:top w:val="nil"/>
              <w:left w:val="nil"/>
              <w:bottom w:val="nil"/>
              <w:right w:val="nil"/>
            </w:tcBorders>
            <w:shd w:val="clear" w:color="auto" w:fill="auto"/>
            <w:vAlign w:val="center"/>
          </w:tcPr>
          <w:p w14:paraId="16AE62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5BFF83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发布本期评价结果，并向供应链驾驶舱提供库存健康度指标；发布失败时保留待发布状态并支持重试。</w:t>
            </w:r>
          </w:p>
        </w:tc>
        <w:tc>
          <w:tcPr>
            <w:tcW w:w="1088" w:type="dxa"/>
            <w:tcBorders>
              <w:top w:val="nil"/>
              <w:left w:val="nil"/>
              <w:bottom w:val="nil"/>
              <w:right w:val="nil"/>
            </w:tcBorders>
            <w:shd w:val="clear" w:color="auto" w:fill="auto"/>
            <w:vAlign w:val="center"/>
          </w:tcPr>
          <w:p w14:paraId="1AB3B6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C6C281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979C75">
        <w:trPr>
          <w:cantSplit/>
          <w:trHeight w:val="0" w:hRule="atLeast"/>
          <w:jc w:val="center"/>
        </w:trPr>
        <w:tc>
          <w:tcPr>
            <w:tcW w:w="2944" w:type="dxa"/>
            <w:tcBorders>
              <w:top w:val="nil"/>
              <w:left w:val="nil"/>
              <w:bottom w:val="nil"/>
              <w:right w:val="nil"/>
            </w:tcBorders>
            <w:shd w:val="clear" w:color="auto" w:fill="auto"/>
            <w:vAlign w:val="center"/>
          </w:tcPr>
          <w:p w14:paraId="60444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945" w:type="dxa"/>
            <w:tcBorders>
              <w:top w:val="nil"/>
              <w:left w:val="nil"/>
              <w:bottom w:val="nil"/>
              <w:right w:val="nil"/>
            </w:tcBorders>
            <w:shd w:val="clear" w:color="auto" w:fill="auto"/>
            <w:vAlign w:val="center"/>
          </w:tcPr>
          <w:p w14:paraId="0E1AA4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CEB1E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067D4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26D4E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1755CA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30C862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794ABE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59F73CD">
        <w:trPr>
          <w:cantSplit/>
          <w:trHeight w:val="0" w:hRule="atLeast"/>
          <w:jc w:val="center"/>
        </w:trPr>
        <w:tc>
          <w:tcPr>
            <w:tcW w:w="2944" w:type="dxa"/>
            <w:tcBorders>
              <w:top w:val="nil"/>
              <w:left w:val="nil"/>
              <w:bottom w:val="nil"/>
              <w:right w:val="nil"/>
            </w:tcBorders>
            <w:shd w:val="clear" w:color="auto" w:fill="auto"/>
            <w:vAlign w:val="center"/>
          </w:tcPr>
          <w:p w14:paraId="448340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945" w:type="dxa"/>
            <w:tcBorders>
              <w:top w:val="nil"/>
              <w:left w:val="nil"/>
              <w:bottom w:val="nil"/>
              <w:right w:val="nil"/>
            </w:tcBorders>
            <w:shd w:val="clear" w:color="auto" w:fill="auto"/>
            <w:vAlign w:val="center"/>
          </w:tcPr>
          <w:p w14:paraId="0B60FF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0D91C7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F1DD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48D9D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482077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14F7FD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3F32E3E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D153347">
        <w:trPr>
          <w:cantSplit/>
          <w:trHeight w:val="0" w:hRule="atLeast"/>
          <w:jc w:val="center"/>
        </w:trPr>
        <w:tc>
          <w:tcPr>
            <w:tcW w:w="2944" w:type="dxa"/>
            <w:tcBorders>
              <w:top w:val="nil"/>
              <w:left w:val="nil"/>
              <w:bottom w:val="nil"/>
              <w:right w:val="nil"/>
            </w:tcBorders>
            <w:shd w:val="clear" w:color="auto" w:fill="auto"/>
            <w:vAlign w:val="center"/>
          </w:tcPr>
          <w:p w14:paraId="44BD20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945" w:type="dxa"/>
            <w:tcBorders>
              <w:top w:val="nil"/>
              <w:left w:val="nil"/>
              <w:bottom w:val="nil"/>
              <w:right w:val="nil"/>
            </w:tcBorders>
            <w:shd w:val="clear" w:color="auto" w:fill="auto"/>
            <w:vAlign w:val="center"/>
          </w:tcPr>
          <w:p w14:paraId="6C2DC1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EB6FFC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D3B5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29FF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3946C3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按实际生产路线识别各类生产批次及其所在工艺环节；短路线不补建不存在的层级；共享设备按路线和物料隔离。</w:t>
            </w:r>
          </w:p>
        </w:tc>
        <w:tc>
          <w:tcPr>
            <w:tcW w:w="1088" w:type="dxa"/>
            <w:tcBorders>
              <w:top w:val="nil"/>
              <w:left w:val="nil"/>
              <w:bottom w:val="nil"/>
              <w:right w:val="nil"/>
            </w:tcBorders>
            <w:shd w:val="clear" w:color="auto" w:fill="auto"/>
            <w:vAlign w:val="center"/>
          </w:tcPr>
          <w:p w14:paraId="6DD36D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3B74A4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5912C7">
        <w:trPr>
          <w:cantSplit/>
          <w:trHeight w:val="0" w:hRule="atLeast"/>
          <w:jc w:val="center"/>
        </w:trPr>
        <w:tc>
          <w:tcPr>
            <w:tcW w:w="2944" w:type="dxa"/>
            <w:tcBorders>
              <w:top w:val="nil"/>
              <w:left w:val="nil"/>
              <w:bottom w:val="nil"/>
              <w:right w:val="nil"/>
            </w:tcBorders>
            <w:shd w:val="clear" w:color="auto" w:fill="auto"/>
            <w:vAlign w:val="center"/>
          </w:tcPr>
          <w:p w14:paraId="71E6D3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945" w:type="dxa"/>
            <w:tcBorders>
              <w:top w:val="nil"/>
              <w:left w:val="nil"/>
              <w:bottom w:val="nil"/>
              <w:right w:val="nil"/>
            </w:tcBorders>
            <w:shd w:val="clear" w:color="auto" w:fill="auto"/>
            <w:vAlign w:val="center"/>
          </w:tcPr>
          <w:p w14:paraId="3B13CC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0211A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91EC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0D7280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6FC21F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29D1D6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6DB715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F001D2">
        <w:trPr>
          <w:cantSplit/>
          <w:trHeight w:val="0" w:hRule="atLeast"/>
          <w:jc w:val="center"/>
        </w:trPr>
        <w:tc>
          <w:tcPr>
            <w:tcW w:w="2944" w:type="dxa"/>
            <w:tcBorders>
              <w:top w:val="nil"/>
              <w:left w:val="nil"/>
              <w:bottom w:val="nil"/>
              <w:right w:val="nil"/>
            </w:tcBorders>
            <w:shd w:val="clear" w:color="auto" w:fill="auto"/>
            <w:vAlign w:val="center"/>
          </w:tcPr>
          <w:p w14:paraId="67BAED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945" w:type="dxa"/>
            <w:tcBorders>
              <w:top w:val="nil"/>
              <w:left w:val="nil"/>
              <w:bottom w:val="nil"/>
              <w:right w:val="nil"/>
            </w:tcBorders>
            <w:shd w:val="clear" w:color="auto" w:fill="auto"/>
            <w:vAlign w:val="center"/>
          </w:tcPr>
          <w:p w14:paraId="26BE73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AB63E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E2C5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54E369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60A9F8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52E54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01F690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DEE0AD">
        <w:trPr>
          <w:cantSplit/>
          <w:trHeight w:val="0" w:hRule="atLeast"/>
          <w:jc w:val="center"/>
        </w:trPr>
        <w:tc>
          <w:tcPr>
            <w:tcW w:w="2944" w:type="dxa"/>
            <w:tcBorders>
              <w:top w:val="nil"/>
              <w:left w:val="nil"/>
              <w:bottom w:val="nil"/>
              <w:right w:val="nil"/>
            </w:tcBorders>
            <w:shd w:val="clear" w:color="auto" w:fill="auto"/>
            <w:vAlign w:val="center"/>
          </w:tcPr>
          <w:p w14:paraId="6D6765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945" w:type="dxa"/>
            <w:tcBorders>
              <w:top w:val="nil"/>
              <w:left w:val="nil"/>
              <w:bottom w:val="nil"/>
              <w:right w:val="nil"/>
            </w:tcBorders>
            <w:shd w:val="clear" w:color="auto" w:fill="auto"/>
            <w:vAlign w:val="center"/>
          </w:tcPr>
          <w:p w14:paraId="0B9E64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69997C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0F7C5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0BC8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4C55F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08B92A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52CDA70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2A361">
        <w:trPr>
          <w:cantSplit/>
          <w:trHeight w:val="0" w:hRule="atLeast"/>
          <w:jc w:val="center"/>
        </w:trPr>
        <w:tc>
          <w:tcPr>
            <w:tcW w:w="2944" w:type="dxa"/>
            <w:tcBorders>
              <w:top w:val="nil"/>
              <w:left w:val="nil"/>
              <w:bottom w:val="nil"/>
              <w:right w:val="nil"/>
            </w:tcBorders>
            <w:shd w:val="clear" w:color="auto" w:fill="auto"/>
            <w:vAlign w:val="center"/>
          </w:tcPr>
          <w:p w14:paraId="2A3C9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945" w:type="dxa"/>
            <w:tcBorders>
              <w:top w:val="nil"/>
              <w:left w:val="nil"/>
              <w:bottom w:val="nil"/>
              <w:right w:val="nil"/>
            </w:tcBorders>
            <w:shd w:val="clear" w:color="auto" w:fill="auto"/>
            <w:vAlign w:val="center"/>
          </w:tcPr>
          <w:p w14:paraId="7163EA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AF227A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A2D7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6DA87D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0B947A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汇总批次编码、类型、时间边界、数量、状态及规则版本等信息；低可信度但允许保留的批次单独标识，不与已确认批次混淆。</w:t>
            </w:r>
          </w:p>
        </w:tc>
        <w:tc>
          <w:tcPr>
            <w:tcW w:w="1088" w:type="dxa"/>
            <w:tcBorders>
              <w:top w:val="nil"/>
              <w:left w:val="nil"/>
              <w:bottom w:val="nil"/>
              <w:right w:val="nil"/>
            </w:tcBorders>
            <w:shd w:val="clear" w:color="auto" w:fill="auto"/>
            <w:vAlign w:val="center"/>
          </w:tcPr>
          <w:p w14:paraId="7D47E7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36BAF8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C6F89B">
        <w:trPr>
          <w:cantSplit/>
          <w:trHeight w:val="0" w:hRule="atLeast"/>
          <w:jc w:val="center"/>
        </w:trPr>
        <w:tc>
          <w:tcPr>
            <w:tcW w:w="2944" w:type="dxa"/>
            <w:tcBorders>
              <w:top w:val="nil"/>
              <w:left w:val="nil"/>
              <w:bottom w:val="nil"/>
              <w:right w:val="nil"/>
            </w:tcBorders>
            <w:shd w:val="clear" w:color="auto" w:fill="auto"/>
            <w:vAlign w:val="center"/>
          </w:tcPr>
          <w:p w14:paraId="3E0F319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945" w:type="dxa"/>
            <w:tcBorders>
              <w:top w:val="nil"/>
              <w:left w:val="nil"/>
              <w:bottom w:val="nil"/>
              <w:right w:val="nil"/>
            </w:tcBorders>
            <w:shd w:val="clear" w:color="auto" w:fill="auto"/>
            <w:vAlign w:val="center"/>
          </w:tcPr>
          <w:p w14:paraId="1F8EAC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保存当月批次主数据规则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163DF3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A9796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月度生产批次识别与结果确认</w:t>
            </w:r>
          </w:p>
        </w:tc>
        <w:tc>
          <w:tcPr>
            <w:tcW w:w="1098" w:type="dxa"/>
            <w:tcBorders>
              <w:top w:val="nil"/>
              <w:left w:val="nil"/>
              <w:bottom w:val="nil"/>
              <w:right w:val="nil"/>
            </w:tcBorders>
            <w:shd w:val="clear" w:color="auto" w:fill="auto"/>
            <w:vAlign w:val="center"/>
          </w:tcPr>
          <w:p w14:paraId="2CF5E7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1C01BD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1F6985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C4FA4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203FBC">
        <w:trPr>
          <w:cantSplit/>
          <w:trHeight w:val="0" w:hRule="atLeast"/>
          <w:jc w:val="center"/>
        </w:trPr>
        <w:tc>
          <w:tcPr>
            <w:tcW w:w="2944" w:type="dxa"/>
            <w:tcBorders>
              <w:top w:val="nil"/>
              <w:left w:val="nil"/>
              <w:bottom w:val="nil"/>
              <w:right w:val="nil"/>
            </w:tcBorders>
            <w:shd w:val="clear" w:color="auto" w:fill="auto"/>
            <w:vAlign w:val="center"/>
          </w:tcPr>
          <w:p w14:paraId="793102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945" w:type="dxa"/>
            <w:tcBorders>
              <w:top w:val="nil"/>
              <w:left w:val="nil"/>
              <w:bottom w:val="nil"/>
              <w:right w:val="nil"/>
            </w:tcBorders>
            <w:shd w:val="clear" w:color="auto" w:fill="auto"/>
            <w:vAlign w:val="center"/>
          </w:tcPr>
          <w:p w14:paraId="485D1DC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6E8496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38158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EB848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7E73F4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403871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7B5505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53CE2E4">
        <w:trPr>
          <w:cantSplit/>
          <w:trHeight w:val="0" w:hRule="atLeast"/>
          <w:jc w:val="center"/>
        </w:trPr>
        <w:tc>
          <w:tcPr>
            <w:tcW w:w="2944" w:type="dxa"/>
            <w:tcBorders>
              <w:top w:val="nil"/>
              <w:left w:val="nil"/>
              <w:bottom w:val="nil"/>
              <w:right w:val="nil"/>
            </w:tcBorders>
            <w:shd w:val="clear" w:color="auto" w:fill="auto"/>
            <w:vAlign w:val="center"/>
          </w:tcPr>
          <w:p w14:paraId="69EEB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945" w:type="dxa"/>
            <w:tcBorders>
              <w:top w:val="nil"/>
              <w:left w:val="nil"/>
              <w:bottom w:val="nil"/>
              <w:right w:val="nil"/>
            </w:tcBorders>
            <w:shd w:val="clear" w:color="auto" w:fill="auto"/>
            <w:vAlign w:val="center"/>
          </w:tcPr>
          <w:p w14:paraId="70475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89C7EA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D96312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76D7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0A1EF9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45F488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680F7A6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98FB22">
        <w:trPr>
          <w:cantSplit/>
          <w:trHeight w:val="0" w:hRule="atLeast"/>
          <w:jc w:val="center"/>
        </w:trPr>
        <w:tc>
          <w:tcPr>
            <w:tcW w:w="2944" w:type="dxa"/>
            <w:tcBorders>
              <w:top w:val="nil"/>
              <w:left w:val="nil"/>
              <w:bottom w:val="nil"/>
              <w:right w:val="nil"/>
            </w:tcBorders>
            <w:shd w:val="clear" w:color="auto" w:fill="auto"/>
            <w:vAlign w:val="center"/>
          </w:tcPr>
          <w:p w14:paraId="37462D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945" w:type="dxa"/>
            <w:tcBorders>
              <w:top w:val="nil"/>
              <w:left w:val="nil"/>
              <w:bottom w:val="nil"/>
              <w:right w:val="nil"/>
            </w:tcBorders>
            <w:shd w:val="clear" w:color="auto" w:fill="auto"/>
            <w:vAlign w:val="center"/>
          </w:tcPr>
          <w:p w14:paraId="57FDD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317083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4BDC3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1DC4E0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40A215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0D975F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5B8EB5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4C5ADA">
        <w:trPr>
          <w:cantSplit/>
          <w:trHeight w:val="0" w:hRule="atLeast"/>
          <w:jc w:val="center"/>
        </w:trPr>
        <w:tc>
          <w:tcPr>
            <w:tcW w:w="2944" w:type="dxa"/>
            <w:tcBorders>
              <w:top w:val="nil"/>
              <w:left w:val="nil"/>
              <w:bottom w:val="nil"/>
              <w:right w:val="nil"/>
            </w:tcBorders>
            <w:shd w:val="clear" w:color="auto" w:fill="auto"/>
            <w:vAlign w:val="center"/>
          </w:tcPr>
          <w:p w14:paraId="04712F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945" w:type="dxa"/>
            <w:tcBorders>
              <w:top w:val="nil"/>
              <w:left w:val="nil"/>
              <w:bottom w:val="nil"/>
              <w:right w:val="nil"/>
            </w:tcBorders>
            <w:shd w:val="clear" w:color="auto" w:fill="auto"/>
            <w:vAlign w:val="center"/>
          </w:tcPr>
          <w:p w14:paraId="74EC0B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筛选路线连通的待确认的关联关系规则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ABBA35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38473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70DDA1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263FF0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筛选同时符合路线、物料、设备占用和时间条件的上下游批次关系；时间重叠仅筛选候选，不直接代表数量归属。</w:t>
            </w:r>
          </w:p>
        </w:tc>
        <w:tc>
          <w:tcPr>
            <w:tcW w:w="1088" w:type="dxa"/>
            <w:tcBorders>
              <w:top w:val="nil"/>
              <w:left w:val="nil"/>
              <w:bottom w:val="nil"/>
              <w:right w:val="nil"/>
            </w:tcBorders>
            <w:shd w:val="clear" w:color="auto" w:fill="auto"/>
            <w:vAlign w:val="center"/>
          </w:tcPr>
          <w:p w14:paraId="69F7F9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2879D08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D8AA9B">
        <w:trPr>
          <w:cantSplit/>
          <w:trHeight w:val="0" w:hRule="atLeast"/>
          <w:jc w:val="center"/>
        </w:trPr>
        <w:tc>
          <w:tcPr>
            <w:tcW w:w="2944" w:type="dxa"/>
            <w:tcBorders>
              <w:top w:val="nil"/>
              <w:left w:val="nil"/>
              <w:bottom w:val="nil"/>
              <w:right w:val="nil"/>
            </w:tcBorders>
            <w:shd w:val="clear" w:color="auto" w:fill="auto"/>
            <w:vAlign w:val="center"/>
          </w:tcPr>
          <w:p w14:paraId="158FFB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945" w:type="dxa"/>
            <w:tcBorders>
              <w:top w:val="nil"/>
              <w:left w:val="nil"/>
              <w:bottom w:val="nil"/>
              <w:right w:val="nil"/>
            </w:tcBorders>
            <w:shd w:val="clear" w:color="auto" w:fill="auto"/>
            <w:vAlign w:val="center"/>
          </w:tcPr>
          <w:p w14:paraId="309B0F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1BEF34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6B82D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299B46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316C6B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FF6C7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155568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D4DD9">
        <w:trPr>
          <w:cantSplit/>
          <w:trHeight w:val="0" w:hRule="atLeast"/>
          <w:jc w:val="center"/>
        </w:trPr>
        <w:tc>
          <w:tcPr>
            <w:tcW w:w="2944" w:type="dxa"/>
            <w:tcBorders>
              <w:top w:val="nil"/>
              <w:left w:val="nil"/>
              <w:bottom w:val="nil"/>
              <w:right w:val="nil"/>
            </w:tcBorders>
            <w:shd w:val="clear" w:color="auto" w:fill="auto"/>
            <w:vAlign w:val="center"/>
          </w:tcPr>
          <w:p w14:paraId="475F67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945" w:type="dxa"/>
            <w:tcBorders>
              <w:top w:val="nil"/>
              <w:left w:val="nil"/>
              <w:bottom w:val="nil"/>
              <w:right w:val="nil"/>
            </w:tcBorders>
            <w:shd w:val="clear" w:color="auto" w:fill="auto"/>
            <w:vAlign w:val="center"/>
          </w:tcPr>
          <w:p w14:paraId="57A4ED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4976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B846A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4F57EB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0A449B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校验分流汇流数量、共享设备占用、质量放行及返工来源；谱系关系不可追溯时补充事实；谱系关系可追溯时生成结果。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03FB039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6639B3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C46A6A">
        <w:trPr>
          <w:cantSplit/>
          <w:trHeight w:val="0" w:hRule="atLeast"/>
          <w:jc w:val="center"/>
        </w:trPr>
        <w:tc>
          <w:tcPr>
            <w:tcW w:w="2944" w:type="dxa"/>
            <w:tcBorders>
              <w:top w:val="nil"/>
              <w:left w:val="nil"/>
              <w:bottom w:val="nil"/>
              <w:right w:val="nil"/>
            </w:tcBorders>
            <w:shd w:val="clear" w:color="auto" w:fill="auto"/>
            <w:vAlign w:val="center"/>
          </w:tcPr>
          <w:p w14:paraId="414532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945" w:type="dxa"/>
            <w:tcBorders>
              <w:top w:val="nil"/>
              <w:left w:val="nil"/>
              <w:bottom w:val="nil"/>
              <w:right w:val="nil"/>
            </w:tcBorders>
            <w:shd w:val="clear" w:color="auto" w:fill="auto"/>
            <w:vAlign w:val="center"/>
          </w:tcPr>
          <w:p w14:paraId="61891C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F3B5D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89DF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57D4BF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119443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1F42E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28C00C4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6E3E5D8">
        <w:trPr>
          <w:cantSplit/>
          <w:trHeight w:val="0" w:hRule="atLeast"/>
          <w:jc w:val="center"/>
        </w:trPr>
        <w:tc>
          <w:tcPr>
            <w:tcW w:w="2944" w:type="dxa"/>
            <w:tcBorders>
              <w:top w:val="nil"/>
              <w:left w:val="nil"/>
              <w:bottom w:val="nil"/>
              <w:right w:val="nil"/>
            </w:tcBorders>
            <w:shd w:val="clear" w:color="auto" w:fill="auto"/>
            <w:vAlign w:val="center"/>
          </w:tcPr>
          <w:p w14:paraId="76407A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945" w:type="dxa"/>
            <w:tcBorders>
              <w:top w:val="nil"/>
              <w:left w:val="nil"/>
              <w:bottom w:val="nil"/>
              <w:right w:val="nil"/>
            </w:tcBorders>
            <w:shd w:val="clear" w:color="auto" w:fill="auto"/>
            <w:vAlign w:val="center"/>
          </w:tcPr>
          <w:p w14:paraId="3DECB6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FD2F92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4615E4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0073A9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6B66B9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形成上下游批次关系，记录数量、占比、依据和可信状态；候选、确认和低可信度关系分状态输出。</w:t>
            </w:r>
          </w:p>
        </w:tc>
        <w:tc>
          <w:tcPr>
            <w:tcW w:w="1088" w:type="dxa"/>
            <w:tcBorders>
              <w:top w:val="nil"/>
              <w:left w:val="nil"/>
              <w:bottom w:val="nil"/>
              <w:right w:val="nil"/>
            </w:tcBorders>
            <w:shd w:val="clear" w:color="auto" w:fill="auto"/>
            <w:vAlign w:val="center"/>
          </w:tcPr>
          <w:p w14:paraId="3383ED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7D7B77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CEA535">
        <w:trPr>
          <w:cantSplit/>
          <w:trHeight w:val="0" w:hRule="atLeast"/>
          <w:jc w:val="center"/>
        </w:trPr>
        <w:tc>
          <w:tcPr>
            <w:tcW w:w="2944" w:type="dxa"/>
            <w:tcBorders>
              <w:top w:val="nil"/>
              <w:left w:val="nil"/>
              <w:bottom w:val="nil"/>
              <w:right w:val="nil"/>
            </w:tcBorders>
            <w:shd w:val="clear" w:color="auto" w:fill="auto"/>
            <w:vAlign w:val="center"/>
          </w:tcPr>
          <w:p w14:paraId="78CEE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945" w:type="dxa"/>
            <w:tcBorders>
              <w:top w:val="nil"/>
              <w:left w:val="nil"/>
              <w:bottom w:val="nil"/>
              <w:right w:val="nil"/>
            </w:tcBorders>
            <w:shd w:val="clear" w:color="auto" w:fill="auto"/>
            <w:vAlign w:val="center"/>
          </w:tcPr>
          <w:p w14:paraId="0BD9D6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保存当月批次谱系规则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187128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0B85C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生产批次上下游关系追溯</w:t>
            </w:r>
          </w:p>
        </w:tc>
        <w:tc>
          <w:tcPr>
            <w:tcW w:w="1098" w:type="dxa"/>
            <w:tcBorders>
              <w:top w:val="nil"/>
              <w:left w:val="nil"/>
              <w:bottom w:val="nil"/>
              <w:right w:val="nil"/>
            </w:tcBorders>
            <w:shd w:val="clear" w:color="auto" w:fill="auto"/>
            <w:vAlign w:val="center"/>
          </w:tcPr>
          <w:p w14:paraId="6CC423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0CB89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1AAC89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7162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5980DFC">
        <w:trPr>
          <w:cantSplit/>
          <w:trHeight w:val="0" w:hRule="atLeast"/>
          <w:jc w:val="center"/>
        </w:trPr>
        <w:tc>
          <w:tcPr>
            <w:tcW w:w="2944" w:type="dxa"/>
            <w:tcBorders>
              <w:top w:val="nil"/>
              <w:left w:val="nil"/>
              <w:bottom w:val="nil"/>
              <w:right w:val="nil"/>
            </w:tcBorders>
            <w:shd w:val="clear" w:color="auto" w:fill="auto"/>
            <w:vAlign w:val="center"/>
          </w:tcPr>
          <w:p w14:paraId="15F2E9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945" w:type="dxa"/>
            <w:tcBorders>
              <w:top w:val="nil"/>
              <w:left w:val="nil"/>
              <w:bottom w:val="nil"/>
              <w:right w:val="nil"/>
            </w:tcBorders>
            <w:shd w:val="clear" w:color="auto" w:fill="auto"/>
            <w:vAlign w:val="center"/>
          </w:tcPr>
          <w:p w14:paraId="412701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F9A1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16731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B418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761EA7F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提供成本记录的来源、时间、数量、单价、金额及税额；缺失、重复或期间外记录携带数据质量标识。</w:t>
            </w:r>
          </w:p>
        </w:tc>
        <w:tc>
          <w:tcPr>
            <w:tcW w:w="1088" w:type="dxa"/>
            <w:tcBorders>
              <w:top w:val="nil"/>
              <w:left w:val="nil"/>
              <w:bottom w:val="nil"/>
              <w:right w:val="nil"/>
            </w:tcBorders>
            <w:shd w:val="clear" w:color="auto" w:fill="auto"/>
            <w:vAlign w:val="center"/>
          </w:tcPr>
          <w:p w14:paraId="77CFD7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7CBB8F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81D461">
        <w:trPr>
          <w:cantSplit/>
          <w:trHeight w:val="0" w:hRule="atLeast"/>
          <w:jc w:val="center"/>
        </w:trPr>
        <w:tc>
          <w:tcPr>
            <w:tcW w:w="2944" w:type="dxa"/>
            <w:tcBorders>
              <w:top w:val="nil"/>
              <w:left w:val="nil"/>
              <w:bottom w:val="nil"/>
              <w:right w:val="nil"/>
            </w:tcBorders>
            <w:shd w:val="clear" w:color="auto" w:fill="auto"/>
            <w:vAlign w:val="center"/>
          </w:tcPr>
          <w:p w14:paraId="1B7230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945" w:type="dxa"/>
            <w:tcBorders>
              <w:top w:val="nil"/>
              <w:left w:val="nil"/>
              <w:bottom w:val="nil"/>
              <w:right w:val="nil"/>
            </w:tcBorders>
            <w:shd w:val="clear" w:color="auto" w:fill="auto"/>
            <w:vAlign w:val="center"/>
          </w:tcPr>
          <w:p w14:paraId="2032FD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EBD799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4515C8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73F444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6849F3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4164639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3D5065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54B727">
        <w:trPr>
          <w:cantSplit/>
          <w:trHeight w:val="0" w:hRule="atLeast"/>
          <w:jc w:val="center"/>
        </w:trPr>
        <w:tc>
          <w:tcPr>
            <w:tcW w:w="2944" w:type="dxa"/>
            <w:tcBorders>
              <w:top w:val="nil"/>
              <w:left w:val="nil"/>
              <w:bottom w:val="nil"/>
              <w:right w:val="nil"/>
            </w:tcBorders>
            <w:shd w:val="clear" w:color="auto" w:fill="auto"/>
            <w:vAlign w:val="center"/>
          </w:tcPr>
          <w:p w14:paraId="3455F7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945" w:type="dxa"/>
            <w:tcBorders>
              <w:top w:val="nil"/>
              <w:left w:val="nil"/>
              <w:bottom w:val="nil"/>
              <w:right w:val="nil"/>
            </w:tcBorders>
            <w:shd w:val="clear" w:color="auto" w:fill="auto"/>
            <w:vAlign w:val="center"/>
          </w:tcPr>
          <w:p w14:paraId="2EDC62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CF0B08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634E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0F775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0F35B5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检查产线环节、批次范围、数量金额及费用归属是否明确；不能可靠定位的成本进入待确认费用池，不强行平均。</w:t>
            </w:r>
          </w:p>
        </w:tc>
        <w:tc>
          <w:tcPr>
            <w:tcW w:w="1088" w:type="dxa"/>
            <w:tcBorders>
              <w:top w:val="nil"/>
              <w:left w:val="nil"/>
              <w:bottom w:val="nil"/>
              <w:right w:val="nil"/>
            </w:tcBorders>
            <w:shd w:val="clear" w:color="auto" w:fill="auto"/>
            <w:vAlign w:val="center"/>
          </w:tcPr>
          <w:p w14:paraId="15DBA5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可直接计批记录和待确认费用池记录</w:t>
            </w:r>
          </w:p>
        </w:tc>
        <w:tc>
          <w:tcPr>
            <w:tcW w:w="1460" w:type="dxa"/>
            <w:tcBorders>
              <w:top w:val="nil"/>
              <w:left w:val="nil"/>
              <w:bottom w:val="nil"/>
              <w:right w:val="nil"/>
            </w:tcBorders>
            <w:shd w:val="clear" w:color="auto" w:fill="auto"/>
            <w:vAlign w:val="center"/>
          </w:tcPr>
          <w:p w14:paraId="494758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0B5A67">
        <w:trPr>
          <w:cantSplit/>
          <w:trHeight w:val="0" w:hRule="atLeast"/>
          <w:jc w:val="center"/>
        </w:trPr>
        <w:tc>
          <w:tcPr>
            <w:tcW w:w="2944" w:type="dxa"/>
            <w:tcBorders>
              <w:top w:val="nil"/>
              <w:left w:val="nil"/>
              <w:bottom w:val="nil"/>
              <w:right w:val="nil"/>
            </w:tcBorders>
            <w:shd w:val="clear" w:color="auto" w:fill="auto"/>
            <w:vAlign w:val="center"/>
          </w:tcPr>
          <w:p w14:paraId="040C23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945" w:type="dxa"/>
            <w:tcBorders>
              <w:top w:val="nil"/>
              <w:left w:val="nil"/>
              <w:bottom w:val="nil"/>
              <w:right w:val="nil"/>
            </w:tcBorders>
            <w:shd w:val="clear" w:color="auto" w:fill="auto"/>
            <w:vAlign w:val="center"/>
          </w:tcPr>
          <w:p w14:paraId="1BF234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586672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C53DA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8F065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可直接计批记录和待确认费用池记录形成后</w:t>
            </w:r>
          </w:p>
        </w:tc>
        <w:tc>
          <w:tcPr>
            <w:tcW w:w="1406" w:type="dxa"/>
            <w:tcBorders>
              <w:top w:val="nil"/>
              <w:left w:val="nil"/>
              <w:bottom w:val="nil"/>
              <w:right w:val="nil"/>
            </w:tcBorders>
            <w:shd w:val="clear" w:color="auto" w:fill="auto"/>
            <w:vAlign w:val="center"/>
          </w:tcPr>
          <w:p w14:paraId="478A14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7B8233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4F8D9F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B8C59D">
        <w:trPr>
          <w:cantSplit/>
          <w:trHeight w:val="0" w:hRule="atLeast"/>
          <w:jc w:val="center"/>
        </w:trPr>
        <w:tc>
          <w:tcPr>
            <w:tcW w:w="2944" w:type="dxa"/>
            <w:tcBorders>
              <w:top w:val="nil"/>
              <w:left w:val="nil"/>
              <w:bottom w:val="nil"/>
              <w:right w:val="nil"/>
            </w:tcBorders>
            <w:shd w:val="clear" w:color="auto" w:fill="auto"/>
            <w:vAlign w:val="center"/>
          </w:tcPr>
          <w:p w14:paraId="3E75BDF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945" w:type="dxa"/>
            <w:tcBorders>
              <w:top w:val="nil"/>
              <w:left w:val="nil"/>
              <w:bottom w:val="nil"/>
              <w:right w:val="nil"/>
            </w:tcBorders>
            <w:shd w:val="clear" w:color="auto" w:fill="auto"/>
            <w:vAlign w:val="center"/>
          </w:tcPr>
          <w:p w14:paraId="496FA0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578F80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FB01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438AC9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25B571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F50A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032A84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350F82">
        <w:trPr>
          <w:cantSplit/>
          <w:trHeight w:val="0" w:hRule="atLeast"/>
          <w:jc w:val="center"/>
        </w:trPr>
        <w:tc>
          <w:tcPr>
            <w:tcW w:w="2944" w:type="dxa"/>
            <w:tcBorders>
              <w:top w:val="nil"/>
              <w:left w:val="nil"/>
              <w:bottom w:val="nil"/>
              <w:right w:val="nil"/>
            </w:tcBorders>
            <w:shd w:val="clear" w:color="auto" w:fill="auto"/>
            <w:vAlign w:val="center"/>
          </w:tcPr>
          <w:p w14:paraId="222BF1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945" w:type="dxa"/>
            <w:tcBorders>
              <w:top w:val="nil"/>
              <w:left w:val="nil"/>
              <w:bottom w:val="nil"/>
              <w:right w:val="nil"/>
            </w:tcBorders>
            <w:shd w:val="clear" w:color="auto" w:fill="auto"/>
            <w:vAlign w:val="center"/>
          </w:tcPr>
          <w:p w14:paraId="12A8A5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351CA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663F7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0B6A8B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428E7C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15A33E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4CD7D6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D26B6E">
        <w:trPr>
          <w:cantSplit/>
          <w:trHeight w:val="0" w:hRule="atLeast"/>
          <w:jc w:val="center"/>
        </w:trPr>
        <w:tc>
          <w:tcPr>
            <w:tcW w:w="2944" w:type="dxa"/>
            <w:tcBorders>
              <w:top w:val="nil"/>
              <w:left w:val="nil"/>
              <w:bottom w:val="nil"/>
              <w:right w:val="nil"/>
            </w:tcBorders>
            <w:shd w:val="clear" w:color="auto" w:fill="auto"/>
            <w:vAlign w:val="center"/>
          </w:tcPr>
          <w:p w14:paraId="202C8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945" w:type="dxa"/>
            <w:tcBorders>
              <w:top w:val="nil"/>
              <w:left w:val="nil"/>
              <w:bottom w:val="nil"/>
              <w:right w:val="nil"/>
            </w:tcBorders>
            <w:shd w:val="clear" w:color="auto" w:fill="auto"/>
            <w:vAlign w:val="center"/>
          </w:tcPr>
          <w:p w14:paraId="391E97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DE1A2E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C0A25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54C4AB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2FA2B3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形成批次直接成本明细，记录来源、成本要素、金额和暂估状态；待处理差异单列，不阻断其他可追溯成本。</w:t>
            </w:r>
          </w:p>
        </w:tc>
        <w:tc>
          <w:tcPr>
            <w:tcW w:w="1088" w:type="dxa"/>
            <w:tcBorders>
              <w:top w:val="nil"/>
              <w:left w:val="nil"/>
              <w:bottom w:val="nil"/>
              <w:right w:val="nil"/>
            </w:tcBorders>
            <w:shd w:val="clear" w:color="auto" w:fill="auto"/>
            <w:vAlign w:val="center"/>
          </w:tcPr>
          <w:p w14:paraId="7BD498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84811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5605A">
        <w:trPr>
          <w:cantSplit/>
          <w:trHeight w:val="0" w:hRule="atLeast"/>
          <w:jc w:val="center"/>
        </w:trPr>
        <w:tc>
          <w:tcPr>
            <w:tcW w:w="2944" w:type="dxa"/>
            <w:tcBorders>
              <w:top w:val="nil"/>
              <w:left w:val="nil"/>
              <w:bottom w:val="nil"/>
              <w:right w:val="nil"/>
            </w:tcBorders>
            <w:shd w:val="clear" w:color="auto" w:fill="auto"/>
            <w:vAlign w:val="center"/>
          </w:tcPr>
          <w:p w14:paraId="28D68C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945" w:type="dxa"/>
            <w:tcBorders>
              <w:top w:val="nil"/>
              <w:left w:val="nil"/>
              <w:bottom w:val="nil"/>
              <w:right w:val="nil"/>
            </w:tcBorders>
            <w:shd w:val="clear" w:color="auto" w:fill="auto"/>
            <w:vAlign w:val="center"/>
          </w:tcPr>
          <w:p w14:paraId="3CCBA4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保存批次直接成本结果规则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14BC6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66857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生产批次直接成本归集</w:t>
            </w:r>
          </w:p>
        </w:tc>
        <w:tc>
          <w:tcPr>
            <w:tcW w:w="1098" w:type="dxa"/>
            <w:tcBorders>
              <w:top w:val="nil"/>
              <w:left w:val="nil"/>
              <w:bottom w:val="nil"/>
              <w:right w:val="nil"/>
            </w:tcBorders>
            <w:shd w:val="clear" w:color="auto" w:fill="auto"/>
            <w:vAlign w:val="center"/>
          </w:tcPr>
          <w:p w14:paraId="6C7EAA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B104F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保存直接成本、待确认费用池和来源引用；结果用于经营分析参考，不替代财务实际核算。</w:t>
            </w:r>
          </w:p>
        </w:tc>
        <w:tc>
          <w:tcPr>
            <w:tcW w:w="1088" w:type="dxa"/>
            <w:tcBorders>
              <w:top w:val="nil"/>
              <w:left w:val="nil"/>
              <w:bottom w:val="nil"/>
              <w:right w:val="nil"/>
            </w:tcBorders>
            <w:shd w:val="clear" w:color="auto" w:fill="auto"/>
            <w:vAlign w:val="center"/>
          </w:tcPr>
          <w:p w14:paraId="5E27A5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176800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03A46C">
        <w:trPr>
          <w:cantSplit/>
          <w:trHeight w:val="0" w:hRule="atLeast"/>
          <w:jc w:val="center"/>
        </w:trPr>
        <w:tc>
          <w:tcPr>
            <w:tcW w:w="2944" w:type="dxa"/>
            <w:tcBorders>
              <w:top w:val="nil"/>
              <w:left w:val="nil"/>
              <w:bottom w:val="nil"/>
              <w:right w:val="nil"/>
            </w:tcBorders>
            <w:shd w:val="clear" w:color="auto" w:fill="auto"/>
            <w:vAlign w:val="center"/>
          </w:tcPr>
          <w:p w14:paraId="46F82A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945" w:type="dxa"/>
            <w:tcBorders>
              <w:top w:val="nil"/>
              <w:left w:val="nil"/>
              <w:bottom w:val="nil"/>
              <w:right w:val="nil"/>
            </w:tcBorders>
            <w:shd w:val="clear" w:color="auto" w:fill="auto"/>
            <w:vAlign w:val="center"/>
          </w:tcPr>
          <w:p w14:paraId="55D45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FF4E9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424F0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587F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1DDE54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按期间和费用类型提供费用总额、直接计入额及待分摊额；数据缺失时明确缺失范围，不自动补零。</w:t>
            </w:r>
          </w:p>
        </w:tc>
        <w:tc>
          <w:tcPr>
            <w:tcW w:w="1088" w:type="dxa"/>
            <w:tcBorders>
              <w:top w:val="nil"/>
              <w:left w:val="nil"/>
              <w:bottom w:val="nil"/>
              <w:right w:val="nil"/>
            </w:tcBorders>
            <w:shd w:val="clear" w:color="auto" w:fill="auto"/>
            <w:vAlign w:val="center"/>
          </w:tcPr>
          <w:p w14:paraId="51C697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0D541C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F77AE36">
        <w:trPr>
          <w:cantSplit/>
          <w:trHeight w:val="0" w:hRule="atLeast"/>
          <w:jc w:val="center"/>
        </w:trPr>
        <w:tc>
          <w:tcPr>
            <w:tcW w:w="2944" w:type="dxa"/>
            <w:tcBorders>
              <w:top w:val="nil"/>
              <w:left w:val="nil"/>
              <w:bottom w:val="nil"/>
              <w:right w:val="nil"/>
            </w:tcBorders>
            <w:shd w:val="clear" w:color="auto" w:fill="auto"/>
            <w:vAlign w:val="center"/>
          </w:tcPr>
          <w:p w14:paraId="1EAD6D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945" w:type="dxa"/>
            <w:tcBorders>
              <w:top w:val="nil"/>
              <w:left w:val="nil"/>
              <w:bottom w:val="nil"/>
              <w:right w:val="nil"/>
            </w:tcBorders>
            <w:shd w:val="clear" w:color="auto" w:fill="auto"/>
            <w:vAlign w:val="center"/>
          </w:tcPr>
          <w:p w14:paraId="289D9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E9A7DC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6E08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3A4BC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2DDBCF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1A49BE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387A88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C1E238">
        <w:trPr>
          <w:cantSplit/>
          <w:trHeight w:val="0" w:hRule="atLeast"/>
          <w:jc w:val="center"/>
        </w:trPr>
        <w:tc>
          <w:tcPr>
            <w:tcW w:w="2944" w:type="dxa"/>
            <w:tcBorders>
              <w:top w:val="nil"/>
              <w:left w:val="nil"/>
              <w:bottom w:val="nil"/>
              <w:right w:val="nil"/>
            </w:tcBorders>
            <w:shd w:val="clear" w:color="auto" w:fill="auto"/>
            <w:vAlign w:val="center"/>
          </w:tcPr>
          <w:p w14:paraId="086592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945" w:type="dxa"/>
            <w:tcBorders>
              <w:top w:val="nil"/>
              <w:left w:val="nil"/>
              <w:bottom w:val="nil"/>
              <w:right w:val="nil"/>
            </w:tcBorders>
            <w:shd w:val="clear" w:color="auto" w:fill="auto"/>
            <w:vAlign w:val="center"/>
          </w:tcPr>
          <w:p w14:paraId="26D053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B17449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68BCE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E668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116203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5A8EA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006E9EA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C02C40">
        <w:trPr>
          <w:cantSplit/>
          <w:trHeight w:val="0" w:hRule="atLeast"/>
          <w:jc w:val="center"/>
        </w:trPr>
        <w:tc>
          <w:tcPr>
            <w:tcW w:w="2944" w:type="dxa"/>
            <w:tcBorders>
              <w:top w:val="nil"/>
              <w:left w:val="nil"/>
              <w:bottom w:val="nil"/>
              <w:right w:val="nil"/>
            </w:tcBorders>
            <w:shd w:val="clear" w:color="auto" w:fill="auto"/>
            <w:vAlign w:val="center"/>
          </w:tcPr>
          <w:p w14:paraId="70A365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945" w:type="dxa"/>
            <w:tcBorders>
              <w:top w:val="nil"/>
              <w:left w:val="nil"/>
              <w:bottom w:val="nil"/>
              <w:right w:val="nil"/>
            </w:tcBorders>
            <w:shd w:val="clear" w:color="auto" w:fill="auto"/>
            <w:vAlign w:val="center"/>
          </w:tcPr>
          <w:p w14:paraId="7210C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A7C371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A1980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7CE0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30AE5C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4EDDAB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4B51701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E8ED211">
        <w:trPr>
          <w:cantSplit/>
          <w:trHeight w:val="0" w:hRule="atLeast"/>
          <w:jc w:val="center"/>
        </w:trPr>
        <w:tc>
          <w:tcPr>
            <w:tcW w:w="2944" w:type="dxa"/>
            <w:tcBorders>
              <w:top w:val="nil"/>
              <w:left w:val="nil"/>
              <w:bottom w:val="nil"/>
              <w:right w:val="nil"/>
            </w:tcBorders>
            <w:shd w:val="clear" w:color="auto" w:fill="auto"/>
            <w:vAlign w:val="center"/>
          </w:tcPr>
          <w:p w14:paraId="45051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945" w:type="dxa"/>
            <w:tcBorders>
              <w:top w:val="nil"/>
              <w:left w:val="nil"/>
              <w:bottom w:val="nil"/>
              <w:right w:val="nil"/>
            </w:tcBorders>
            <w:shd w:val="clear" w:color="auto" w:fill="auto"/>
            <w:vAlign w:val="center"/>
          </w:tcPr>
          <w:p w14:paraId="64683D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5253F0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3B2CC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生产费用分摊依据校验</w:t>
            </w:r>
          </w:p>
        </w:tc>
        <w:tc>
          <w:tcPr>
            <w:tcW w:w="1098" w:type="dxa"/>
            <w:tcBorders>
              <w:top w:val="nil"/>
              <w:left w:val="nil"/>
              <w:bottom w:val="nil"/>
              <w:right w:val="nil"/>
            </w:tcBorders>
            <w:shd w:val="clear" w:color="auto" w:fill="auto"/>
            <w:vAlign w:val="center"/>
          </w:tcPr>
          <w:p w14:paraId="25E613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61A6128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386E19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77CA012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650293">
        <w:trPr>
          <w:cantSplit/>
          <w:trHeight w:val="0" w:hRule="atLeast"/>
          <w:jc w:val="center"/>
        </w:trPr>
        <w:tc>
          <w:tcPr>
            <w:tcW w:w="2944" w:type="dxa"/>
            <w:tcBorders>
              <w:top w:val="nil"/>
              <w:left w:val="nil"/>
              <w:bottom w:val="nil"/>
              <w:right w:val="nil"/>
            </w:tcBorders>
            <w:shd w:val="clear" w:color="auto" w:fill="auto"/>
            <w:vAlign w:val="center"/>
          </w:tcPr>
          <w:p w14:paraId="185733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945" w:type="dxa"/>
            <w:tcBorders>
              <w:top w:val="nil"/>
              <w:left w:val="nil"/>
              <w:bottom w:val="nil"/>
              <w:right w:val="nil"/>
            </w:tcBorders>
            <w:shd w:val="clear" w:color="auto" w:fill="auto"/>
            <w:vAlign w:val="center"/>
          </w:tcPr>
          <w:p w14:paraId="3406D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00181B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EA98A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0B58BF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228035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选用已确认的备选分摊依据；仍无可靠依据的费用暂不分配给生产批次。</w:t>
            </w:r>
          </w:p>
        </w:tc>
        <w:tc>
          <w:tcPr>
            <w:tcW w:w="1088" w:type="dxa"/>
            <w:tcBorders>
              <w:top w:val="nil"/>
              <w:left w:val="nil"/>
              <w:bottom w:val="nil"/>
              <w:right w:val="nil"/>
            </w:tcBorders>
            <w:shd w:val="clear" w:color="auto" w:fill="auto"/>
            <w:vAlign w:val="center"/>
          </w:tcPr>
          <w:p w14:paraId="1A688D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7EC137D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1CCB030">
        <w:trPr>
          <w:cantSplit/>
          <w:trHeight w:val="0" w:hRule="atLeast"/>
          <w:jc w:val="center"/>
        </w:trPr>
        <w:tc>
          <w:tcPr>
            <w:tcW w:w="2944" w:type="dxa"/>
            <w:tcBorders>
              <w:top w:val="nil"/>
              <w:left w:val="nil"/>
              <w:bottom w:val="nil"/>
              <w:right w:val="nil"/>
            </w:tcBorders>
            <w:shd w:val="clear" w:color="auto" w:fill="auto"/>
            <w:vAlign w:val="center"/>
          </w:tcPr>
          <w:p w14:paraId="2D330F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945" w:type="dxa"/>
            <w:tcBorders>
              <w:top w:val="nil"/>
              <w:left w:val="nil"/>
              <w:bottom w:val="nil"/>
              <w:right w:val="nil"/>
            </w:tcBorders>
            <w:shd w:val="clear" w:color="auto" w:fill="auto"/>
            <w:vAlign w:val="center"/>
          </w:tcPr>
          <w:p w14:paraId="01CDD3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26ECA3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1E0A7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5DCE8A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7541EF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53E9FC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5E11B8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C58F16">
        <w:trPr>
          <w:cantSplit/>
          <w:trHeight w:val="0" w:hRule="atLeast"/>
          <w:jc w:val="center"/>
        </w:trPr>
        <w:tc>
          <w:tcPr>
            <w:tcW w:w="2944" w:type="dxa"/>
            <w:tcBorders>
              <w:top w:val="nil"/>
              <w:left w:val="nil"/>
              <w:bottom w:val="nil"/>
              <w:right w:val="nil"/>
            </w:tcBorders>
            <w:shd w:val="clear" w:color="auto" w:fill="auto"/>
            <w:vAlign w:val="center"/>
          </w:tcPr>
          <w:p w14:paraId="12684AC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945" w:type="dxa"/>
            <w:tcBorders>
              <w:top w:val="nil"/>
              <w:left w:val="nil"/>
              <w:bottom w:val="nil"/>
              <w:right w:val="nil"/>
            </w:tcBorders>
            <w:shd w:val="clear" w:color="auto" w:fill="auto"/>
            <w:vAlign w:val="center"/>
          </w:tcPr>
          <w:p w14:paraId="36B349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39262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BDDC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16FCAE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24E730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汇总费用池、受益批次、分摊依据、分摊率和金额；结果仅用于成本追溯和经营分析。</w:t>
            </w:r>
          </w:p>
        </w:tc>
        <w:tc>
          <w:tcPr>
            <w:tcW w:w="1088" w:type="dxa"/>
            <w:tcBorders>
              <w:top w:val="nil"/>
              <w:left w:val="nil"/>
              <w:bottom w:val="nil"/>
              <w:right w:val="nil"/>
            </w:tcBorders>
            <w:shd w:val="clear" w:color="auto" w:fill="auto"/>
            <w:vAlign w:val="center"/>
          </w:tcPr>
          <w:p w14:paraId="68AA157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64E6F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61D63B">
        <w:trPr>
          <w:cantSplit/>
          <w:trHeight w:val="0" w:hRule="atLeast"/>
          <w:jc w:val="center"/>
        </w:trPr>
        <w:tc>
          <w:tcPr>
            <w:tcW w:w="2944" w:type="dxa"/>
            <w:tcBorders>
              <w:top w:val="nil"/>
              <w:left w:val="nil"/>
              <w:bottom w:val="nil"/>
              <w:right w:val="nil"/>
            </w:tcBorders>
            <w:shd w:val="clear" w:color="auto" w:fill="auto"/>
            <w:vAlign w:val="center"/>
          </w:tcPr>
          <w:p w14:paraId="48E812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945" w:type="dxa"/>
            <w:tcBorders>
              <w:top w:val="nil"/>
              <w:left w:val="nil"/>
              <w:bottom w:val="nil"/>
              <w:right w:val="nil"/>
            </w:tcBorders>
            <w:shd w:val="clear" w:color="auto" w:fill="auto"/>
            <w:vAlign w:val="center"/>
          </w:tcPr>
          <w:p w14:paraId="380707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保存费用池分摊结果规则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9B3F1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45A7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生产费用分摊与依据核验</w:t>
            </w:r>
          </w:p>
        </w:tc>
        <w:tc>
          <w:tcPr>
            <w:tcW w:w="1098" w:type="dxa"/>
            <w:tcBorders>
              <w:top w:val="nil"/>
              <w:left w:val="nil"/>
              <w:bottom w:val="nil"/>
              <w:right w:val="nil"/>
            </w:tcBorders>
            <w:shd w:val="clear" w:color="auto" w:fill="auto"/>
            <w:vAlign w:val="center"/>
          </w:tcPr>
          <w:p w14:paraId="329E8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060C01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442BEE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065B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08112F65">
        <w:trPr>
          <w:cantSplit/>
          <w:trHeight w:val="0" w:hRule="atLeast"/>
          <w:jc w:val="center"/>
        </w:trPr>
        <w:tc>
          <w:tcPr>
            <w:tcW w:w="2944" w:type="dxa"/>
            <w:tcBorders>
              <w:top w:val="nil"/>
              <w:left w:val="nil"/>
              <w:bottom w:val="nil"/>
              <w:right w:val="nil"/>
            </w:tcBorders>
            <w:shd w:val="clear" w:color="auto" w:fill="auto"/>
            <w:vAlign w:val="center"/>
          </w:tcPr>
          <w:p w14:paraId="60E165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945" w:type="dxa"/>
            <w:tcBorders>
              <w:top w:val="nil"/>
              <w:left w:val="nil"/>
              <w:bottom w:val="nil"/>
              <w:right w:val="nil"/>
            </w:tcBorders>
            <w:shd w:val="clear" w:color="auto" w:fill="auto"/>
            <w:vAlign w:val="center"/>
          </w:tcPr>
          <w:p w14:paraId="575ACC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AA90CC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9F34A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2473D8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01B6E0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4AE307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4E8483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6BF4080">
        <w:trPr>
          <w:cantSplit/>
          <w:trHeight w:val="0" w:hRule="atLeast"/>
          <w:jc w:val="center"/>
        </w:trPr>
        <w:tc>
          <w:tcPr>
            <w:tcW w:w="2944" w:type="dxa"/>
            <w:tcBorders>
              <w:top w:val="nil"/>
              <w:left w:val="nil"/>
              <w:bottom w:val="nil"/>
              <w:right w:val="nil"/>
            </w:tcBorders>
            <w:shd w:val="clear" w:color="auto" w:fill="auto"/>
            <w:vAlign w:val="center"/>
          </w:tcPr>
          <w:p w14:paraId="66B19E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945" w:type="dxa"/>
            <w:tcBorders>
              <w:top w:val="nil"/>
              <w:left w:val="nil"/>
              <w:bottom w:val="nil"/>
              <w:right w:val="nil"/>
            </w:tcBorders>
            <w:shd w:val="clear" w:color="auto" w:fill="auto"/>
            <w:vAlign w:val="center"/>
          </w:tcPr>
          <w:p w14:paraId="6159A6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B567A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4BFC57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37E9B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029774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检查订单路线、批次状态、映射数量、成本版本和谱系版本；对版本不一致或待确认的关联关系单独标识，不混入已确认结果。</w:t>
            </w:r>
          </w:p>
        </w:tc>
        <w:tc>
          <w:tcPr>
            <w:tcW w:w="1088" w:type="dxa"/>
            <w:tcBorders>
              <w:top w:val="nil"/>
              <w:left w:val="nil"/>
              <w:bottom w:val="nil"/>
              <w:right w:val="nil"/>
            </w:tcBorders>
            <w:shd w:val="clear" w:color="auto" w:fill="auto"/>
            <w:vAlign w:val="center"/>
          </w:tcPr>
          <w:p w14:paraId="40FFAF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64E716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7FB115">
        <w:trPr>
          <w:cantSplit/>
          <w:trHeight w:val="0" w:hRule="atLeast"/>
          <w:jc w:val="center"/>
        </w:trPr>
        <w:tc>
          <w:tcPr>
            <w:tcW w:w="2944" w:type="dxa"/>
            <w:tcBorders>
              <w:top w:val="nil"/>
              <w:left w:val="nil"/>
              <w:bottom w:val="nil"/>
              <w:right w:val="nil"/>
            </w:tcBorders>
            <w:shd w:val="clear" w:color="auto" w:fill="auto"/>
            <w:vAlign w:val="center"/>
          </w:tcPr>
          <w:p w14:paraId="012BF9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945" w:type="dxa"/>
            <w:tcBorders>
              <w:top w:val="nil"/>
              <w:left w:val="nil"/>
              <w:bottom w:val="nil"/>
              <w:right w:val="nil"/>
            </w:tcBorders>
            <w:shd w:val="clear" w:color="auto" w:fill="auto"/>
            <w:vAlign w:val="center"/>
          </w:tcPr>
          <w:p w14:paraId="4CA7E8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CE2F33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42A07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2B96E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1BBBF1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2FEA67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7B8FB0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AFEC6B">
        <w:trPr>
          <w:cantSplit/>
          <w:trHeight w:val="0" w:hRule="atLeast"/>
          <w:jc w:val="center"/>
        </w:trPr>
        <w:tc>
          <w:tcPr>
            <w:tcW w:w="2944" w:type="dxa"/>
            <w:tcBorders>
              <w:top w:val="nil"/>
              <w:left w:val="nil"/>
              <w:bottom w:val="nil"/>
              <w:right w:val="nil"/>
            </w:tcBorders>
            <w:shd w:val="clear" w:color="auto" w:fill="auto"/>
            <w:vAlign w:val="center"/>
          </w:tcPr>
          <w:p w14:paraId="64DD9A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945" w:type="dxa"/>
            <w:tcBorders>
              <w:top w:val="nil"/>
              <w:left w:val="nil"/>
              <w:bottom w:val="nil"/>
              <w:right w:val="nil"/>
            </w:tcBorders>
            <w:shd w:val="clear" w:color="auto" w:fill="auto"/>
            <w:vAlign w:val="center"/>
          </w:tcPr>
          <w:p w14:paraId="5965E1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B1098E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5E632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6665B5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399508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167927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0052B05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8F0262">
        <w:trPr>
          <w:cantSplit/>
          <w:trHeight w:val="0" w:hRule="atLeast"/>
          <w:jc w:val="center"/>
        </w:trPr>
        <w:tc>
          <w:tcPr>
            <w:tcW w:w="2944" w:type="dxa"/>
            <w:tcBorders>
              <w:top w:val="nil"/>
              <w:left w:val="nil"/>
              <w:bottom w:val="nil"/>
              <w:right w:val="nil"/>
            </w:tcBorders>
            <w:shd w:val="clear" w:color="auto" w:fill="auto"/>
            <w:vAlign w:val="center"/>
          </w:tcPr>
          <w:p w14:paraId="7A0976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945" w:type="dxa"/>
            <w:tcBorders>
              <w:top w:val="nil"/>
              <w:left w:val="nil"/>
              <w:bottom w:val="nil"/>
              <w:right w:val="nil"/>
            </w:tcBorders>
            <w:shd w:val="clear" w:color="auto" w:fill="auto"/>
            <w:vAlign w:val="center"/>
          </w:tcPr>
          <w:p w14:paraId="72A5FB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1C3A51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D7024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124687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543D2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342F7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0B71CE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A97B41">
        <w:trPr>
          <w:cantSplit/>
          <w:trHeight w:val="0" w:hRule="atLeast"/>
          <w:jc w:val="center"/>
        </w:trPr>
        <w:tc>
          <w:tcPr>
            <w:tcW w:w="2944" w:type="dxa"/>
            <w:tcBorders>
              <w:top w:val="nil"/>
              <w:left w:val="nil"/>
              <w:bottom w:val="nil"/>
              <w:right w:val="nil"/>
            </w:tcBorders>
            <w:shd w:val="clear" w:color="auto" w:fill="auto"/>
            <w:vAlign w:val="center"/>
          </w:tcPr>
          <w:p w14:paraId="735411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945" w:type="dxa"/>
            <w:tcBorders>
              <w:top w:val="nil"/>
              <w:left w:val="nil"/>
              <w:bottom w:val="nil"/>
              <w:right w:val="nil"/>
            </w:tcBorders>
            <w:shd w:val="clear" w:color="auto" w:fill="auto"/>
            <w:vAlign w:val="center"/>
          </w:tcPr>
          <w:p w14:paraId="6FBDA2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504893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D9D9B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24782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2BD578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26AEA3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6A3FD6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7B26DF">
        <w:trPr>
          <w:cantSplit/>
          <w:trHeight w:val="0" w:hRule="atLeast"/>
          <w:jc w:val="center"/>
        </w:trPr>
        <w:tc>
          <w:tcPr>
            <w:tcW w:w="2944" w:type="dxa"/>
            <w:tcBorders>
              <w:top w:val="nil"/>
              <w:left w:val="nil"/>
              <w:bottom w:val="nil"/>
              <w:right w:val="nil"/>
            </w:tcBorders>
            <w:shd w:val="clear" w:color="auto" w:fill="auto"/>
            <w:vAlign w:val="center"/>
          </w:tcPr>
          <w:p w14:paraId="3629B0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945" w:type="dxa"/>
            <w:tcBorders>
              <w:top w:val="nil"/>
              <w:left w:val="nil"/>
              <w:bottom w:val="nil"/>
              <w:right w:val="nil"/>
            </w:tcBorders>
            <w:shd w:val="clear" w:color="auto" w:fill="auto"/>
            <w:vAlign w:val="center"/>
          </w:tcPr>
          <w:p w14:paraId="3A7007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E1167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70282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7679FA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6C0AE00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形成订单总成本、单位成本、在制余额、损失、批次追溯；待确认关系和不可用指标保留状态标识。</w:t>
            </w:r>
          </w:p>
        </w:tc>
        <w:tc>
          <w:tcPr>
            <w:tcW w:w="1088" w:type="dxa"/>
            <w:tcBorders>
              <w:top w:val="nil"/>
              <w:left w:val="nil"/>
              <w:bottom w:val="nil"/>
              <w:right w:val="nil"/>
            </w:tcBorders>
            <w:shd w:val="clear" w:color="auto" w:fill="auto"/>
            <w:vAlign w:val="center"/>
          </w:tcPr>
          <w:p w14:paraId="0EAD75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1E4A9B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B00B1C5">
        <w:trPr>
          <w:cantSplit/>
          <w:trHeight w:val="0" w:hRule="atLeast"/>
          <w:jc w:val="center"/>
        </w:trPr>
        <w:tc>
          <w:tcPr>
            <w:tcW w:w="2944" w:type="dxa"/>
            <w:tcBorders>
              <w:top w:val="nil"/>
              <w:left w:val="nil"/>
              <w:bottom w:val="nil"/>
              <w:right w:val="nil"/>
            </w:tcBorders>
            <w:shd w:val="clear" w:color="auto" w:fill="auto"/>
            <w:vAlign w:val="center"/>
          </w:tcPr>
          <w:p w14:paraId="190192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945" w:type="dxa"/>
            <w:tcBorders>
              <w:top w:val="nil"/>
              <w:left w:val="nil"/>
              <w:bottom w:val="nil"/>
              <w:right w:val="nil"/>
            </w:tcBorders>
            <w:shd w:val="clear" w:color="auto" w:fill="auto"/>
            <w:vAlign w:val="center"/>
          </w:tcPr>
          <w:p w14:paraId="70BD6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保存生产订单成本结果规则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E4D70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AAEB2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生产订单成本归集与分析</w:t>
            </w:r>
          </w:p>
        </w:tc>
        <w:tc>
          <w:tcPr>
            <w:tcW w:w="1098" w:type="dxa"/>
            <w:tcBorders>
              <w:top w:val="nil"/>
              <w:left w:val="nil"/>
              <w:bottom w:val="nil"/>
              <w:right w:val="nil"/>
            </w:tcBorders>
            <w:shd w:val="clear" w:color="auto" w:fill="auto"/>
            <w:vAlign w:val="center"/>
          </w:tcPr>
          <w:p w14:paraId="4F9908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13792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保存订单结果及批次追溯明细；底层批次成本更新时生成替代版本。</w:t>
            </w:r>
          </w:p>
        </w:tc>
        <w:tc>
          <w:tcPr>
            <w:tcW w:w="1088" w:type="dxa"/>
            <w:tcBorders>
              <w:top w:val="nil"/>
              <w:left w:val="nil"/>
              <w:bottom w:val="nil"/>
              <w:right w:val="nil"/>
            </w:tcBorders>
            <w:shd w:val="clear" w:color="auto" w:fill="auto"/>
            <w:vAlign w:val="center"/>
          </w:tcPr>
          <w:p w14:paraId="147BCCD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45B5C6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6EF2EA5">
        <w:trPr>
          <w:cantSplit/>
          <w:trHeight w:val="0" w:hRule="atLeast"/>
          <w:jc w:val="center"/>
        </w:trPr>
        <w:tc>
          <w:tcPr>
            <w:tcW w:w="2944" w:type="dxa"/>
            <w:tcBorders>
              <w:top w:val="nil"/>
              <w:left w:val="nil"/>
              <w:bottom w:val="nil"/>
              <w:right w:val="nil"/>
            </w:tcBorders>
            <w:shd w:val="clear" w:color="auto" w:fill="auto"/>
            <w:vAlign w:val="center"/>
          </w:tcPr>
          <w:p w14:paraId="5D3DD2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945" w:type="dxa"/>
            <w:tcBorders>
              <w:top w:val="nil"/>
              <w:left w:val="nil"/>
              <w:bottom w:val="nil"/>
              <w:right w:val="nil"/>
            </w:tcBorders>
            <w:shd w:val="clear" w:color="auto" w:fill="auto"/>
            <w:vAlign w:val="center"/>
          </w:tcPr>
          <w:p w14:paraId="5E1A85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9C3230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3E7BA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41CC60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158E1F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提供销售订单、实际发运、装载来源、运输和签收数量；订单、车次或来源批缺失时标记待补充。</w:t>
            </w:r>
          </w:p>
        </w:tc>
        <w:tc>
          <w:tcPr>
            <w:tcW w:w="1088" w:type="dxa"/>
            <w:tcBorders>
              <w:top w:val="nil"/>
              <w:left w:val="nil"/>
              <w:bottom w:val="nil"/>
              <w:right w:val="nil"/>
            </w:tcBorders>
            <w:shd w:val="clear" w:color="auto" w:fill="auto"/>
            <w:vAlign w:val="center"/>
          </w:tcPr>
          <w:p w14:paraId="391478D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68471D9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D445B27">
        <w:trPr>
          <w:cantSplit/>
          <w:trHeight w:val="0" w:hRule="atLeast"/>
          <w:jc w:val="center"/>
        </w:trPr>
        <w:tc>
          <w:tcPr>
            <w:tcW w:w="2944" w:type="dxa"/>
            <w:tcBorders>
              <w:top w:val="nil"/>
              <w:left w:val="nil"/>
              <w:bottom w:val="nil"/>
              <w:right w:val="nil"/>
            </w:tcBorders>
            <w:shd w:val="clear" w:color="auto" w:fill="auto"/>
            <w:vAlign w:val="center"/>
          </w:tcPr>
          <w:p w14:paraId="203A18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945" w:type="dxa"/>
            <w:tcBorders>
              <w:top w:val="nil"/>
              <w:left w:val="nil"/>
              <w:bottom w:val="nil"/>
              <w:right w:val="nil"/>
            </w:tcBorders>
            <w:shd w:val="clear" w:color="auto" w:fill="auto"/>
            <w:vAlign w:val="center"/>
          </w:tcPr>
          <w:p w14:paraId="790E24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8BD1C4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319E0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31788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1CA150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3E508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4AD86B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6FC5D3">
        <w:trPr>
          <w:cantSplit/>
          <w:trHeight w:val="0" w:hRule="atLeast"/>
          <w:jc w:val="center"/>
        </w:trPr>
        <w:tc>
          <w:tcPr>
            <w:tcW w:w="2944" w:type="dxa"/>
            <w:tcBorders>
              <w:top w:val="nil"/>
              <w:left w:val="nil"/>
              <w:bottom w:val="nil"/>
              <w:right w:val="nil"/>
            </w:tcBorders>
            <w:shd w:val="clear" w:color="auto" w:fill="auto"/>
            <w:vAlign w:val="center"/>
          </w:tcPr>
          <w:p w14:paraId="2FDDED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945" w:type="dxa"/>
            <w:tcBorders>
              <w:top w:val="nil"/>
              <w:left w:val="nil"/>
              <w:bottom w:val="nil"/>
              <w:right w:val="nil"/>
            </w:tcBorders>
            <w:shd w:val="clear" w:color="auto" w:fill="auto"/>
            <w:vAlign w:val="center"/>
          </w:tcPr>
          <w:p w14:paraId="13E466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6FA967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9D640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C0EFD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56090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26548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79E6EE6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CE407E">
        <w:trPr>
          <w:cantSplit/>
          <w:trHeight w:val="0" w:hRule="atLeast"/>
          <w:jc w:val="center"/>
        </w:trPr>
        <w:tc>
          <w:tcPr>
            <w:tcW w:w="2944" w:type="dxa"/>
            <w:tcBorders>
              <w:top w:val="nil"/>
              <w:left w:val="nil"/>
              <w:bottom w:val="nil"/>
              <w:right w:val="nil"/>
            </w:tcBorders>
            <w:shd w:val="clear" w:color="auto" w:fill="auto"/>
            <w:vAlign w:val="center"/>
          </w:tcPr>
          <w:p w14:paraId="19E2BB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945" w:type="dxa"/>
            <w:tcBorders>
              <w:top w:val="nil"/>
              <w:left w:val="nil"/>
              <w:bottom w:val="nil"/>
              <w:right w:val="nil"/>
            </w:tcBorders>
            <w:shd w:val="clear" w:color="auto" w:fill="auto"/>
            <w:vAlign w:val="center"/>
          </w:tcPr>
          <w:p w14:paraId="4D5E34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56657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EDA69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销售订单制造成本归集</w:t>
            </w:r>
          </w:p>
        </w:tc>
        <w:tc>
          <w:tcPr>
            <w:tcW w:w="1098" w:type="dxa"/>
            <w:tcBorders>
              <w:top w:val="nil"/>
              <w:left w:val="nil"/>
              <w:bottom w:val="nil"/>
              <w:right w:val="nil"/>
            </w:tcBorders>
            <w:shd w:val="clear" w:color="auto" w:fill="auto"/>
            <w:vAlign w:val="center"/>
          </w:tcPr>
          <w:p w14:paraId="3CBEB6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356104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018B87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1D7DE2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5C9913">
        <w:trPr>
          <w:cantSplit/>
          <w:trHeight w:val="0" w:hRule="atLeast"/>
          <w:jc w:val="center"/>
        </w:trPr>
        <w:tc>
          <w:tcPr>
            <w:tcW w:w="2944" w:type="dxa"/>
            <w:tcBorders>
              <w:top w:val="nil"/>
              <w:left w:val="nil"/>
              <w:bottom w:val="nil"/>
              <w:right w:val="nil"/>
            </w:tcBorders>
            <w:shd w:val="clear" w:color="auto" w:fill="auto"/>
            <w:vAlign w:val="center"/>
          </w:tcPr>
          <w:p w14:paraId="6521A1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945" w:type="dxa"/>
            <w:tcBorders>
              <w:top w:val="nil"/>
              <w:left w:val="nil"/>
              <w:bottom w:val="nil"/>
              <w:right w:val="nil"/>
            </w:tcBorders>
            <w:shd w:val="clear" w:color="auto" w:fill="auto"/>
            <w:vAlign w:val="center"/>
          </w:tcPr>
          <w:p w14:paraId="1FF79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3B0C13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B59F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销售订单交付成本归集</w:t>
            </w:r>
          </w:p>
        </w:tc>
        <w:tc>
          <w:tcPr>
            <w:tcW w:w="1098" w:type="dxa"/>
            <w:tcBorders>
              <w:top w:val="nil"/>
              <w:left w:val="nil"/>
              <w:bottom w:val="nil"/>
              <w:right w:val="nil"/>
            </w:tcBorders>
            <w:shd w:val="clear" w:color="auto" w:fill="auto"/>
            <w:vAlign w:val="center"/>
          </w:tcPr>
          <w:p w14:paraId="093767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5A34F1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0B293ED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71786C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3DDD25">
        <w:trPr>
          <w:cantSplit/>
          <w:trHeight w:val="0" w:hRule="atLeast"/>
          <w:jc w:val="center"/>
        </w:trPr>
        <w:tc>
          <w:tcPr>
            <w:tcW w:w="2944" w:type="dxa"/>
            <w:tcBorders>
              <w:top w:val="nil"/>
              <w:left w:val="nil"/>
              <w:bottom w:val="nil"/>
              <w:right w:val="nil"/>
            </w:tcBorders>
            <w:shd w:val="clear" w:color="auto" w:fill="auto"/>
            <w:vAlign w:val="center"/>
          </w:tcPr>
          <w:p w14:paraId="290D83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945" w:type="dxa"/>
            <w:tcBorders>
              <w:top w:val="nil"/>
              <w:left w:val="nil"/>
              <w:bottom w:val="nil"/>
              <w:right w:val="nil"/>
            </w:tcBorders>
            <w:shd w:val="clear" w:color="auto" w:fill="auto"/>
            <w:vAlign w:val="center"/>
          </w:tcPr>
          <w:p w14:paraId="2CB9A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595465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5CD70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521758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2294D9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191C50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7C2FE05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F037C">
        <w:trPr>
          <w:cantSplit/>
          <w:trHeight w:val="0" w:hRule="atLeast"/>
          <w:jc w:val="center"/>
        </w:trPr>
        <w:tc>
          <w:tcPr>
            <w:tcW w:w="2944" w:type="dxa"/>
            <w:tcBorders>
              <w:top w:val="nil"/>
              <w:left w:val="nil"/>
              <w:bottom w:val="nil"/>
              <w:right w:val="nil"/>
            </w:tcBorders>
            <w:shd w:val="clear" w:color="auto" w:fill="auto"/>
            <w:vAlign w:val="center"/>
          </w:tcPr>
          <w:p w14:paraId="14C7FCD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945" w:type="dxa"/>
            <w:tcBorders>
              <w:top w:val="nil"/>
              <w:left w:val="nil"/>
              <w:bottom w:val="nil"/>
              <w:right w:val="nil"/>
            </w:tcBorders>
            <w:shd w:val="clear" w:color="auto" w:fill="auto"/>
            <w:vAlign w:val="center"/>
          </w:tcPr>
          <w:p w14:paraId="153A6A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5B669A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E606A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74603F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55BEAD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形成订单总成本、单位成本及来源订单和批次的追溯关系；底层成本或发运数据更正时生成新版本。</w:t>
            </w:r>
          </w:p>
        </w:tc>
        <w:tc>
          <w:tcPr>
            <w:tcW w:w="1088" w:type="dxa"/>
            <w:tcBorders>
              <w:top w:val="nil"/>
              <w:left w:val="nil"/>
              <w:bottom w:val="nil"/>
              <w:right w:val="nil"/>
            </w:tcBorders>
            <w:shd w:val="clear" w:color="auto" w:fill="auto"/>
            <w:vAlign w:val="center"/>
          </w:tcPr>
          <w:p w14:paraId="22A358C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1DE7F8C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5EB2D9">
        <w:trPr>
          <w:cantSplit/>
          <w:trHeight w:val="0" w:hRule="atLeast"/>
          <w:jc w:val="center"/>
        </w:trPr>
        <w:tc>
          <w:tcPr>
            <w:tcW w:w="2944" w:type="dxa"/>
            <w:tcBorders>
              <w:top w:val="nil"/>
              <w:left w:val="nil"/>
              <w:bottom w:val="nil"/>
              <w:right w:val="nil"/>
            </w:tcBorders>
            <w:shd w:val="clear" w:color="auto" w:fill="auto"/>
            <w:vAlign w:val="center"/>
          </w:tcPr>
          <w:p w14:paraId="29A2A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945" w:type="dxa"/>
            <w:tcBorders>
              <w:top w:val="nil"/>
              <w:left w:val="nil"/>
              <w:bottom w:val="nil"/>
              <w:right w:val="nil"/>
            </w:tcBorders>
            <w:shd w:val="clear" w:color="auto" w:fill="auto"/>
            <w:vAlign w:val="center"/>
          </w:tcPr>
          <w:p w14:paraId="59F433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保存销售订单成本结果规则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A77131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9C292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销售订单制造与交付成本归集</w:t>
            </w:r>
          </w:p>
        </w:tc>
        <w:tc>
          <w:tcPr>
            <w:tcW w:w="1098" w:type="dxa"/>
            <w:tcBorders>
              <w:top w:val="nil"/>
              <w:left w:val="nil"/>
              <w:bottom w:val="nil"/>
              <w:right w:val="nil"/>
            </w:tcBorders>
            <w:shd w:val="clear" w:color="auto" w:fill="auto"/>
            <w:vAlign w:val="center"/>
          </w:tcPr>
          <w:p w14:paraId="2BA9BD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0EC995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保存销售订单结果和追溯明细，供多维成本分析使用；历史版本保留，不原地覆盖。</w:t>
            </w:r>
          </w:p>
        </w:tc>
        <w:tc>
          <w:tcPr>
            <w:tcW w:w="1088" w:type="dxa"/>
            <w:tcBorders>
              <w:top w:val="nil"/>
              <w:left w:val="nil"/>
              <w:bottom w:val="nil"/>
              <w:right w:val="nil"/>
            </w:tcBorders>
            <w:shd w:val="clear" w:color="auto" w:fill="auto"/>
            <w:vAlign w:val="center"/>
          </w:tcPr>
          <w:p w14:paraId="0A58C4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5F2C115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8FCF424">
        <w:trPr>
          <w:cantSplit/>
          <w:trHeight w:val="0" w:hRule="atLeast"/>
          <w:jc w:val="center"/>
        </w:trPr>
        <w:tc>
          <w:tcPr>
            <w:tcW w:w="2944" w:type="dxa"/>
            <w:tcBorders>
              <w:top w:val="nil"/>
              <w:left w:val="nil"/>
              <w:bottom w:val="nil"/>
              <w:right w:val="nil"/>
            </w:tcBorders>
            <w:shd w:val="clear" w:color="auto" w:fill="auto"/>
            <w:vAlign w:val="center"/>
          </w:tcPr>
          <w:p w14:paraId="42858B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945" w:type="dxa"/>
            <w:tcBorders>
              <w:top w:val="nil"/>
              <w:left w:val="nil"/>
              <w:bottom w:val="nil"/>
              <w:right w:val="nil"/>
            </w:tcBorders>
            <w:shd w:val="clear" w:color="auto" w:fill="auto"/>
            <w:vAlign w:val="center"/>
          </w:tcPr>
          <w:p w14:paraId="4FD342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55B744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7778A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152D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7D013C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2158AB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2865EE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E89E8EF">
        <w:trPr>
          <w:cantSplit/>
          <w:trHeight w:val="0" w:hRule="atLeast"/>
          <w:jc w:val="center"/>
        </w:trPr>
        <w:tc>
          <w:tcPr>
            <w:tcW w:w="2944" w:type="dxa"/>
            <w:tcBorders>
              <w:top w:val="nil"/>
              <w:left w:val="nil"/>
              <w:bottom w:val="nil"/>
              <w:right w:val="nil"/>
            </w:tcBorders>
            <w:shd w:val="clear" w:color="auto" w:fill="auto"/>
            <w:vAlign w:val="center"/>
          </w:tcPr>
          <w:p w14:paraId="2885BA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945" w:type="dxa"/>
            <w:tcBorders>
              <w:top w:val="nil"/>
              <w:left w:val="nil"/>
              <w:bottom w:val="nil"/>
              <w:right w:val="nil"/>
            </w:tcBorders>
            <w:shd w:val="clear" w:color="auto" w:fill="auto"/>
            <w:vAlign w:val="center"/>
          </w:tcPr>
          <w:p w14:paraId="39CA10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727E7A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62BC06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0D4A8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4E052D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35F05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3FCC9E2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EE9378">
        <w:trPr>
          <w:cantSplit/>
          <w:trHeight w:val="0" w:hRule="atLeast"/>
          <w:jc w:val="center"/>
        </w:trPr>
        <w:tc>
          <w:tcPr>
            <w:tcW w:w="2944" w:type="dxa"/>
            <w:tcBorders>
              <w:top w:val="nil"/>
              <w:left w:val="nil"/>
              <w:bottom w:val="nil"/>
              <w:right w:val="nil"/>
            </w:tcBorders>
            <w:shd w:val="clear" w:color="auto" w:fill="auto"/>
            <w:vAlign w:val="center"/>
          </w:tcPr>
          <w:p w14:paraId="61F64A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945" w:type="dxa"/>
            <w:tcBorders>
              <w:top w:val="nil"/>
              <w:left w:val="nil"/>
              <w:bottom w:val="nil"/>
              <w:right w:val="nil"/>
            </w:tcBorders>
            <w:shd w:val="clear" w:color="auto" w:fill="auto"/>
            <w:vAlign w:val="center"/>
          </w:tcPr>
          <w:p w14:paraId="0CC976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32B35F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F0162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6E866B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51D3A1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10AD45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56BC7D9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83F930">
        <w:trPr>
          <w:cantSplit/>
          <w:trHeight w:val="0" w:hRule="atLeast"/>
          <w:jc w:val="center"/>
        </w:trPr>
        <w:tc>
          <w:tcPr>
            <w:tcW w:w="2944" w:type="dxa"/>
            <w:tcBorders>
              <w:top w:val="nil"/>
              <w:left w:val="nil"/>
              <w:bottom w:val="nil"/>
              <w:right w:val="nil"/>
            </w:tcBorders>
            <w:shd w:val="clear" w:color="auto" w:fill="auto"/>
            <w:vAlign w:val="center"/>
          </w:tcPr>
          <w:p w14:paraId="4DCB18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945" w:type="dxa"/>
            <w:tcBorders>
              <w:top w:val="nil"/>
              <w:left w:val="nil"/>
              <w:bottom w:val="nil"/>
              <w:right w:val="nil"/>
            </w:tcBorders>
            <w:shd w:val="clear" w:color="auto" w:fill="auto"/>
            <w:vAlign w:val="center"/>
          </w:tcPr>
          <w:p w14:paraId="1B593C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08C536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69DD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72BAA9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14D885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752060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1A2D4E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9405744">
        <w:trPr>
          <w:cantSplit/>
          <w:trHeight w:val="0" w:hRule="atLeast"/>
          <w:jc w:val="center"/>
        </w:trPr>
        <w:tc>
          <w:tcPr>
            <w:tcW w:w="2944" w:type="dxa"/>
            <w:tcBorders>
              <w:top w:val="nil"/>
              <w:left w:val="nil"/>
              <w:bottom w:val="nil"/>
              <w:right w:val="nil"/>
            </w:tcBorders>
            <w:shd w:val="clear" w:color="auto" w:fill="auto"/>
            <w:vAlign w:val="center"/>
          </w:tcPr>
          <w:p w14:paraId="0ECAA4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945" w:type="dxa"/>
            <w:tcBorders>
              <w:top w:val="nil"/>
              <w:left w:val="nil"/>
              <w:bottom w:val="nil"/>
              <w:right w:val="nil"/>
            </w:tcBorders>
            <w:shd w:val="clear" w:color="auto" w:fill="auto"/>
            <w:vAlign w:val="center"/>
          </w:tcPr>
          <w:p w14:paraId="3B80E9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2118F8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10104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4EC428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31874F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5CC15F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37E9A4A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FDD61C">
        <w:trPr>
          <w:cantSplit/>
          <w:trHeight w:val="0" w:hRule="atLeast"/>
          <w:jc w:val="center"/>
        </w:trPr>
        <w:tc>
          <w:tcPr>
            <w:tcW w:w="2944" w:type="dxa"/>
            <w:tcBorders>
              <w:top w:val="nil"/>
              <w:left w:val="nil"/>
              <w:bottom w:val="nil"/>
              <w:right w:val="nil"/>
            </w:tcBorders>
            <w:shd w:val="clear" w:color="auto" w:fill="auto"/>
            <w:vAlign w:val="center"/>
          </w:tcPr>
          <w:p w14:paraId="3B6A51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945" w:type="dxa"/>
            <w:tcBorders>
              <w:top w:val="nil"/>
              <w:left w:val="nil"/>
              <w:bottom w:val="nil"/>
              <w:right w:val="nil"/>
            </w:tcBorders>
            <w:shd w:val="clear" w:color="auto" w:fill="auto"/>
            <w:vAlign w:val="center"/>
          </w:tcPr>
          <w:p w14:paraId="44B2D7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83781B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AF412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0ABDDA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1F79263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生成生产、销售和采购视角的成本分析及差异指标；待映射维度与不可用指标单独展示。</w:t>
            </w:r>
          </w:p>
        </w:tc>
        <w:tc>
          <w:tcPr>
            <w:tcW w:w="1088" w:type="dxa"/>
            <w:tcBorders>
              <w:top w:val="nil"/>
              <w:left w:val="nil"/>
              <w:bottom w:val="nil"/>
              <w:right w:val="nil"/>
            </w:tcBorders>
            <w:shd w:val="clear" w:color="auto" w:fill="auto"/>
            <w:vAlign w:val="center"/>
          </w:tcPr>
          <w:p w14:paraId="3E93C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5DCD38F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5C9B30">
        <w:trPr>
          <w:cantSplit/>
          <w:trHeight w:val="0" w:hRule="atLeast"/>
          <w:jc w:val="center"/>
        </w:trPr>
        <w:tc>
          <w:tcPr>
            <w:tcW w:w="2944" w:type="dxa"/>
            <w:tcBorders>
              <w:top w:val="nil"/>
              <w:left w:val="nil"/>
              <w:bottom w:val="nil"/>
              <w:right w:val="nil"/>
            </w:tcBorders>
            <w:shd w:val="clear" w:color="auto" w:fill="auto"/>
            <w:vAlign w:val="center"/>
          </w:tcPr>
          <w:p w14:paraId="50A77A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945" w:type="dxa"/>
            <w:tcBorders>
              <w:top w:val="nil"/>
              <w:left w:val="nil"/>
              <w:bottom w:val="nil"/>
              <w:right w:val="nil"/>
            </w:tcBorders>
            <w:shd w:val="clear" w:color="auto" w:fill="auto"/>
            <w:vAlign w:val="center"/>
          </w:tcPr>
          <w:p w14:paraId="1DADFC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保存分析快照和导出记录规则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3E6085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88AF3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跨生产、销售和采购的成本分析</w:t>
            </w:r>
          </w:p>
        </w:tc>
        <w:tc>
          <w:tcPr>
            <w:tcW w:w="1098" w:type="dxa"/>
            <w:tcBorders>
              <w:top w:val="nil"/>
              <w:left w:val="nil"/>
              <w:bottom w:val="nil"/>
              <w:right w:val="nil"/>
            </w:tcBorders>
            <w:shd w:val="clear" w:color="auto" w:fill="auto"/>
            <w:vAlign w:val="center"/>
          </w:tcPr>
          <w:p w14:paraId="321204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7A13DD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43E41F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3535E3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C6D6894">
        <w:trPr>
          <w:cantSplit/>
          <w:trHeight w:val="0" w:hRule="atLeast"/>
          <w:jc w:val="center"/>
        </w:trPr>
        <w:tc>
          <w:tcPr>
            <w:tcW w:w="2944" w:type="dxa"/>
            <w:tcBorders>
              <w:top w:val="nil"/>
              <w:left w:val="nil"/>
              <w:bottom w:val="nil"/>
              <w:right w:val="nil"/>
            </w:tcBorders>
            <w:shd w:val="clear" w:color="auto" w:fill="auto"/>
            <w:vAlign w:val="center"/>
          </w:tcPr>
          <w:p w14:paraId="42CE7B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945" w:type="dxa"/>
            <w:tcBorders>
              <w:top w:val="nil"/>
              <w:left w:val="nil"/>
              <w:bottom w:val="nil"/>
              <w:right w:val="nil"/>
            </w:tcBorders>
            <w:shd w:val="clear" w:color="auto" w:fill="auto"/>
            <w:vAlign w:val="center"/>
          </w:tcPr>
          <w:p w14:paraId="3FEE35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667A2F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4B0FC3B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286349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1514CD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3B95B8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109874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825CB8F">
        <w:trPr>
          <w:cantSplit/>
          <w:trHeight w:val="0" w:hRule="atLeast"/>
          <w:jc w:val="center"/>
        </w:trPr>
        <w:tc>
          <w:tcPr>
            <w:tcW w:w="2944" w:type="dxa"/>
            <w:tcBorders>
              <w:top w:val="nil"/>
              <w:left w:val="nil"/>
              <w:bottom w:val="nil"/>
              <w:right w:val="nil"/>
            </w:tcBorders>
            <w:shd w:val="clear" w:color="auto" w:fill="auto"/>
            <w:vAlign w:val="center"/>
          </w:tcPr>
          <w:p w14:paraId="106CC5B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945" w:type="dxa"/>
            <w:tcBorders>
              <w:top w:val="nil"/>
              <w:left w:val="nil"/>
              <w:bottom w:val="nil"/>
              <w:right w:val="nil"/>
            </w:tcBorders>
            <w:shd w:val="clear" w:color="auto" w:fill="auto"/>
            <w:vAlign w:val="center"/>
          </w:tcPr>
          <w:p w14:paraId="407BD5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6AAEFD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2989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D90F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72AC4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02967FC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37F3E1C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AC43B7">
        <w:trPr>
          <w:cantSplit/>
          <w:trHeight w:val="0" w:hRule="atLeast"/>
          <w:jc w:val="center"/>
        </w:trPr>
        <w:tc>
          <w:tcPr>
            <w:tcW w:w="2944" w:type="dxa"/>
            <w:tcBorders>
              <w:top w:val="nil"/>
              <w:left w:val="nil"/>
              <w:bottom w:val="nil"/>
              <w:right w:val="nil"/>
            </w:tcBorders>
            <w:shd w:val="clear" w:color="auto" w:fill="auto"/>
            <w:vAlign w:val="center"/>
          </w:tcPr>
          <w:p w14:paraId="5A799E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945" w:type="dxa"/>
            <w:tcBorders>
              <w:top w:val="nil"/>
              <w:left w:val="nil"/>
              <w:bottom w:val="nil"/>
              <w:right w:val="nil"/>
            </w:tcBorders>
            <w:shd w:val="clear" w:color="auto" w:fill="auto"/>
            <w:vAlign w:val="center"/>
          </w:tcPr>
          <w:p w14:paraId="3DA91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5A7D7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0EDE7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407BF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5D995F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区分时间、路线、计量、批次、分摊依据及成本映射等异常类型；未受影响结果继续可用，异常范围标记待更新。</w:t>
            </w:r>
          </w:p>
        </w:tc>
        <w:tc>
          <w:tcPr>
            <w:tcW w:w="1088" w:type="dxa"/>
            <w:tcBorders>
              <w:top w:val="nil"/>
              <w:left w:val="nil"/>
              <w:bottom w:val="nil"/>
              <w:right w:val="nil"/>
            </w:tcBorders>
            <w:shd w:val="clear" w:color="auto" w:fill="auto"/>
            <w:vAlign w:val="center"/>
          </w:tcPr>
          <w:p w14:paraId="62722E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13BB513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EA2B31">
        <w:trPr>
          <w:cantSplit/>
          <w:trHeight w:val="0" w:hRule="atLeast"/>
          <w:jc w:val="center"/>
        </w:trPr>
        <w:tc>
          <w:tcPr>
            <w:tcW w:w="2944" w:type="dxa"/>
            <w:tcBorders>
              <w:top w:val="nil"/>
              <w:left w:val="nil"/>
              <w:bottom w:val="nil"/>
              <w:right w:val="nil"/>
            </w:tcBorders>
            <w:shd w:val="clear" w:color="auto" w:fill="auto"/>
            <w:vAlign w:val="center"/>
          </w:tcPr>
          <w:p w14:paraId="3F512F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945" w:type="dxa"/>
            <w:tcBorders>
              <w:top w:val="nil"/>
              <w:left w:val="nil"/>
              <w:bottom w:val="nil"/>
              <w:right w:val="nil"/>
            </w:tcBorders>
            <w:shd w:val="clear" w:color="auto" w:fill="auto"/>
            <w:vAlign w:val="center"/>
          </w:tcPr>
          <w:p w14:paraId="5FADB2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66BCCE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5C4918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3F4BC17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AE00E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按已确认的计量、转罐、罐差和密度等依据判断能否重算；证据和规则不足以重算时补充口径；证据和规则足以重算时重算。</w:t>
            </w:r>
          </w:p>
        </w:tc>
        <w:tc>
          <w:tcPr>
            <w:tcW w:w="1088" w:type="dxa"/>
            <w:tcBorders>
              <w:top w:val="nil"/>
              <w:left w:val="nil"/>
              <w:bottom w:val="nil"/>
              <w:right w:val="nil"/>
            </w:tcBorders>
            <w:shd w:val="clear" w:color="auto" w:fill="auto"/>
            <w:vAlign w:val="center"/>
          </w:tcPr>
          <w:p w14:paraId="6EC01E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6F8270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ABFE78">
        <w:trPr>
          <w:cantSplit/>
          <w:trHeight w:val="0" w:hRule="atLeast"/>
          <w:jc w:val="center"/>
        </w:trPr>
        <w:tc>
          <w:tcPr>
            <w:tcW w:w="2944" w:type="dxa"/>
            <w:tcBorders>
              <w:top w:val="nil"/>
              <w:left w:val="nil"/>
              <w:bottom w:val="nil"/>
              <w:right w:val="nil"/>
            </w:tcBorders>
            <w:shd w:val="clear" w:color="auto" w:fill="auto"/>
            <w:vAlign w:val="center"/>
          </w:tcPr>
          <w:p w14:paraId="3E8ABF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945" w:type="dxa"/>
            <w:tcBorders>
              <w:top w:val="nil"/>
              <w:left w:val="nil"/>
              <w:bottom w:val="nil"/>
              <w:right w:val="nil"/>
            </w:tcBorders>
            <w:shd w:val="clear" w:color="auto" w:fill="auto"/>
            <w:vAlign w:val="center"/>
          </w:tcPr>
          <w:p w14:paraId="616BE2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0AEF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25EC76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6999BF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034354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A727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263449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BA7C32">
        <w:trPr>
          <w:cantSplit/>
          <w:trHeight w:val="0" w:hRule="atLeast"/>
          <w:jc w:val="center"/>
        </w:trPr>
        <w:tc>
          <w:tcPr>
            <w:tcW w:w="2944" w:type="dxa"/>
            <w:tcBorders>
              <w:top w:val="nil"/>
              <w:left w:val="nil"/>
              <w:bottom w:val="nil"/>
              <w:right w:val="nil"/>
            </w:tcBorders>
            <w:shd w:val="clear" w:color="auto" w:fill="auto"/>
            <w:vAlign w:val="center"/>
          </w:tcPr>
          <w:p w14:paraId="1912CA8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945" w:type="dxa"/>
            <w:tcBorders>
              <w:top w:val="nil"/>
              <w:left w:val="nil"/>
              <w:bottom w:val="nil"/>
              <w:right w:val="nil"/>
            </w:tcBorders>
            <w:shd w:val="clear" w:color="auto" w:fill="auto"/>
            <w:vAlign w:val="center"/>
          </w:tcPr>
          <w:p w14:paraId="1EF24E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7260F2C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43950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0C2423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2DA36A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从最早受影响的批次或成本环节重新计算，并保留原版本；重算失败时保留上一可用版本并记录原因。</w:t>
            </w:r>
          </w:p>
        </w:tc>
        <w:tc>
          <w:tcPr>
            <w:tcW w:w="1088" w:type="dxa"/>
            <w:tcBorders>
              <w:top w:val="nil"/>
              <w:left w:val="nil"/>
              <w:bottom w:val="nil"/>
              <w:right w:val="nil"/>
            </w:tcBorders>
            <w:shd w:val="clear" w:color="auto" w:fill="auto"/>
            <w:vAlign w:val="center"/>
          </w:tcPr>
          <w:p w14:paraId="034560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23B627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1046D13">
        <w:trPr>
          <w:cantSplit/>
          <w:trHeight w:val="0" w:hRule="atLeast"/>
          <w:jc w:val="center"/>
        </w:trPr>
        <w:tc>
          <w:tcPr>
            <w:tcW w:w="2944" w:type="dxa"/>
            <w:tcBorders>
              <w:top w:val="nil"/>
              <w:left w:val="nil"/>
              <w:bottom w:val="nil"/>
              <w:right w:val="nil"/>
            </w:tcBorders>
            <w:shd w:val="clear" w:color="auto" w:fill="auto"/>
            <w:vAlign w:val="center"/>
          </w:tcPr>
          <w:p w14:paraId="7AFB5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945" w:type="dxa"/>
            <w:tcBorders>
              <w:top w:val="nil"/>
              <w:left w:val="nil"/>
              <w:bottom w:val="nil"/>
              <w:right w:val="nil"/>
            </w:tcBorders>
            <w:shd w:val="clear" w:color="auto" w:fill="auto"/>
            <w:vAlign w:val="center"/>
          </w:tcPr>
          <w:p w14:paraId="6DB399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401F5B9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6ED9C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71A143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4A1864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校验重算范围、数量及成本差异，确认无关对象未被改动；超出预期范围时重新定位。</w:t>
            </w:r>
          </w:p>
        </w:tc>
        <w:tc>
          <w:tcPr>
            <w:tcW w:w="1088" w:type="dxa"/>
            <w:tcBorders>
              <w:top w:val="nil"/>
              <w:left w:val="nil"/>
              <w:bottom w:val="nil"/>
              <w:right w:val="nil"/>
            </w:tcBorders>
            <w:shd w:val="clear" w:color="auto" w:fill="auto"/>
            <w:vAlign w:val="center"/>
          </w:tcPr>
          <w:p w14:paraId="47E99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3DBCDE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A7EA07B">
        <w:trPr>
          <w:cantSplit/>
          <w:trHeight w:val="0" w:hRule="atLeast"/>
          <w:jc w:val="center"/>
        </w:trPr>
        <w:tc>
          <w:tcPr>
            <w:tcW w:w="2944" w:type="dxa"/>
            <w:tcBorders>
              <w:top w:val="nil"/>
              <w:left w:val="nil"/>
              <w:bottom w:val="nil"/>
              <w:right w:val="nil"/>
            </w:tcBorders>
            <w:shd w:val="clear" w:color="auto" w:fill="auto"/>
            <w:vAlign w:val="center"/>
          </w:tcPr>
          <w:p w14:paraId="7CD296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945" w:type="dxa"/>
            <w:tcBorders>
              <w:top w:val="nil"/>
              <w:left w:val="nil"/>
              <w:bottom w:val="nil"/>
              <w:right w:val="nil"/>
            </w:tcBorders>
            <w:shd w:val="clear" w:color="auto" w:fill="auto"/>
            <w:vAlign w:val="center"/>
          </w:tcPr>
          <w:p w14:paraId="074E1E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C7A22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7DE0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0105C9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10D90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形成规则调整前后对比、影响范围、差异及新版结果；不生成实际财务调整凭证。</w:t>
            </w:r>
          </w:p>
        </w:tc>
        <w:tc>
          <w:tcPr>
            <w:tcW w:w="1088" w:type="dxa"/>
            <w:tcBorders>
              <w:top w:val="nil"/>
              <w:left w:val="nil"/>
              <w:bottom w:val="nil"/>
              <w:right w:val="nil"/>
            </w:tcBorders>
            <w:shd w:val="clear" w:color="auto" w:fill="auto"/>
            <w:vAlign w:val="center"/>
          </w:tcPr>
          <w:p w14:paraId="113C41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35CEB4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C140785">
        <w:trPr>
          <w:cantSplit/>
          <w:trHeight w:val="0" w:hRule="atLeast"/>
          <w:jc w:val="center"/>
        </w:trPr>
        <w:tc>
          <w:tcPr>
            <w:tcW w:w="2944" w:type="dxa"/>
            <w:tcBorders>
              <w:top w:val="nil"/>
              <w:left w:val="nil"/>
              <w:bottom w:val="nil"/>
              <w:right w:val="nil"/>
            </w:tcBorders>
            <w:shd w:val="clear" w:color="auto" w:fill="auto"/>
            <w:vAlign w:val="center"/>
          </w:tcPr>
          <w:p w14:paraId="7BB2A2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945" w:type="dxa"/>
            <w:tcBorders>
              <w:top w:val="nil"/>
              <w:left w:val="nil"/>
              <w:bottom w:val="nil"/>
              <w:right w:val="nil"/>
            </w:tcBorders>
            <w:shd w:val="clear" w:color="auto" w:fill="auto"/>
            <w:vAlign w:val="center"/>
          </w:tcPr>
          <w:p w14:paraId="22BAA3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保存规则调整和结果版本规则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3E59B3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175C09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成本口径修正与结果重算</w:t>
            </w:r>
          </w:p>
        </w:tc>
        <w:tc>
          <w:tcPr>
            <w:tcW w:w="1098" w:type="dxa"/>
            <w:tcBorders>
              <w:top w:val="nil"/>
              <w:left w:val="nil"/>
              <w:bottom w:val="nil"/>
              <w:right w:val="nil"/>
            </w:tcBorders>
            <w:shd w:val="clear" w:color="auto" w:fill="auto"/>
            <w:vAlign w:val="center"/>
          </w:tcPr>
          <w:p w14:paraId="1577F4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96CB38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FDDA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716989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C2940BB">
        <w:trPr>
          <w:cantSplit/>
          <w:trHeight w:val="0" w:hRule="atLeast"/>
          <w:jc w:val="center"/>
        </w:trPr>
        <w:tc>
          <w:tcPr>
            <w:tcW w:w="2944" w:type="dxa"/>
            <w:tcBorders>
              <w:top w:val="nil"/>
              <w:left w:val="nil"/>
              <w:bottom w:val="nil"/>
              <w:right w:val="nil"/>
            </w:tcBorders>
            <w:shd w:val="clear" w:color="auto" w:fill="auto"/>
            <w:vAlign w:val="center"/>
          </w:tcPr>
          <w:p w14:paraId="1566C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945" w:type="dxa"/>
            <w:tcBorders>
              <w:top w:val="nil"/>
              <w:left w:val="nil"/>
              <w:bottom w:val="nil"/>
              <w:right w:val="nil"/>
            </w:tcBorders>
            <w:shd w:val="clear" w:color="auto" w:fill="auto"/>
            <w:vAlign w:val="center"/>
          </w:tcPr>
          <w:p w14:paraId="3C54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904C4E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34602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755A8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792B08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锁定本次监测使用的成本版本、对象、期间和比较基线；阈值未维护时只计算变化，不自动判定异常。</w:t>
            </w:r>
          </w:p>
        </w:tc>
        <w:tc>
          <w:tcPr>
            <w:tcW w:w="1088" w:type="dxa"/>
            <w:tcBorders>
              <w:top w:val="nil"/>
              <w:left w:val="nil"/>
              <w:bottom w:val="nil"/>
              <w:right w:val="nil"/>
            </w:tcBorders>
            <w:shd w:val="clear" w:color="auto" w:fill="auto"/>
            <w:vAlign w:val="center"/>
          </w:tcPr>
          <w:p w14:paraId="662074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602310D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BE4FF7">
        <w:trPr>
          <w:cantSplit/>
          <w:trHeight w:val="0" w:hRule="atLeast"/>
          <w:jc w:val="center"/>
        </w:trPr>
        <w:tc>
          <w:tcPr>
            <w:tcW w:w="2944" w:type="dxa"/>
            <w:tcBorders>
              <w:top w:val="nil"/>
              <w:left w:val="nil"/>
              <w:bottom w:val="nil"/>
              <w:right w:val="nil"/>
            </w:tcBorders>
            <w:shd w:val="clear" w:color="auto" w:fill="auto"/>
            <w:vAlign w:val="center"/>
          </w:tcPr>
          <w:p w14:paraId="640E33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945" w:type="dxa"/>
            <w:tcBorders>
              <w:top w:val="nil"/>
              <w:left w:val="nil"/>
              <w:bottom w:val="nil"/>
              <w:right w:val="nil"/>
            </w:tcBorders>
            <w:shd w:val="clear" w:color="auto" w:fill="auto"/>
            <w:vAlign w:val="center"/>
          </w:tcPr>
          <w:p w14:paraId="0A8A75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BF30E10">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40EBAA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3FCB4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78569F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38548D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09CEB2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554A39">
        <w:trPr>
          <w:cantSplit/>
          <w:trHeight w:val="0" w:hRule="atLeast"/>
          <w:jc w:val="center"/>
        </w:trPr>
        <w:tc>
          <w:tcPr>
            <w:tcW w:w="2944" w:type="dxa"/>
            <w:tcBorders>
              <w:top w:val="nil"/>
              <w:left w:val="nil"/>
              <w:bottom w:val="nil"/>
              <w:right w:val="nil"/>
            </w:tcBorders>
            <w:shd w:val="clear" w:color="auto" w:fill="auto"/>
            <w:vAlign w:val="center"/>
          </w:tcPr>
          <w:p w14:paraId="7B2E76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945" w:type="dxa"/>
            <w:tcBorders>
              <w:top w:val="nil"/>
              <w:left w:val="nil"/>
              <w:bottom w:val="nil"/>
              <w:right w:val="nil"/>
            </w:tcBorders>
            <w:shd w:val="clear" w:color="auto" w:fill="auto"/>
            <w:vAlign w:val="center"/>
          </w:tcPr>
          <w:p w14:paraId="600956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C31FB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0DF9F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02D883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57AACD8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识别成本突变、未分摊费用、低可信度关系及单位成本异常；形成成本预警时定位异常；未形成成本预警时生成无预警监测结果。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24417B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03926A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5B8F20">
        <w:trPr>
          <w:cantSplit/>
          <w:trHeight w:val="0" w:hRule="atLeast"/>
          <w:jc w:val="center"/>
        </w:trPr>
        <w:tc>
          <w:tcPr>
            <w:tcW w:w="2944" w:type="dxa"/>
            <w:tcBorders>
              <w:top w:val="nil"/>
              <w:left w:val="nil"/>
              <w:bottom w:val="nil"/>
              <w:right w:val="nil"/>
            </w:tcBorders>
            <w:shd w:val="clear" w:color="auto" w:fill="auto"/>
            <w:vAlign w:val="center"/>
          </w:tcPr>
          <w:p w14:paraId="4BEFB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945" w:type="dxa"/>
            <w:tcBorders>
              <w:top w:val="nil"/>
              <w:left w:val="nil"/>
              <w:bottom w:val="nil"/>
              <w:right w:val="nil"/>
            </w:tcBorders>
            <w:shd w:val="clear" w:color="auto" w:fill="auto"/>
            <w:vAlign w:val="center"/>
          </w:tcPr>
          <w:p w14:paraId="7773FD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191081A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3C2E57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B7EF7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1A2CC9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分析原料价格、用量、收率、能耗和费用等异常来源；无法定位时标记待分析，不输出确定性责任结论。</w:t>
            </w:r>
          </w:p>
        </w:tc>
        <w:tc>
          <w:tcPr>
            <w:tcW w:w="1088" w:type="dxa"/>
            <w:tcBorders>
              <w:top w:val="nil"/>
              <w:left w:val="nil"/>
              <w:bottom w:val="nil"/>
              <w:right w:val="nil"/>
            </w:tcBorders>
            <w:shd w:val="clear" w:color="auto" w:fill="auto"/>
            <w:vAlign w:val="center"/>
          </w:tcPr>
          <w:p w14:paraId="2F6B65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20EAC9B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5032EC">
        <w:trPr>
          <w:cantSplit/>
          <w:trHeight w:val="0" w:hRule="atLeast"/>
          <w:jc w:val="center"/>
        </w:trPr>
        <w:tc>
          <w:tcPr>
            <w:tcW w:w="2944" w:type="dxa"/>
            <w:tcBorders>
              <w:top w:val="nil"/>
              <w:left w:val="nil"/>
              <w:bottom w:val="nil"/>
              <w:right w:val="nil"/>
            </w:tcBorders>
            <w:shd w:val="clear" w:color="auto" w:fill="auto"/>
            <w:vAlign w:val="center"/>
          </w:tcPr>
          <w:p w14:paraId="778D27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945" w:type="dxa"/>
            <w:tcBorders>
              <w:top w:val="nil"/>
              <w:left w:val="nil"/>
              <w:bottom w:val="nil"/>
              <w:right w:val="nil"/>
            </w:tcBorders>
            <w:shd w:val="clear" w:color="auto" w:fill="auto"/>
            <w:vAlign w:val="center"/>
          </w:tcPr>
          <w:p w14:paraId="0C4FB4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04DF6CC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D03A1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63B5EA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56F0F7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66AC25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935DAF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172727">
        <w:trPr>
          <w:cantSplit/>
          <w:trHeight w:val="0" w:hRule="atLeast"/>
          <w:jc w:val="center"/>
        </w:trPr>
        <w:tc>
          <w:tcPr>
            <w:tcW w:w="2944" w:type="dxa"/>
            <w:tcBorders>
              <w:top w:val="nil"/>
              <w:left w:val="nil"/>
              <w:bottom w:val="nil"/>
              <w:right w:val="nil"/>
            </w:tcBorders>
            <w:shd w:val="clear" w:color="auto" w:fill="auto"/>
            <w:vAlign w:val="center"/>
          </w:tcPr>
          <w:p w14:paraId="4DF918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945" w:type="dxa"/>
            <w:tcBorders>
              <w:top w:val="nil"/>
              <w:left w:val="nil"/>
              <w:bottom w:val="nil"/>
              <w:right w:val="nil"/>
            </w:tcBorders>
            <w:shd w:val="clear" w:color="auto" w:fill="auto"/>
            <w:vAlign w:val="center"/>
          </w:tcPr>
          <w:p w14:paraId="00CB4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52757B6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766294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5CDB7E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0EC20A1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汇总监测批次、指标、预警等级、异常对象和责任角色；无预警时保存正常监测结果，有预警时保存开放预警。</w:t>
            </w:r>
          </w:p>
        </w:tc>
        <w:tc>
          <w:tcPr>
            <w:tcW w:w="1088" w:type="dxa"/>
            <w:tcBorders>
              <w:top w:val="nil"/>
              <w:left w:val="nil"/>
              <w:bottom w:val="nil"/>
              <w:right w:val="nil"/>
            </w:tcBorders>
            <w:shd w:val="clear" w:color="auto" w:fill="auto"/>
            <w:vAlign w:val="center"/>
          </w:tcPr>
          <w:p w14:paraId="7D46AC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09CB62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A3CD7A0">
        <w:trPr>
          <w:cantSplit/>
          <w:trHeight w:val="0" w:hRule="atLeast"/>
          <w:jc w:val="center"/>
        </w:trPr>
        <w:tc>
          <w:tcPr>
            <w:tcW w:w="2944" w:type="dxa"/>
            <w:tcBorders>
              <w:top w:val="nil"/>
              <w:left w:val="nil"/>
              <w:bottom w:val="nil"/>
              <w:right w:val="nil"/>
            </w:tcBorders>
            <w:shd w:val="clear" w:color="auto" w:fill="auto"/>
            <w:vAlign w:val="center"/>
          </w:tcPr>
          <w:p w14:paraId="0FF02E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945" w:type="dxa"/>
            <w:tcBorders>
              <w:top w:val="nil"/>
              <w:left w:val="nil"/>
              <w:bottom w:val="nil"/>
              <w:right w:val="nil"/>
            </w:tcBorders>
            <w:shd w:val="clear" w:color="auto" w:fill="auto"/>
            <w:vAlign w:val="center"/>
          </w:tcPr>
          <w:p w14:paraId="63BAC4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保存成本监测预警结果规则</w:t>
            </w:r>
          </w:p>
        </w:tc>
        <w:tc>
          <w:tcPr>
            <w:tcW w:w="966" w:type="dxa"/>
            <w:tcBorders>
              <w:top w:val="nil"/>
              <w:left w:val="nil"/>
              <w:bottom w:val="nil"/>
              <w:right w:val="nil"/>
            </w:tcBorders>
            <w:shd w:val="clear" w:color="auto" w:fill="auto"/>
            <w:tcMar>
              <w:top w:w="80" w:type="dxa"/>
              <w:left w:w="80" w:type="dxa"/>
              <w:bottom w:w="80" w:type="dxa"/>
              <w:right w:w="80" w:type="dxa"/>
            </w:tcMar>
            <w:vAlign w:val="center"/>
          </w:tcPr>
          <w:p w14:paraId="2D52F2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18"/>
                <w:szCs w:val="22"/>
              </w:rPr>
              <w:t>统计与成本核算分析模块</w:t>
            </w:r>
          </w:p>
        </w:tc>
        <w:tc>
          <w:tcPr>
            <w:tcW w:w="955" w:type="dxa"/>
            <w:tcBorders>
              <w:top w:val="nil"/>
              <w:left w:val="nil"/>
              <w:bottom w:val="nil"/>
              <w:right w:val="nil"/>
            </w:tcBorders>
            <w:shd w:val="clear" w:color="auto" w:fill="auto"/>
            <w:vAlign w:val="center"/>
          </w:tcPr>
          <w:p w14:paraId="0BDDA9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成本变化监测与异常预警</w:t>
            </w:r>
          </w:p>
        </w:tc>
        <w:tc>
          <w:tcPr>
            <w:tcW w:w="1098" w:type="dxa"/>
            <w:tcBorders>
              <w:top w:val="nil"/>
              <w:left w:val="nil"/>
              <w:bottom w:val="nil"/>
              <w:right w:val="nil"/>
            </w:tcBorders>
            <w:shd w:val="clear" w:color="auto" w:fill="auto"/>
            <w:vAlign w:val="center"/>
          </w:tcPr>
          <w:p w14:paraId="19580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6D9BA63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7213D7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599C6C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6E0722CB">
      <w:pPr>
        <w:rPr>
          <w:rFonts w:hint="default"/>
          <w:lang w:val="en-US" w:eastAsia="zh-CN"/>
        </w:rPr>
      </w:pPr>
    </w:p>
    <w:p w14:paraId="5354F8FE">
      <w:pPr>
        <w:pStyle w:val="3"/>
        <w:bidi w:val="0"/>
        <w:rPr>
          <w:rFonts w:hint="eastAsia" w:ascii="黑体" w:hAnsi="黑体" w:eastAsia="黑体" w:cs="黑体"/>
        </w:rPr>
      </w:pPr>
      <w:bookmarkStart w:id="37" w:name="_Toc431769995"/>
      <w:r>
        <w:rPr>
          <w:rFonts w:hint="eastAsia" w:ascii="黑体" w:hAnsi="黑体" w:eastAsia="黑体" w:cs="黑体"/>
          <w:lang w:val="en-US" w:eastAsia="zh-CN"/>
        </w:rPr>
        <w:t>AB测试说明</w:t>
      </w:r>
      <w:bookmarkEnd w:id="37"/>
    </w:p>
    <w:p w14:paraId="14CB8E01">
      <w:pPr>
        <w:ind w:firstLine="420" w:firstLineChars="0"/>
        <w:rPr>
          <w:rFonts w:hint="eastAsia"/>
          <w:lang w:val="en-US" w:eastAsia="zh-CN"/>
        </w:rPr>
      </w:pPr>
      <w:r>
        <w:rPr>
          <w:rFonts w:hint="eastAsia"/>
          <w:lang w:val="en-US" w:eastAsia="zh-CN"/>
        </w:rPr>
        <w:t>在系统试运行期间，会进行AB测试已验证系统和算法在采购优化、库存优化以及要货计划上的效果，能否相较于人工有所提升，下表中会展示AB版本的区别。</w:t>
      </w:r>
    </w:p>
    <w:tbl>
      <w:tblPr>
        <w:tblStyle w:val="32"/>
        <w:tblW w:w="105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66"/>
        <w:gridCol w:w="2465"/>
        <w:gridCol w:w="2465"/>
        <w:gridCol w:w="1427"/>
        <w:gridCol w:w="3136"/>
      </w:tblGrid>
      <w:tr w14:paraId="50A59927">
        <w:trPr>
          <w:cantSplit/>
          <w:trHeight w:val="590" w:hRule="atLeast"/>
          <w:tblHeader/>
          <w:jc w:val="center"/>
        </w:trPr>
        <w:tc>
          <w:tcPr>
            <w:tcW w:w="1066" w:type="dxa"/>
            <w:tcBorders>
              <w:top w:val="nil"/>
              <w:left w:val="nil"/>
              <w:bottom w:val="nil"/>
              <w:right w:val="nil"/>
            </w:tcBorders>
            <w:noWrap w:val="0"/>
            <w:tcMar>
              <w:top w:w="-1" w:type="dxa"/>
              <w:left w:w="-1" w:type="dxa"/>
              <w:bottom w:w="-1" w:type="dxa"/>
              <w:right w:w="-1" w:type="dxa"/>
            </w:tcMar>
            <w:vAlign w:val="center"/>
          </w:tcPr>
          <w:p w14:paraId="35EFFDB5">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sz w:val="20"/>
                <w:szCs w:val="20"/>
                <w:lang w:val="en-US" w:eastAsia="zh-CN"/>
              </w:rPr>
              <w:t>版本</w:t>
            </w:r>
          </w:p>
        </w:tc>
        <w:tc>
          <w:tcPr>
            <w:tcW w:w="2465" w:type="dxa"/>
            <w:tcBorders>
              <w:top w:val="nil"/>
              <w:left w:val="nil"/>
              <w:bottom w:val="nil"/>
              <w:right w:val="nil"/>
            </w:tcBorders>
            <w:noWrap w:val="0"/>
            <w:tcMar>
              <w:top w:w="-1" w:type="dxa"/>
              <w:left w:w="-1" w:type="dxa"/>
              <w:bottom w:w="-1" w:type="dxa"/>
              <w:right w:w="-1" w:type="dxa"/>
            </w:tcMar>
            <w:vAlign w:val="center"/>
          </w:tcPr>
          <w:p w14:paraId="54148AF8">
            <w:pPr>
              <w:keepNext w:val="0"/>
              <w:keepLines w:val="0"/>
              <w:suppressLineNumbers w:val="0"/>
              <w:spacing w:before="0" w:beforeAutospacing="0" w:after="0" w:afterAutospacing="0" w:line="240" w:lineRule="auto"/>
              <w:ind w:left="0" w:right="0"/>
              <w:jc w:val="center"/>
              <w:rPr>
                <w:rFonts w:hint="default" w:ascii="宋体" w:hAnsi="宋体" w:eastAsia="宋体" w:cs="宋体"/>
                <w:b/>
                <w:sz w:val="20"/>
                <w:szCs w:val="20"/>
                <w:lang w:val="en-US" w:eastAsia="zh-CN"/>
              </w:rPr>
            </w:pPr>
            <w:r>
              <w:rPr>
                <w:rFonts w:hint="eastAsia" w:ascii="宋体" w:hAnsi="宋体" w:eastAsia="宋体" w:cs="宋体"/>
                <w:b/>
                <w:sz w:val="20"/>
                <w:szCs w:val="20"/>
                <w:lang w:val="en-US" w:eastAsia="zh-CN"/>
              </w:rPr>
              <w:t>所属组别</w:t>
            </w:r>
          </w:p>
        </w:tc>
        <w:tc>
          <w:tcPr>
            <w:tcW w:w="2465" w:type="dxa"/>
            <w:tcBorders>
              <w:top w:val="nil"/>
              <w:left w:val="nil"/>
              <w:bottom w:val="nil"/>
              <w:right w:val="nil"/>
            </w:tcBorders>
            <w:noWrap w:val="0"/>
            <w:tcMar>
              <w:top w:w="-1" w:type="dxa"/>
              <w:left w:w="-1" w:type="dxa"/>
              <w:bottom w:w="-1" w:type="dxa"/>
              <w:right w:w="-1" w:type="dxa"/>
            </w:tcMar>
            <w:vAlign w:val="center"/>
          </w:tcPr>
          <w:p w14:paraId="67792BD1">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版本说明</w:t>
            </w:r>
          </w:p>
        </w:tc>
        <w:tc>
          <w:tcPr>
            <w:tcW w:w="1427" w:type="dxa"/>
            <w:tcBorders>
              <w:top w:val="nil"/>
              <w:left w:val="nil"/>
              <w:bottom w:val="nil"/>
              <w:right w:val="nil"/>
            </w:tcBorders>
            <w:noWrap w:val="0"/>
            <w:tcMar>
              <w:top w:w="-1" w:type="dxa"/>
              <w:left w:w="-1" w:type="dxa"/>
              <w:bottom w:w="-1" w:type="dxa"/>
              <w:right w:w="-1" w:type="dxa"/>
            </w:tcMar>
            <w:vAlign w:val="center"/>
          </w:tcPr>
          <w:p w14:paraId="6B7E78E4">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运行方式</w:t>
            </w:r>
          </w:p>
        </w:tc>
        <w:tc>
          <w:tcPr>
            <w:tcW w:w="3136" w:type="dxa"/>
            <w:tcBorders>
              <w:top w:val="nil"/>
              <w:left w:val="nil"/>
              <w:bottom w:val="nil"/>
              <w:right w:val="nil"/>
            </w:tcBorders>
            <w:noWrap w:val="0"/>
            <w:tcMar>
              <w:top w:w="-1" w:type="dxa"/>
              <w:left w:w="-1" w:type="dxa"/>
              <w:bottom w:w="-1" w:type="dxa"/>
              <w:right w:w="-1" w:type="dxa"/>
            </w:tcMar>
            <w:vAlign w:val="center"/>
          </w:tcPr>
          <w:p w14:paraId="408C9BA3">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b/>
                <w:sz w:val="20"/>
                <w:szCs w:val="20"/>
                <w:lang w:val="en-US" w:eastAsia="zh-CN"/>
              </w:rPr>
              <w:t>验收指标</w:t>
            </w:r>
          </w:p>
        </w:tc>
      </w:tr>
      <w:tr w14:paraId="24C7111A">
        <w:trPr>
          <w:cantSplit/>
          <w:trHeight w:val="911"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15846817">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A</w:t>
            </w:r>
          </w:p>
        </w:tc>
        <w:tc>
          <w:tcPr>
            <w:tcW w:w="2465" w:type="dxa"/>
            <w:tcBorders>
              <w:top w:val="nil"/>
              <w:left w:val="nil"/>
              <w:bottom w:val="nil"/>
              <w:right w:val="nil"/>
            </w:tcBorders>
            <w:shd w:val="clear" w:color="auto" w:fill="auto"/>
            <w:noWrap w:val="0"/>
            <w:tcMar>
              <w:top w:w="-1" w:type="dxa"/>
              <w:left w:w="-1" w:type="dxa"/>
              <w:bottom w:w="-1" w:type="dxa"/>
              <w:right w:w="-1" w:type="dxa"/>
            </w:tcMar>
            <w:vAlign w:val="center"/>
          </w:tcPr>
          <w:p w14:paraId="3AC55AE6">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实验组</w:t>
            </w:r>
          </w:p>
        </w:tc>
        <w:tc>
          <w:tcPr>
            <w:tcW w:w="2465" w:type="dxa"/>
            <w:tcBorders>
              <w:top w:val="nil"/>
              <w:left w:val="nil"/>
              <w:bottom w:val="nil"/>
              <w:right w:val="nil"/>
            </w:tcBorders>
            <w:noWrap w:val="0"/>
            <w:tcMar>
              <w:top w:w="-1" w:type="dxa"/>
              <w:left w:w="-1" w:type="dxa"/>
              <w:bottom w:w="-1" w:type="dxa"/>
              <w:right w:w="-1" w:type="dxa"/>
            </w:tcMar>
            <w:vAlign w:val="center"/>
          </w:tcPr>
          <w:p w14:paraId="7AE03B86">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在库存优化、采购优化、要货计划上使用算法建议值的版本</w:t>
            </w:r>
          </w:p>
        </w:tc>
        <w:tc>
          <w:tcPr>
            <w:tcW w:w="1427" w:type="dxa"/>
            <w:tcBorders>
              <w:top w:val="nil"/>
              <w:left w:val="nil"/>
              <w:bottom w:val="nil"/>
              <w:right w:val="nil"/>
            </w:tcBorders>
            <w:noWrap w:val="0"/>
            <w:tcMar>
              <w:top w:w="-1" w:type="dxa"/>
              <w:left w:w="-1" w:type="dxa"/>
              <w:bottom w:w="-1" w:type="dxa"/>
              <w:right w:w="-1" w:type="dxa"/>
            </w:tcMar>
            <w:vAlign w:val="center"/>
          </w:tcPr>
          <w:p w14:paraId="3C1CAF7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线下虚拟环境进行仿真</w:t>
            </w:r>
          </w:p>
        </w:tc>
        <w:tc>
          <w:tcPr>
            <w:tcW w:w="3136" w:type="dxa"/>
            <w:tcBorders>
              <w:top w:val="nil"/>
              <w:left w:val="nil"/>
              <w:bottom w:val="nil"/>
              <w:right w:val="nil"/>
            </w:tcBorders>
            <w:noWrap w:val="0"/>
            <w:tcMar>
              <w:top w:w="-1" w:type="dxa"/>
              <w:left w:w="-1" w:type="dxa"/>
              <w:bottom w:w="-1" w:type="dxa"/>
              <w:right w:w="-1" w:type="dxa"/>
            </w:tcMar>
            <w:vAlign w:val="center"/>
          </w:tcPr>
          <w:p w14:paraId="0FE09D2F">
            <w:pPr>
              <w:keepNext w:val="0"/>
              <w:keepLines w:val="0"/>
              <w:widowControl/>
              <w:suppressLineNumbers w:val="0"/>
              <w:spacing w:before="0" w:beforeAutospacing="0" w:after="0" w:afterAutospacing="0"/>
              <w:ind w:left="0" w:right="0"/>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库存优化：库存周转天数、订单满足率；</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采购优化：总采购成本；</w:t>
            </w:r>
            <w:r>
              <w:rPr>
                <w:rFonts w:hint="eastAsia" w:ascii="宋体" w:hAnsi="宋体" w:eastAsia="宋体" w:cs="宋体"/>
                <w:sz w:val="20"/>
                <w:szCs w:val="20"/>
                <w:lang w:val="en-US" w:eastAsia="zh-CN"/>
              </w:rPr>
              <w:br w:type="textWrapping"/>
            </w:r>
            <w:r>
              <w:rPr>
                <w:rFonts w:hint="eastAsia" w:ascii="宋体" w:hAnsi="宋体" w:eastAsia="宋体" w:cs="宋体"/>
                <w:sz w:val="20"/>
                <w:szCs w:val="20"/>
                <w:lang w:val="en-US" w:eastAsia="zh-CN"/>
              </w:rPr>
              <w:t>要货计划：</w:t>
            </w:r>
            <w:r>
              <w:rPr>
                <w:rFonts w:hint="eastAsia" w:ascii="宋体" w:hAnsi="宋体" w:eastAsia="宋体" w:cs="宋体"/>
                <w:kern w:val="2"/>
                <w:sz w:val="20"/>
                <w:szCs w:val="20"/>
                <w:lang w:val="en-US" w:eastAsia="zh-CN" w:bidi="ar-SA"/>
              </w:rPr>
              <w:t>断料率、因原料不足而降产或停产时长</w:t>
            </w:r>
          </w:p>
        </w:tc>
      </w:tr>
      <w:tr w14:paraId="51ED4410">
        <w:trPr>
          <w:cantSplit/>
          <w:trHeight w:val="1215" w:hRule="atLeast"/>
          <w:jc w:val="center"/>
        </w:trPr>
        <w:tc>
          <w:tcPr>
            <w:tcW w:w="1066" w:type="dxa"/>
            <w:tcBorders>
              <w:top w:val="nil"/>
              <w:left w:val="nil"/>
              <w:bottom w:val="nil"/>
              <w:right w:val="nil"/>
            </w:tcBorders>
            <w:noWrap w:val="0"/>
            <w:tcMar>
              <w:top w:w="-1" w:type="dxa"/>
              <w:left w:w="-1" w:type="dxa"/>
              <w:bottom w:w="-1" w:type="dxa"/>
              <w:right w:w="-1" w:type="dxa"/>
            </w:tcMar>
            <w:vAlign w:val="center"/>
          </w:tcPr>
          <w:p w14:paraId="38BA56E2">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B</w:t>
            </w:r>
          </w:p>
        </w:tc>
        <w:tc>
          <w:tcPr>
            <w:tcW w:w="2465" w:type="dxa"/>
            <w:tcBorders>
              <w:top w:val="nil"/>
              <w:left w:val="nil"/>
              <w:bottom w:val="nil"/>
              <w:right w:val="nil"/>
            </w:tcBorders>
            <w:shd w:val="clear" w:color="auto" w:fill="auto"/>
            <w:noWrap w:val="0"/>
            <w:tcMar>
              <w:top w:w="-1" w:type="dxa"/>
              <w:left w:w="-1" w:type="dxa"/>
              <w:bottom w:w="-1" w:type="dxa"/>
              <w:right w:w="-1" w:type="dxa"/>
            </w:tcMar>
            <w:vAlign w:val="center"/>
          </w:tcPr>
          <w:p w14:paraId="63ED4E94">
            <w:pPr>
              <w:keepNext w:val="0"/>
              <w:keepLines w:val="0"/>
              <w:suppressLineNumbers w:val="0"/>
              <w:spacing w:before="0" w:beforeAutospacing="0" w:after="0" w:afterAutospacing="0" w:line="240" w:lineRule="auto"/>
              <w:ind w:left="0" w:leftChars="0" w:right="0" w:right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对照组（人工基线）</w:t>
            </w:r>
          </w:p>
        </w:tc>
        <w:tc>
          <w:tcPr>
            <w:tcW w:w="2465" w:type="dxa"/>
            <w:tcBorders>
              <w:top w:val="nil"/>
              <w:left w:val="nil"/>
              <w:bottom w:val="nil"/>
              <w:right w:val="nil"/>
            </w:tcBorders>
            <w:noWrap w:val="0"/>
            <w:tcMar>
              <w:top w:w="-1" w:type="dxa"/>
              <w:left w:w="-1" w:type="dxa"/>
              <w:bottom w:w="-1" w:type="dxa"/>
              <w:right w:w="-1" w:type="dxa"/>
            </w:tcMar>
            <w:vAlign w:val="center"/>
          </w:tcPr>
          <w:p w14:paraId="0182C64F">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eastAsia="zh-CN"/>
              </w:rPr>
            </w:pPr>
            <w:r>
              <w:rPr>
                <w:rFonts w:hint="eastAsia" w:ascii="宋体" w:hAnsi="宋体" w:eastAsia="宋体" w:cs="宋体"/>
                <w:b w:val="0"/>
                <w:sz w:val="20"/>
                <w:szCs w:val="20"/>
                <w:lang w:val="en-US" w:eastAsia="zh-CN"/>
              </w:rPr>
              <w:t>在</w:t>
            </w:r>
            <w:r>
              <w:rPr>
                <w:rFonts w:hint="eastAsia" w:ascii="宋体" w:hAnsi="宋体" w:eastAsia="宋体" w:cs="宋体"/>
                <w:sz w:val="20"/>
                <w:szCs w:val="20"/>
                <w:lang w:val="en-US" w:eastAsia="zh-CN"/>
              </w:rPr>
              <w:t>库存优化、采购优化、要货计划上无算法建议而是基于人工经验填写各项输出的版本</w:t>
            </w:r>
          </w:p>
        </w:tc>
        <w:tc>
          <w:tcPr>
            <w:tcW w:w="1427" w:type="dxa"/>
            <w:tcBorders>
              <w:top w:val="nil"/>
              <w:left w:val="nil"/>
              <w:bottom w:val="nil"/>
              <w:right w:val="nil"/>
            </w:tcBorders>
            <w:noWrap w:val="0"/>
            <w:tcMar>
              <w:top w:w="-1" w:type="dxa"/>
              <w:left w:w="-1" w:type="dxa"/>
              <w:bottom w:w="-1" w:type="dxa"/>
              <w:right w:w="-1" w:type="dxa"/>
            </w:tcMar>
            <w:vAlign w:val="center"/>
          </w:tcPr>
          <w:p w14:paraId="320E9B8A">
            <w:pPr>
              <w:keepNext w:val="0"/>
              <w:keepLines w:val="0"/>
              <w:suppressLineNumbers w:val="0"/>
              <w:spacing w:before="0" w:beforeAutospacing="0" w:after="0" w:afterAutospacing="0" w:line="240" w:lineRule="auto"/>
              <w:ind w:left="0" w:right="0"/>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线上实际执行</w:t>
            </w:r>
          </w:p>
        </w:tc>
        <w:tc>
          <w:tcPr>
            <w:tcW w:w="3136" w:type="dxa"/>
            <w:tcBorders>
              <w:top w:val="nil"/>
              <w:left w:val="nil"/>
              <w:bottom w:val="nil"/>
              <w:right w:val="nil"/>
            </w:tcBorders>
            <w:noWrap w:val="0"/>
            <w:tcMar>
              <w:top w:w="-1" w:type="dxa"/>
              <w:left w:w="-1" w:type="dxa"/>
              <w:bottom w:w="-1" w:type="dxa"/>
              <w:right w:w="-1" w:type="dxa"/>
            </w:tcMar>
            <w:vAlign w:val="center"/>
          </w:tcPr>
          <w:p w14:paraId="385A619F">
            <w:pPr>
              <w:keepNext w:val="0"/>
              <w:keepLines w:val="0"/>
              <w:suppressLineNumbers w:val="0"/>
              <w:spacing w:before="0" w:beforeAutospacing="0" w:after="0" w:afterAutospacing="0" w:line="240" w:lineRule="auto"/>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同上，作为benchmark用来评估算法效果</w:t>
            </w:r>
          </w:p>
        </w:tc>
      </w:tr>
    </w:tbl>
    <w:p w14:paraId="4109D378">
      <w:pPr>
        <w:rPr>
          <w:rFonts w:hint="default"/>
          <w:lang w:val="en-US" w:eastAsia="zh-CN"/>
        </w:rPr>
      </w:pPr>
    </w:p>
    <w:p w14:paraId="027D9FE4">
      <w:pPr>
        <w:pStyle w:val="2"/>
        <w:bidi w:val="0"/>
        <w:rPr>
          <w:rFonts w:hint="eastAsia" w:ascii="黑体" w:hAnsi="黑体" w:eastAsia="黑体" w:cs="黑体"/>
        </w:rPr>
      </w:pPr>
      <w:bookmarkStart w:id="38" w:name="_Toc411062752"/>
      <w:r>
        <w:rPr>
          <w:rFonts w:hint="eastAsia" w:ascii="黑体" w:hAnsi="黑体" w:eastAsia="黑体" w:cs="黑体"/>
        </w:rPr>
        <w:t>SCOS智能化应用场景说明书</w:t>
      </w:r>
      <w:bookmarkEnd w:id="38"/>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eastAsia="宋体"/>
                <w:sz w:val="20"/>
                <w:szCs w:val="20"/>
                <w:lang w:val="en-US" w:eastAsia="zh-CN"/>
              </w:rPr>
            </w:pPr>
            <w:r>
              <w:rPr>
                <w:rFonts w:hint="eastAsia"/>
                <w:sz w:val="20"/>
                <w:szCs w:val="20"/>
                <w:lang w:val="en-US" w:eastAsia="zh-CN"/>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39" w:name="_Toc276780465"/>
      <w:r>
        <w:rPr>
          <w:rFonts w:hint="eastAsia" w:ascii="黑体" w:hAnsi="黑体" w:eastAsia="黑体" w:cs="黑体"/>
        </w:rPr>
        <w:t>智能化场景总体说明</w:t>
      </w:r>
      <w:bookmarkEnd w:id="39"/>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0EE9B1F6">
      <w:pPr>
        <w:pStyle w:val="3"/>
        <w:rPr>
          <w:rFonts w:hint="eastAsia" w:ascii="黑体" w:hAnsi="黑体" w:eastAsia="黑体" w:cs="黑体"/>
        </w:rPr>
      </w:pPr>
      <w:bookmarkStart w:id="40" w:name="_Toc399695853"/>
      <w:r>
        <w:rPr>
          <w:rFonts w:hint="eastAsia" w:ascii="黑体" w:hAnsi="黑体" w:eastAsia="黑体" w:cs="黑体"/>
        </w:rPr>
        <w:t>供应链沙盘推演</w:t>
      </w:r>
      <w:r>
        <w:rPr>
          <w:rFonts w:hint="eastAsia" w:ascii="黑体" w:hAnsi="黑体" w:eastAsia="黑体" w:cs="黑体"/>
          <w:lang w:val="en-US" w:eastAsia="zh-CN"/>
        </w:rPr>
        <w:t>（F-ZLTC-SCOS-AIZNT-002）</w:t>
      </w:r>
      <w:bookmarkEnd w:id="40"/>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75"/>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15B7D08F">
      <w:pPr>
        <w:pStyle w:val="3"/>
        <w:rPr>
          <w:rFonts w:hint="eastAsia" w:ascii="黑体" w:hAnsi="黑体" w:eastAsia="黑体" w:cs="黑体"/>
        </w:rPr>
      </w:pPr>
      <w:bookmarkStart w:id="41" w:name="_Toc359353555"/>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41"/>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6"/>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74099BF0">
      <w:pPr>
        <w:pStyle w:val="3"/>
        <w:rPr>
          <w:rFonts w:hint="eastAsia" w:ascii="黑体" w:hAnsi="黑体" w:eastAsia="黑体" w:cs="黑体"/>
        </w:rPr>
      </w:pPr>
      <w:bookmarkStart w:id="42" w:name="_Toc931183521"/>
      <w:r>
        <w:rPr>
          <w:rFonts w:hint="eastAsia" w:ascii="黑体" w:hAnsi="黑体" w:eastAsia="黑体" w:cs="黑体"/>
        </w:rPr>
        <w:t>原料采购决策优化</w:t>
      </w:r>
      <w:r>
        <w:rPr>
          <w:rFonts w:hint="eastAsia" w:ascii="黑体" w:hAnsi="黑体" w:eastAsia="黑体" w:cs="黑体"/>
          <w:lang w:val="en-US" w:eastAsia="zh-CN"/>
        </w:rPr>
        <w:t>（F-ZLTC-SCOS-AIZNT-005）</w:t>
      </w:r>
      <w:bookmarkEnd w:id="42"/>
    </w:p>
    <w:p w14:paraId="084A749A">
      <w:r>
        <w:drawing>
          <wp:inline distT="0" distB="0" distL="114300" distR="114300">
            <wp:extent cx="5261610" cy="2877820"/>
            <wp:effectExtent l="0" t="0" r="21590" b="1778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7"/>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43" w:name="_Toc1688101758"/>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43"/>
    </w:p>
    <w:p w14:paraId="24AABB0B">
      <w:pPr>
        <w:rPr>
          <w:rFonts w:hint="eastAsia"/>
          <w:lang w:val="en-US" w:eastAsia="zh-CN"/>
        </w:rPr>
      </w:pPr>
      <w:r>
        <w:drawing>
          <wp:inline distT="0" distB="0" distL="114300" distR="114300">
            <wp:extent cx="5261610" cy="2877820"/>
            <wp:effectExtent l="0" t="0" r="21590" b="1778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78"/>
                    <a:stretch>
                      <a:fillRect/>
                    </a:stretch>
                  </pic:blipFill>
                  <pic:spPr>
                    <a:xfrm>
                      <a:off x="0" y="0"/>
                      <a:ext cx="5261610" cy="2877820"/>
                    </a:xfrm>
                    <a:prstGeom prst="rect">
                      <a:avLst/>
                    </a:prstGeom>
                    <a:noFill/>
                    <a:ln>
                      <a:noFill/>
                    </a:ln>
                  </pic:spPr>
                </pic:pic>
              </a:graphicData>
            </a:graphic>
          </wp:inline>
        </w:drawing>
      </w:r>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64711EB0">
      <w:pPr>
        <w:pStyle w:val="3"/>
        <w:bidi w:val="0"/>
        <w:rPr>
          <w:rFonts w:hint="eastAsia" w:ascii="黑体" w:hAnsi="黑体" w:eastAsia="黑体" w:cs="黑体"/>
        </w:rPr>
      </w:pPr>
      <w:bookmarkStart w:id="44" w:name="_Toc1519786189"/>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44"/>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9"/>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color w:val="auto"/>
        </w:rPr>
      </w:pPr>
      <w:bookmarkStart w:id="45" w:name="_Toc875981105"/>
      <w:r>
        <w:rPr>
          <w:rFonts w:hint="eastAsia" w:ascii="黑体" w:hAnsi="黑体" w:eastAsia="黑体" w:cs="黑体"/>
          <w:color w:val="auto"/>
        </w:rPr>
        <w:t>精益生产排程与异常重排</w:t>
      </w:r>
      <w:r>
        <w:rPr>
          <w:rFonts w:hint="eastAsia" w:ascii="黑体" w:hAnsi="黑体" w:eastAsia="黑体" w:cs="黑体"/>
          <w:color w:val="auto"/>
          <w:lang w:eastAsia="zh-CN"/>
        </w:rPr>
        <w:t>（</w:t>
      </w:r>
      <w:r>
        <w:rPr>
          <w:rFonts w:hint="eastAsia" w:ascii="黑体" w:hAnsi="黑体" w:eastAsia="黑体" w:cs="黑体"/>
          <w:color w:val="auto"/>
          <w:lang w:val="en-US" w:eastAsia="zh-CN"/>
        </w:rPr>
        <w:t>参考精益排程部分</w:t>
      </w:r>
      <w:r>
        <w:rPr>
          <w:rFonts w:hint="eastAsia" w:ascii="黑体" w:hAnsi="黑体" w:eastAsia="黑体" w:cs="黑体"/>
          <w:color w:val="auto"/>
          <w:lang w:eastAsia="zh-CN"/>
        </w:rPr>
        <w:t>）</w:t>
      </w:r>
      <w:bookmarkEnd w:id="45"/>
    </w:p>
    <w:p w14:paraId="1EAA0AC8">
      <w:pPr>
        <w:pStyle w:val="3"/>
        <w:bidi w:val="0"/>
        <w:rPr>
          <w:rFonts w:hint="eastAsia" w:ascii="黑体" w:hAnsi="黑体" w:eastAsia="黑体" w:cs="黑体"/>
        </w:rPr>
      </w:pPr>
      <w:bookmarkStart w:id="46" w:name="_Toc1614031550"/>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46"/>
    </w:p>
    <w:p w14:paraId="30EFD7C5">
      <w:r>
        <w:drawing>
          <wp:inline distT="0" distB="0" distL="114300" distR="114300">
            <wp:extent cx="5261610" cy="2877820"/>
            <wp:effectExtent l="0" t="0" r="21590" b="1778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80"/>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47" w:name="_Toc14831946"/>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47"/>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81"/>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8" w:name="_Toc172413370"/>
      <w:r>
        <w:rPr>
          <w:rFonts w:hint="eastAsia" w:ascii="黑体" w:hAnsi="黑体" w:eastAsia="黑体" w:cs="黑体"/>
        </w:rPr>
        <w:t>SCOS技术蓝图交付物</w:t>
      </w:r>
      <w:bookmarkEnd w:id="48"/>
    </w:p>
    <w:p w14:paraId="195C94E7">
      <w:pPr>
        <w:pStyle w:val="3"/>
        <w:bidi w:val="0"/>
        <w:rPr>
          <w:rFonts w:hint="eastAsia" w:ascii="黑体" w:hAnsi="黑体" w:eastAsia="黑体" w:cs="黑体"/>
          <w:b/>
          <w:bCs w:val="0"/>
        </w:rPr>
      </w:pPr>
      <w:bookmarkStart w:id="49" w:name="_PLM数据流架构图"/>
      <w:bookmarkStart w:id="50" w:name="_Toc6848"/>
      <w:bookmarkStart w:id="51" w:name="_Toc796069787"/>
      <w:bookmarkStart w:id="52"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9"/>
      <w:bookmarkEnd w:id="50"/>
      <w:bookmarkEnd w:id="51"/>
    </w:p>
    <w:bookmarkEnd w:id="52"/>
    <w:p w14:paraId="17092E0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2D05C50F">
      <w:pPr>
        <w:keepNext/>
        <w:keepLines/>
        <w:spacing w:before="0" w:after="0"/>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82"/>
                    <a:stretch>
                      <a:fillRect/>
                    </a:stretch>
                  </pic:blipFill>
                  <pic:spPr>
                    <a:xfrm>
                      <a:off x="0" y="0"/>
                      <a:ext cx="5276088" cy="2931526"/>
                    </a:xfrm>
                    <a:prstGeom prst="rect">
                      <a:avLst/>
                    </a:prstGeom>
                  </pic:spPr>
                </pic:pic>
              </a:graphicData>
            </a:graphic>
          </wp:inline>
        </w:drawing>
      </w:r>
    </w:p>
    <w:p w14:paraId="12279848">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图5-1  SCOS总体数据流架构图</w:t>
      </w:r>
    </w:p>
    <w:p w14:paraId="323E30AF">
      <w:pPr>
        <w:keepNext/>
        <w:keepLines/>
        <w:pageBreakBefore/>
        <w:spacing w:before="0" w:after="0"/>
        <w:jc w:val="center"/>
      </w:pPr>
      <w:r>
        <w:drawing>
          <wp:inline distT="0" distB="0" distL="114300" distR="114300">
            <wp:extent cx="5275580" cy="2967355"/>
            <wp:effectExtent l="0" t="0" r="762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3"/>
                    <a:stretch>
                      <a:fillRect/>
                    </a:stretch>
                  </pic:blipFill>
                  <pic:spPr>
                    <a:xfrm>
                      <a:off x="0" y="0"/>
                      <a:ext cx="5276088" cy="2967800"/>
                    </a:xfrm>
                    <a:prstGeom prst="rect">
                      <a:avLst/>
                    </a:prstGeom>
                  </pic:spPr>
                </pic:pic>
              </a:graphicData>
            </a:graphic>
          </wp:inline>
        </w:drawing>
      </w:r>
    </w:p>
    <w:p w14:paraId="50F908EF">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图5-2  供应链驾驶舱数据流架构图</w:t>
      </w:r>
    </w:p>
    <w:p w14:paraId="3E4BFECD">
      <w:pPr>
        <w:keepNext/>
        <w:keepLines/>
        <w:spacing w:before="0" w:after="0"/>
        <w:jc w:val="center"/>
      </w:pPr>
      <w:r>
        <w:drawing>
          <wp:inline distT="0" distB="0" distL="114300" distR="114300">
            <wp:extent cx="5275580" cy="2967355"/>
            <wp:effectExtent l="0" t="0" r="762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4"/>
                    <a:stretch>
                      <a:fillRect/>
                    </a:stretch>
                  </pic:blipFill>
                  <pic:spPr>
                    <a:xfrm>
                      <a:off x="0" y="0"/>
                      <a:ext cx="5276088" cy="2967800"/>
                    </a:xfrm>
                    <a:prstGeom prst="rect">
                      <a:avLst/>
                    </a:prstGeom>
                  </pic:spPr>
                </pic:pic>
              </a:graphicData>
            </a:graphic>
          </wp:inline>
        </w:drawing>
      </w:r>
    </w:p>
    <w:p w14:paraId="35E7D68E">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图5-3  采购决策优化模块数据流架构图</w:t>
      </w:r>
    </w:p>
    <w:p w14:paraId="5DB8B890">
      <w:pPr>
        <w:keepNext/>
        <w:keepLines/>
        <w:pageBreakBefore/>
        <w:spacing w:before="0" w:after="0"/>
        <w:jc w:val="center"/>
      </w:pPr>
      <w:r>
        <w:drawing>
          <wp:inline distT="0" distB="0" distL="114300" distR="114300">
            <wp:extent cx="5275580" cy="2967355"/>
            <wp:effectExtent l="0" t="0" r="762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5"/>
                    <a:stretch>
                      <a:fillRect/>
                    </a:stretch>
                  </pic:blipFill>
                  <pic:spPr>
                    <a:xfrm>
                      <a:off x="0" y="0"/>
                      <a:ext cx="5276088" cy="2967800"/>
                    </a:xfrm>
                    <a:prstGeom prst="rect">
                      <a:avLst/>
                    </a:prstGeom>
                  </pic:spPr>
                </pic:pic>
              </a:graphicData>
            </a:graphic>
          </wp:inline>
        </w:drawing>
      </w:r>
    </w:p>
    <w:p w14:paraId="49ABA449">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图5-4  安全库存优化模块数据流架构图</w:t>
      </w:r>
    </w:p>
    <w:p w14:paraId="18A6B596">
      <w:pPr>
        <w:keepNext/>
        <w:keepLines/>
        <w:spacing w:before="0" w:after="0"/>
        <w:jc w:val="center"/>
      </w:pPr>
      <w:r>
        <w:drawing>
          <wp:inline distT="0" distB="0" distL="114300" distR="114300">
            <wp:extent cx="5275580" cy="2967355"/>
            <wp:effectExtent l="0" t="0" r="762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6"/>
                    <a:stretch>
                      <a:fillRect/>
                    </a:stretch>
                  </pic:blipFill>
                  <pic:spPr>
                    <a:xfrm>
                      <a:off x="0" y="0"/>
                      <a:ext cx="5276088" cy="2967800"/>
                    </a:xfrm>
                    <a:prstGeom prst="rect">
                      <a:avLst/>
                    </a:prstGeom>
                  </pic:spPr>
                </pic:pic>
              </a:graphicData>
            </a:graphic>
          </wp:inline>
        </w:drawing>
      </w:r>
    </w:p>
    <w:p w14:paraId="3A7E2CC8">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图5-5  精益生产排程模块数据流架构图</w:t>
      </w:r>
    </w:p>
    <w:p w14:paraId="43384870">
      <w:pPr>
        <w:keepNext/>
        <w:keepLines/>
        <w:pageBreakBefore/>
        <w:spacing w:before="0" w:after="0"/>
        <w:jc w:val="center"/>
      </w:pPr>
      <w:r>
        <w:drawing>
          <wp:inline distT="0" distB="0" distL="114300" distR="114300">
            <wp:extent cx="5275580" cy="2967355"/>
            <wp:effectExtent l="0" t="0" r="762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7"/>
                    <a:stretch>
                      <a:fillRect/>
                    </a:stretch>
                  </pic:blipFill>
                  <pic:spPr>
                    <a:xfrm>
                      <a:off x="0" y="0"/>
                      <a:ext cx="5276088" cy="2967800"/>
                    </a:xfrm>
                    <a:prstGeom prst="rect">
                      <a:avLst/>
                    </a:prstGeom>
                  </pic:spPr>
                </pic:pic>
              </a:graphicData>
            </a:graphic>
          </wp:inline>
        </w:drawing>
      </w:r>
    </w:p>
    <w:p w14:paraId="60746388">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图5-6  统计与成本核算分析模块数据流架构图</w:t>
      </w:r>
    </w:p>
    <w:p w14:paraId="398738BC">
      <w:pPr>
        <w:keepNext/>
        <w:keepLines/>
        <w:spacing w:before="0" w:after="0"/>
        <w:jc w:val="center"/>
      </w:pPr>
      <w:r>
        <w:drawing>
          <wp:inline distT="0" distB="0" distL="114300" distR="114300">
            <wp:extent cx="5275580" cy="2967355"/>
            <wp:effectExtent l="0" t="0" r="762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8"/>
                    <a:stretch>
                      <a:fillRect/>
                    </a:stretch>
                  </pic:blipFill>
                  <pic:spPr>
                    <a:xfrm>
                      <a:off x="0" y="0"/>
                      <a:ext cx="5276088" cy="2967800"/>
                    </a:xfrm>
                    <a:prstGeom prst="rect">
                      <a:avLst/>
                    </a:prstGeom>
                  </pic:spPr>
                </pic:pic>
              </a:graphicData>
            </a:graphic>
          </wp:inline>
        </w:drawing>
      </w:r>
    </w:p>
    <w:p w14:paraId="1820EDB5">
      <w:pPr>
        <w:pStyle w:val="5"/>
        <w:keepNext w:val="0"/>
        <w:keepLines/>
        <w:spacing w:before="0" w:after="60"/>
        <w:jc w:val="center"/>
        <w:rPr>
          <w:rFonts w:hint="default" w:ascii="Times New Roman" w:hAnsi="Times New Roman" w:eastAsia="宋体"/>
          <w:sz w:val="18"/>
          <w:lang w:val="en-US" w:eastAsia="zh-CN"/>
        </w:rPr>
      </w:pPr>
      <w:r>
        <w:rPr>
          <w:rFonts w:ascii="宋体" w:hAnsi="宋体" w:eastAsia="宋体"/>
          <w:color w:val="000000"/>
          <w:sz w:val="21"/>
        </w:rPr>
        <w:t>图5-7  供应链全程追溯与协同分析模块数据流架构图</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300"/>
        <w:gridCol w:w="950"/>
        <w:gridCol w:w="950"/>
        <w:gridCol w:w="1450"/>
        <w:gridCol w:w="800"/>
        <w:gridCol w:w="900"/>
        <w:gridCol w:w="900"/>
        <w:gridCol w:w="3214"/>
      </w:tblGrid>
      <w:tr w14:paraId="480862CF">
        <w:trPr>
          <w:cantSplit/>
          <w:trHeight w:val="360" w:hRule="atLeast"/>
          <w:tblHeader/>
        </w:trPr>
        <w:tc>
          <w:tcPr>
            <w:tcW w:w="1300"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950"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950"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450"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集成方式</w:t>
            </w:r>
          </w:p>
        </w:tc>
        <w:tc>
          <w:tcPr>
            <w:tcW w:w="800" w:type="dxa"/>
            <w:vAlign w:val="center"/>
          </w:tcPr>
          <w:p w14:paraId="217E8B5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90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900"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214"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300"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950"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950"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450"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4BCC1F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900"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3214"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300"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950"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950"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450"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635A06C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900"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3214"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300"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950"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950"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450"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54184E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900"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3214"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300"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950"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950"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450"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3168B5A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900"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3214"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300"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950"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950"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450"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5BEB4E7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900"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3214"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300"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950"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950"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450"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1F800C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3214"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300"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950"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950"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450"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0302203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3214"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300"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950"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950"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450"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358EA3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3214"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300"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950"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950"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450"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2C7726A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3214"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300"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950"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950"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450"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7D859D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3214"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300"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950"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950"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450"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453B6DA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3214"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300"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950"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950"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450"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161C914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900"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3214"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300"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950"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950"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450"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56EDAB2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3214"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300"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950"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950"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450"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5A4B7D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900"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3214"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300"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950"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950"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450"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21CE293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900"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3214"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300"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950"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950"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450"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0B64FD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900"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3214"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300"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950"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950"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450"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企业服务总线（事件）：订阅</w:t>
            </w:r>
          </w:p>
        </w:tc>
        <w:tc>
          <w:tcPr>
            <w:tcW w:w="800" w:type="dxa"/>
            <w:vAlign w:val="center"/>
          </w:tcPr>
          <w:p w14:paraId="628829B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900"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3214"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300"/>
        <w:gridCol w:w="950"/>
        <w:gridCol w:w="950"/>
        <w:gridCol w:w="1450"/>
        <w:gridCol w:w="800"/>
        <w:gridCol w:w="900"/>
        <w:gridCol w:w="900"/>
        <w:gridCol w:w="3214"/>
      </w:tblGrid>
      <w:tr w14:paraId="0019F11B">
        <w:trPr>
          <w:cantSplit/>
          <w:trHeight w:val="360" w:hRule="atLeast"/>
          <w:tblHeader/>
        </w:trPr>
        <w:tc>
          <w:tcPr>
            <w:tcW w:w="1300"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950"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950"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450"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集成方式</w:t>
            </w:r>
          </w:p>
        </w:tc>
        <w:tc>
          <w:tcPr>
            <w:tcW w:w="800" w:type="dxa"/>
            <w:vAlign w:val="center"/>
          </w:tcPr>
          <w:p w14:paraId="03DE010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900"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900"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214"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300"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950"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950"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450"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1595A34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214"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300"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950"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950"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450"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27A835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214"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300"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950"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950"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450"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71AC9E3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214"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300"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950"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950"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450"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607675B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214"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300"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950"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950"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450"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153456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214"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300"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950"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950"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450"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企业服务总线（事件）：发布</w:t>
            </w:r>
          </w:p>
        </w:tc>
        <w:tc>
          <w:tcPr>
            <w:tcW w:w="800" w:type="dxa"/>
            <w:vAlign w:val="center"/>
          </w:tcPr>
          <w:p w14:paraId="0F90FB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900"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900"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214"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53" w:name="_Toc25033"/>
      <w:bookmarkStart w:id="54" w:name="_Toc721789299"/>
      <w:bookmarkStart w:id="55"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53"/>
      <w:bookmarkEnd w:id="54"/>
    </w:p>
    <w:bookmarkEnd w:id="55"/>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供应链驾驶舱、采购决策优化模块、安全库存优化模块、精益生产排程模块、统计与成本核算分析模块、供应链全程追溯与协同分析模块。来源字段名标注“建议：”的内容为字段级接口对齐前的候选逻辑字段，正式设计时应替换为经源系统确认的物理字段。</w:t>
      </w:r>
    </w:p>
    <w:p w14:paraId="6F8FAFD0">
      <w:pPr>
        <w:pStyle w:val="4"/>
        <w:bidi w:val="0"/>
        <w:rPr>
          <w:rFonts w:hint="eastAsia" w:ascii="黑体" w:hAnsi="黑体" w:eastAsia="黑体" w:cs="黑体"/>
        </w:rPr>
      </w:pPr>
      <w:bookmarkStart w:id="56" w:name="_Toc2125110037"/>
      <w:r>
        <w:rPr>
          <w:rFonts w:ascii="黑体" w:hAnsi="黑体" w:eastAsia="黑体"/>
          <w:b/>
          <w:sz w:val="24"/>
        </w:rPr>
        <w:t>供应链驾驶舱</w:t>
      </w:r>
      <w:bookmarkEnd w:id="56"/>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5DD089D2">
      <w:pPr>
        <w:pStyle w:val="4"/>
        <w:bidi w:val="0"/>
        <w:rPr>
          <w:rFonts w:hint="eastAsia" w:ascii="黑体" w:hAnsi="黑体" w:eastAsia="黑体" w:cs="黑体"/>
        </w:rPr>
      </w:pPr>
      <w:bookmarkStart w:id="57" w:name="_Toc1923858602"/>
      <w:r>
        <w:rPr>
          <w:rFonts w:ascii="黑体" w:hAnsi="黑体" w:eastAsia="黑体"/>
          <w:b/>
          <w:sz w:val="24"/>
        </w:rPr>
        <w:t>采购决策优化模块</w:t>
      </w:r>
      <w:bookmarkEnd w:id="57"/>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6"/>
        <w:bidi w:val="0"/>
        <w:rPr>
          <w:rFonts w:hint="eastAsia" w:ascii="黑体" w:hAnsi="黑体" w:eastAsia="黑体" w:cs="黑体"/>
        </w:rPr>
      </w:pPr>
      <w:r>
        <w:rPr>
          <w:rFonts w:ascii="黑体" w:hAnsi="黑体" w:eastAsia="黑体"/>
          <w:b/>
          <w:sz w:val="24"/>
        </w:rPr>
        <w:t>原辅包到货与要货协同数据对象</w:t>
      </w:r>
    </w:p>
    <w:p w14:paraId="4D1FC362">
      <w:pPr>
        <w:pStyle w:val="7"/>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7"/>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7"/>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7"/>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7"/>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7"/>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7"/>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7"/>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7FE2584">
      <w:pPr>
        <w:pStyle w:val="4"/>
        <w:bidi w:val="0"/>
        <w:rPr>
          <w:rFonts w:hint="eastAsia" w:ascii="黑体" w:hAnsi="黑体" w:eastAsia="黑体" w:cs="黑体"/>
        </w:rPr>
      </w:pPr>
      <w:bookmarkStart w:id="58" w:name="_Toc1777734582"/>
      <w:r>
        <w:rPr>
          <w:rFonts w:ascii="黑体" w:hAnsi="黑体" w:eastAsia="黑体"/>
          <w:b/>
          <w:sz w:val="24"/>
        </w:rPr>
        <w:t>安全库存优化模块</w:t>
      </w:r>
      <w:bookmarkEnd w:id="5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9" w:name="_Toc445138963"/>
      <w:r>
        <w:rPr>
          <w:rFonts w:ascii="黑体" w:hAnsi="黑体" w:eastAsia="黑体"/>
          <w:b/>
          <w:sz w:val="24"/>
        </w:rPr>
        <w:t>统计与成本核算分析模块</w:t>
      </w:r>
      <w:bookmarkEnd w:id="59"/>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A2334DA">
      <w:pPr>
        <w:pStyle w:val="2"/>
        <w:keepNext/>
        <w:pageBreakBefore/>
        <w:rPr>
          <w:rFonts w:hint="eastAsia" w:ascii="黑体" w:hAnsi="黑体" w:eastAsia="黑体" w:cs="黑体"/>
          <w:color w:val="auto"/>
        </w:rPr>
      </w:pPr>
      <w:bookmarkStart w:id="60" w:name="_Toc1765008640"/>
      <w:bookmarkStart w:id="61" w:name="_【待优化-格式不对】SCOS集成接口规范"/>
      <w:r>
        <w:rPr>
          <w:rFonts w:hint="eastAsia" w:ascii="黑体" w:hAnsi="黑体" w:eastAsia="黑体" w:cs="黑体"/>
          <w:b/>
          <w:color w:val="auto"/>
          <w:sz w:val="32"/>
        </w:rPr>
        <w:t>SCOS集成接口规范</w:t>
      </w:r>
      <w:bookmarkEnd w:id="60"/>
    </w:p>
    <w:tbl>
      <w:tblPr>
        <w:tblStyle w:val="31"/>
        <w:tblW w:w="10496" w:type="dxa"/>
        <w:jc w:val="center"/>
        <w:tblLayout w:type="fixed"/>
        <w:tblCellMar>
          <w:top w:w="0" w:type="dxa"/>
          <w:left w:w="108" w:type="dxa"/>
          <w:bottom w:w="0" w:type="dxa"/>
          <w:right w:w="108" w:type="dxa"/>
        </w:tblCellMar>
      </w:tblPr>
      <w:tblGrid>
        <w:gridCol w:w="500"/>
        <w:gridCol w:w="900"/>
        <w:gridCol w:w="1000"/>
        <w:gridCol w:w="1900"/>
        <w:gridCol w:w="1300"/>
        <w:gridCol w:w="700"/>
        <w:gridCol w:w="750"/>
        <w:gridCol w:w="900"/>
        <w:gridCol w:w="1000"/>
        <w:gridCol w:w="1546"/>
      </w:tblGrid>
      <w:tr w14:paraId="20B8A182">
        <w:trPr>
          <w:cantSplit/>
          <w:trHeight w:val="0" w:hRule="atLeast"/>
          <w:tblHeader/>
          <w:jc w:val="center"/>
        </w:trPr>
        <w:tc>
          <w:tcPr>
            <w:tcW w:w="500"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900"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0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1900"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1300"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集成方式</w:t>
            </w:r>
          </w:p>
        </w:tc>
        <w:tc>
          <w:tcPr>
            <w:tcW w:w="700" w:type="dxa"/>
            <w:vAlign w:val="center"/>
          </w:tcPr>
          <w:p w14:paraId="689366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750"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900"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000"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546"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500"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900"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0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1900"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1300"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07AB61C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900"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000"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546"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500"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900"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0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1900"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1300"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551B68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900"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000"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546"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500"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900"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0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1900"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1300"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3D6CDBF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900"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000"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546"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500"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900"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0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1900"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1300"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42BCC5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900"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000"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546"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500"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900"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0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1900"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1300"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1C4721C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900"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000"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546"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500"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900"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0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1900"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1300"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3F2E8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000"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546"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500"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900"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0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1900"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1300"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4811CB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000"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546"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500"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900"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0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1900"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1300"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78AF3B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000"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546"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500"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900"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0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1900"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1300"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68C92DA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000"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546"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500"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900"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0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1900"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1300"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2CB0F4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000"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546"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500"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900"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0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1900"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1300"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1A01D52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000"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546"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500"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900"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0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1900"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1300"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4A4D85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900"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000"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546"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500"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900"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0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1900"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1300"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157E569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000"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546"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500"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900"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0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1900"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1300"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37F0F91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900"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000"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546"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500"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900"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0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1900"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1300"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709AF8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900"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000"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546"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500"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900"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0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1900"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1300"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7C761FC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900"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000"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546"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500"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900"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0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1900"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1300"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企业服务总线（事件）：订阅</w:t>
            </w:r>
          </w:p>
        </w:tc>
        <w:tc>
          <w:tcPr>
            <w:tcW w:w="700" w:type="dxa"/>
            <w:vAlign w:val="center"/>
          </w:tcPr>
          <w:p w14:paraId="04DD6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900"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000"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546"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500"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900"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0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1900"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1300"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3A8FAB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000"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546"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500"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900"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0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1900"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1300"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449745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000"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546"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500"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900"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0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1900"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1300"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7ADE21D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000"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546"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500"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900"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0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1900"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1300"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567BE3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000"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546"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500"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900"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0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1900"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1300"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73D64B9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000"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546"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500"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900"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0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1900"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1300"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企业服务总线（事件）：发布</w:t>
            </w:r>
          </w:p>
        </w:tc>
        <w:tc>
          <w:tcPr>
            <w:tcW w:w="700" w:type="dxa"/>
            <w:vAlign w:val="center"/>
          </w:tcPr>
          <w:p w14:paraId="0AF50CA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750"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900"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000"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546"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61"/>
    <w:p w14:paraId="259758A1">
      <w:pPr>
        <w:pStyle w:val="2"/>
        <w:keepNext/>
        <w:pageBreakBefore/>
        <w:rPr>
          <w:rFonts w:hint="eastAsia" w:ascii="黑体" w:hAnsi="黑体" w:eastAsia="黑体" w:cs="黑体"/>
          <w:color w:val="auto"/>
        </w:rPr>
      </w:pPr>
      <w:bookmarkStart w:id="62" w:name="_Toc1308596469"/>
      <w:bookmarkStart w:id="63" w:name="_【待优化-格式不对】SCOS业务场景-智能化覆盖率映射表"/>
      <w:r>
        <w:rPr>
          <w:rFonts w:hint="eastAsia" w:ascii="黑体" w:hAnsi="黑体" w:eastAsia="黑体" w:cs="黑体"/>
          <w:b/>
          <w:color w:val="auto"/>
          <w:sz w:val="32"/>
        </w:rPr>
        <w:t>SCOS业务场景-智能化覆盖率映射表</w:t>
      </w:r>
      <w:bookmarkEnd w:id="62"/>
    </w:p>
    <w:bookmarkEnd w:id="63"/>
    <w:p w14:paraId="5530E875">
      <w:pPr>
        <w:pStyle w:val="3"/>
        <w:bidi w:val="0"/>
        <w:rPr>
          <w:rFonts w:hint="eastAsia" w:ascii="黑体" w:hAnsi="黑体" w:eastAsia="黑体" w:cs="黑体"/>
        </w:rPr>
      </w:pPr>
      <w:bookmarkStart w:id="64" w:name="_Toc1200825556"/>
      <w:r>
        <w:rPr>
          <w:rFonts w:hint="eastAsia" w:ascii="黑体" w:hAnsi="黑体" w:eastAsia="黑体" w:cs="黑体"/>
        </w:rPr>
        <w:t>智能化场景清单</w:t>
      </w:r>
      <w:bookmarkEnd w:id="64"/>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default"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t>参考精益排程部分</w:t>
            </w: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65" w:name="_Toc223805186"/>
      <w:r>
        <w:rPr>
          <w:rFonts w:hint="eastAsia" w:ascii="黑体" w:hAnsi="黑体" w:eastAsia="黑体" w:cs="黑体"/>
        </w:rPr>
        <w:t>场景验收指标</w:t>
      </w:r>
      <w:bookmarkEnd w:id="65"/>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w:t>
            </w:r>
            <w:r>
              <w:rPr>
                <w:rFonts w:hint="eastAsia" w:ascii="宋体" w:hAnsi="宋体"/>
                <w:sz w:val="20"/>
                <w:szCs w:val="22"/>
                <w:lang w:val="en-US" w:eastAsia="zh-CN"/>
              </w:rPr>
              <w:t>生产相关</w:t>
            </w:r>
            <w:r>
              <w:rPr>
                <w:rFonts w:hint="default" w:ascii="宋体" w:hAnsi="宋体" w:eastAsia="宋体"/>
                <w:sz w:val="20"/>
                <w:szCs w:val="22"/>
              </w:rPr>
              <w:t>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w:t>
            </w:r>
            <w:r>
              <w:rPr>
                <w:rFonts w:hint="eastAsia" w:ascii="宋体" w:hAnsi="宋体"/>
                <w:sz w:val="20"/>
                <w:szCs w:val="22"/>
                <w:lang w:val="en-US" w:eastAsia="zh-CN"/>
              </w:rPr>
              <w:t>10</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66" w:name="_Toc1249895205"/>
      <w:r>
        <w:rPr>
          <w:rFonts w:hint="eastAsia" w:ascii="黑体" w:hAnsi="黑体" w:eastAsia="黑体" w:cs="黑体"/>
          <w:color w:val="auto"/>
        </w:rPr>
        <w:t>智能化场景覆盖率</w:t>
      </w:r>
      <w:bookmarkEnd w:id="66"/>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7" w:name="_Toc303675481"/>
      <w:bookmarkStart w:id="68" w:name="_SCOS非功能性需求响应表"/>
      <w:r>
        <w:rPr>
          <w:rFonts w:hint="eastAsia" w:ascii="黑体" w:hAnsi="黑体" w:eastAsia="黑体" w:cs="黑体"/>
          <w:b/>
          <w:color w:val="auto"/>
          <w:sz w:val="32"/>
        </w:rPr>
        <w:t>SCOS非功能性需求响应表</w:t>
      </w:r>
      <w:bookmarkEnd w:id="67"/>
    </w:p>
    <w:bookmarkEnd w:id="68"/>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02E5207">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对供应链驾驶舱、采购决策优化、安全库存优化、精益生产排程、统计与成本核算分析、供应链全程追溯与协同分析六大模块涉及的计划、订单、库存、成本和批次数据实施版本受控、流程复核、变更管理与全链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0522D6D2">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第二章 SCOS全局供应链优化与协同系统功能描述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第三章 SCOS业务蓝图交付物</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第五章 SCOS技术蓝图交付物</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13EAC168">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围绕六大业务模块建立结构化字段、枚举、必填校验、模板和流程节点，支持排程规则、优化参数、复核流程及协同任务的灵活配置。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0591A769">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第二章 系统一级/二级功能清单</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第三章 业务流程、权限与业务规则</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3E3325A8">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采用统一集成与数据服务层，通过企业服务总线（事件）按订阅/发布方式传递业务事件；协议层采用HTTP API并配置重试、幂等、防重、错误码、补偿和人工介入机制，保障跨系统事务一致性。</w:t>
            </w:r>
          </w:p>
        </w:tc>
        <w:tc>
          <w:tcPr>
            <w:tcW w:w="2135" w:type="dxa"/>
            <w:tcBorders>
              <w:tl2br w:val="nil"/>
              <w:tr2bl w:val="nil"/>
            </w:tcBorders>
            <w:shd w:val="clear" w:color="auto" w:fill="auto"/>
            <w:vAlign w:val="center"/>
          </w:tcPr>
          <w:p w14:paraId="61644242">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企业服务总线事件订阅/发布、HTTP API、身份鉴权、幂等控制、完整链路日志、异常补偿与接口监控。</w:t>
            </w:r>
          </w:p>
        </w:tc>
        <w:tc>
          <w:tcPr>
            <w:tcW w:w="2021" w:type="dxa"/>
            <w:tcBorders>
              <w:tl2br w:val="nil"/>
              <w:tr2bl w:val="nil"/>
            </w:tcBorders>
            <w:shd w:val="clear" w:color="auto" w:fill="auto"/>
            <w:vAlign w:val="center"/>
          </w:tcPr>
          <w:p w14:paraId="11B64410">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第五章 5.1 SCOS数据流架构图</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第六章 SCOS集成接口规范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31D0058A">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第三章 3.4 SCOS角色权限矩阵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4EAD5D07">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第二章 模块协同与端到端闭环</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第八章 SCOS非功能性需求响应表</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738D7439">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第八章 SCOS非功能性需求响应表</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w:t>
            </w:r>
            <w:r>
              <w:rPr>
                <w:rStyle w:val="82"/>
                <w:rFonts w:hint="eastAsia"/>
                <w:sz w:val="21"/>
                <w:szCs w:val="21"/>
                <w:lang w:val="en-US" w:eastAsia="zh-CN" w:bidi="ar"/>
              </w:rPr>
              <w:t>5</w:t>
            </w:r>
            <w:r>
              <w:rPr>
                <w:rStyle w:val="82"/>
                <w:sz w:val="21"/>
                <w:szCs w:val="21"/>
                <w:lang w:val="en-US" w:eastAsia="zh-CN" w:bidi="ar"/>
              </w:rPr>
              <w:t>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72D872CF">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第八章 SCOS非功能性需求响应表</w:t>
            </w:r>
          </w:p>
        </w:tc>
      </w:tr>
    </w:tbl>
    <w:p w14:paraId="475E5FFC"/>
    <w:p w14:paraId="3F478F35">
      <w:pPr>
        <w:pStyle w:val="2"/>
        <w:keepNext/>
        <w:pageBreakBefore/>
        <w:rPr>
          <w:rFonts w:hint="eastAsia" w:ascii="黑体" w:hAnsi="黑体" w:eastAsia="黑体" w:cs="黑体"/>
          <w:color w:val="auto"/>
        </w:rPr>
      </w:pPr>
      <w:bookmarkStart w:id="69" w:name="_Toc1452663895"/>
      <w:r>
        <w:rPr>
          <w:rFonts w:hint="eastAsia" w:ascii="黑体" w:hAnsi="黑体" w:eastAsia="黑体" w:cs="黑体"/>
          <w:b/>
          <w:color w:val="auto"/>
          <w:sz w:val="32"/>
        </w:rPr>
        <w:t>SCOS蓝图交付物清单</w:t>
      </w:r>
      <w:bookmarkEnd w:id="69"/>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4589E84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交付内容/规模</w:t>
            </w:r>
          </w:p>
        </w:tc>
        <w:tc>
          <w:tcPr>
            <w:tcW w:w="2625" w:type="dxa"/>
            <w:tcBorders>
              <w:tl2br w:val="nil"/>
              <w:tr2bl w:val="nil"/>
            </w:tcBorders>
            <w:noWrap w:val="0"/>
            <w:tcMar>
              <w:top w:w="-1" w:type="dxa"/>
              <w:left w:w="-1" w:type="dxa"/>
              <w:bottom w:w="-1" w:type="dxa"/>
              <w:right w:w="-1" w:type="dxa"/>
            </w:tcMar>
            <w:vAlign w:val="center"/>
          </w:tcPr>
          <w:p w14:paraId="723CB5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对应文档章节</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613B32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546AF0C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SCOS系统功能描述</w:t>
            </w:r>
          </w:p>
        </w:tc>
        <w:tc>
          <w:tcPr>
            <w:tcW w:w="1080" w:type="dxa"/>
            <w:tcBorders>
              <w:tl2br w:val="nil"/>
              <w:tr2bl w:val="nil"/>
            </w:tcBorders>
            <w:noWrap w:val="0"/>
            <w:tcMar>
              <w:top w:w="-1" w:type="dxa"/>
              <w:left w:w="-1" w:type="dxa"/>
              <w:bottom w:w="-1" w:type="dxa"/>
              <w:right w:w="-1" w:type="dxa"/>
            </w:tcMar>
            <w:vAlign w:val="center"/>
          </w:tcPr>
          <w:p w14:paraId="6F286A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161EF6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"_Toc1181683356"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系统功能视图、一级/二级功能清单、模块协同与端到端闭环</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5546AB5A">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二、SCOS全局供应链优化与协同系统功能描述</w:t>
            </w:r>
          </w:p>
        </w:tc>
        <w:tc>
          <w:tcPr>
            <w:tcW w:w="1090" w:type="dxa"/>
            <w:tcBorders>
              <w:tl2br w:val="nil"/>
              <w:tr2bl w:val="nil"/>
            </w:tcBorders>
            <w:noWrap w:val="0"/>
            <w:tcMar>
              <w:top w:w="-1" w:type="dxa"/>
              <w:left w:w="-1" w:type="dxa"/>
              <w:bottom w:w="-1" w:type="dxa"/>
              <w:right w:w="-1" w:type="dxa"/>
            </w:tcMar>
            <w:vAlign w:val="center"/>
          </w:tcPr>
          <w:p w14:paraId="42D7A8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F188DB7">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4DE57E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061F213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SCOS业务流程总览</w:t>
            </w:r>
          </w:p>
        </w:tc>
        <w:tc>
          <w:tcPr>
            <w:tcW w:w="1080" w:type="dxa"/>
            <w:tcBorders>
              <w:tl2br w:val="nil"/>
              <w:tr2bl w:val="nil"/>
            </w:tcBorders>
            <w:noWrap w:val="0"/>
            <w:tcMar>
              <w:top w:w="-1" w:type="dxa"/>
              <w:left w:w="-1" w:type="dxa"/>
              <w:bottom w:w="-1" w:type="dxa"/>
              <w:right w:w="-1" w:type="dxa"/>
            </w:tcMar>
            <w:vAlign w:val="center"/>
          </w:tcPr>
          <w:p w14:paraId="7B62C5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7558C8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4C63CAD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 SCOS业务流程总览</w:t>
            </w:r>
          </w:p>
        </w:tc>
        <w:tc>
          <w:tcPr>
            <w:tcW w:w="1090" w:type="dxa"/>
            <w:tcBorders>
              <w:tl2br w:val="nil"/>
              <w:tr2bl w:val="nil"/>
            </w:tcBorders>
            <w:noWrap w:val="0"/>
            <w:tcMar>
              <w:top w:w="-1" w:type="dxa"/>
              <w:left w:w="-1" w:type="dxa"/>
              <w:bottom w:w="-1" w:type="dxa"/>
              <w:right w:w="-1" w:type="dxa"/>
            </w:tcMar>
            <w:vAlign w:val="center"/>
          </w:tcPr>
          <w:p w14:paraId="25CCC58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E0AE4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3</w:t>
            </w:r>
          </w:p>
        </w:tc>
        <w:tc>
          <w:tcPr>
            <w:tcW w:w="2246" w:type="dxa"/>
            <w:tcBorders>
              <w:tl2br w:val="nil"/>
              <w:tr2bl w:val="nil"/>
            </w:tcBorders>
            <w:noWrap w:val="0"/>
            <w:tcMar>
              <w:top w:w="-1" w:type="dxa"/>
              <w:left w:w="-1" w:type="dxa"/>
              <w:bottom w:w="-1" w:type="dxa"/>
              <w:right w:w="-1" w:type="dxa"/>
            </w:tcMar>
            <w:vAlign w:val="center"/>
          </w:tcPr>
          <w:p w14:paraId="5B0574C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C3A0D2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CFDE38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35BECA9A">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3.2 关键业务流程说明</w:t>
            </w:r>
          </w:p>
        </w:tc>
        <w:tc>
          <w:tcPr>
            <w:tcW w:w="1090" w:type="dxa"/>
            <w:tcBorders>
              <w:tl2br w:val="nil"/>
              <w:tr2bl w:val="nil"/>
            </w:tcBorders>
            <w:noWrap w:val="0"/>
            <w:tcMar>
              <w:top w:w="-1" w:type="dxa"/>
              <w:left w:w="-1" w:type="dxa"/>
              <w:bottom w:w="-1" w:type="dxa"/>
              <w:right w:w="-1" w:type="dxa"/>
            </w:tcMar>
            <w:vAlign w:val="center"/>
          </w:tcPr>
          <w:p w14:paraId="2F32C09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407882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05EE6E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F55067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6B47BD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983018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3.2.5 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2F592F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54262D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5</w:t>
            </w:r>
          </w:p>
        </w:tc>
        <w:tc>
          <w:tcPr>
            <w:tcW w:w="2246" w:type="dxa"/>
            <w:tcBorders>
              <w:tl2br w:val="nil"/>
              <w:tr2bl w:val="nil"/>
            </w:tcBorders>
            <w:shd w:val="clear" w:color="auto" w:fill="auto"/>
            <w:noWrap w:val="0"/>
            <w:tcMar>
              <w:top w:w="-1" w:type="dxa"/>
              <w:left w:w="-1" w:type="dxa"/>
              <w:bottom w:w="-1" w:type="dxa"/>
              <w:right w:w="-1" w:type="dxa"/>
            </w:tcMar>
            <w:vAlign w:val="center"/>
          </w:tcPr>
          <w:p w14:paraId="1946E21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55DDB18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99D044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SCOS功能架构图（含六大业务模块）</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8109BE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3.3 功能架构</w:t>
            </w:r>
          </w:p>
        </w:tc>
        <w:tc>
          <w:tcPr>
            <w:tcW w:w="1090" w:type="dxa"/>
            <w:tcBorders>
              <w:tl2br w:val="nil"/>
              <w:tr2bl w:val="nil"/>
            </w:tcBorders>
            <w:shd w:val="clear" w:color="auto" w:fill="auto"/>
            <w:noWrap w:val="0"/>
            <w:tcMar>
              <w:top w:w="-1" w:type="dxa"/>
              <w:left w:w="-1" w:type="dxa"/>
              <w:bottom w:w="-1" w:type="dxa"/>
              <w:right w:w="-1" w:type="dxa"/>
            </w:tcMar>
            <w:vAlign w:val="center"/>
          </w:tcPr>
          <w:p w14:paraId="7DCCCF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7D0E85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0ADB4A6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SCOS角色权限矩阵</w:t>
            </w:r>
          </w:p>
        </w:tc>
        <w:tc>
          <w:tcPr>
            <w:tcW w:w="1080" w:type="dxa"/>
            <w:tcBorders>
              <w:tl2br w:val="nil"/>
              <w:tr2bl w:val="nil"/>
            </w:tcBorders>
            <w:noWrap w:val="0"/>
            <w:tcMar>
              <w:top w:w="-1" w:type="dxa"/>
              <w:left w:w="-1" w:type="dxa"/>
              <w:bottom w:w="-1" w:type="dxa"/>
              <w:right w:w="-1" w:type="dxa"/>
            </w:tcMar>
            <w:vAlign w:val="center"/>
          </w:tcPr>
          <w:p w14:paraId="7E1F44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1036A98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3432830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3.4 SCOS角色权限矩阵</w:t>
            </w:r>
          </w:p>
        </w:tc>
        <w:tc>
          <w:tcPr>
            <w:tcW w:w="1090" w:type="dxa"/>
            <w:tcBorders>
              <w:tl2br w:val="nil"/>
              <w:tr2bl w:val="nil"/>
            </w:tcBorders>
            <w:noWrap w:val="0"/>
            <w:tcMar>
              <w:top w:w="-1" w:type="dxa"/>
              <w:left w:w="-1" w:type="dxa"/>
              <w:bottom w:w="-1" w:type="dxa"/>
              <w:right w:w="-1" w:type="dxa"/>
            </w:tcMar>
            <w:vAlign w:val="center"/>
          </w:tcPr>
          <w:p w14:paraId="0C63A2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6A47F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noWrap w:val="0"/>
            <w:tcMar>
              <w:top w:w="-1" w:type="dxa"/>
              <w:left w:w="-1" w:type="dxa"/>
              <w:bottom w:w="-1" w:type="dxa"/>
              <w:right w:w="-1" w:type="dxa"/>
            </w:tcMar>
            <w:vAlign w:val="center"/>
          </w:tcPr>
          <w:p w14:paraId="3106278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SCOS业务规则清单</w:t>
            </w:r>
          </w:p>
        </w:tc>
        <w:tc>
          <w:tcPr>
            <w:tcW w:w="1080" w:type="dxa"/>
            <w:tcBorders>
              <w:tl2br w:val="nil"/>
              <w:tr2bl w:val="nil"/>
            </w:tcBorders>
            <w:noWrap w:val="0"/>
            <w:tcMar>
              <w:top w:w="-1" w:type="dxa"/>
              <w:left w:w="-1" w:type="dxa"/>
              <w:bottom w:w="-1" w:type="dxa"/>
              <w:right w:w="-1" w:type="dxa"/>
            </w:tcMar>
            <w:vAlign w:val="center"/>
          </w:tcPr>
          <w:p w14:paraId="34DA6A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17060C6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B6C64C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3.5 SCOS业务规则清单</w:t>
            </w:r>
          </w:p>
        </w:tc>
        <w:tc>
          <w:tcPr>
            <w:tcW w:w="1090" w:type="dxa"/>
            <w:tcBorders>
              <w:tl2br w:val="nil"/>
              <w:tr2bl w:val="nil"/>
            </w:tcBorders>
            <w:noWrap w:val="0"/>
            <w:tcMar>
              <w:top w:w="-1" w:type="dxa"/>
              <w:left w:w="-1" w:type="dxa"/>
              <w:bottom w:w="-1" w:type="dxa"/>
              <w:right w:w="-1" w:type="dxa"/>
            </w:tcMar>
            <w:vAlign w:val="center"/>
          </w:tcPr>
          <w:p w14:paraId="6AAB3E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675E38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10C54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0A9EEAA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DB02CB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总体数据流架构图1张、六大模块数据流架构图6张，共7张</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226F344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5.1 SCOS数据流架构图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01D7D02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6002DD5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395E19B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655E17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ABE0D5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430E7E1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5.2 SCOS数据实体与字段映射表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928827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3C97D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26060C4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40C59B1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11D12B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"_Toc1072962254"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23项接口，含集成方式、协议方式、通信模式、路由及同步条件</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4B09A5A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六、SCOS集成接口规范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2758F88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6DDDB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496083C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006E7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7CB30F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"_Toc856419119"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A4DB51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七、SCOS业务场景-智能化覆盖率映射表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251DF9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4AECB8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2246" w:type="dxa"/>
            <w:tcBorders>
              <w:tl2br w:val="nil"/>
              <w:tr2bl w:val="nil"/>
            </w:tcBorders>
            <w:shd w:val="clear" w:color="auto" w:fill="auto"/>
            <w:noWrap w:val="0"/>
            <w:tcMar>
              <w:top w:w="-1" w:type="dxa"/>
              <w:left w:w="-1" w:type="dxa"/>
              <w:bottom w:w="-1" w:type="dxa"/>
              <w:right w:w="-1" w:type="dxa"/>
            </w:tcMar>
            <w:vAlign w:val="center"/>
          </w:tcPr>
          <w:p w14:paraId="2F1452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7A142E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701B552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CD9084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1AC15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4C11BA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13</w:t>
            </w:r>
          </w:p>
        </w:tc>
        <w:tc>
          <w:tcPr>
            <w:tcW w:w="2246" w:type="dxa"/>
            <w:tcBorders>
              <w:tl2br w:val="nil"/>
              <w:tr2bl w:val="nil"/>
            </w:tcBorders>
            <w:shd w:val="clear" w:color="auto" w:fill="auto"/>
            <w:noWrap w:val="0"/>
            <w:tcMar>
              <w:top w:w="-1" w:type="dxa"/>
              <w:left w:w="-1" w:type="dxa"/>
              <w:bottom w:w="-1" w:type="dxa"/>
              <w:right w:w="-1" w:type="dxa"/>
            </w:tcMar>
            <w:vAlign w:val="center"/>
          </w:tcPr>
          <w:p w14:paraId="4B82DB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049A31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2FBBCF2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"_Toc207433614"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5EBE52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九、SCOS蓝图交付物清单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FCCD7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79EA0"/>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589F"/>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7FF68"/>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2FCDA5"/>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1D2"/>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3FBD9"/>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8045"/>
    <w:rsid w:val="7EF7E7E9"/>
    <w:rsid w:val="7EF9328A"/>
    <w:rsid w:val="7EFA5242"/>
    <w:rsid w:val="7EFB0676"/>
    <w:rsid w:val="7EFB1DC1"/>
    <w:rsid w:val="7EFBB1D4"/>
    <w:rsid w:val="7EFBC792"/>
    <w:rsid w:val="7EFD77AB"/>
    <w:rsid w:val="7EFE9F53"/>
    <w:rsid w:val="7EFED8D8"/>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4381F"/>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C7233"/>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AB2C81"/>
    <w:rsid w:val="DFB74867"/>
    <w:rsid w:val="DFBBB8DD"/>
    <w:rsid w:val="DFBC2BA3"/>
    <w:rsid w:val="DFBD744E"/>
    <w:rsid w:val="DFBF709B"/>
    <w:rsid w:val="DFCD318B"/>
    <w:rsid w:val="DFCF5E34"/>
    <w:rsid w:val="DFD676CA"/>
    <w:rsid w:val="DFDDBDCC"/>
    <w:rsid w:val="DFDF40CB"/>
    <w:rsid w:val="DFED4BEC"/>
    <w:rsid w:val="DFF5E9FC"/>
    <w:rsid w:val="DFF5F5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DF7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2.xml"/><Relationship Id="rId90" Type="http://schemas.openxmlformats.org/officeDocument/2006/relationships/numbering" Target="numbering.xml"/><Relationship Id="rId9" Type="http://schemas.openxmlformats.org/officeDocument/2006/relationships/theme" Target="theme/theme1.xml"/><Relationship Id="rId89" Type="http://schemas.openxmlformats.org/officeDocument/2006/relationships/customXml" Target="../customXml/item1.xml"/><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footer" Target="footer4.xml"/><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svg"/><Relationship Id="rId72" Type="http://schemas.openxmlformats.org/officeDocument/2006/relationships/image" Target="media/image65.png"/><Relationship Id="rId71" Type="http://schemas.openxmlformats.org/officeDocument/2006/relationships/image" Target="media/image64.sv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svg"/><Relationship Id="rId68" Type="http://schemas.openxmlformats.org/officeDocument/2006/relationships/image" Target="media/image61.png"/><Relationship Id="rId67" Type="http://schemas.openxmlformats.org/officeDocument/2006/relationships/image" Target="media/image60.sv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sv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svg"/><Relationship Id="rId47" Type="http://schemas.openxmlformats.org/officeDocument/2006/relationships/image" Target="media/image40.png"/><Relationship Id="rId46" Type="http://schemas.openxmlformats.org/officeDocument/2006/relationships/image" Target="media/image39.sv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sv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226</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2011-06-25T22:57:00Z</dcterms:created>
  <dc:creator>fancl</dc:creator>
  <cp:lastModifiedBy>郭子豪</cp:lastModifiedBy>
  <dcterms:modified xsi:type="dcterms:W3CDTF">2026-10-29T22:50:05Z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