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5.svg" ContentType="image/svg+xml"/>
  <Override PartName="/word/media/image17.svg" ContentType="image/svg+xml"/>
  <Override PartName="/word/media/image19.svg" ContentType="image/svg+xml"/>
  <Override PartName="/word/media/image21.svg" ContentType="image/svg+xml"/>
  <Override PartName="/word/media/image23.svg" ContentType="image/svg+xml"/>
  <Override PartName="/word/media/image25.svg" ContentType="image/svg+xml"/>
  <Override PartName="/word/media/image27.svg" ContentType="image/svg+xml"/>
  <Override PartName="/word/media/image29.svg" ContentType="image/svg+xml"/>
  <Override PartName="/word/media/image31.svg" ContentType="image/svg+xml"/>
  <Override PartName="/word/media/image33.svg" ContentType="image/svg+xml"/>
  <Override PartName="/word/media/image35.svg" ContentType="image/svg+xml"/>
  <Override PartName="/word/media/image37.svg" ContentType="image/svg+xml"/>
  <Override PartName="/word/media/image39.svg" ContentType="image/svg+xml"/>
  <Override PartName="/word/media/image41.svg" ContentType="image/svg+xml"/>
  <Override PartName="/word/media/image43.svg" ContentType="image/svg+xml"/>
  <Override PartName="/word/media/image45.svg" ContentType="image/svg+xml"/>
  <Override PartName="/word/media/image47.svg" ContentType="image/svg+xml"/>
  <Override PartName="/word/media/image49.svg" ContentType="image/svg+xml"/>
  <Override PartName="/word/media/image51.svg" ContentType="image/svg+xml"/>
  <Override PartName="/word/media/image53.svg" ContentType="image/svg+xml"/>
  <Override PartName="/word/media/image55.svg" ContentType="image/svg+xml"/>
  <Override PartName="/word/media/image57.svg" ContentType="image/svg+xml"/>
  <Override PartName="/word/media/image59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/>
    <w:p/>
    <w:p/>
    <w:p>
      <w:pPr>
        <w:pStyle w:val="29"/>
      </w:pPr>
      <w:r>
        <w:rPr>
          <w:rFonts w:ascii="Times New Roman" w:hAnsi="Times New Roman" w:eastAsia="STHeiti" w:cs="Times New Roman"/>
          <w:b/>
          <w:color w:val="000000"/>
          <w:sz w:val="36"/>
        </w:rPr>
        <w:t>中粮生物科技太仓新建55万吨每年淀粉糖项目</w:t>
      </w:r>
    </w:p>
    <w:p>
      <w:pPr>
        <w:pStyle w:val="29"/>
      </w:pPr>
      <w:r>
        <w:rPr>
          <w:rFonts w:ascii="Times New Roman" w:hAnsi="Times New Roman" w:eastAsia="STHeiti" w:cs="Times New Roman"/>
          <w:b/>
          <w:color w:val="000000"/>
          <w:sz w:val="48"/>
        </w:rPr>
        <w:t>SCOS全局供应链优化与协同系统技术蓝图设计说明书</w:t>
      </w:r>
    </w:p>
    <w:p>
      <w:pPr>
        <w:spacing w:before="400"/>
        <w:jc w:val="center"/>
      </w:pPr>
      <w:r>
        <w:rPr>
          <w:rFonts w:ascii="Times New Roman" w:hAnsi="Times New Roman" w:eastAsia="STHeiti" w:cs="Times New Roman"/>
          <w:b/>
          <w:color w:val="000000"/>
          <w:sz w:val="40"/>
        </w:rPr>
        <w:t>五、数据、模型与集成架构</w:t>
      </w: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  <w:insideH w:val="single" w:sz="8" w:space="0" w:color="7F7F7F"/>
          <w:insideV w:val="single" w:sz="8" w:space="0" w:color="7F7F7F"/>
        </w:tblBorders>
      </w:tblPr>
      <w:tblGrid>
        <w:gridCol w:w="4150"/>
        <w:gridCol w:w="4150"/>
      </w:tblGrid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21"/>
              </w:rPr>
              <w:t>文档版本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21"/>
              </w:rPr>
              <w:t>v1.0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21"/>
              </w:rPr>
              <w:t>编制单位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21"/>
              </w:rPr>
              <w:t>中控技术股份有限公司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21"/>
              </w:rPr>
              <w:t>编制日期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21"/>
              </w:rPr>
              <w:t>2026年10月22日</w:t>
            </w:r>
          </w:p>
        </w:tc>
      </w:tr>
    </w:tbl>
    <w:p>
      <w:r>
        <w:br w:type="page"/>
      </w:r>
    </w:p>
    <w:p>
      <w:pPr>
        <w:pStyle w:val="2"/>
      </w:pPr>
      <w:r>
        <w:t>文档信息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150"/>
        <w:gridCol w:w="4150"/>
      </w:tblGrid>
      <w:tr>
        <w:trPr>
          <w:tblHeader w:val="true"/>
          <w:cantSplit/>
        </w:trPr>
        <w:tc>
          <w:tcPr>
            <w:tcW w:type="dxa" w:w="181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4819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文档名称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第五章 数据、模型与集成架构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文档版本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v1.0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文档状态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技术蓝图正式编制稿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适用范围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SCOS五大模块及公共技术能力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保密级别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项目内部</w:t>
            </w:r>
          </w:p>
        </w:tc>
      </w:tr>
    </w:tbl>
    <w:p>
      <w:pPr>
        <w:spacing w:after="40"/>
      </w:pPr>
    </w:p>
    <w:p>
      <w:pPr>
        <w:pStyle w:val="2"/>
      </w:pPr>
      <w:r>
        <w:t>修订记录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13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版本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日期</w:t>
            </w:r>
          </w:p>
        </w:tc>
        <w:tc>
          <w:tcPr>
            <w:tcW w:type="dxa" w:w="2835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修订说明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编制单位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2026年10月22日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初次编制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中控技术股份有限公司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2"/>
      </w:pPr>
      <w:r>
        <w:t>五、数据、模型与集成架构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本章统一规定SCOS的数据域、数据库、数据流、指标、规则、预警、模型资产和外部集成方式。设计目标是让每一次分析或优化结果都能够回答“使用了什么数据、采用了什么规则和模型、由谁在何时发布、外部系统如何执行、结果如何反馈”五个问题，并在应用、数据库和算法分层部署条件下保持结构清晰、运行可控和过程可追溯。</w:t>
      </w:r>
    </w:p>
    <w:p>
      <w:pPr>
        <w:pStyle w:val="3"/>
      </w:pPr>
      <w:r>
        <w:t>5.1 数据架构设计</w:t>
      </w:r>
    </w:p>
    <w:p>
      <w:pPr>
        <w:pStyle w:val="4"/>
      </w:pPr>
      <w:r>
        <w:rPr>
          <w:rFonts w:ascii="Times New Roman" w:hAnsi="Times New Roman" w:eastAsia="STHeiti" w:cs="Times New Roman"/>
          <w:b/>
          <w:color w:val="000000"/>
          <w:sz w:val="24"/>
        </w:rPr>
        <w:t>5.1.1 数据域与数据模型</w:t>
      </w: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5.1.1.1 数据架构目标与原则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数据架构以权威来源为基础，以标准化数据、不可变快照和版本主链支撑五大模块。SCOS不通过复制全部源系统数据建立新的交易系统，而是保存计算、分析、追溯和协同所必需的标准对象、期间事实、快照及结果。正式空间和沙盘空间使用相同的数据结构，但通过场景标识、访问控制和发布规则严格隔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767"/>
        <w:gridCol w:w="2767"/>
        <w:gridCol w:w="2767"/>
      </w:tblGrid>
      <w:tr>
        <w:trPr>
          <w:tblHeader w:val="true"/>
          <w:cantSplit/>
        </w:trPr>
        <w:tc>
          <w:tcPr>
            <w:tcW w:type="dxa" w:w="147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原则</w:t>
            </w:r>
          </w:p>
        </w:tc>
        <w:tc>
          <w:tcPr>
            <w:tcW w:type="dxa" w:w="4309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技术要求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落实位置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权威唯一</w:t>
            </w:r>
          </w:p>
        </w:tc>
        <w:tc>
          <w:tcPr>
            <w:tcW w:type="dxa" w:w="43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每类主数据和业务事实明确唯一权威系统；SCOS只保存引用、标准化副本和运行快照。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数据源登记、映射表、接口契约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口径一致</w:t>
            </w:r>
          </w:p>
        </w:tc>
        <w:tc>
          <w:tcPr>
            <w:tcW w:type="dxa" w:w="43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时间、数量、单位、币种、含税口径、状态和组织范围必须在入模前统一。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标准化层、语义层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快照可复现</w:t>
            </w:r>
          </w:p>
        </w:tc>
        <w:tc>
          <w:tcPr>
            <w:tcW w:type="dxa" w:w="43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每次模型运行绑定不可变输入快照、模型版本、参数版本和规则版本。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snapshot、model_run、plan_version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过程可追溯</w:t>
            </w:r>
          </w:p>
        </w:tc>
        <w:tc>
          <w:tcPr>
            <w:tcW w:type="dxa" w:w="43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保留来源批次、转换规则、质量结果、人工修正、审批发布和执行回执。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血缘、审计、对账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失败不污染</w:t>
            </w:r>
          </w:p>
        </w:tc>
        <w:tc>
          <w:tcPr>
            <w:tcW w:type="dxa" w:w="43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未通过质量门禁的数据不得进入正式快照；失败批次独立隔离并可重处理。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暂存区、质量结果、批次状态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最小重复</w:t>
            </w:r>
          </w:p>
        </w:tc>
        <w:tc>
          <w:tcPr>
            <w:tcW w:type="dxa" w:w="43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跨模块共享标准数据和已发布事实，不建立多个可写副本。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统一数据服务、只读视图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安全分级</w:t>
            </w:r>
          </w:p>
        </w:tc>
        <w:tc>
          <w:tcPr>
            <w:tcW w:type="dxa" w:w="43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报价、采购成本、客户盈利和财务成本按字段与数据范围授权。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权限策略、脱敏、审计</w:t>
            </w:r>
          </w:p>
        </w:tc>
      </w:tr>
    </w:tbl>
    <w:p>
      <w:pPr>
        <w:spacing w:after="40"/>
      </w:pP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5.1.1.2 数据域划分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数据域按照稳定业务对象划分，而不是按照页面或接口划分。一个数据域可以服务多个模块，但必须指定数据责任人、权威来源和写入边界。跨域关联采用统一标识及版本引用，禁止通过名称或自由文本建立核心业务关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58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数据域</w:t>
            </w:r>
          </w:p>
        </w:tc>
        <w:tc>
          <w:tcPr>
            <w:tcW w:type="dxa" w:w="294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核心对象</w:t>
            </w:r>
          </w:p>
        </w:tc>
        <w:tc>
          <w:tcPr>
            <w:tcW w:type="dxa" w:w="192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权威来源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主要消费模块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客户与需求域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客户、销售组织、订单、预测、需求版本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SAP/销售系统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库存、驾驶舱、成本分析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产品与物料域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产品、原料、辅料、包装、计量单位、替代关系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SAP/主数据平台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全部模块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库存与储罐域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库存地点、库存批次、可用状态、储罐、容量和兼容性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WMS/SAP/QMS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库存、要货、驾驶舱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生产与批次域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生产计划、工单、投料、产出、转移、批次谱系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MES/SAP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库存、要货、成本、驾驶舱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采购与供应商域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供应商、报价、供应能力、评分、采购策略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E采/SAP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采购、要货、驾驶舱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合同与订单域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合同、采购订单、余额、交付条款、锁定与占用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SAP/E采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采购、要货、成本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运输与到货域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路线、运力、在途、预约、到货和签收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TMS/WMS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采购、要货、驾驶舱、成本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质量域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检验批、质量状态、冻结、放行和有效期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QMS/LIMS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库存、要货、成本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成本与财务域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会计期间、科目、费用池、凭证、成本和利润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SAP/财务系统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成本、驾驶舱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指标预警协同域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指标值、预警、任务、处置和回验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SCOS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驾驶舱及五模块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模型参数场景域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快照、模型、参数、规则、运行、场景和方案版本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SCOS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库存、采购、要货、成本、沙盘</w:t>
            </w:r>
          </w:p>
        </w:tc>
      </w:tr>
    </w:tbl>
    <w:p>
      <w:pPr>
        <w:spacing w:after="40"/>
      </w:pP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5.1.1.3 概念数据模型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概念模型由“主数据—业务事实—输入快照—模型运行—方案版本—审批发布—执行反馈”构成主链。主数据提供稳定身份，业务事实记录某一时点或期间的经营状态，快照冻结一次运行的输入集合，模型运行产生候选结果，方案版本承载人工调整与审批，发布批次对接外部执行系统，执行反馈再沉淀为新的业务事实。</w:t>
      </w:r>
    </w:p>
    <w:p>
      <w:pPr>
        <w:keepNext/>
        <w:spacing w:before="100" w:after="80"/>
        <w:jc w:val="center"/>
      </w:pPr>
      <w:r>
        <w:rPr>
          <w:rFonts w:ascii="Times New Roman" w:hAnsi="Times New Roman" w:eastAsia="Songti SC" w:cs="Times New Roman"/>
          <w:b/>
          <w:color w:val="000000"/>
          <w:sz w:val="18"/>
        </w:rPr>
        <w:t>图5-2 MySQL逻辑数据模型与版本主链</w:t>
      </w:r>
    </w:p>
    <w:p>
      <w:pPr>
        <w:keepLines/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112000" cy="28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2_MySQL逻辑数据模型与版本主链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84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767"/>
        <w:gridCol w:w="2767"/>
        <w:gridCol w:w="2767"/>
      </w:tblGrid>
      <w:tr>
        <w:trPr>
          <w:tblHeader w:val="true"/>
          <w:cantSplit/>
        </w:trPr>
        <w:tc>
          <w:tcPr>
            <w:tcW w:type="dxa" w:w="181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概念实体</w:t>
            </w:r>
          </w:p>
        </w:tc>
        <w:tc>
          <w:tcPr>
            <w:tcW w:type="dxa" w:w="238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生命周期</w:t>
            </w:r>
          </w:p>
        </w:tc>
        <w:tc>
          <w:tcPr>
            <w:tcW w:type="dxa" w:w="3855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主要关系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标准主数据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同步、校验、生效、停用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被业务事实、快照明细和方案明细引用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业务事实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接收、标准化、确认、订正、归档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按来源批次和业务键形成版本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数据快照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创建、校验、冻结、使用、归档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一对多包含快照项，一对多支撑模型运行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模型运行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排队、准备、运行、成功/失败/超时/取消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绑定一个快照、模型版本、参数版本和场景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方案及版本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草稿、候选、人工调整、审批、发布、替代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源自模型运行，包含方案明细和差异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审批与发布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提交、审核、批准、发布、回执、撤回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绑定不可变方案版本，不直接修改模型结果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执行反馈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接收、对账、确认、异常、关闭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引用发布批次和外部单据，驱动指标与预警</w:t>
            </w:r>
          </w:p>
        </w:tc>
      </w:tr>
    </w:tbl>
    <w:p>
      <w:pPr>
        <w:spacing w:after="40"/>
      </w:pP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5.1.1.4 逻辑数据模型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逻辑模型采用全局技术主键与业务唯一键并存的方式。技术主键用于内部关联，业务唯一键由来源系统、组织、对象类型和源系统编号组合构成；所有可变对象保留状态、业务时间、系统时间、版本号和审计字段。跨模块只引用已发布标识，不共享可写聚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767"/>
        <w:gridCol w:w="2767"/>
        <w:gridCol w:w="2767"/>
      </w:tblGrid>
      <w:tr>
        <w:trPr>
          <w:tblHeader w:val="true"/>
          <w:cantSplit/>
        </w:trPr>
        <w:tc>
          <w:tcPr>
            <w:tcW w:type="dxa" w:w="147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属性类别</w:t>
            </w:r>
          </w:p>
        </w:tc>
        <w:tc>
          <w:tcPr>
            <w:tcW w:type="dxa" w:w="3402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标准字段示例</w:t>
            </w:r>
          </w:p>
        </w:tc>
        <w:tc>
          <w:tcPr>
            <w:tcW w:type="dxa" w:w="3175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设计要求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身份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id、tenant_id、org_id、source_system、source_key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内部ID稳定；来源业务键建立唯一约束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业务时间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business_date、effective_from、effective_to、period_id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按太仓业务时区解释；区间采用左闭右开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系统时间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created_at、updated_at、received_at、processed_at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数据库统一保存带明确时区语义的时间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状态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status、quality_status、publish_status、execution_status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使用受控枚举；状态迁移由服务端校验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版本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version_no、snapshot_id、model_version_id、plan_version_id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历史不可覆盖；更新采用乐观锁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追溯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batch_id、trace_id、created_by、updated_by、change_reason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覆盖接口、计算、人工调整和审批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扩展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ext_json、tags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仅用于低频非关键属性；核心查询字段必须结构化</w:t>
            </w:r>
          </w:p>
        </w:tc>
      </w:tr>
    </w:tbl>
    <w:p>
      <w:pPr>
        <w:spacing w:after="40"/>
      </w:pPr>
    </w:p>
    <w:p>
      <w:pPr>
        <w:pStyle w:val="4"/>
      </w:pPr>
      <w:r>
        <w:rPr>
          <w:rFonts w:ascii="Times New Roman" w:hAnsi="Times New Roman" w:eastAsia="STHeiti" w:cs="Times New Roman"/>
          <w:b/>
          <w:color w:val="000000"/>
          <w:sz w:val="24"/>
        </w:rPr>
        <w:t>5.1.2 数据流向与存储设计</w:t>
      </w: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5.1.2.1 数据流向设计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数据从SAP、MES、WMS、TMS、质量系统、E采和销售系统进入接入暂存层，经格式、幂等、编码、单位、口径和质量处理后形成标准事实；通过快照中心冻结为模型输入，Python算法服务读取运行载荷并使用SCIP求解，Java应用服务保存结果、组织评审审批和发布，最后接收外部执行反馈并对账。任何失败数据都停留在失败批次或隔离区，不进入正式快照。</w:t>
      </w:r>
    </w:p>
    <w:p>
      <w:pPr>
        <w:keepNext/>
        <w:spacing w:before="100" w:after="80"/>
        <w:jc w:val="center"/>
      </w:pPr>
      <w:r>
        <w:rPr>
          <w:rFonts w:ascii="Times New Roman" w:hAnsi="Times New Roman" w:eastAsia="Songti SC" w:cs="Times New Roman"/>
          <w:b/>
          <w:color w:val="000000"/>
          <w:sz w:val="18"/>
        </w:rPr>
        <w:t>图5-1 SCOS数据流向与分层加工</w:t>
      </w:r>
    </w:p>
    <w:p>
      <w:pPr>
        <w:keepLines/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112000" cy="28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1_SCOS数据流向与分层加工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84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660"/>
        <w:gridCol w:w="1660"/>
        <w:gridCol w:w="1660"/>
        <w:gridCol w:w="1660"/>
        <w:gridCol w:w="1660"/>
      </w:tblGrid>
      <w:tr>
        <w:trPr>
          <w:tblHeader w:val="true"/>
          <w:cantSplit/>
        </w:trPr>
        <w:tc>
          <w:tcPr>
            <w:tcW w:type="dxa" w:w="158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层级</w:t>
            </w:r>
          </w:p>
        </w:tc>
        <w:tc>
          <w:tcPr>
            <w:tcW w:type="dxa" w:w="323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数据对象与方向</w:t>
            </w:r>
          </w:p>
        </w:tc>
        <w:tc>
          <w:tcPr>
            <w:tcW w:type="dxa" w:w="181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传输方式</w:t>
            </w:r>
          </w:p>
        </w:tc>
        <w:tc>
          <w:tcPr>
            <w:tcW w:type="dxa" w:w="158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频率/时效</w:t>
            </w:r>
          </w:p>
        </w:tc>
        <w:tc>
          <w:tcPr>
            <w:tcW w:type="dxa" w:w="209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异常处理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L0 系统上下文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外部主数据与事实进入SCOS；建议、发布清单和反馈双向交换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HTTPS REST/受控批量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按对象实时、小时或日批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幂等、重试、补偿和对账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L1 跨模块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需求、库存风险、采购到货、要货计划、成本结果、预警和任务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内部服务/API/事件表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事件触发或计划周期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版本校验、失败事件重放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L2 模块内部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准备、校验、快照、求解、人工调整、审批、发布和结果存储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Java事务＋HTTP算法调用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一次运行一条主链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状态机、超时、取消和降级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沙盘隔离流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基线快照加假设增量生成派生场景，不回写正式事实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场景服务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用户触发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禁止正式发布，超期自动归档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反向反馈流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外部回执、执行数量、状态和异常返回SCOS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回调或轮询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准实时/日终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差异工单、人工确认</w:t>
            </w:r>
          </w:p>
        </w:tc>
      </w:tr>
    </w:tbl>
    <w:p>
      <w:pPr>
        <w:spacing w:after="40"/>
      </w:pP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5.1.2.2 数据库总体设计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本期采用MySQL 8.0作为结构化主数据库，存储引擎使用InnoDB，字符集使用utf8mb4。数据库原则上部署在独立数据库服务器上，应用按逻辑域和表名前缀隔离，不在本期建设数据库集群或分析型集群。数据库文件、备份文件与运行附件使用受控存储；浏览器和Python算法容器均不得直接访问MySQL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36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逻辑区/前缀</w:t>
            </w:r>
          </w:p>
        </w:tc>
        <w:tc>
          <w:tcPr>
            <w:tcW w:type="dxa" w:w="294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数据类型</w:t>
            </w:r>
          </w:p>
        </w:tc>
        <w:tc>
          <w:tcPr>
            <w:tcW w:type="dxa" w:w="192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写入方</w:t>
            </w:r>
          </w:p>
        </w:tc>
        <w:tc>
          <w:tcPr>
            <w:tcW w:type="dxa" w:w="294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事务与访问原则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mdm_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标准主数据、外部编码映射、单位换算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主数据同步服务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读多写少，生效版本受控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biz_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需求、库存、合同订单、生产、运输、质量事实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集成与领域服务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按业务键幂等；订正追加版本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opt_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快照、模型运行、参数、方案、结果和解释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平台与专业模块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一次运行边界内一致；大结果分批落库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cost_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批次谱系、费用池、成本结果、期间和对账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成本应用服务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期间与核算版本共同构成隔离边界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ana_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指标值、预警、分析投影和汇总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指标任务/应用服务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允许由事实重建，不作为交易权威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wf_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流程定义、实例、任务、意见和发布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工作流与发布服务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与业务状态通过应用事务协调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int_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接口批次、报文摘要、幂等键、事件、重试和对账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集成适配器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追加写，失败可重放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audit_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访问、变更、模型和运维审计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审计拦截器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仅追加，业务用户只读或不可见</w:t>
            </w:r>
          </w:p>
        </w:tc>
      </w:tr>
    </w:tbl>
    <w:p>
      <w:pPr>
        <w:spacing w:after="40"/>
      </w:pP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开发、测试、预生产和生产环境使用独立数据库实例或独立主机上的独立实例，严禁共享生产账号和生产数据卷。测试数据从生产脱敏抽取时必须经过审批。数据库连接仅向Java应用和受控运维账户开放，Python算法通过Java提供的版本化运行载荷获取数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150"/>
        <w:gridCol w:w="4150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数据库设计项</w:t>
            </w:r>
          </w:p>
        </w:tc>
        <w:tc>
          <w:tcPr>
            <w:tcW w:type="dxa" w:w="635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技术方案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类型与精度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数量、金额、比例使用DECIMAL；禁止以FLOAT保存结算数据；币种与计量单位必须显式记录。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索引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业务唯一键建唯一索引；高频查询按组织、业务日期、状态和对象组合建联合索引；避免重复索引。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分区与归档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接口明细、审计、指标历史和逐日轨迹达到量级阈值后按月或会计期间分区；分区策略在详细设计压测后确定。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事务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同一聚合在单一数据库事务中提交；跨外部系统使用本地事务＋事件表＋幂等补偿，不采用分布式事务。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缓存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本地短时缓存仅用于字典和读多写少配置；缓存失效不得影响核心流程正确性；不把缓存作为权威存储。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备份恢复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每日全量或增量组合备份、二进制日志按策略保留；恢复演练验证到指定恢复点能力。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加密访问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数据库连接使用受控网络和TLS条件；账号按应用、只读、备份、运维分离；敏感导出独立审计。</w:t>
            </w:r>
          </w:p>
        </w:tc>
      </w:tr>
    </w:tbl>
    <w:p>
      <w:pPr>
        <w:spacing w:after="40"/>
      </w:pP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5.1.2.3 关键表结构设计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关键表围绕快照、运行、方案、流程、事件和对账构成跨模块骨架；专业结果表通过运行编号和方案版本编号挂接主链。以下为技术蓝图级逻辑设计，字段类型、长度、默认值、DDL及数据库专属参数在详细设计阶段定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660"/>
        <w:gridCol w:w="1660"/>
        <w:gridCol w:w="1660"/>
        <w:gridCol w:w="1660"/>
        <w:gridCol w:w="1660"/>
      </w:tblGrid>
      <w:tr>
        <w:trPr>
          <w:tblHeader w:val="true"/>
          <w:cantSplit/>
        </w:trPr>
        <w:tc>
          <w:tcPr>
            <w:tcW w:type="dxa" w:w="175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逻辑表</w:t>
            </w:r>
          </w:p>
        </w:tc>
        <w:tc>
          <w:tcPr>
            <w:tcW w:type="dxa" w:w="238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业务用途</w:t>
            </w:r>
          </w:p>
        </w:tc>
        <w:tc>
          <w:tcPr>
            <w:tcW w:type="dxa" w:w="232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主键/业务唯一键</w:t>
            </w:r>
          </w:p>
        </w:tc>
        <w:tc>
          <w:tcPr>
            <w:tcW w:type="dxa" w:w="2665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核心关系与索引</w:t>
            </w:r>
          </w:p>
        </w:tc>
        <w:tc>
          <w:tcPr>
            <w:tcW w:type="dxa" w:w="119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保留建议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mdm_code_mapping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外部编码与SCOS标准编码映射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id；源系统＋对象类型＋源编码＋生效期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索引标准编码、状态、生效时间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主数据全生命周期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int_data_batch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记录一次接入、补数或发布批次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batch_id；接口＋外部批次号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关联报文、质量和对账；索引状态/接收时间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不少于三年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dq_check_result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记录规则级数据质量结果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id；批次＋规则＋对象键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关联数据批次和修正工单；索引严重级别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随业务数据保留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opt_data_snapshot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冻结一次模型输入快照头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snapshot_id；场景＋截止时间＋序号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关联快照项和运行；索引状态/创建时间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模型追溯期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opt_snapshot_item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保存快照对象引用、版本和校验摘要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id；快照＋对象类型＋对象键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索引快照/对象；保存内容哈希与来源批次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随快照保留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opt_model_run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统一记录模型运行状态和版本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run_id；请求幂等键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关联快照、模型、参数、场景、方案；索引状态/开始时间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模型追溯期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opt_plan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方案业务身份与当前状态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plan_id；模块＋业务周期＋方案号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一对多方案版本；索引组织/周期/状态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业务全生命周期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opt_plan_version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保存模型版、人工版、审批版和发布版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version_id；方案＋版本号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关联运行、父版本、审批和发布；唯一版本号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不可覆盖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opt_plan_line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保存跨模块通用方案明细与扩展引用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line_id；版本＋业务对象键＋日期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索引版本/对象/日期/状态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随方案保留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wf_instance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审批流程实例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instance_id；对象类型＋对象版本＋有效标志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关联任务、操作、方案版本；索引状态/发起时间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不少于审计期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int_business_event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可靠传递跨模块及外部事件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event_id；生产方＋事件幂等键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索引状态/下次重试时间/聚合键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在线一年后归档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int_reconciliation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保存源目标数量、金额、状态对账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recon_id；账期＋接口＋对象键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索引差异状态/责任人/关闭时间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不少于三年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767"/>
        <w:gridCol w:w="2767"/>
        <w:gridCol w:w="2767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模块</w:t>
            </w:r>
          </w:p>
        </w:tc>
        <w:tc>
          <w:tcPr>
            <w:tcW w:type="dxa" w:w="328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关键专业表</w:t>
            </w:r>
          </w:p>
        </w:tc>
        <w:tc>
          <w:tcPr>
            <w:tcW w:type="dxa" w:w="306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核心内容与主链挂接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成品库存优化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inv_policy_version、inv_daily_trajectory、inv_replenishment_advice、inv_risk_result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策略版本、逐日库存、补充建议、储罐和风险结果均关联run_id及plan_version_id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原料采购优化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pur_demand、pur_candidate、pur_allocation_result、pur_cost_detail、pur_risk_result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候选供应商、分配量、TCO分解和风险均关联采购方案版本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原辅包要货计划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rep_requirement、rep_order_balance、rep_arrival_plan、rep_allocation、rep_shortage_result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需求、合同订单占用、到货计划和缺口按物料日期及版本唯一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成本分摊核算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cost_batch_genealogy、cost_pool、cost_allocation_run、cost_allocation_result、cost_recon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谱系边、费用池、分摊运行、结果和期间对账绑定核算版本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驾驶舱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ana_metric_value、ana_alert_event、ana_collaboration_task、ana_disposal_record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指标、预警和任务引用来源对象、方案版本、事件与处置证据</w:t>
            </w:r>
          </w:p>
        </w:tc>
      </w:tr>
    </w:tbl>
    <w:p>
      <w:pPr>
        <w:spacing w:after="40"/>
      </w:pP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所有关键结果表至少包含组织、业务对象、业务日期或期间、来源批次、快照、运行、方案版本、状态、创建人和创建时间。高频查询必须以实际页面筛选和排序路径验证索引；不得为了“可能使用”创建宽索引。</w:t>
      </w: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5.1.2.4 主数据与编码映射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主数据映射由标准对象、源系统对象和生效区间组成。同步服务先解析外部编码，再转换为SCOS标准编码；未映射或一对多冲突的关键对象进入待处理队列，不允许以名称模糊匹配后直接入模。历史事实继续引用当时有效的映射版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主数据对象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权威来源</w:t>
            </w:r>
          </w:p>
        </w:tc>
        <w:tc>
          <w:tcPr>
            <w:tcW w:type="dxa" w:w="243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SCOS标准键</w:t>
            </w:r>
          </w:p>
        </w:tc>
        <w:tc>
          <w:tcPr>
            <w:tcW w:type="dxa" w:w="3345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映射与变更控制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组织/工厂/仓库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SAP/企业主数据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org_id、plant_id、warehouse_id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层级、时区和状态随生效日期版本化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产品/物料/单位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SAP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product_id、material_id、uom_code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保留基本单位、换算系数和舍入规则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供应商/客户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SAP/E采/销售系统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supplier_id、customer_id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合并、停用和组织视图分别管理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储罐/生产线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MES/WMS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tank_id、line_id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容量、兼容性和所属组织版本化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费用科目/成本中心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SAP财务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account_id、cost_center_id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按会计期间及核算范围生效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路线/承运商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TMS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route_id、carrier_id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路线版本与运输成本口径关联</w:t>
            </w:r>
          </w:p>
        </w:tc>
      </w:tr>
    </w:tbl>
    <w:p>
      <w:pPr>
        <w:spacing w:after="40"/>
      </w:pPr>
    </w:p>
    <w:p>
      <w:pPr>
        <w:pStyle w:val="4"/>
      </w:pPr>
      <w:r>
        <w:rPr>
          <w:rFonts w:ascii="Times New Roman" w:hAnsi="Times New Roman" w:eastAsia="STHeiti" w:cs="Times New Roman"/>
          <w:b/>
          <w:color w:val="000000"/>
          <w:sz w:val="24"/>
        </w:rPr>
        <w:t>5.1.3 数据治理与生命周期</w:t>
      </w: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5.1.3.1 时间、数量、金额与状态口径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统一口径在标准化层完成，模型和页面不得自行解释源系统字段。业务日期按太仓工厂时区确定，系统时间保留明确时区语义；数量同时保存原单位和标准单位，金额同时保存原币、汇率、税口径及本位币金额，状态采用“源状态＋SCOS标准状态”双字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767"/>
        <w:gridCol w:w="2767"/>
        <w:gridCol w:w="2767"/>
      </w:tblGrid>
      <w:tr>
        <w:trPr>
          <w:tblHeader w:val="true"/>
          <w:cantSplit/>
        </w:trPr>
        <w:tc>
          <w:tcPr>
            <w:tcW w:type="dxa" w:w="141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口径</w:t>
            </w:r>
          </w:p>
        </w:tc>
        <w:tc>
          <w:tcPr>
            <w:tcW w:type="dxa" w:w="4365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统一规则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禁止做法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时间</w:t>
            </w:r>
          </w:p>
        </w:tc>
        <w:tc>
          <w:tcPr>
            <w:tcW w:type="dxa" w:w="43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区分业务日期、计划日期、承诺日期、到货日期、入库日期、质量可用日期和系统时间。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用接口接收时间替代业务发生时间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数量</w:t>
            </w:r>
          </w:p>
        </w:tc>
        <w:tc>
          <w:tcPr>
            <w:tcW w:type="dxa" w:w="43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原数量、原单位、标准数量、标准单位、换算版本和舍入差额同时可追溯。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在模型或页面临时硬编码换算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金额</w:t>
            </w:r>
          </w:p>
        </w:tc>
        <w:tc>
          <w:tcPr>
            <w:tcW w:type="dxa" w:w="43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明确币种、汇率日期、税率、含税/不含税、价外费用和本位币。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不同税口径金额直接相加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状态</w:t>
            </w:r>
          </w:p>
        </w:tc>
        <w:tc>
          <w:tcPr>
            <w:tcW w:type="dxa" w:w="43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源系统状态映射到统一状态，保留映射版本；状态迁移受控。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仅凭文本名称推断状态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粒度</w:t>
            </w:r>
          </w:p>
        </w:tc>
        <w:tc>
          <w:tcPr>
            <w:tcW w:type="dxa" w:w="43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需求、库存、到货、成本和指标明确到组织、对象、位置、批次、日期或期间。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跨粒度聚合后反推明细</w:t>
            </w:r>
          </w:p>
        </w:tc>
      </w:tr>
    </w:tbl>
    <w:p>
      <w:pPr>
        <w:spacing w:after="40"/>
      </w:pP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5.1.3.2 数据获取与数据准备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数据获取优先调用企业统一数据服务或外部系统REST接口。接入后的处理链包含落地、解包、结构校验、幂等判断、编码映射、单位与币种转换、业务校验、质量评分、标准事实写入和快照候选准备。模型服务不直接从源系统拉取数据，也不在求解脚本中执行主数据补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767"/>
        <w:gridCol w:w="2767"/>
        <w:gridCol w:w="2767"/>
      </w:tblGrid>
      <w:tr>
        <w:trPr>
          <w:tblHeader w:val="true"/>
          <w:cantSplit/>
        </w:trPr>
        <w:tc>
          <w:tcPr>
            <w:tcW w:type="dxa" w:w="158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阶段</w:t>
            </w:r>
          </w:p>
        </w:tc>
        <w:tc>
          <w:tcPr>
            <w:tcW w:type="dxa" w:w="3969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主要处理</w:t>
            </w:r>
          </w:p>
        </w:tc>
        <w:tc>
          <w:tcPr>
            <w:tcW w:type="dxa" w:w="249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输出及控制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接入落地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认证、签名校验、报文大小、结构和批次登记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原始摘要、批次号、trace_id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标准化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字段转换、主数据映射、单位币种时间对齐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标准对象及转换日志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质量校验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完整、唯一、及时、范围、关系和跨系统一致性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规则级结果与门禁结论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特征准备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需求聚合、提前期、波动、可用库存、成本因子和批次关系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版本化特征与统计摘要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快照冻结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确定截止时间、对象清单、来源版本和哈希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不可变snapshot_id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运行载荷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按模型契约裁剪数据并序列化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带schema_version的JSON载荷</w:t>
            </w:r>
          </w:p>
        </w:tc>
      </w:tr>
    </w:tbl>
    <w:p>
      <w:pPr>
        <w:spacing w:after="40"/>
      </w:pP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5.1.3.3 数据质量管理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数据质量规则分为阻断、警告和提示三级。阻断规则失败时不生成正式快照；警告允许在责任人确认并记录风险后运行；提示用于趋势治理。质量结果必须指向具体对象、来源批次和规则版本，并形成责任、修正、复验和关闭闭环。</w:t>
      </w:r>
    </w:p>
    <w:p>
      <w:pPr>
        <w:keepLines/>
        <w:spacing w:before="60" w:after="60"/>
        <w:jc w:val="center"/>
      </w:pPr>
      <m:oMath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DQ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Σ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k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∈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K</m:t>
            </m:r>
          </m:sub>
        </m:sSub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k</m:t>
            </m:r>
          </m:sub>
        </m:sSub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q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k</m:t>
            </m:r>
          </m:sub>
        </m:sSub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（5-1）</w:t>
      </w:r>
    </w:p>
    <w:p>
      <w:pPr>
        <w:spacing w:line="324" w:lineRule="auto" w:after="80"/>
        <w:ind w:left="454" w:right="454"/>
        <w:jc w:val="both"/>
      </w:pPr>
      <w:r>
        <w:rPr>
          <w:rFonts w:ascii="Times New Roman" w:hAnsi="Times New Roman" w:eastAsia="Songti SC" w:cs="Times New Roman"/>
          <w:color w:val="000000"/>
          <w:sz w:val="18"/>
        </w:rPr>
        <w:t>其中，</w:t>
      </w:r>
      <m:oMath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DQ</m:t>
        </m:r>
      </m:oMath>
      <w:r>
        <w:rPr>
          <w:rFonts w:ascii="Times New Roman" w:hAnsi="Times New Roman" w:eastAsia="Songti SC" w:cs="Times New Roman"/>
          <w:color w:val="000000"/>
          <w:sz w:val="18"/>
        </w:rPr>
        <w:t>为批次质量总分；</w:t>
      </w:r>
      <m:oMath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K</m:t>
        </m:r>
      </m:oMath>
      <w:r>
        <w:rPr>
          <w:rFonts w:ascii="Times New Roman" w:hAnsi="Times New Roman" w:eastAsia="Songti SC" w:cs="Times New Roman"/>
          <w:color w:val="000000"/>
          <w:sz w:val="18"/>
        </w:rPr>
        <w:t>为质量维度集合；</w:t>
      </w:r>
      <m:oMath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18"/>
                <w:szCs w:val="1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18"/>
                <w:szCs w:val="18"/>
              </w:rPr>
              <m:t xml:space="preserve">k</m:t>
            </m:r>
          </m:sub>
        </m:sSub>
      </m:oMath>
      <w:r>
        <w:rPr>
          <w:rFonts w:ascii="Times New Roman" w:hAnsi="Times New Roman" w:eastAsia="Songti SC" w:cs="Times New Roman"/>
          <w:color w:val="000000"/>
          <w:sz w:val="18"/>
        </w:rPr>
        <w:t>为第</w:t>
      </w:r>
      <m:oMath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k</m:t>
        </m:r>
      </m:oMath>
      <w:r>
        <w:rPr>
          <w:rFonts w:ascii="Times New Roman" w:hAnsi="Times New Roman" w:eastAsia="Songti SC" w:cs="Times New Roman"/>
          <w:color w:val="000000"/>
          <w:sz w:val="18"/>
        </w:rPr>
        <w:t>个维度权重且权重之和为1；</w:t>
      </w:r>
      <m:oMath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18"/>
                <w:szCs w:val="18"/>
              </w:rPr>
              <m:t xml:space="preserve">q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18"/>
                <w:szCs w:val="18"/>
              </w:rPr>
              <m:t xml:space="preserve">k</m:t>
            </m:r>
          </m:sub>
        </m:sSub>
      </m:oMath>
      <w:r>
        <w:rPr>
          <w:rFonts w:ascii="Times New Roman" w:hAnsi="Times New Roman" w:eastAsia="Songti SC" w:cs="Times New Roman"/>
          <w:color w:val="000000"/>
          <w:sz w:val="18"/>
        </w:rPr>
        <w:t>为该维度得分。评分只用于综合展示，任何阻断规则失败仍直接阻止正式快照。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41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质量维度</w:t>
            </w:r>
          </w:p>
        </w:tc>
        <w:tc>
          <w:tcPr>
            <w:tcW w:type="dxa" w:w="3969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示例规则</w:t>
            </w:r>
          </w:p>
        </w:tc>
        <w:tc>
          <w:tcPr>
            <w:tcW w:type="dxa" w:w="124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级别</w:t>
            </w:r>
          </w:p>
        </w:tc>
        <w:tc>
          <w:tcPr>
            <w:tcW w:type="dxa" w:w="255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失败处理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完整性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关键物料、组织、日期、数量、单位、状态不能为空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阻断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隔离记录并退回来源或补数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唯一性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业务唯一键在有效版本内不得重复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阻断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保留冲突明细，禁止覆盖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及时性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库存、报价、在途和生产实绩不得超过允许滞后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警告/阻断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标记陈旧程度，按场景门禁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合理性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数量、价格、容量、提前期和比例在业务范围内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警告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责任人确认或修正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一致性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订单余额、库存汇总、批次投入产出及财务金额跨系统一致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阻断/警告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生成差异工单和对账记录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参照完整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物料、供应商、储罐、费用科目等映射有效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阻断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完成主数据映射后重处理</w:t>
            </w:r>
          </w:p>
        </w:tc>
      </w:tr>
    </w:tbl>
    <w:p>
      <w:pPr>
        <w:spacing w:after="40"/>
      </w:pP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5.1.3.4 数据快照、历史版本与血缘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快照由头、对象清单和内容摘要构成。冻结后不得修改；若源数据订正或参数改变，应创建新快照或新运行。历史版本记录业务有效时间与系统接收时间，既能回答“当时业务上有效什么”，也能回答“系统当时知道什么”。血缘从外部批次贯穿标准事实、快照项、模型运行、方案版本、发布批次和执行反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767"/>
        <w:gridCol w:w="2767"/>
        <w:gridCol w:w="2767"/>
      </w:tblGrid>
      <w:tr>
        <w:trPr>
          <w:tblHeader w:val="true"/>
          <w:cantSplit/>
        </w:trPr>
        <w:tc>
          <w:tcPr>
            <w:tcW w:type="dxa" w:w="158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血缘节点</w:t>
            </w:r>
          </w:p>
        </w:tc>
        <w:tc>
          <w:tcPr>
            <w:tcW w:type="dxa" w:w="4025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必须保存的标识</w:t>
            </w:r>
          </w:p>
        </w:tc>
        <w:tc>
          <w:tcPr>
            <w:tcW w:type="dxa" w:w="243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可回答的问题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外部接入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source_system、interface_code、batch_id、source_key、received_at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数据从哪里、何时进入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转换与质量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mapping_version、rule_version、dq_result、processor_version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如何转换、为何被接受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快照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snapshot_id、cutoff_time、content_hash、quality_status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一次运行看见了哪些数据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模型运行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run_id、model_version、parameter_version、solver_version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使用什么算法和参数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方案与发布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plan_version_id、workflow_id、publish_batch_id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人工做了什么、谁批准发布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执行反馈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external_receipt_id、execution_status、recon_id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外部是否执行、差异如何关闭</w:t>
            </w:r>
          </w:p>
        </w:tc>
      </w:tr>
    </w:tbl>
    <w:p>
      <w:pPr>
        <w:spacing w:after="40"/>
      </w:pP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5.1.3.5 数据存储、生命周期和归档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数据生命周期根据查询频率、合规、追溯和恢复需要分为在线、近线与归档。保存期限由企业制度最终确认，表中为技术设计基线。清理只能删除已经归档、校验且不再被有效业务对象引用的数据；快照、审批、发布、成本核算和审计证据不得因页面不可见而提前清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数据类别</w:t>
            </w:r>
          </w:p>
        </w:tc>
        <w:tc>
          <w:tcPr>
            <w:tcW w:type="dxa" w:w="238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在线保存</w:t>
            </w:r>
          </w:p>
        </w:tc>
        <w:tc>
          <w:tcPr>
            <w:tcW w:type="dxa" w:w="243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归档与清理</w:t>
            </w:r>
          </w:p>
        </w:tc>
        <w:tc>
          <w:tcPr>
            <w:tcW w:type="dxa" w:w="153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恢复要求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主数据与映射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当前及所有有效历史版本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停用历史长期归档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按生效时间可查询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交易标准事实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近三年或企业要求期间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按年/期间归档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按业务键和期间恢复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快照、运行和方案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模型追溯期内在线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成套归档，不拆断主链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能重建一次运行证据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成本核算与对账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按财务制度和审计要求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期间封存后归档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按核算版本恢复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指标和逐日轨迹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近期明细、长期汇总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明细降采样或按月归档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支持历史趋势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接口与技术日志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在线三至十二个月分级保存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摘要长期、正文按策略清理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支持故障与对账取证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审计日志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不少于项目及企业规定期限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完整性校验后只读归档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按用户、对象和时间检索</w:t>
            </w:r>
          </w:p>
        </w:tc>
      </w:tr>
    </w:tbl>
    <w:p>
      <w:pPr>
        <w:spacing w:after="40"/>
      </w:pP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5.1.3.6 数据权限与敏感数据保护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数据保护在查询、下载、接口、日志和备份全链路执行。权限由功能角色、组织范围、对象范围和字段敏感级别共同决定；服务端查询强制注入数据范围，导出复用相同过滤条件。算法载荷只包含完成计算所需字段，模型日志不得输出报价、成本和客户利润明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767"/>
        <w:gridCol w:w="2767"/>
        <w:gridCol w:w="2767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敏感类别</w:t>
            </w:r>
          </w:p>
        </w:tc>
        <w:tc>
          <w:tcPr>
            <w:tcW w:type="dxa" w:w="294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示例</w:t>
            </w:r>
          </w:p>
        </w:tc>
        <w:tc>
          <w:tcPr>
            <w:tcW w:type="dxa" w:w="3402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默认保护措施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供应商商业信息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报价、运费、账期、能力和评分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采购角色与组织范围授权；跨角色汇总脱敏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客户经营信息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销量、价格、贡献毛利和盈利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按销售组织和财务权限控制；导出水印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财务成本信息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费用池、科目、单位成本和利润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财务专属字段权限；操作与导出双重审计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认证与密钥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令牌、证书、数据库口令和签名密钥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密钥管理或受控配置注入；禁止入库明文和日志输出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个人与运维信息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用户标识、IP、操作记录和告警联系人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最小展示、限定用途和保留期限</w:t>
            </w:r>
          </w:p>
        </w:tc>
      </w:tr>
    </w:tbl>
    <w:p>
      <w:pPr>
        <w:spacing w:after="40"/>
      </w:pP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5.1.3.7 数据对账机制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对账覆盖数量、金额、状态、批次和记录数，既执行批次级总量核对，也对关键对象进行明细核对。对账差异不得通过直接改库消除；应记录来源、责任人、原因、修正批次、复核结论和关闭证据。已用于正式方案或核算的数据发生订正时，系统触发影响分析而不是静默覆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对账对象</w:t>
            </w:r>
          </w:p>
        </w:tc>
        <w:tc>
          <w:tcPr>
            <w:tcW w:type="dxa" w:w="306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主要维度</w:t>
            </w:r>
          </w:p>
        </w:tc>
        <w:tc>
          <w:tcPr>
            <w:tcW w:type="dxa" w:w="141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频率</w:t>
            </w:r>
          </w:p>
        </w:tc>
        <w:tc>
          <w:tcPr>
            <w:tcW w:type="dxa" w:w="3005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差异处理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SAP采购/合同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订单、行项目、数量、金额、币种、状态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日度＋发布后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补拉、映射修正或业务确认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MES生产与批次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工单、投入、产出、损耗、批次和时间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班次/日度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批次谱系重建和影响分析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WMS库存与收发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库位、批次、可用/冻结数量、收发状态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准实时＋日终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以权威库存为准并保留差异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TMS运输与到货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运单、在途、预约、签收数量和时间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事件＋日终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补充回执或人工核验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QMS/LIMS质量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检验批、冻结、放行和有效时间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事件触发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质量状态优先，必要时冻结方案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财务成本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科目、费用池、分摊额、凭证和期间状态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核算前后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差异未清零不得关账</w:t>
            </w:r>
          </w:p>
        </w:tc>
      </w:tr>
    </w:tbl>
    <w:p>
      <w:pPr>
        <w:spacing w:after="40"/>
      </w:pPr>
    </w:p>
    <w:p>
      <w:pPr>
        <w:pStyle w:val="3"/>
      </w:pPr>
      <w:r>
        <w:t>5.2 指标、规则与预警架构</w:t>
      </w:r>
    </w:p>
    <w:p>
      <w:pPr>
        <w:pStyle w:val="4"/>
      </w:pPr>
      <w:r>
        <w:rPr>
          <w:rFonts w:ascii="Times New Roman" w:hAnsi="Times New Roman" w:eastAsia="STHeiti" w:cs="Times New Roman"/>
          <w:b/>
          <w:color w:val="000000"/>
          <w:sz w:val="24"/>
        </w:rPr>
        <w:t>5.2.1 指标与语义体系</w:t>
      </w: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5.2.1.1 指标体系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指标体系按战略、运营、模块和执行四层组织。指标定义包含名称、业务含义、公式、维度、粒度、时间口径、数据来源、责任人、更新频率、质量门槛、权限和版本。驾驶舱展示只引用已发布指标定义，不在前端临时计算核心经营指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41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层级</w:t>
            </w:r>
          </w:p>
        </w:tc>
        <w:tc>
          <w:tcPr>
            <w:tcW w:type="dxa" w:w="289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目的</w:t>
            </w:r>
          </w:p>
        </w:tc>
        <w:tc>
          <w:tcPr>
            <w:tcW w:type="dxa" w:w="255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示例</w:t>
            </w:r>
          </w:p>
        </w:tc>
        <w:tc>
          <w:tcPr>
            <w:tcW w:type="dxa" w:w="119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主要使用者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战略层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衡量整体供应保障、资金占用和经营结果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服务水平、库存资金、采购TCO、综合毛利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管理层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运营层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监控跨模块计划和执行健康度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缺口风险、到货达成、预警关闭时长、计划实际偏差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供应链负责人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模块层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评价专业方案质量和效果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安全库存覆盖、供应商集中度、要货满足率、成本差异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专业部门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执行层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发现对象级异常并驱动处置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单物料缺口、单订单延迟、批次分摊未平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业务执行人员</w:t>
            </w:r>
          </w:p>
        </w:tc>
      </w:tr>
    </w:tbl>
    <w:p>
      <w:pPr>
        <w:spacing w:after="40"/>
      </w:pP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5.2.1.2 指标计算与语义层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指标计算由统一语义层管理基础指标、派生指标和展示指标。基础指标来自标准事实，派生指标引用已发布公式和维度，展示指标只进行格式化、排序和条件着色。计算结果保存指标版本、数据截止时间、组织范围和来源快照，支持按指标—维度—业务对象逐层下钻。</w:t>
      </w:r>
    </w:p>
    <w:p>
      <w:pPr>
        <w:keepLines/>
        <w:spacing w:before="60" w:after="60"/>
        <w:jc w:val="center"/>
      </w:pPr>
      <m:oMath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Adopt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f>
          <m:fPr/>
          <m:num>
            <m:sSub>
              <m:sSubPr/>
              <m:e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accepted</m:t>
                </m:r>
              </m:sub>
            </m:sSub>
          </m:num>
          <m:den>
            <m:sSub>
              <m:sSubPr/>
              <m:e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recommended</m:t>
                </m:r>
              </m:sub>
            </m:sSub>
          </m:den>
        </m:f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（5-2）</w:t>
      </w:r>
    </w:p>
    <w:p>
      <w:pPr>
        <w:spacing w:line="324" w:lineRule="auto" w:after="80"/>
        <w:ind w:left="454" w:right="454"/>
        <w:jc w:val="both"/>
      </w:pPr>
      <w:r>
        <w:rPr>
          <w:rFonts w:ascii="Times New Roman" w:hAnsi="Times New Roman" w:eastAsia="Songti SC" w:cs="Times New Roman"/>
          <w:color w:val="000000"/>
          <w:sz w:val="18"/>
        </w:rPr>
        <w:t>其中，</w:t>
      </w:r>
      <m:oMath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Adopt</m:t>
        </m:r>
      </m:oMath>
      <w:r>
        <w:rPr>
          <w:rFonts w:ascii="Times New Roman" w:hAnsi="Times New Roman" w:eastAsia="Songti SC" w:cs="Times New Roman"/>
          <w:color w:val="000000"/>
          <w:sz w:val="18"/>
        </w:rPr>
        <w:t>为建议采纳率；</w:t>
      </w:r>
      <m:oMath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18"/>
                <w:szCs w:val="18"/>
              </w:rPr>
              <m:t xml:space="preserve">Q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18"/>
                <w:szCs w:val="18"/>
              </w:rPr>
              <m:t xml:space="preserve">accepted</m:t>
            </m:r>
          </m:sub>
        </m:sSub>
      </m:oMath>
      <w:r>
        <w:rPr>
          <w:rFonts w:ascii="Times New Roman" w:hAnsi="Times New Roman" w:eastAsia="Songti SC" w:cs="Times New Roman"/>
          <w:color w:val="000000"/>
          <w:sz w:val="18"/>
        </w:rPr>
        <w:t>为经确认并进入发布版本的建议数量；</w:t>
      </w:r>
      <m:oMath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18"/>
                <w:szCs w:val="18"/>
              </w:rPr>
              <m:t xml:space="preserve">Q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18"/>
                <w:szCs w:val="18"/>
              </w:rPr>
              <m:t xml:space="preserve">recommended</m:t>
            </m:r>
          </m:sub>
        </m:sSub>
      </m:oMath>
      <w:r>
        <w:rPr>
          <w:rFonts w:ascii="Times New Roman" w:hAnsi="Times New Roman" w:eastAsia="Songti SC" w:cs="Times New Roman"/>
          <w:color w:val="000000"/>
          <w:sz w:val="18"/>
        </w:rPr>
        <w:t>为模型原始建议数量。计算时必须使用同一方案口径、相同计量单位和明确统计周期。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767"/>
        <w:gridCol w:w="2767"/>
        <w:gridCol w:w="2767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语义层对象</w:t>
            </w:r>
          </w:p>
        </w:tc>
        <w:tc>
          <w:tcPr>
            <w:tcW w:type="dxa" w:w="3969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核心内容</w:t>
            </w:r>
          </w:p>
        </w:tc>
        <w:tc>
          <w:tcPr>
            <w:tcW w:type="dxa" w:w="238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版本与缓存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指标定义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名称、口径、公式、维度、粒度、责任人和权限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发布后不可原地改写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维度定义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组织、产品、物料、供应商、客户、时间、场景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统一层级和成员生效期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计算任务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依赖、频率、截止时间、重算范围和质量门槛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以任务版本和数据批次标识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指标结果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指标值、单位、目标、阈值、同比环比和来源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近期缓存，历史持久化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下钻路径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汇总指标到模块、对象、方案、运行和来源事实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路径随指标版本发布</w:t>
            </w:r>
          </w:p>
        </w:tc>
      </w:tr>
    </w:tbl>
    <w:p>
      <w:pPr>
        <w:spacing w:after="40"/>
      </w:pPr>
    </w:p>
    <w:p>
      <w:pPr>
        <w:pStyle w:val="4"/>
      </w:pPr>
      <w:r>
        <w:rPr>
          <w:rFonts w:ascii="Times New Roman" w:hAnsi="Times New Roman" w:eastAsia="STHeiti" w:cs="Times New Roman"/>
          <w:b/>
          <w:color w:val="000000"/>
          <w:sz w:val="24"/>
        </w:rPr>
        <w:t>5.2.2 规则与预警体系</w:t>
      </w: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5.2.2.1 业务规则体系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业务规则分为数据规则、计算规则、约束规则、状态规则、权限规则、预警规则和展示规则。规则以编号、适用范围、优先级、条件、动作、生效期和版本管理。硬约束优先于软规则，质量与安全规则优先于成本偏好；同级冲突由显式优先级和更具体适用范围决定，无法自动判定时阻断发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58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规则类别</w:t>
            </w:r>
          </w:p>
        </w:tc>
        <w:tc>
          <w:tcPr>
            <w:tcW w:type="dxa" w:w="323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示例</w:t>
            </w:r>
          </w:p>
        </w:tc>
        <w:tc>
          <w:tcPr>
            <w:tcW w:type="dxa" w:w="181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执行位置</w:t>
            </w:r>
          </w:p>
        </w:tc>
        <w:tc>
          <w:tcPr>
            <w:tcW w:type="dxa" w:w="141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失败影响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数据规则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关键字段、编码、单位和参照完整性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接入与快照门禁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阻断或降级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计算规则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可用库存、TCO构成、成本动因和指标公式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Java规则/指标任务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结果无效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模型约束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能力、份额、合同余额、库容和守恒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Python/SCIP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不可行或惩罚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状态规则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审批、发布、锁定、替代和撤回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Java领域服务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拒绝非法迁移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权限规则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角色、组织、对象和字段范围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网关与应用服务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拒绝访问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预警规则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阈值、持续时长、抑制和升级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预警服务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产生事件与任务</w:t>
            </w:r>
          </w:p>
        </w:tc>
      </w:tr>
    </w:tbl>
    <w:p>
      <w:pPr>
        <w:spacing w:after="40"/>
      </w:pP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5.2.2.2 预警体系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预警由“触发—归并—分级—指派—处置—回验—关闭”组成。系统对同一对象、同一规则和同一时间窗的重复命中进行归并；级别综合影响范围、紧迫程度、置信度和可恢复性确定。通知只是提醒，预警事件和协同任务才是状态依据。</w:t>
      </w:r>
    </w:p>
    <w:p>
      <w:pPr>
        <w:keepLines/>
        <w:spacing w:before="60" w:after="60"/>
        <w:jc w:val="center"/>
      </w:pPr>
      <m:oMath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A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α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I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+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β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U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+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γ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C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+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δ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R</m:t>
        </m:r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（5-3）</w:t>
      </w:r>
    </w:p>
    <w:p>
      <w:pPr>
        <w:spacing w:line="324" w:lineRule="auto" w:after="80"/>
        <w:ind w:left="454" w:right="454"/>
        <w:jc w:val="both"/>
      </w:pPr>
      <w:r>
        <w:rPr>
          <w:rFonts w:ascii="Times New Roman" w:hAnsi="Times New Roman" w:eastAsia="Songti SC" w:cs="Times New Roman"/>
          <w:color w:val="000000"/>
          <w:sz w:val="18"/>
        </w:rPr>
        <w:t>其中，</w:t>
      </w:r>
      <m:oMath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A</m:t>
        </m:r>
      </m:oMath>
      <w:r>
        <w:rPr>
          <w:rFonts w:ascii="Times New Roman" w:hAnsi="Times New Roman" w:eastAsia="Songti SC" w:cs="Times New Roman"/>
          <w:color w:val="000000"/>
          <w:sz w:val="18"/>
        </w:rPr>
        <w:t>为预警评分；</w:t>
      </w:r>
      <m:oMath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I</m:t>
        </m:r>
      </m:oMath>
      <w:r>
        <w:rPr>
          <w:rFonts w:ascii="Times New Roman" w:hAnsi="Times New Roman" w:eastAsia="Songti SC" w:cs="Times New Roman"/>
          <w:color w:val="000000"/>
          <w:sz w:val="18"/>
        </w:rPr>
        <w:t>为影响程度；</w:t>
      </w:r>
      <m:oMath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U</m:t>
        </m:r>
      </m:oMath>
      <w:r>
        <w:rPr>
          <w:rFonts w:ascii="Times New Roman" w:hAnsi="Times New Roman" w:eastAsia="Songti SC" w:cs="Times New Roman"/>
          <w:color w:val="000000"/>
          <w:sz w:val="18"/>
        </w:rPr>
        <w:t>为紧迫程度；</w:t>
      </w:r>
      <m:oMath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C</m:t>
        </m:r>
      </m:oMath>
      <w:r>
        <w:rPr>
          <w:rFonts w:ascii="Times New Roman" w:hAnsi="Times New Roman" w:eastAsia="Songti SC" w:cs="Times New Roman"/>
          <w:color w:val="000000"/>
          <w:sz w:val="18"/>
        </w:rPr>
        <w:t>为规则或模型置信度；</w:t>
      </w:r>
      <m:oMath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R</m:t>
        </m:r>
      </m:oMath>
      <w:r>
        <w:rPr>
          <w:rFonts w:ascii="Times New Roman" w:hAnsi="Times New Roman" w:eastAsia="Songti SC" w:cs="Times New Roman"/>
          <w:color w:val="000000"/>
          <w:sz w:val="18"/>
        </w:rPr>
        <w:t>为恢复难度；</w:t>
      </w:r>
      <m:oMath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α</m:t>
        </m:r>
      </m:oMath>
      <w:r>
        <w:rPr>
          <w:rFonts w:ascii="Times New Roman" w:hAnsi="Times New Roman" w:eastAsia="Songti SC" w:cs="Times New Roman"/>
          <w:color w:val="000000"/>
          <w:sz w:val="18"/>
        </w:rPr>
        <w:t>、</w:t>
      </w:r>
      <m:oMath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β</m:t>
        </m:r>
      </m:oMath>
      <w:r>
        <w:rPr>
          <w:rFonts w:ascii="Times New Roman" w:hAnsi="Times New Roman" w:eastAsia="Songti SC" w:cs="Times New Roman"/>
          <w:color w:val="000000"/>
          <w:sz w:val="18"/>
        </w:rPr>
        <w:t>、</w:t>
      </w:r>
      <m:oMath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γ</m:t>
        </m:r>
      </m:oMath>
      <w:r>
        <w:rPr>
          <w:rFonts w:ascii="Times New Roman" w:hAnsi="Times New Roman" w:eastAsia="Songti SC" w:cs="Times New Roman"/>
          <w:color w:val="000000"/>
          <w:sz w:val="18"/>
        </w:rPr>
        <w:t>、</w:t>
      </w:r>
      <m:oMath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δ</m:t>
        </m:r>
      </m:oMath>
      <w:r>
        <w:rPr>
          <w:rFonts w:ascii="Times New Roman" w:hAnsi="Times New Roman" w:eastAsia="Songti SC" w:cs="Times New Roman"/>
          <w:color w:val="000000"/>
          <w:sz w:val="18"/>
        </w:rPr>
        <w:t>为已发布权重。最终级别还须受质量冻结、合规风险等强制升级规则控制。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13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级别</w:t>
            </w:r>
          </w:p>
        </w:tc>
        <w:tc>
          <w:tcPr>
            <w:tcW w:type="dxa" w:w="311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典型场景</w:t>
            </w:r>
          </w:p>
        </w:tc>
        <w:tc>
          <w:tcPr>
            <w:tcW w:type="dxa" w:w="255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响应与升级</w:t>
            </w:r>
          </w:p>
        </w:tc>
        <w:tc>
          <w:tcPr>
            <w:tcW w:type="dxa" w:w="238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关闭条件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重大缺货、质量冻结影响已发布计划、关账不平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立即通知责任人与负责人；超时升级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影响消除且复核通过，或正式接受风险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P2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短期缺口、关键到货延迟、模型连续失败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工作时限内处理；按SLA升级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执行反馈恢复并完成回验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P3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趋势偏离、参数陈旧、一般数据质量问题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进入专业待办队列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修正、确认无影响或规则调整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提示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低风险建议或信息性变化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合并展示，不强制任务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条件消失或过期</w:t>
            </w:r>
          </w:p>
        </w:tc>
      </w:tr>
    </w:tbl>
    <w:p>
      <w:pPr>
        <w:spacing w:after="40"/>
      </w:pP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5.2.2.3 指标、规则和预警治理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新增或变更必须经过起草、影响分析、样本回放、业务审核、技术审核、发布和观察期。发布对象使用生效时间和版本号，不修改已用于历史方案的定义；紧急回退恢复上一稳定版本，并记录受影响指标、预警和方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58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治理动作</w:t>
            </w:r>
          </w:p>
        </w:tc>
        <w:tc>
          <w:tcPr>
            <w:tcW w:type="dxa" w:w="260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输入证据</w:t>
            </w:r>
          </w:p>
        </w:tc>
        <w:tc>
          <w:tcPr>
            <w:tcW w:type="dxa" w:w="289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控制要求</w:t>
            </w:r>
          </w:p>
        </w:tc>
        <w:tc>
          <w:tcPr>
            <w:tcW w:type="dxa" w:w="209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输出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新增/变更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业务定义、样例、来源和责任人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命名唯一、口径完整、影响可识别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草稿版本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验证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历史样本、边界样本和异常样本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结果对比、误报漏报和性能评估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验证报告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审批发布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验证报告与变更说明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业务与技术双重审核，设定生效时间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已发布版本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运行观察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命中率、异常率、性能和用户反馈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观察期告警，禁止静默改值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稳定或回退结论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停用回退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停用原因、影响对象和替代方案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保留历史引用，恢复可用版本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停用/回退记录</w:t>
            </w:r>
          </w:p>
        </w:tc>
      </w:tr>
    </w:tbl>
    <w:p>
      <w:pPr>
        <w:spacing w:after="40"/>
      </w:pPr>
    </w:p>
    <w:p>
      <w:pPr>
        <w:pStyle w:val="3"/>
      </w:pPr>
      <w:r>
        <w:t>5.3 模型与算法架构</w:t>
      </w:r>
    </w:p>
    <w:p>
      <w:pPr>
        <w:pStyle w:val="4"/>
      </w:pPr>
      <w:r>
        <w:rPr>
          <w:rFonts w:ascii="Times New Roman" w:hAnsi="Times New Roman" w:eastAsia="STHeiti" w:cs="Times New Roman"/>
          <w:b/>
          <w:color w:val="000000"/>
          <w:sz w:val="24"/>
        </w:rPr>
        <w:t>5.3.1 模型全景与运行架构</w:t>
      </w: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5.3.1.1 模型架构目标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模型架构将模型视为受治理的软件和业务资产，而不是散落脚本。每个模型具有稳定编号、代码版本、运行镜像、输入输出契约、参数版本、验证证据和责任人。Java应用负责业务编排、状态、权限和持久化，Python服务负责数据预处理、数学建模、SCIP求解、后处理和解释，两者通过HTTP契约解耦。</w:t>
      </w:r>
    </w:p>
    <w:p>
      <w:pPr>
        <w:keepNext/>
        <w:spacing w:before="100" w:after="80"/>
        <w:jc w:val="center"/>
      </w:pPr>
      <w:r>
        <w:rPr>
          <w:rFonts w:ascii="Times New Roman" w:hAnsi="Times New Roman" w:eastAsia="Songti SC" w:cs="Times New Roman"/>
          <w:b/>
          <w:color w:val="000000"/>
          <w:sz w:val="18"/>
        </w:rPr>
        <w:t>图5-3 模型运行、SCIP求解与结果发布编排</w:t>
      </w:r>
    </w:p>
    <w:p>
      <w:pPr>
        <w:keepLines/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112000" cy="28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3_模型运行SCIP求解与结果发布编排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5.3.1.2 模型分类与模型清单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58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模型类别</w:t>
            </w:r>
          </w:p>
        </w:tc>
        <w:tc>
          <w:tcPr>
            <w:tcW w:type="dxa" w:w="3515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本期主要模型</w:t>
            </w:r>
          </w:p>
        </w:tc>
        <w:tc>
          <w:tcPr>
            <w:tcW w:type="dxa" w:w="192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实现方式</w:t>
            </w:r>
          </w:p>
        </w:tc>
        <w:tc>
          <w:tcPr>
            <w:tcW w:type="dxa" w:w="260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输出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库存模型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安全库存、订货点、目标库存、逐日平衡和储罐约束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Python计算＋SCIP约束优化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策略、轨迹、补充建议和风险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采购优化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TCO最小化、供应商分配、份额能力与风险约束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PySCIPOpt/SCIP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主方案、备选方案、成本分解和约束解释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要货优化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多周期到货安排、合同订单占用、收货与库存约束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PySCIPOpt/SCIP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日度到货、占用关系、缺口和例外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成本传导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批次谱系、直接成本归集、费用池动因分摊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Python图计算/规则计算；必要时优化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批次成本、分摊明细、盈利和差异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指标规则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KPI、数据质量、阈值、状态和预警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Java/Python规则与批处理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指标值、规则结果和预警事件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场景模拟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需求、价格、供应、提前期和参数变化的影响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复用生产模型但隔离场景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与基线可比较的沙盘方案</w:t>
            </w:r>
          </w:p>
        </w:tc>
      </w:tr>
    </w:tbl>
    <w:p>
      <w:pPr>
        <w:spacing w:after="40"/>
      </w:pP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5.3.1.3 全系统模型详细设计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SCOS模型体系由驾驶舱指标与情景评价、成品库存策略、原料采购优化、原辅包要货优化、批次成本传导与费用分摊五组业务模型，以及数据质量、采纳率和预警评分等公共计算组成。所有模型均绑定输入快照、模型版本、参数版本和运行编号；数学优化模型由Python算法服务通过PySCIPOpt调用SCIP求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660"/>
        <w:gridCol w:w="1660"/>
        <w:gridCol w:w="1660"/>
        <w:gridCol w:w="1660"/>
        <w:gridCol w:w="1660"/>
      </w:tblGrid>
      <w:tr>
        <w:trPr>
          <w:tblHeader w:val="true"/>
          <w:cantSplit/>
        </w:trPr>
        <w:tc>
          <w:tcPr>
            <w:tcW w:type="dxa" w:w="164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模型编号</w:t>
            </w:r>
          </w:p>
        </w:tc>
        <w:tc>
          <w:tcPr>
            <w:tcW w:type="dxa" w:w="249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模型族</w:t>
            </w:r>
          </w:p>
        </w:tc>
        <w:tc>
          <w:tcPr>
            <w:tcW w:type="dxa" w:w="311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主要输入</w:t>
            </w:r>
          </w:p>
        </w:tc>
        <w:tc>
          <w:tcPr>
            <w:tcW w:type="dxa" w:w="2835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主要输出</w:t>
            </w:r>
          </w:p>
        </w:tc>
        <w:tc>
          <w:tcPr>
            <w:tcW w:type="dxa" w:w="238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计算与求解方式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MOD-COC-001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KPI变化、健康度与沙盘评分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指标定义、基线/场景快照、权重、阈值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指标差异、健康度、预警、情景评分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Python/Java规则计算；跨模块编排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MOD-INV-001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（R，s，S）库存策略与逐日库存平衡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需求、库存、在途、提前期、服务水平、储罐能力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SS、s、S、补充量、到货日期、库存轨迹与风险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Python计算＋SCIP约束优化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MOD-PUR-001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采购TCO与供应商数量组合优化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净需求、报价、运费、账期、能力、合同与风险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供应商组合、采购量、总成本、集中度和备选方案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PySCIPOpt/SCIP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MOD-REP-001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多周期要货与合同订单占用优化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耗用、库存、在途、订单余额、供应/运输/收货能力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日度到货量、订单占用、缺口、稳定性与例外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PySCIPOpt/SCIP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MOD-COST-001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批次谱系成本传导与费用池分摊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批次谱系、投入产出、直接成本、费用池和动因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批次/订单成本、单位成本、盈利、差异和对账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Python图计算与规则计算，必要时SCIP校验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MOD-COM-001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数据质量、采纳率与预警优先级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质量规则、建议与发布量、影响/紧迫/置信/恢复难度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质量分、采纳率、预警评分与级别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Java/Python规则计算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Times New Roman" w:hAnsi="Times New Roman" w:eastAsia="Songti SC" w:cs="Times New Roman"/>
          <w:b/>
          <w:color w:val="000000"/>
          <w:sz w:val="21"/>
        </w:rPr>
        <w:t>（1）驾驶舱指标、健康度与沙盘模型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767"/>
        <w:gridCol w:w="2767"/>
        <w:gridCol w:w="2767"/>
      </w:tblGrid>
      <w:tr>
        <w:trPr>
          <w:tblHeader w:val="true"/>
          <w:cantSplit/>
        </w:trPr>
        <w:tc>
          <w:tcPr>
            <w:tcW w:type="dxa" w:w="232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符号</w:t>
            </w:r>
          </w:p>
        </w:tc>
        <w:tc>
          <w:tcPr>
            <w:tcW w:type="dxa" w:w="4025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业务含义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单位/类型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m:oMath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16"/>
                  <w:szCs w:val="16"/>
                </w:rPr>
                <m:t xml:space="preserve">k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16"/>
                  <w:szCs w:val="16"/>
                </w:rPr>
                <m:t xml:space="preserve">、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16"/>
                  <w:szCs w:val="16"/>
                </w:rPr>
                <m:t xml:space="preserve">s</m:t>
              </m:r>
            </m:oMath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指标索引、情景索引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m:oMath>
              <m:sSubSup>
                <m:sSubSupPr/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k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base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16"/>
                  <w:szCs w:val="16"/>
                </w:rPr>
                <m:t xml:space="preserve">、</m:t>
              </m:r>
              <m:sSubSup>
                <m:sSubSupPr/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k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sim</m:t>
                  </m:r>
                </m:sup>
              </m:sSubSup>
            </m:oMath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指标基线值、模拟值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按指标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m:oMath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16"/>
                  <w:szCs w:val="16"/>
                </w:rPr>
                <m:t xml:space="preserve">、</m:t>
              </m:r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16"/>
                  <w:szCs w:val="16"/>
                </w:rPr>
                <m:t xml:space="preserve">、</m:t>
              </m:r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k</m:t>
                  </m:r>
                </m:sub>
              </m:sSub>
            </m:oMath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指标值、标准化下限和上限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按指标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m:oMath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16"/>
                  <w:szCs w:val="16"/>
                </w:rPr>
                <m:t xml:space="preserve">、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16"/>
                  <w:szCs w:val="16"/>
                </w:rPr>
                <m:t xml:space="preserve">H</m:t>
              </m:r>
            </m:oMath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标准化得分、综合健康度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0～100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m:oMath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16"/>
                  <w:szCs w:val="16"/>
                </w:rPr>
                <m:t xml:space="preserve">、</m:t>
              </m:r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k</m:t>
                  </m:r>
                </m:sub>
              </m:sSub>
            </m:oMath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健康度权重、情景评分权重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0～1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m:oMath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16"/>
                  <w:szCs w:val="16"/>
                </w:rPr>
                <m:t xml:space="preserve">(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16"/>
                  <w:szCs w:val="16"/>
                </w:rPr>
                <m:t xml:space="preserve">·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16"/>
                  <w:szCs w:val="16"/>
                </w:rPr>
                <m:t xml:space="preserve">)</m:t>
              </m:r>
            </m:oMath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同向无量纲转换函数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0～100</w:t>
            </w:r>
          </w:p>
        </w:tc>
      </w:tr>
    </w:tbl>
    <w:p>
      <w:pPr>
        <w:spacing w:after="40"/>
      </w:pPr>
    </w:p>
    <w:p>
      <w:pPr>
        <w:keepLines/>
        <w:spacing w:before="60" w:after="60"/>
        <w:jc w:val="center"/>
      </w:pPr>
      <m:oMath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Δ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k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k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sim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−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k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base</m:t>
            </m:r>
          </m:sup>
        </m:sSubSup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（5-4）</w:t>
      </w:r>
    </w:p>
    <w:p>
      <w:pPr>
        <w:spacing w:line="324" w:lineRule="auto" w:after="80"/>
        <w:ind w:left="454" w:right="454"/>
        <w:jc w:val="both"/>
      </w:pPr>
      <m:oMath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Δ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18"/>
                <w:szCs w:val="18"/>
              </w:rPr>
              <m:t xml:space="preserve"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18"/>
                <w:szCs w:val="18"/>
              </w:rPr>
              <m:t xml:space="preserve">k</m:t>
            </m:r>
          </m:sub>
        </m:sSub>
      </m:oMath>
      <w:r>
        <w:rPr>
          <w:rFonts w:ascii="Times New Roman" w:hAnsi="Times New Roman" w:eastAsia="Songti SC" w:cs="Times New Roman"/>
          <w:color w:val="000000"/>
          <w:sz w:val="18"/>
        </w:rPr>
        <w:t>表示沙盘指标</w:t>
      </w:r>
      <m:oMath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k</m:t>
        </m:r>
      </m:oMath>
      <w:r>
        <w:rPr>
          <w:rFonts w:ascii="Times New Roman" w:hAnsi="Times New Roman" w:eastAsia="Songti SC" w:cs="Times New Roman"/>
          <w:color w:val="000000"/>
          <w:sz w:val="18"/>
        </w:rPr>
        <w:t>的绝对变化量；所有比较必须使用相同指标定义和可比时间窗口。</w:t>
      </w:r>
    </w:p>
    <w:p>
      <w:pPr>
        <w:keepLines/>
        <w:spacing w:before="60" w:after="60"/>
        <w:jc w:val="center"/>
      </w:pPr>
      <m:oMath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k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f>
          <m:fPr/>
          <m:num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Δ</m:t>
            </m:r>
            <m:sSub>
              <m:sSubPr/>
              <m:e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K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k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max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(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|</m:t>
            </m:r>
            <m:sSubSup>
              <m:sSubSupPr/>
              <m:e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K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k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base</m:t>
                </m:r>
              </m:sup>
            </m:sSub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|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ε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)</m:t>
            </m:r>
          </m:den>
        </m:f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（5-5）</w:t>
      </w:r>
    </w:p>
    <w:p>
      <w:pPr>
        <w:spacing w:line="324" w:lineRule="auto" w:after="80"/>
        <w:ind w:left="454" w:right="454"/>
        <w:jc w:val="both"/>
      </w:pPr>
      <m:oMath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18"/>
                <w:szCs w:val="1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18"/>
                <w:szCs w:val="18"/>
              </w:rPr>
              <m:t xml:space="preserve">k</m:t>
            </m:r>
          </m:sub>
        </m:sSub>
      </m:oMath>
      <w:r>
        <w:rPr>
          <w:rFonts w:ascii="Times New Roman" w:hAnsi="Times New Roman" w:eastAsia="Songti SC" w:cs="Times New Roman"/>
          <w:color w:val="000000"/>
          <w:sz w:val="18"/>
        </w:rPr>
        <w:t>为相对变化率，</w:t>
      </w:r>
      <m:oMath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ε</m:t>
        </m:r>
      </m:oMath>
      <w:r>
        <w:rPr>
          <w:rFonts w:ascii="Times New Roman" w:hAnsi="Times New Roman" w:eastAsia="Songti SC" w:cs="Times New Roman"/>
          <w:color w:val="000000"/>
          <w:sz w:val="18"/>
        </w:rPr>
        <w:t>用于避免基线为零时除零；界面必须同时展示绝对量和相对量。</w:t>
      </w:r>
    </w:p>
    <w:p>
      <w:pPr>
        <w:keepLines/>
        <w:spacing w:before="60" w:after="60"/>
        <w:jc w:val="center"/>
      </w:pPr>
      <m:oMath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s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k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clip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(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100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·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(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x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k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−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k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)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/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(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U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k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−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k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)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,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0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,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100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)</m:t>
        </m:r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（5-6）</w:t>
      </w:r>
    </w:p>
    <w:p>
      <w:pPr>
        <w:spacing w:line="324" w:lineRule="auto" w:after="80"/>
        <w:ind w:left="454" w:right="454"/>
        <w:jc w:val="both"/>
      </w:pPr>
      <w:r>
        <w:rPr>
          <w:rFonts w:ascii="Times New Roman" w:hAnsi="Times New Roman" w:eastAsia="Songti SC" w:cs="Times New Roman"/>
          <w:color w:val="000000"/>
          <w:sz w:val="18"/>
        </w:rPr>
        <w:t>正向指标在下限</w:t>
      </w:r>
      <m:oMath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18"/>
                <w:szCs w:val="18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18"/>
                <w:szCs w:val="18"/>
              </w:rPr>
              <m:t xml:space="preserve">k</m:t>
            </m:r>
          </m:sub>
        </m:sSub>
      </m:oMath>
      <w:r>
        <w:rPr>
          <w:rFonts w:ascii="Times New Roman" w:hAnsi="Times New Roman" w:eastAsia="Songti SC" w:cs="Times New Roman"/>
          <w:color w:val="000000"/>
          <w:sz w:val="18"/>
        </w:rPr>
        <w:t>与上限</w:t>
      </w:r>
      <m:oMath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18"/>
                <w:szCs w:val="18"/>
              </w:rPr>
              <m:t xml:space="preserve">U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18"/>
                <w:szCs w:val="18"/>
              </w:rPr>
              <m:t xml:space="preserve">k</m:t>
            </m:r>
          </m:sub>
        </m:sSub>
      </m:oMath>
      <w:r>
        <w:rPr>
          <w:rFonts w:ascii="Times New Roman" w:hAnsi="Times New Roman" w:eastAsia="Songti SC" w:cs="Times New Roman"/>
          <w:color w:val="000000"/>
          <w:sz w:val="18"/>
        </w:rPr>
        <w:t>之间线性映射；反向指标交换</w:t>
      </w:r>
      <m:oMath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18"/>
                <w:szCs w:val="18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18"/>
                <w:szCs w:val="18"/>
              </w:rPr>
              <m:t xml:space="preserve">k</m:t>
            </m:r>
          </m:sub>
        </m:sSub>
      </m:oMath>
      <w:r>
        <w:rPr>
          <w:rFonts w:ascii="Times New Roman" w:hAnsi="Times New Roman" w:eastAsia="Songti SC" w:cs="Times New Roman"/>
          <w:color w:val="000000"/>
          <w:sz w:val="18"/>
        </w:rPr>
        <w:t>、</w:t>
      </w:r>
      <m:oMath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18"/>
                <w:szCs w:val="18"/>
              </w:rPr>
              <m:t xml:space="preserve">U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18"/>
                <w:szCs w:val="18"/>
              </w:rPr>
              <m:t xml:space="preserve">k</m:t>
            </m:r>
          </m:sub>
        </m:sSub>
      </m:oMath>
      <w:r>
        <w:rPr>
          <w:rFonts w:ascii="Times New Roman" w:hAnsi="Times New Roman" w:eastAsia="Songti SC" w:cs="Times New Roman"/>
          <w:color w:val="000000"/>
          <w:sz w:val="18"/>
        </w:rPr>
        <w:t>，区间指标以目标区间满分并按偏离衰减。</w:t>
      </w:r>
    </w:p>
    <w:p>
      <w:pPr>
        <w:keepLines/>
        <w:spacing w:before="60" w:after="60"/>
        <w:jc w:val="center"/>
      </w:pPr>
      <m:oMath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H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Σ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k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k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·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s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k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,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Σ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k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k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1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,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k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≥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0</m:t>
        </m:r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（5-7）</w:t>
      </w:r>
    </w:p>
    <w:p>
      <w:pPr>
        <w:spacing w:line="324" w:lineRule="auto" w:after="80"/>
        <w:ind w:left="454" w:right="454"/>
        <w:jc w:val="both"/>
      </w:pPr>
      <m:oMath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H</m:t>
        </m:r>
      </m:oMath>
      <w:r>
        <w:rPr>
          <w:rFonts w:ascii="Times New Roman" w:hAnsi="Times New Roman" w:eastAsia="Songti SC" w:cs="Times New Roman"/>
          <w:color w:val="000000"/>
          <w:sz w:val="18"/>
        </w:rPr>
        <w:t>为综合健康度。权重按组织、专题和版本配置，发布前必须通过业务评审和历史回测。</w:t>
      </w:r>
    </w:p>
    <w:p>
      <w:pPr>
        <w:keepLines/>
        <w:spacing w:before="60" w:after="60"/>
        <w:jc w:val="center"/>
      </w:pPr>
      <m:oMath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Score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s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Σ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k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λ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k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·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k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(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k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s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)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,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Σ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k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λ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k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1</m:t>
        </m:r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（5-8）</w:t>
      </w:r>
    </w:p>
    <w:p>
      <w:pPr>
        <w:spacing w:line="324" w:lineRule="auto" w:after="80"/>
        <w:ind w:left="454" w:right="454"/>
        <w:jc w:val="both"/>
      </w:pPr>
      <m:oMath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18"/>
                <w:szCs w:val="18"/>
              </w:rPr>
              <m:t xml:space="preserve">Score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18"/>
                <w:szCs w:val="18"/>
              </w:rPr>
              <m:t xml:space="preserve">s</m:t>
            </m:r>
          </m:sub>
        </m:sSub>
      </m:oMath>
      <w:r>
        <w:rPr>
          <w:rFonts w:ascii="Times New Roman" w:hAnsi="Times New Roman" w:eastAsia="Songti SC" w:cs="Times New Roman"/>
          <w:color w:val="000000"/>
          <w:sz w:val="18"/>
        </w:rPr>
        <w:t>为情景</w:t>
      </w:r>
      <m:oMath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s</m:t>
        </m:r>
      </m:oMath>
      <w:r>
        <w:rPr>
          <w:rFonts w:ascii="Times New Roman" w:hAnsi="Times New Roman" w:eastAsia="Songti SC" w:cs="Times New Roman"/>
          <w:color w:val="000000"/>
          <w:sz w:val="18"/>
        </w:rPr>
        <w:t>的综合比较分，</w:t>
      </w:r>
      <m:oMath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18"/>
                <w:szCs w:val="18"/>
              </w:rPr>
              <m:t xml:space="preserve">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18"/>
                <w:szCs w:val="18"/>
              </w:rPr>
              <m:t xml:space="preserve">k</m:t>
            </m:r>
          </m:sub>
        </m:sSub>
      </m:oMath>
      <w:r>
        <w:rPr>
          <w:rFonts w:ascii="Times New Roman" w:hAnsi="Times New Roman" w:eastAsia="Songti SC" w:cs="Times New Roman"/>
          <w:color w:val="000000"/>
          <w:sz w:val="18"/>
        </w:rPr>
        <w:t>将各指标转换为同向无量纲分值。综合分仅用于辅助比较，不替代可行性判断和专业审批。</w:t>
      </w:r>
    </w:p>
    <w:p>
      <w:pPr>
        <w:keepNext/>
      </w:pPr>
      <w:r>
        <w:rPr>
          <w:rFonts w:ascii="Times New Roman" w:hAnsi="Times New Roman" w:eastAsia="Songti SC" w:cs="Times New Roman"/>
          <w:b/>
          <w:color w:val="000000"/>
          <w:sz w:val="21"/>
        </w:rPr>
        <w:t>（2）成品库存优化模型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767"/>
        <w:gridCol w:w="2767"/>
        <w:gridCol w:w="2767"/>
      </w:tblGrid>
      <w:tr>
        <w:trPr>
          <w:tblHeader w:val="true"/>
          <w:cantSplit/>
        </w:trPr>
        <w:tc>
          <w:tcPr>
            <w:tcW w:type="dxa" w:w="232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符号</w:t>
            </w:r>
          </w:p>
        </w:tc>
        <w:tc>
          <w:tcPr>
            <w:tcW w:type="dxa" w:w="4025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业务含义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单位/类型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m:oMath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16"/>
                  <w:szCs w:val="16"/>
                </w:rPr>
                <m:t xml:space="preserve">p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16"/>
                  <w:szCs w:val="16"/>
                </w:rPr>
                <m:t xml:space="preserve">、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16"/>
                  <w:szCs w:val="16"/>
                </w:rPr>
                <m:t xml:space="preserve">t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16"/>
                  <w:szCs w:val="16"/>
                </w:rPr>
                <m:t xml:space="preserve">、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16"/>
                  <w:szCs w:val="16"/>
                </w:rPr>
                <m:t xml:space="preserve">j</m:t>
              </m:r>
            </m:oMath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产品、日期、储罐或罐组索引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m:oMath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p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,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t</m:t>
                  </m:r>
                </m:sub>
              </m:sSub>
            </m:oMath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产品p在t日的需求量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吨/日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m:oMath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16"/>
                  <w:szCs w:val="16"/>
                </w:rPr>
                <m:t xml:space="preserve">OH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16"/>
                  <w:szCs w:val="16"/>
                </w:rPr>
                <m:t xml:space="preserve">、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16"/>
                  <w:szCs w:val="16"/>
                </w:rPr>
                <m:t xml:space="preserve">QA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16"/>
                  <w:szCs w:val="16"/>
                </w:rPr>
                <m:t xml:space="preserve">、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16"/>
                  <w:szCs w:val="16"/>
                </w:rPr>
                <m:t xml:space="preserve">IT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16"/>
                  <w:szCs w:val="16"/>
                </w:rPr>
                <m:t xml:space="preserve">、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16"/>
                  <w:szCs w:val="16"/>
                </w:rPr>
                <m:t xml:space="preserve">BO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16"/>
                  <w:szCs w:val="16"/>
                </w:rPr>
                <m:t xml:space="preserve">、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16"/>
                  <w:szCs w:val="16"/>
                </w:rPr>
                <m:t xml:space="preserve">IP</m:t>
              </m:r>
            </m:oMath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现货、质检可用量、在途、欠交和库存位置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吨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m:oMath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16"/>
                  <w:szCs w:val="16"/>
                </w:rPr>
                <m:t xml:space="preserve">、</m:t>
              </m:r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p</m:t>
                  </m:r>
                </m:sub>
              </m:sSub>
            </m:oMath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补充提前期、检查周期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日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m:oMath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D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,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16"/>
                  <w:szCs w:val="16"/>
                </w:rPr>
                <m:t xml:space="preserve">、</m:t>
              </m:r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p</m:t>
                  </m:r>
                </m:sub>
              </m:sSub>
            </m:oMath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需求标准差、服务水平系数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吨/日、—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m:oMath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SS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16"/>
                  <w:szCs w:val="16"/>
                </w:rPr>
                <m:t xml:space="preserve">、</m:t>
              </m:r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16"/>
                  <w:szCs w:val="16"/>
                </w:rPr>
                <m:t xml:space="preserve">、</m:t>
              </m:r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p</m:t>
                  </m:r>
                </m:sub>
              </m:sSub>
            </m:oMath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安全库存、再订货点和目标库存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吨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m:oMath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p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,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16"/>
                  <w:szCs w:val="16"/>
                </w:rPr>
                <m:t xml:space="preserve">、</m:t>
              </m:r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p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,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t</m:t>
                  </m:r>
                </m:sub>
              </m:sSub>
            </m:oMath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补充量、补充触发变量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吨、0/1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m:oMath>
              <m:sSubSup>
                <m:sSubSupPr/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p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,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t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+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16"/>
                  <w:szCs w:val="16"/>
                </w:rPr>
                <m:t xml:space="preserve">、</m:t>
              </m:r>
              <m:sSubSup>
                <m:sSubSupPr/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p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,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t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-</m:t>
                  </m:r>
                </m:sup>
              </m:sSubSup>
            </m:oMath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期末可用库存和短缺量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吨</w:t>
            </w:r>
          </w:p>
        </w:tc>
      </w:tr>
    </w:tbl>
    <w:p>
      <w:pPr>
        <w:spacing w:after="40"/>
      </w:pPr>
    </w:p>
    <w:p>
      <w:pPr>
        <w:keepLines/>
        <w:spacing w:before="60" w:after="60"/>
        <w:jc w:val="center"/>
      </w:pPr>
      <m:oMath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d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avail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d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good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sealed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−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d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allocated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−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d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frozen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−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d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quality</m:t>
            </m:r>
          </m:sup>
        </m:sSubSup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（5-9）</w:t>
      </w:r>
    </w:p>
    <w:p>
      <w:pPr>
        <w:spacing w:line="324" w:lineRule="auto" w:after="80"/>
        <w:ind w:left="454" w:right="454"/>
        <w:jc w:val="both"/>
      </w:pPr>
      <w:r>
        <w:rPr>
          <w:rFonts w:ascii="Times New Roman" w:hAnsi="Times New Roman" w:eastAsia="Songti SC" w:cs="Times New Roman"/>
          <w:color w:val="000000"/>
          <w:sz w:val="18"/>
        </w:rPr>
        <w:t>只有合格且已封罐、达到首个可销售日的数量进入可用库存；待检或未封罐库存仅占用物理库容。</w:t>
      </w:r>
    </w:p>
    <w:p>
      <w:pPr>
        <w:keepLines/>
        <w:spacing w:before="60" w:after="60"/>
        <w:jc w:val="center"/>
      </w:pPr>
      <m:oMath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IP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d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d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avail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+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d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valid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+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P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d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locked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+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P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d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scheduled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−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D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d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committed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sSub>
              <m:sSubPr/>
              <m:e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not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deducted</m:t>
                </m:r>
              </m:sub>
            </m:sSub>
          </m:sup>
        </m:sSubSup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（5-10）</w:t>
      </w:r>
    </w:p>
    <w:p>
      <w:pPr>
        <w:spacing w:line="324" w:lineRule="auto" w:after="80"/>
        <w:ind w:left="454" w:right="454"/>
        <w:jc w:val="both"/>
      </w:pPr>
      <w:r>
        <w:rPr>
          <w:rFonts w:ascii="Times New Roman" w:hAnsi="Times New Roman" w:eastAsia="Songti SC" w:cs="Times New Roman"/>
          <w:color w:val="000000"/>
          <w:sz w:val="18"/>
        </w:rPr>
        <w:t>库存位置</w:t>
      </w:r>
      <m:oMath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IP</m:t>
        </m:r>
      </m:oMath>
      <w:r>
        <w:rPr>
          <w:rFonts w:ascii="Times New Roman" w:hAnsi="Times New Roman" w:eastAsia="Songti SC" w:cs="Times New Roman"/>
          <w:color w:val="000000"/>
          <w:sz w:val="18"/>
        </w:rPr>
        <w:t>用于补充触发。未来计划需求不得在</w:t>
      </w:r>
      <m:oMath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IP</m:t>
        </m:r>
      </m:oMath>
      <w:r>
        <w:rPr>
          <w:rFonts w:ascii="Times New Roman" w:hAnsi="Times New Roman" w:eastAsia="Songti SC" w:cs="Times New Roman"/>
          <w:color w:val="000000"/>
          <w:sz w:val="18"/>
        </w:rPr>
        <w:t>和再订货点中重复扣减；转运在途不得同时计入来源和目标库存。</w:t>
      </w:r>
    </w:p>
    <w:p>
      <w:pPr>
        <w:keepLines/>
        <w:spacing w:before="60" w:after="60"/>
        <w:jc w:val="center"/>
      </w:pPr>
      <m:oMath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Σ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k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≤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V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k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work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·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a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k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t</m:t>
            </m:r>
          </m:sub>
        </m:sSub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（5-11）</w:t>
      </w:r>
    </w:p>
    <w:p>
      <w:pPr>
        <w:spacing w:line="324" w:lineRule="auto" w:after="80"/>
        <w:ind w:left="454" w:right="454"/>
        <w:jc w:val="both"/>
      </w:pPr>
      <m:oMath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18"/>
                <w:szCs w:val="18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18"/>
                <w:szCs w:val="18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18"/>
                <w:szCs w:val="18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18"/>
                <w:szCs w:val="18"/>
              </w:rPr>
              <m:t xml:space="preserve">k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18"/>
                <w:szCs w:val="18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18"/>
                <w:szCs w:val="18"/>
              </w:rPr>
              <m:t xml:space="preserve">t</m:t>
            </m:r>
          </m:sub>
        </m:sSub>
      </m:oMath>
      <w:r>
        <w:rPr>
          <w:rFonts w:ascii="Times New Roman" w:hAnsi="Times New Roman" w:eastAsia="Songti SC" w:cs="Times New Roman"/>
          <w:color w:val="000000"/>
          <w:sz w:val="18"/>
        </w:rPr>
        <w:t>为产品</w:t>
      </w:r>
      <m:oMath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i</m:t>
        </m:r>
      </m:oMath>
      <w:r>
        <w:rPr>
          <w:rFonts w:ascii="Times New Roman" w:hAnsi="Times New Roman" w:eastAsia="Songti SC" w:cs="Times New Roman"/>
          <w:color w:val="000000"/>
          <w:sz w:val="18"/>
        </w:rPr>
        <w:t>在罐</w:t>
      </w:r>
      <m:oMath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k</m:t>
        </m:r>
      </m:oMath>
      <w:r>
        <w:rPr>
          <w:rFonts w:ascii="Times New Roman" w:hAnsi="Times New Roman" w:eastAsia="Songti SC" w:cs="Times New Roman"/>
          <w:color w:val="000000"/>
          <w:sz w:val="18"/>
        </w:rPr>
        <w:t>的日末物理库存；</w:t>
      </w:r>
      <m:oMath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18"/>
                <w:szCs w:val="18"/>
              </w:rPr>
              <m:t xml:space="preserve">a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18"/>
                <w:szCs w:val="18"/>
              </w:rPr>
              <m:t xml:space="preserve">k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18"/>
                <w:szCs w:val="18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18"/>
                <w:szCs w:val="18"/>
              </w:rPr>
              <m:t xml:space="preserve">t</m:t>
            </m:r>
          </m:sub>
        </m:sSub>
      </m:oMath>
      <w:r>
        <w:rPr>
          <w:rFonts w:ascii="Times New Roman" w:hAnsi="Times New Roman" w:eastAsia="Songti SC" w:cs="Times New Roman"/>
          <w:color w:val="000000"/>
          <w:sz w:val="18"/>
        </w:rPr>
        <w:t>表示罐位可用。维修、冻结或清洗中的罐有效容量为0。</w:t>
      </w:r>
    </w:p>
    <w:p>
      <w:pPr>
        <w:keepLines/>
        <w:spacing w:before="60" w:after="60"/>
        <w:jc w:val="center"/>
      </w:pPr>
      <m:oMath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k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≤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V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k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work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·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k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·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b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k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,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Σ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b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k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≤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1</m:t>
        </m:r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（5-12）</w:t>
      </w:r>
    </w:p>
    <w:p>
      <w:pPr>
        <w:spacing w:line="324" w:lineRule="auto" w:after="80"/>
        <w:ind w:left="454" w:right="454"/>
        <w:jc w:val="both"/>
      </w:pPr>
      <m:oMath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18"/>
                <w:szCs w:val="18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18"/>
                <w:szCs w:val="18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18"/>
                <w:szCs w:val="18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18"/>
                <w:szCs w:val="18"/>
              </w:rPr>
              <m:t xml:space="preserve">k</m:t>
            </m:r>
          </m:sub>
        </m:sSub>
      </m:oMath>
      <w:r>
        <w:rPr>
          <w:rFonts w:ascii="Times New Roman" w:hAnsi="Times New Roman" w:eastAsia="Songti SC" w:cs="Times New Roman"/>
          <w:color w:val="000000"/>
          <w:sz w:val="18"/>
        </w:rPr>
        <w:t>为产品—储罐兼容矩阵，</w:t>
      </w:r>
      <m:oMath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b</m:t>
        </m:r>
      </m:oMath>
      <w:r>
        <w:rPr>
          <w:rFonts w:ascii="Times New Roman" w:hAnsi="Times New Roman" w:eastAsia="Songti SC" w:cs="Times New Roman"/>
          <w:color w:val="000000"/>
          <w:sz w:val="18"/>
        </w:rPr>
        <w:t>为罐位归属二元变量，保证不兼容产品不可入罐且单罐不混装。</w:t>
      </w:r>
    </w:p>
    <w:p>
      <w:pPr>
        <w:keepLines/>
        <w:spacing w:before="60" w:after="60"/>
        <w:jc w:val="center"/>
      </w:pPr>
      <m:oMath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m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k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t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in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+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m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k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t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out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≤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1</m:t>
        </m:r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（5-13）</w:t>
      </w:r>
    </w:p>
    <w:p>
      <w:pPr>
        <w:spacing w:line="324" w:lineRule="auto" w:after="80"/>
        <w:ind w:left="454" w:right="454"/>
        <w:jc w:val="both"/>
      </w:pPr>
      <w:r>
        <w:rPr>
          <w:rFonts w:ascii="Times New Roman" w:hAnsi="Times New Roman" w:eastAsia="Songti SC" w:cs="Times New Roman"/>
          <w:color w:val="000000"/>
          <w:sz w:val="18"/>
        </w:rPr>
        <w:t>同一储罐同一规划日不得同时入罐和销售出罐；封罐没有最低液位硬阈值，满罐仅可作为偏好。</w:t>
      </w:r>
    </w:p>
    <w:p>
      <w:pPr>
        <w:keepLines/>
        <w:spacing w:before="60" w:after="60"/>
        <w:jc w:val="center"/>
      </w:pPr>
      <m:oMath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z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p>
          <m:s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Φ</m:t>
            </m:r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-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1</m:t>
            </m:r>
          </m:sup>
        </m:s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(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α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)</m:t>
        </m:r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（5-14）</w:t>
      </w:r>
    </w:p>
    <w:p>
      <w:pPr>
        <w:spacing w:line="324" w:lineRule="auto" w:after="80"/>
        <w:ind w:left="454" w:right="454"/>
        <w:jc w:val="both"/>
      </w:pPr>
      <m:oMath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18"/>
                <w:szCs w:val="18"/>
              </w:rPr>
              <m:t xml:space="preserve">α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18"/>
                <w:szCs w:val="18"/>
              </w:rPr>
              <m:t xml:space="preserve">i</m:t>
            </m:r>
          </m:sub>
        </m:sSub>
      </m:oMath>
      <w:r>
        <w:rPr>
          <w:rFonts w:ascii="Times New Roman" w:hAnsi="Times New Roman" w:eastAsia="Songti SC" w:cs="Times New Roman"/>
          <w:color w:val="000000"/>
          <w:sz w:val="18"/>
        </w:rPr>
        <w:t>为业务确认的周期服务水平，优先使用产品配置，否则继承分类配置；</w:t>
      </w:r>
      <m:oMath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0.5</m:t>
        </m:r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&lt;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18"/>
                <w:szCs w:val="18"/>
              </w:rPr>
              <m:t xml:space="preserve">α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18"/>
                <w:szCs w:val="18"/>
              </w:rPr>
              <m:t xml:space="preserve">i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&lt;</m:t>
        </m:r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1</m:t>
        </m:r>
      </m:oMath>
      <w:r>
        <w:rPr>
          <w:rFonts w:ascii="Times New Roman" w:hAnsi="Times New Roman" w:eastAsia="Songti SC" w:cs="Times New Roman"/>
          <w:color w:val="000000"/>
          <w:sz w:val="18"/>
        </w:rPr>
        <w:t>。</w:t>
      </w:r>
    </w:p>
    <w:p>
      <w:pPr>
        <w:keepLines/>
        <w:spacing w:before="60" w:after="60"/>
        <w:jc w:val="center"/>
      </w:pPr>
      <m:oMath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SS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d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s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z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·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σ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·</m:t>
        </m:r>
        <m:rad>
          <m:radPr>
            <m:degHide m:val="1"/>
          </m:radPr>
          <m:deg/>
          <m:e>
            <m:sSubSup>
              <m:sSubSupPr/>
              <m:e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i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,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d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s</m:t>
                </m:r>
              </m:sup>
            </m:sSubSup>
          </m:e>
        </m:rad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（5-15）</w:t>
      </w:r>
    </w:p>
    <w:p>
      <w:pPr>
        <w:spacing w:line="324" w:lineRule="auto" w:after="80"/>
        <w:ind w:left="454" w:right="454"/>
        <w:jc w:val="both"/>
      </w:pPr>
      <w:r>
        <w:rPr>
          <w:rFonts w:ascii="Times New Roman" w:hAnsi="Times New Roman" w:eastAsia="Songti SC" w:cs="Times New Roman"/>
          <w:color w:val="000000"/>
          <w:sz w:val="18"/>
        </w:rPr>
        <w:t>基础口径假设历史日需求波动近似独立、提前期确定；样本不足或存在强自相关时必须标记不可靠并人工复核。</w:t>
      </w:r>
    </w:p>
    <w:p>
      <w:pPr>
        <w:keepLines/>
        <w:spacing w:before="60" w:after="60"/>
        <w:jc w:val="center"/>
      </w:pPr>
      <m:oMath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SS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d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S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z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·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σ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·</m:t>
        </m:r>
        <m:rad>
          <m:radPr>
            <m:degHide m:val="1"/>
          </m:radPr>
          <m:deg/>
          <m:e>
            <m:sSubSup>
              <m:sSubSupPr/>
              <m:e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i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,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d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s</m:t>
                </m:r>
              </m:sup>
            </m:sSub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+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 </m:t>
            </m:r>
            <m:sSub>
              <m:sSubPr/>
              <m:e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i</m:t>
                </m:r>
              </m:sub>
            </m:sSub>
          </m:e>
        </m:rad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（5-16）</w:t>
      </w:r>
    </w:p>
    <w:p>
      <w:pPr>
        <w:spacing w:line="324" w:lineRule="auto" w:after="80"/>
        <w:ind w:left="454" w:right="454"/>
        <w:jc w:val="both"/>
      </w:pPr>
      <w:r>
        <w:rPr>
          <w:rFonts w:ascii="Times New Roman" w:hAnsi="Times New Roman" w:eastAsia="Songti SC" w:cs="Times New Roman"/>
          <w:color w:val="000000"/>
          <w:sz w:val="18"/>
        </w:rPr>
        <w:t>目标库存的安全库存覆盖期比再订货点多一个检查周期，两个安全库存不得混用为固定吨数。</w:t>
      </w:r>
    </w:p>
    <w:p>
      <w:pPr>
        <w:keepLines/>
        <w:spacing w:before="60" w:after="60"/>
        <w:jc w:val="center"/>
      </w:pPr>
      <m:oMath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s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d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Σ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t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=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d</m:t>
            </m:r>
          </m:sub>
          <m:sup>
            <m:sSub>
              <m:sSubPr/>
              <m:e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i</m:t>
                </m:r>
              </m:sub>
            </m:s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(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d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)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−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1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D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+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SS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d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s</m:t>
            </m:r>
          </m:sup>
        </m:sSubSup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（5-17）</w:t>
      </w:r>
    </w:p>
    <w:p>
      <w:pPr>
        <w:spacing w:line="324" w:lineRule="auto" w:after="80"/>
        <w:ind w:left="454" w:right="454"/>
        <w:jc w:val="both"/>
      </w:pPr>
      <m:oMath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18"/>
                <w:szCs w:val="18"/>
              </w:rPr>
              <m:t xml:space="preserve">a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18"/>
                <w:szCs w:val="18"/>
              </w:rPr>
              <m:t xml:space="preserve">i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(</m:t>
        </m:r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d</m:t>
        </m:r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)</m:t>
        </m:r>
      </m:oMath>
      <w:r>
        <w:rPr>
          <w:rFonts w:ascii="Times New Roman" w:hAnsi="Times New Roman" w:eastAsia="Songti SC" w:cs="Times New Roman"/>
          <w:color w:val="000000"/>
          <w:sz w:val="18"/>
        </w:rPr>
        <w:t>为触发补充后完成生产、质检、入罐和封罐并达到首个可销售日的日期。</w:t>
      </w:r>
    </w:p>
    <w:p>
      <w:pPr>
        <w:keepLines/>
        <w:spacing w:before="60" w:after="60"/>
        <w:jc w:val="center"/>
      </w:pPr>
      <m:oMath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S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d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Σ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t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=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d</m:t>
            </m:r>
          </m:sub>
          <m:sup>
            <m:sSub>
              <m:sSubPr/>
              <m:e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i</m:t>
                </m:r>
              </m:sub>
            </m:s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(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d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)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+</m:t>
            </m:r>
            <m:sSub>
              <m:sSubPr/>
              <m:e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i</m:t>
                </m:r>
              </m:sub>
            </m:s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−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1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D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+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SS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d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S</m:t>
            </m:r>
          </m:sup>
        </m:sSubSup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（5-18）</w:t>
      </w:r>
    </w:p>
    <w:p>
      <w:pPr>
        <w:spacing w:line="324" w:lineRule="auto" w:after="80"/>
        <w:ind w:left="454" w:right="454"/>
        <w:jc w:val="both"/>
      </w:pPr>
      <w:r>
        <w:rPr>
          <w:rFonts w:ascii="Times New Roman" w:hAnsi="Times New Roman" w:eastAsia="Songti SC" w:cs="Times New Roman"/>
          <w:color w:val="000000"/>
          <w:sz w:val="18"/>
        </w:rPr>
        <w:t>目标库存覆盖完整补充周期与检查周期。目标值保留业务需求，不因库容不足直接改写。</w:t>
      </w:r>
    </w:p>
    <w:p>
      <w:pPr>
        <w:keepLines/>
        <w:spacing w:before="60" w:after="60"/>
        <w:jc w:val="center"/>
      </w:pPr>
      <m:oMath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t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end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t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−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1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end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+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P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t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plan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+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Q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t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avail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−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D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t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served</m:t>
            </m:r>
          </m:sup>
        </m:sSubSup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（5-19）</w:t>
      </w:r>
    </w:p>
    <w:p>
      <w:pPr>
        <w:spacing w:line="324" w:lineRule="auto" w:after="80"/>
        <w:ind w:left="454" w:right="454"/>
        <w:jc w:val="both"/>
      </w:pPr>
      <m:oMath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P</m:t>
        </m:r>
      </m:oMath>
      <w:r>
        <w:rPr>
          <w:rFonts w:ascii="Times New Roman" w:hAnsi="Times New Roman" w:eastAsia="Songti SC" w:cs="Times New Roman"/>
          <w:color w:val="000000"/>
          <w:sz w:val="18"/>
        </w:rPr>
        <w:t>为已确认计划入库，</w:t>
      </w:r>
      <m:oMath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Q</m:t>
        </m:r>
      </m:oMath>
      <w:r>
        <w:rPr>
          <w:rFonts w:ascii="Times New Roman" w:hAnsi="Times New Roman" w:eastAsia="Songti SC" w:cs="Times New Roman"/>
          <w:color w:val="000000"/>
          <w:sz w:val="18"/>
        </w:rPr>
        <w:t>为新增建议在完成封罐后的可销售入库；实际入罐日与首个可销售日必须分开。</w:t>
      </w:r>
    </w:p>
    <w:p>
      <w:pPr>
        <w:keepLines/>
        <w:spacing w:before="60" w:after="60"/>
        <w:jc w:val="center"/>
      </w:pPr>
      <m:oMath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D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t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served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+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u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D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,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0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≤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D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t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served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≤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t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−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1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end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+</m:t>
        </m:r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P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t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plan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+</m:t>
        </m:r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Q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t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avail</m:t>
            </m:r>
          </m:sup>
        </m:sSubSup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（5-20）</w:t>
      </w:r>
    </w:p>
    <w:p>
      <w:pPr>
        <w:spacing w:line="324" w:lineRule="auto" w:after="80"/>
        <w:ind w:left="454" w:right="454"/>
        <w:jc w:val="both"/>
      </w:pPr>
      <m:oMath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u</m:t>
        </m:r>
      </m:oMath>
      <w:r>
        <w:rPr>
          <w:rFonts w:ascii="Times New Roman" w:hAnsi="Times New Roman" w:eastAsia="Songti SC" w:cs="Times New Roman"/>
          <w:color w:val="000000"/>
          <w:sz w:val="18"/>
        </w:rPr>
        <w:t>为未满足需求，销售满足优先于安全库存和满罐偏好。</w:t>
      </w:r>
    </w:p>
    <w:p>
      <w:pPr>
        <w:keepNext/>
      </w:pPr>
      <w:r>
        <w:rPr>
          <w:rFonts w:ascii="Times New Roman" w:hAnsi="Times New Roman" w:eastAsia="Songti SC" w:cs="Times New Roman"/>
          <w:b/>
          <w:color w:val="000000"/>
          <w:sz w:val="21"/>
        </w:rPr>
        <w:t>（3）原料采购优化模型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767"/>
        <w:gridCol w:w="2767"/>
        <w:gridCol w:w="2767"/>
      </w:tblGrid>
      <w:tr>
        <w:trPr>
          <w:tblHeader w:val="true"/>
          <w:cantSplit/>
        </w:trPr>
        <w:tc>
          <w:tcPr>
            <w:tcW w:type="dxa" w:w="232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符号</w:t>
            </w:r>
          </w:p>
        </w:tc>
        <w:tc>
          <w:tcPr>
            <w:tcW w:type="dxa" w:w="4025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业务含义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单位/类型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m:oMath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16"/>
                  <w:szCs w:val="16"/>
                </w:rPr>
                <m:t xml:space="preserve">m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16"/>
                  <w:szCs w:val="16"/>
                </w:rPr>
                <m:t xml:space="preserve">、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16"/>
                  <w:szCs w:val="16"/>
                </w:rPr>
                <m:t xml:space="preserve">v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16"/>
                  <w:szCs w:val="16"/>
                </w:rPr>
                <m:t xml:space="preserve">、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16"/>
                  <w:szCs w:val="16"/>
                </w:rPr>
                <m:t xml:space="preserve">t</m:t>
              </m:r>
            </m:oMath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物料、供应商、期间索引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m:oMath>
              <m:sSubSup>
                <m:sSubSupPr/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m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,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t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gross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16"/>
                  <w:szCs w:val="16"/>
                </w:rPr>
                <m:t xml:space="preserve">、</m:t>
              </m:r>
              <m:sSubSup>
                <m:sSubSupPr/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m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,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t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net</m:t>
                  </m:r>
                </m:sup>
              </m:sSubSup>
            </m:oMath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毛需求和净采购需求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吨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m:oMath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mvt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16"/>
                  <w:szCs w:val="16"/>
                </w:rPr>
                <m:t xml:space="preserve">、</m:t>
              </m:r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mvt</m:t>
                  </m:r>
                </m:sub>
              </m:sSub>
            </m:oMath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采购数量和供应商启用变量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吨、0/1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m:oMath>
              <m:sSubSup>
                <m:sSubSupPr/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mvt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TCO</m:t>
                  </m:r>
                </m:sup>
              </m:sSubSup>
            </m:oMath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含价格、运费、资金等的单位TCO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元/吨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m:oMath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Cap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mvt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16"/>
                  <w:szCs w:val="16"/>
                </w:rPr>
                <m:t xml:space="preserve">、</m:t>
              </m:r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MOQ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mvt</m:t>
                  </m:r>
                </m:sub>
              </m:sSub>
            </m:oMath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供应能力和最小采购量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吨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m:oMath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Share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v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16"/>
                  <w:szCs w:val="16"/>
                </w:rPr>
                <m:t xml:space="preserve">、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16"/>
                  <w:szCs w:val="16"/>
                </w:rPr>
                <m:t xml:space="preserve">HHI</m:t>
              </m:r>
            </m:oMath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供应商份额和集中度指标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0～1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m:oMath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late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mvt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16"/>
                  <w:szCs w:val="16"/>
                </w:rPr>
                <m:t xml:space="preserve">、</m:t>
              </m:r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risk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mvt</m:t>
                  </m:r>
                </m:sub>
              </m:sSub>
            </m:oMath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延迟量和风险量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吨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m:oMath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late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16"/>
                  <w:szCs w:val="16"/>
                </w:rPr>
                <m:t xml:space="preserve">、</m:t>
              </m:r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risk</m:t>
                  </m:r>
                </m:sub>
              </m:sSub>
            </m:oMath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延期与风险惩罚权重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元/吨</w:t>
            </w:r>
          </w:p>
        </w:tc>
      </w:tr>
    </w:tbl>
    <w:p>
      <w:pPr>
        <w:spacing w:after="40"/>
      </w:pPr>
    </w:p>
    <w:p>
      <w:pPr>
        <w:keepLines/>
        <w:spacing w:before="60" w:after="60"/>
        <w:jc w:val="center"/>
      </w:pPr>
      <m:oMath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Q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d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raw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1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[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IP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d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≤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s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d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]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·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max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(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0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,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S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d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−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IP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d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)</m:t>
        </m:r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（5-21）</w:t>
      </w:r>
    </w:p>
    <w:p>
      <w:pPr>
        <w:spacing w:line="324" w:lineRule="auto" w:after="80"/>
        <w:ind w:left="454" w:right="454"/>
        <w:jc w:val="both"/>
      </w:pPr>
      <w:r>
        <w:rPr>
          <w:rFonts w:ascii="Times New Roman" w:hAnsi="Times New Roman" w:eastAsia="Songti SC" w:cs="Times New Roman"/>
          <w:color w:val="000000"/>
          <w:sz w:val="18"/>
        </w:rPr>
        <w:t>原始补充量由(</w:t>
      </w:r>
      <m:oMath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R</m:t>
        </m:r>
      </m:oMath>
      <w:r>
        <w:rPr>
          <w:rFonts w:ascii="Times New Roman" w:hAnsi="Times New Roman" w:eastAsia="Songti SC" w:cs="Times New Roman"/>
          <w:color w:val="000000"/>
          <w:sz w:val="18"/>
        </w:rPr>
        <w:t>,</w:t>
      </w:r>
      <m:oMath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s</m:t>
        </m:r>
      </m:oMath>
      <w:r>
        <w:rPr>
          <w:rFonts w:ascii="Times New Roman" w:hAnsi="Times New Roman" w:eastAsia="Songti SC" w:cs="Times New Roman"/>
          <w:color w:val="000000"/>
          <w:sz w:val="18"/>
        </w:rPr>
        <w:t>,</w:t>
      </w:r>
      <m:oMath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S</m:t>
        </m:r>
      </m:oMath>
      <w:r>
        <w:rPr>
          <w:rFonts w:ascii="Times New Roman" w:hAnsi="Times New Roman" w:eastAsia="Songti SC" w:cs="Times New Roman"/>
          <w:color w:val="000000"/>
          <w:sz w:val="18"/>
        </w:rPr>
        <w:t>)触发。共享库容联合模型中，原始补充量只作为参考值，不作为必须满足的硬约束。</w:t>
      </w:r>
    </w:p>
    <w:p>
      <w:pPr>
        <w:keepLines/>
        <w:spacing w:before="60" w:after="60"/>
        <w:jc w:val="center"/>
      </w:pPr>
      <m:oMath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lex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min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{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Σ</m:t>
        </m:r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dem</m:t>
            </m:r>
          </m:sup>
        </m:sSubSup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u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;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Σ</m:t>
        </m:r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safe</m:t>
            </m:r>
          </m:sup>
        </m:sSubSup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h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;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Σ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|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q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d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−</m:t>
        </m:r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Q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d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raw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|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;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Σ</m:t>
        </m:r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z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k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t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idle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+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Σ</m:t>
        </m:r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z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k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t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switch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}</m:t>
        </m:r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（5-22）</w:t>
      </w:r>
    </w:p>
    <w:p>
      <w:pPr>
        <w:spacing w:line="324" w:lineRule="auto" w:after="80"/>
        <w:ind w:left="454" w:right="454"/>
        <w:jc w:val="both"/>
      </w:pPr>
      <w:r>
        <w:rPr>
          <w:rFonts w:ascii="Times New Roman" w:hAnsi="Times New Roman" w:eastAsia="Songti SC" w:cs="Times New Roman"/>
          <w:color w:val="000000"/>
          <w:sz w:val="18"/>
        </w:rPr>
        <w:t>采用分层优先目标：先保销售，再保安全库存，再贴近策略建议，最后改善罐位利用；不得以降低主要目标换取满罐。</w:t>
      </w:r>
    </w:p>
    <w:p>
      <w:pPr>
        <w:keepLines/>
        <w:spacing w:before="60" w:after="60"/>
        <w:jc w:val="center"/>
      </w:pPr>
      <m:oMath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Q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t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net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max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(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0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,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D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t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material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+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SS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t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material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−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t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usable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−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t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valid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−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PO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t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open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)</m:t>
        </m:r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（5-23）</w:t>
      </w:r>
    </w:p>
    <w:p>
      <w:pPr>
        <w:spacing w:line="324" w:lineRule="auto" w:after="80"/>
        <w:ind w:left="454" w:right="454"/>
        <w:jc w:val="both"/>
      </w:pPr>
      <m:oMath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18"/>
                <w:szCs w:val="18"/>
              </w:rPr>
              <m:t xml:space="preserve">Q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18"/>
                <w:szCs w:val="18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18"/>
                <w:szCs w:val="18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18"/>
                <w:szCs w:val="18"/>
              </w:rPr>
              <m:t xml:space="preserve">t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18"/>
                <w:szCs w:val="18"/>
              </w:rPr>
              <m:t xml:space="preserve">net</m:t>
            </m:r>
          </m:sup>
        </m:sSubSup>
      </m:oMath>
      <w:r>
        <w:rPr>
          <w:rFonts w:ascii="Times New Roman" w:hAnsi="Times New Roman" w:eastAsia="Songti SC" w:cs="Times New Roman"/>
          <w:color w:val="000000"/>
          <w:sz w:val="18"/>
        </w:rPr>
        <w:t>为物料</w:t>
      </w:r>
      <m:oMath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i</m:t>
        </m:r>
      </m:oMath>
      <w:r>
        <w:rPr>
          <w:rFonts w:ascii="Times New Roman" w:hAnsi="Times New Roman" w:eastAsia="Songti SC" w:cs="Times New Roman"/>
          <w:color w:val="000000"/>
          <w:sz w:val="18"/>
        </w:rPr>
        <w:t>在采购周期</w:t>
      </w:r>
      <m:oMath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t</m:t>
        </m:r>
      </m:oMath>
      <w:r>
        <w:rPr>
          <w:rFonts w:ascii="Times New Roman" w:hAnsi="Times New Roman" w:eastAsia="Songti SC" w:cs="Times New Roman"/>
          <w:color w:val="000000"/>
          <w:sz w:val="18"/>
        </w:rPr>
        <w:t>的净采购需求。物料需求由生产计划系统或MES提供；模块不得自行生成精益排程或推导工单。</w:t>
      </w:r>
    </w:p>
    <w:p>
      <w:pPr>
        <w:keepLines/>
        <w:spacing w:before="60" w:after="60"/>
        <w:jc w:val="center"/>
      </w:pPr>
      <m:oMath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a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ijot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f>
          <m:fPr/>
          <m:num>
            <m:sSub>
              <m:sSubPr/>
              <m:e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ijot</m:t>
                </m:r>
              </m:sub>
            </m:s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·</m:t>
            </m:r>
            <m:sSub>
              <m:sSubPr/>
              <m:e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t</m:t>
                </m:r>
              </m:sub>
            </m:s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·</m:t>
            </m:r>
            <m:sSub>
              <m:sSubPr/>
              <m:e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days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ijot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365</m:t>
            </m:r>
          </m:den>
        </m:f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（5-24）</w:t>
      </w:r>
    </w:p>
    <w:p>
      <w:pPr>
        <w:spacing w:line="324" w:lineRule="auto" w:after="80"/>
        <w:ind w:left="454" w:right="454"/>
        <w:jc w:val="both"/>
      </w:pPr>
      <m:oMath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a</m:t>
        </m:r>
      </m:oMath>
      <w:r>
        <w:rPr>
          <w:rFonts w:ascii="Times New Roman" w:hAnsi="Times New Roman" w:eastAsia="Songti SC" w:cs="Times New Roman"/>
          <w:color w:val="000000"/>
          <w:sz w:val="18"/>
        </w:rPr>
        <w:t>为账期带来的单位资金成本节省。若价格口径已包含融资影响，不得重复抵减。</w:t>
      </w:r>
    </w:p>
    <w:p>
      <w:pPr>
        <w:keepLines/>
        <w:spacing w:before="60" w:after="60"/>
        <w:jc w:val="center"/>
      </w:pPr>
      <m:oMath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ijot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TCO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p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ijot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+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ijot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+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tax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ijot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+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h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it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+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ql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ijot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+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risk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ijot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−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a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ijot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−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b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ijot</m:t>
            </m:r>
          </m:sub>
        </m:sSub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（5-25）</w:t>
      </w:r>
    </w:p>
    <w:p>
      <w:pPr>
        <w:spacing w:line="324" w:lineRule="auto" w:after="80"/>
        <w:ind w:left="454" w:right="454"/>
        <w:jc w:val="both"/>
      </w:pPr>
      <w:r>
        <w:rPr>
          <w:rFonts w:ascii="Times New Roman" w:hAnsi="Times New Roman" w:eastAsia="Songti SC" w:cs="Times New Roman"/>
          <w:color w:val="000000"/>
          <w:sz w:val="18"/>
        </w:rPr>
        <w:t>TCO单位成本各项必须有版本、单位、币种、含税标识、来源和有效期。质量与风险项是否计入目标由采购业务确认；未确认时仅展示不入目标。</w:t>
      </w:r>
    </w:p>
    <w:p>
      <w:pPr>
        <w:keepLines/>
        <w:spacing w:before="60" w:after="60"/>
        <w:jc w:val="center"/>
      </w:pPr>
      <m:oMath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TCO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Σ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j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o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ijot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TCO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·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x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ijot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+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Σ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j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o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ijot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·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y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ijot</m:t>
            </m:r>
          </m:sub>
        </m:sSub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（5-26）</w:t>
      </w:r>
    </w:p>
    <w:p>
      <w:pPr>
        <w:spacing w:line="324" w:lineRule="auto" w:after="80"/>
        <w:ind w:left="454" w:right="454"/>
        <w:jc w:val="both"/>
      </w:pPr>
      <m:oMath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F</m:t>
        </m:r>
      </m:oMath>
      <w:r>
        <w:rPr>
          <w:rFonts w:ascii="Times New Roman" w:hAnsi="Times New Roman" w:eastAsia="Songti SC" w:cs="Times New Roman"/>
          <w:color w:val="000000"/>
          <w:sz w:val="18"/>
        </w:rPr>
        <w:t>为选择某来源产生的固定费用。TCO与采购金额、现金流和会计成本分开展示。</w:t>
      </w:r>
    </w:p>
    <w:p>
      <w:pPr>
        <w:keepLines/>
        <w:spacing w:before="60" w:after="60"/>
        <w:jc w:val="center"/>
      </w:pPr>
      <m:oMath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min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Z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TCO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+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p>
          <m:s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M</m:t>
            </m:r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short</m:t>
            </m:r>
          </m:sup>
        </m:s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Σ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u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it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+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p>
          <m:s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M</m:t>
            </m:r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soft</m:t>
            </m:r>
          </m:sup>
        </m:s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Σ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v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m</m:t>
            </m:r>
          </m:sub>
        </m:sSub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（5-27）</w:t>
      </w:r>
    </w:p>
    <w:p>
      <w:pPr>
        <w:spacing w:line="324" w:lineRule="auto" w:after="80"/>
        <w:ind w:left="454" w:right="454"/>
        <w:jc w:val="both"/>
      </w:pPr>
      <m:oMath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u</m:t>
        </m:r>
      </m:oMath>
      <w:r>
        <w:rPr>
          <w:rFonts w:ascii="Times New Roman" w:hAnsi="Times New Roman" w:eastAsia="Songti SC" w:cs="Times New Roman"/>
          <w:color w:val="000000"/>
          <w:sz w:val="18"/>
        </w:rPr>
        <w:t>为无法覆盖的采购需求，</w:t>
      </w:r>
      <m:oMath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v</m:t>
        </m:r>
      </m:oMath>
      <w:r>
        <w:rPr>
          <w:rFonts w:ascii="Times New Roman" w:hAnsi="Times New Roman" w:eastAsia="Songti SC" w:cs="Times New Roman"/>
          <w:color w:val="000000"/>
          <w:sz w:val="18"/>
        </w:rPr>
        <w:t>为经业务批准的软约束违约量；</w:t>
      </w:r>
      <m:oMath>
        <m:sSup>
          <m:s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18"/>
                <w:szCs w:val="18"/>
              </w:rPr>
              <m:t xml:space="preserve">M</m:t>
            </m:r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18"/>
                <w:szCs w:val="18"/>
              </w:rPr>
              <m:t xml:space="preserve">short</m:t>
            </m:r>
          </m:sup>
        </m:sSup>
      </m:oMath>
      <w:r>
        <w:rPr>
          <w:rFonts w:ascii="Times New Roman" w:hAnsi="Times New Roman" w:eastAsia="Songti SC" w:cs="Times New Roman"/>
          <w:color w:val="000000"/>
          <w:sz w:val="18"/>
        </w:rPr>
        <w:t>必须显著高于成本差异，确保先保供应。</w:t>
      </w:r>
    </w:p>
    <w:p>
      <w:pPr>
        <w:keepLines/>
        <w:spacing w:before="60" w:after="60"/>
        <w:jc w:val="center"/>
      </w:pPr>
      <m:oMath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Σ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j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o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x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ijot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+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u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it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≥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Q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it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net</m:t>
            </m:r>
          </m:sup>
        </m:sSubSup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（5-28）</w:t>
      </w:r>
    </w:p>
    <w:p>
      <w:pPr>
        <w:spacing w:line="324" w:lineRule="auto" w:after="80"/>
        <w:ind w:left="454" w:right="454"/>
        <w:jc w:val="both"/>
      </w:pPr>
      <w:r>
        <w:rPr>
          <w:rFonts w:ascii="Times New Roman" w:hAnsi="Times New Roman" w:eastAsia="Songti SC" w:cs="Times New Roman"/>
          <w:color w:val="000000"/>
          <w:sz w:val="18"/>
        </w:rPr>
        <w:t>需求保障约束。正式方案若</w:t>
      </w:r>
      <m:oMath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u</m:t>
        </m:r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&gt;</m:t>
        </m:r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0</m:t>
        </m:r>
      </m:oMath>
      <w:r>
        <w:rPr>
          <w:rFonts w:ascii="Times New Roman" w:hAnsi="Times New Roman" w:eastAsia="Songti SC" w:cs="Times New Roman"/>
          <w:color w:val="000000"/>
          <w:sz w:val="18"/>
        </w:rPr>
        <w:t>必须显著标识缺口，不得按已满足发布。</w:t>
      </w:r>
    </w:p>
    <w:p>
      <w:pPr>
        <w:keepLines/>
        <w:spacing w:before="60" w:after="60"/>
        <w:jc w:val="center"/>
      </w:pPr>
      <m:oMath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MOQ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ijot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·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y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ijot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≤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x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ijot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≤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Cap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ijot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·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y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ijot</m:t>
            </m:r>
          </m:sub>
        </m:sSub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（5-29）</w:t>
      </w:r>
    </w:p>
    <w:p>
      <w:pPr>
        <w:spacing w:line="324" w:lineRule="auto" w:after="80"/>
        <w:ind w:left="454" w:right="454"/>
        <w:jc w:val="both"/>
      </w:pPr>
      <w:r>
        <w:rPr>
          <w:rFonts w:ascii="Times New Roman" w:hAnsi="Times New Roman" w:eastAsia="Songti SC" w:cs="Times New Roman"/>
          <w:color w:val="000000"/>
          <w:sz w:val="18"/>
        </w:rPr>
        <w:t>选择供应来源后数量满足MOQ并不超过剩余能力；按整车等步长采购时引入整数变量。</w:t>
      </w:r>
    </w:p>
    <w:p>
      <w:pPr>
        <w:keepLines/>
        <w:spacing w:before="60" w:after="60"/>
        <w:jc w:val="center"/>
      </w:pPr>
      <m:oMath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min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≤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Σ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j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o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y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ijot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≤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max</m:t>
            </m:r>
          </m:sup>
        </m:sSubSup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（5-30）</w:t>
      </w:r>
    </w:p>
    <w:p>
      <w:pPr>
        <w:spacing w:line="324" w:lineRule="auto" w:after="80"/>
        <w:ind w:left="454" w:right="454"/>
        <w:jc w:val="both"/>
      </w:pPr>
      <w:r>
        <w:rPr>
          <w:rFonts w:ascii="Times New Roman" w:hAnsi="Times New Roman" w:eastAsia="Songti SC" w:cs="Times New Roman"/>
          <w:color w:val="000000"/>
          <w:sz w:val="18"/>
        </w:rPr>
        <w:t>供应商数量约束用于供应保障与管理复杂度控制；上下限按物料和周期配置。</w:t>
      </w:r>
    </w:p>
    <w:p>
      <w:pPr>
        <w:keepLines/>
        <w:spacing w:before="60" w:after="60"/>
        <w:jc w:val="center"/>
      </w:pPr>
      <m:oMath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x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ijot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≤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Share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ij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max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·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Σ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j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o</m:t>
            </m:r>
          </m:sub>
        </m:sSub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x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ijot</m:t>
            </m:r>
          </m:sub>
        </m:sSub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（5-31）</w:t>
      </w:r>
    </w:p>
    <w:p>
      <w:pPr>
        <w:spacing w:line="324" w:lineRule="auto" w:after="80"/>
        <w:ind w:left="454" w:right="454"/>
        <w:jc w:val="both"/>
      </w:pPr>
      <w:r>
        <w:rPr>
          <w:rFonts w:ascii="Times New Roman" w:hAnsi="Times New Roman" w:eastAsia="Songti SC" w:cs="Times New Roman"/>
          <w:color w:val="000000"/>
          <w:sz w:val="18"/>
        </w:rPr>
        <w:t>供应集中度上限。合同最低份额、战略份额或框架承诺可建立相应下限。</w:t>
      </w:r>
    </w:p>
    <w:p>
      <w:pPr>
        <w:keepLines/>
        <w:spacing w:before="60" w:after="60"/>
        <w:jc w:val="center"/>
      </w:pPr>
      <m:oMath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HHI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Σ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j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(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x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ij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/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Σ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j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x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ij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)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²</m:t>
        </m:r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（5-32）</w:t>
      </w:r>
    </w:p>
    <w:p>
      <w:pPr>
        <w:spacing w:line="324" w:lineRule="auto" w:after="80"/>
        <w:ind w:left="454" w:right="454"/>
        <w:jc w:val="both"/>
      </w:pPr>
      <w:r>
        <w:rPr>
          <w:rFonts w:ascii="Times New Roman" w:hAnsi="Times New Roman" w:eastAsia="Songti SC" w:cs="Times New Roman"/>
          <w:color w:val="000000"/>
          <w:sz w:val="18"/>
        </w:rPr>
        <w:t>HHI反映物料</w:t>
      </w:r>
      <m:oMath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i</m:t>
        </m:r>
      </m:oMath>
      <w:r>
        <w:rPr>
          <w:rFonts w:ascii="Times New Roman" w:hAnsi="Times New Roman" w:eastAsia="Songti SC" w:cs="Times New Roman"/>
          <w:color w:val="000000"/>
          <w:sz w:val="18"/>
        </w:rPr>
        <w:t>的供应集中度；同时展示最大单家占比和有效供应商数量，阈值由业务配置。</w:t>
      </w:r>
    </w:p>
    <w:p>
      <w:pPr>
        <w:keepNext/>
      </w:pPr>
      <w:r>
        <w:rPr>
          <w:rFonts w:ascii="Times New Roman" w:hAnsi="Times New Roman" w:eastAsia="Songti SC" w:cs="Times New Roman"/>
          <w:b/>
          <w:color w:val="000000"/>
          <w:sz w:val="21"/>
        </w:rPr>
        <w:t>（4）原辅包要货计划模型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767"/>
        <w:gridCol w:w="2767"/>
        <w:gridCol w:w="2767"/>
      </w:tblGrid>
      <w:tr>
        <w:trPr>
          <w:tblHeader w:val="true"/>
          <w:cantSplit/>
        </w:trPr>
        <w:tc>
          <w:tcPr>
            <w:tcW w:type="dxa" w:w="232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符号</w:t>
            </w:r>
          </w:p>
        </w:tc>
        <w:tc>
          <w:tcPr>
            <w:tcW w:type="dxa" w:w="4025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业务含义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单位/类型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m:oMath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16"/>
                  <w:szCs w:val="16"/>
                </w:rPr>
                <m:t xml:space="preserve">m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16"/>
                  <w:szCs w:val="16"/>
                </w:rPr>
                <m:t xml:space="preserve">、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16"/>
                  <w:szCs w:val="16"/>
                </w:rPr>
                <m:t xml:space="preserve">v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16"/>
                  <w:szCs w:val="16"/>
                </w:rPr>
                <m:t xml:space="preserve">、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16"/>
                  <w:szCs w:val="16"/>
                </w:rPr>
                <m:t xml:space="preserve">o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16"/>
                  <w:szCs w:val="16"/>
                </w:rPr>
                <m:t xml:space="preserve">、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16"/>
                  <w:szCs w:val="16"/>
                </w:rPr>
                <m:t xml:space="preserve">t</m:t>
              </m:r>
            </m:oMath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物料、供应商、合同/订单、日期索引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m:oMath>
              <m:sSubSup>
                <m:sSubSupPr/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m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,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t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cum</m:t>
                  </m:r>
                </m:sup>
              </m:sSubSup>
            </m:oMath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截至t日累计净需求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吨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m:oMath>
              <m:sSubSup>
                <m:sSubSupPr/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o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avail</m:t>
                  </m:r>
                </m:sup>
              </m:sSubSup>
            </m:oMath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合同/订单可安排余量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吨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m:oMath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m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,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o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,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t</m:t>
                  </m:r>
                </m:sub>
              </m:sSub>
            </m:oMath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订单o在t日安排的到货量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吨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m:oMath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m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,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o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,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t</m:t>
                  </m:r>
                </m:sub>
              </m:sSub>
            </m:oMath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到货启用变量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0/1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m:oMath>
              <m:sSubSup>
                <m:sSubSupPr/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Cap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v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,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t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sup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16"/>
                  <w:szCs w:val="16"/>
                </w:rPr>
                <m:t xml:space="preserve">、</m:t>
              </m:r>
              <m:sSubSup>
                <m:sSubSupPr/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Cap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t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recv</m:t>
                  </m:r>
                </m:sup>
              </m:sSubSup>
            </m:oMath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供应商可供量和日收货能力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吨/日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m:oMath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Short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m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,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16"/>
                  <w:szCs w:val="16"/>
                </w:rPr>
                <m:t xml:space="preserve">、</m:t>
              </m:r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Early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m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,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t</m:t>
                  </m:r>
                </m:sub>
              </m:sSub>
            </m:oMath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短缺量和提前到货量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吨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m:oMath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m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,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t</m:t>
                  </m:r>
                </m:sub>
              </m:sSub>
            </m:oMath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已确认、在途或锁定到货量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吨</w:t>
            </w:r>
          </w:p>
        </w:tc>
      </w:tr>
    </w:tbl>
    <w:p>
      <w:pPr>
        <w:spacing w:after="40"/>
      </w:pPr>
    </w:p>
    <w:p>
      <w:pPr>
        <w:keepLines/>
        <w:spacing w:before="60" w:after="60"/>
        <w:jc w:val="center"/>
      </w:pPr>
      <m:oMath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it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max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(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0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,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Σ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τ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≤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t</m:t>
            </m:r>
          </m:sub>
        </m:sSub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D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τ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+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SS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it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−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0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−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Σ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τ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≤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t</m:t>
            </m:r>
          </m:sub>
        </m:sSub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τ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)</m:t>
        </m:r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（5-33）</w:t>
      </w:r>
    </w:p>
    <w:p>
      <w:pPr>
        <w:spacing w:line="324" w:lineRule="auto" w:after="80"/>
        <w:ind w:left="454" w:right="454"/>
        <w:jc w:val="both"/>
      </w:pPr>
      <m:oMath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N</m:t>
        </m:r>
      </m:oMath>
      <w:r>
        <w:rPr>
          <w:rFonts w:ascii="Times New Roman" w:hAnsi="Times New Roman" w:eastAsia="Songti SC" w:cs="Times New Roman"/>
          <w:color w:val="000000"/>
          <w:sz w:val="18"/>
        </w:rPr>
        <w:t>为截至日期</w:t>
      </w:r>
      <m:oMath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t</m:t>
        </m:r>
      </m:oMath>
      <w:r>
        <w:rPr>
          <w:rFonts w:ascii="Times New Roman" w:hAnsi="Times New Roman" w:eastAsia="Songti SC" w:cs="Times New Roman"/>
          <w:color w:val="000000"/>
          <w:sz w:val="18"/>
        </w:rPr>
        <w:t>的累计净要货需求。</w:t>
      </w:r>
      <m:oMath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F</m:t>
        </m:r>
      </m:oMath>
      <w:r>
        <w:rPr>
          <w:rFonts w:ascii="Times New Roman" w:hAnsi="Times New Roman" w:eastAsia="Songti SC" w:cs="Times New Roman"/>
          <w:color w:val="000000"/>
          <w:sz w:val="18"/>
        </w:rPr>
        <w:t>只包含状态有效且未取消的固定到货与可信在途；待确认数量不得默认计入。</w:t>
      </w:r>
    </w:p>
    <w:p>
      <w:pPr>
        <w:keepLines/>
        <w:spacing w:before="60" w:after="60"/>
        <w:jc w:val="center"/>
      </w:pPr>
      <m:oMath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it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max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(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0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,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it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−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Σ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o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τ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&lt;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t</m:t>
            </m:r>
          </m:sub>
        </m:sSub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x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io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τ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)</m:t>
        </m:r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（5-34）</w:t>
      </w:r>
    </w:p>
    <w:p>
      <w:pPr>
        <w:spacing w:line="324" w:lineRule="auto" w:after="80"/>
        <w:ind w:left="454" w:right="454"/>
        <w:jc w:val="both"/>
      </w:pPr>
      <m:oMath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R</m:t>
        </m:r>
      </m:oMath>
      <w:r>
        <w:rPr>
          <w:rFonts w:ascii="Times New Roman" w:hAnsi="Times New Roman" w:eastAsia="Songti SC" w:cs="Times New Roman"/>
          <w:color w:val="000000"/>
          <w:sz w:val="18"/>
        </w:rPr>
        <w:t>为日期</w:t>
      </w:r>
      <m:oMath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t</m:t>
        </m:r>
      </m:oMath>
      <w:r>
        <w:rPr>
          <w:rFonts w:ascii="Times New Roman" w:hAnsi="Times New Roman" w:eastAsia="Songti SC" w:cs="Times New Roman"/>
          <w:color w:val="000000"/>
          <w:sz w:val="18"/>
        </w:rPr>
        <w:t>尚未被候选计划覆盖的剩余需求，用于定位缺口日期和计划优先级。</w:t>
      </w:r>
    </w:p>
    <w:p>
      <w:pPr>
        <w:keepLines/>
        <w:spacing w:before="60" w:after="60"/>
        <w:jc w:val="center"/>
      </w:pPr>
      <m:oMath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A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o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Q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o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ordered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−</m:t>
        </m:r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Q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o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received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−</m:t>
        </m:r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Q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o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cancelled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−</m:t>
        </m:r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Q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o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frozen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−</m:t>
        </m:r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Q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o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allocated</m:t>
            </m:r>
          </m:sup>
        </m:sSubSup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（5-35）</w:t>
      </w:r>
    </w:p>
    <w:p>
      <w:pPr>
        <w:spacing w:line="324" w:lineRule="auto" w:after="80"/>
        <w:ind w:left="454" w:right="454"/>
        <w:jc w:val="both"/>
      </w:pPr>
      <m:oMath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18"/>
                <w:szCs w:val="18"/>
              </w:rPr>
              <m:t xml:space="preserve">A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18"/>
                <w:szCs w:val="18"/>
              </w:rPr>
              <m:t xml:space="preserve">o</m:t>
            </m:r>
          </m:sub>
        </m:sSub>
      </m:oMath>
      <w:r>
        <w:rPr>
          <w:rFonts w:ascii="Times New Roman" w:hAnsi="Times New Roman" w:eastAsia="Songti SC" w:cs="Times New Roman"/>
          <w:color w:val="000000"/>
          <w:sz w:val="18"/>
        </w:rPr>
        <w:t>为订单或合同来源的可安排量。各扣减项必须来自同一截止时间，</w:t>
      </w:r>
      <m:oMath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18"/>
                <w:szCs w:val="18"/>
              </w:rPr>
              <m:t xml:space="preserve">Q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18"/>
                <w:szCs w:val="18"/>
              </w:rPr>
              <m:t xml:space="preserve">o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18"/>
                <w:szCs w:val="18"/>
              </w:rPr>
              <m:t xml:space="preserve">allocated</m:t>
            </m:r>
          </m:sup>
        </m:sSubSup>
      </m:oMath>
      <w:r>
        <w:rPr>
          <w:rFonts w:ascii="Times New Roman" w:hAnsi="Times New Roman" w:eastAsia="Songti SC" w:cs="Times New Roman"/>
          <w:color w:val="000000"/>
          <w:sz w:val="18"/>
        </w:rPr>
        <w:t>只统计仍有效的计划占用。</w:t>
      </w:r>
    </w:p>
    <w:p>
      <w:pPr>
        <w:keepLines/>
        <w:spacing w:before="60" w:after="60"/>
        <w:jc w:val="center"/>
      </w:pPr>
      <m:oMath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Σ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x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iot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+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Q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o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reserved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≤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A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o</m:t>
            </m:r>
          </m:sub>
        </m:sSub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（5-36）</w:t>
      </w:r>
    </w:p>
    <w:p>
      <w:pPr>
        <w:spacing w:line="324" w:lineRule="auto" w:after="80"/>
        <w:ind w:left="454" w:right="454"/>
        <w:jc w:val="both"/>
      </w:pPr>
      <w:r>
        <w:rPr>
          <w:rFonts w:ascii="Times New Roman" w:hAnsi="Times New Roman" w:eastAsia="Songti SC" w:cs="Times New Roman"/>
          <w:color w:val="000000"/>
          <w:sz w:val="18"/>
        </w:rPr>
        <w:t>同一合同或订单在所有计划版本中的有效占用不得超过可安排量；历史失效版本不占用，已锁定版本优先占用。</w:t>
      </w:r>
    </w:p>
    <w:p>
      <w:pPr>
        <w:keepLines/>
        <w:spacing w:before="60" w:after="60"/>
        <w:jc w:val="center"/>
      </w:pPr>
      <m:oMath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Σ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o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∈</m:t>
            </m:r>
            <m:sSub>
              <m:sSubPr/>
              <m:e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O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s</m:t>
                </m:r>
              </m:sub>
            </m:sSub>
          </m:sub>
        </m:sSub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x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iot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≤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Cap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st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supply</m:t>
            </m:r>
          </m:sup>
        </m:sSubSup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（5-37）</w:t>
      </w:r>
    </w:p>
    <w:p>
      <w:pPr>
        <w:spacing w:line="324" w:lineRule="auto" w:after="80"/>
        <w:ind w:left="454" w:right="454"/>
        <w:jc w:val="both"/>
      </w:pPr>
      <w:r>
        <w:rPr>
          <w:rFonts w:ascii="Times New Roman" w:hAnsi="Times New Roman" w:eastAsia="Songti SC" w:cs="Times New Roman"/>
          <w:color w:val="000000"/>
          <w:sz w:val="18"/>
        </w:rPr>
        <w:t>供应商</w:t>
      </w:r>
      <m:oMath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s</m:t>
        </m:r>
      </m:oMath>
      <w:r>
        <w:rPr>
          <w:rFonts w:ascii="Times New Roman" w:hAnsi="Times New Roman" w:eastAsia="Songti SC" w:cs="Times New Roman"/>
          <w:color w:val="000000"/>
          <w:sz w:val="18"/>
        </w:rPr>
        <w:t>在日期</w:t>
      </w:r>
      <m:oMath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t</m:t>
        </m:r>
      </m:oMath>
      <w:r>
        <w:rPr>
          <w:rFonts w:ascii="Times New Roman" w:hAnsi="Times New Roman" w:eastAsia="Songti SC" w:cs="Times New Roman"/>
          <w:color w:val="000000"/>
          <w:sz w:val="18"/>
        </w:rPr>
        <w:t>的计划量不得超过确认的日可供能力。</w:t>
      </w:r>
    </w:p>
    <w:p>
      <w:pPr>
        <w:keepLines/>
        <w:spacing w:before="60" w:after="60"/>
        <w:jc w:val="center"/>
      </w:pPr>
      <m:oMath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MOQ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o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·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y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iot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≤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x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iot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≤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Cap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iot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·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y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iot</m:t>
            </m:r>
          </m:sub>
        </m:sSub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（5-38）</w:t>
      </w:r>
    </w:p>
    <w:p>
      <w:pPr>
        <w:spacing w:line="324" w:lineRule="auto" w:after="80"/>
        <w:ind w:left="454" w:right="454"/>
        <w:jc w:val="both"/>
      </w:pPr>
      <w:r>
        <w:rPr>
          <w:rFonts w:ascii="Times New Roman" w:hAnsi="Times New Roman" w:eastAsia="Songti SC" w:cs="Times New Roman"/>
          <w:color w:val="000000"/>
          <w:sz w:val="18"/>
        </w:rPr>
        <w:t>发生一次到货时满足最小送货量并不超过订单、车辆或供应能力上限；整车整托场景引入整数倍变量。</w:t>
      </w:r>
    </w:p>
    <w:p>
      <w:pPr>
        <w:keepLines/>
        <w:spacing w:before="60" w:after="60"/>
        <w:jc w:val="center"/>
      </w:pPr>
      <m:oMath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x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iot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0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，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t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∉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[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Earliest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io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,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Latest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io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]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∨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t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∈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Blackout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io</m:t>
            </m:r>
          </m:sub>
        </m:sSub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（5-39）</w:t>
      </w:r>
    </w:p>
    <w:p>
      <w:pPr>
        <w:spacing w:line="324" w:lineRule="auto" w:after="80"/>
        <w:ind w:left="454" w:right="454"/>
        <w:jc w:val="both"/>
      </w:pPr>
      <w:r>
        <w:rPr>
          <w:rFonts w:ascii="Times New Roman" w:hAnsi="Times New Roman" w:eastAsia="Songti SC" w:cs="Times New Roman"/>
          <w:color w:val="000000"/>
          <w:sz w:val="18"/>
        </w:rPr>
        <w:t>日期不在可交付窗口、节假日禁运或工厂禁收时，不允许安排。</w:t>
      </w:r>
    </w:p>
    <w:p>
      <w:pPr>
        <w:keepLines/>
        <w:spacing w:before="60" w:after="60"/>
        <w:jc w:val="center"/>
      </w:pPr>
      <m:oMath>
        <m:f>
          <m:fPr/>
          <m:num>
            <m:sSub>
              <m:sSubPr/>
              <m:e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Σ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i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,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o</m:t>
                </m:r>
              </m:sub>
            </m:sSub>
            <m:sSub>
              <m:sSubPr/>
              <m:e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iot</m:t>
                </m:r>
              </m:sub>
            </m:sSub>
          </m:num>
          <m:den>
            <m:sSub>
              <m:sSubPr/>
              <m:e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Rate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i</m:t>
                </m:r>
              </m:sub>
            </m:sSub>
          </m:den>
        </m:f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≤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Cap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t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receipt</m:t>
            </m:r>
          </m:sup>
        </m:sSubSup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（5-40）</w:t>
      </w:r>
    </w:p>
    <w:p>
      <w:pPr>
        <w:spacing w:line="324" w:lineRule="auto" w:after="80"/>
        <w:ind w:left="454" w:right="454"/>
        <w:jc w:val="both"/>
      </w:pPr>
      <w:r>
        <w:rPr>
          <w:rFonts w:ascii="Times New Roman" w:hAnsi="Times New Roman" w:eastAsia="Songti SC" w:cs="Times New Roman"/>
          <w:color w:val="000000"/>
          <w:sz w:val="18"/>
        </w:rPr>
        <w:t>按物料收货工时或吞吐率折算后，不得超过日期或班次收货能力。</w:t>
      </w:r>
    </w:p>
    <w:p>
      <w:pPr>
        <w:keepLines/>
        <w:spacing w:before="60" w:after="60"/>
        <w:jc w:val="center"/>
      </w:pPr>
      <m:oMath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it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t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−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+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it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+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Σ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o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x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iot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−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D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it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，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0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≤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it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≤</m:t>
        </m:r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Cap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it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storage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+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u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it</m:t>
            </m:r>
          </m:sub>
        </m:sSub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（5-41）</w:t>
      </w:r>
    </w:p>
    <w:p>
      <w:pPr>
        <w:spacing w:line="324" w:lineRule="auto" w:after="80"/>
        <w:ind w:left="454" w:right="454"/>
        <w:jc w:val="both"/>
      </w:pPr>
      <w:r>
        <w:rPr>
          <w:rFonts w:ascii="Times New Roman" w:hAnsi="Times New Roman" w:eastAsia="Songti SC" w:cs="Times New Roman"/>
          <w:color w:val="000000"/>
          <w:sz w:val="18"/>
        </w:rPr>
        <w:t>库存平衡同时约束仓容或储罐容量；</w:t>
      </w:r>
      <m:oMath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u</m:t>
        </m:r>
      </m:oMath>
      <w:r>
        <w:rPr>
          <w:rFonts w:ascii="Times New Roman" w:hAnsi="Times New Roman" w:eastAsia="Songti SC" w:cs="Times New Roman"/>
          <w:color w:val="000000"/>
          <w:sz w:val="18"/>
        </w:rPr>
        <w:t>仅表示缺料诊断，不得用于突破物理上限。</w:t>
      </w:r>
    </w:p>
    <w:p>
      <w:pPr>
        <w:keepLines/>
        <w:spacing w:before="60" w:after="60"/>
        <w:jc w:val="center"/>
      </w:pPr>
      <m:oMath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min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Z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M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₁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Σ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u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it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+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M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₂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Σ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iot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+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M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₃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Σ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it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+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M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₄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Σ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Δ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iot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+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M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₅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Σ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cross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it</m:t>
            </m:r>
          </m:sub>
        </m:sSub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（5-42）</w:t>
      </w:r>
    </w:p>
    <w:p>
      <w:pPr>
        <w:spacing w:line="324" w:lineRule="auto" w:after="80"/>
        <w:ind w:left="454" w:right="454"/>
        <w:jc w:val="both"/>
      </w:pPr>
      <w:r>
        <w:rPr>
          <w:rFonts w:ascii="Times New Roman" w:hAnsi="Times New Roman" w:eastAsia="Songti SC" w:cs="Times New Roman"/>
          <w:color w:val="000000"/>
          <w:sz w:val="18"/>
        </w:rPr>
        <w:t>各层权重按严格递减顺序设置，或采用分层优化。</w:t>
      </w:r>
      <m:oMath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18"/>
                <w:szCs w:val="18"/>
              </w:rPr>
              <m:t xml:space="preserve">cross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18"/>
                <w:szCs w:val="18"/>
              </w:rPr>
              <m:t xml:space="preserve">it</m:t>
            </m:r>
          </m:sub>
        </m:sSub>
      </m:oMath>
      <w:r>
        <w:rPr>
          <w:rFonts w:ascii="Times New Roman" w:hAnsi="Times New Roman" w:eastAsia="Songti SC" w:cs="Times New Roman"/>
          <w:color w:val="000000"/>
          <w:sz w:val="18"/>
        </w:rPr>
        <w:t>用于抑制无必要的多来源交叉送货，不得禁止业务上必要的分担。</w:t>
      </w:r>
    </w:p>
    <w:p>
      <w:pPr>
        <w:keepLines/>
        <w:spacing w:before="60" w:after="60"/>
        <w:jc w:val="center"/>
      </w:pPr>
      <m:oMath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Σ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o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x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iot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+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u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it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≥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it</m:t>
            </m:r>
          </m:sub>
        </m:sSub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（5-43）</w:t>
      </w:r>
    </w:p>
    <w:p>
      <w:pPr>
        <w:spacing w:line="324" w:lineRule="auto" w:after="80"/>
        <w:ind w:left="454" w:right="454"/>
        <w:jc w:val="both"/>
      </w:pPr>
      <w:r>
        <w:rPr>
          <w:rFonts w:ascii="Times New Roman" w:hAnsi="Times New Roman" w:eastAsia="Songti SC" w:cs="Times New Roman"/>
          <w:color w:val="000000"/>
          <w:sz w:val="18"/>
        </w:rPr>
        <w:t>在每个风险日期覆盖剩余需求；</w:t>
      </w:r>
      <m:oMath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u</m:t>
        </m:r>
      </m:oMath>
      <w:r>
        <w:rPr>
          <w:rFonts w:ascii="Times New Roman" w:hAnsi="Times New Roman" w:eastAsia="Songti SC" w:cs="Times New Roman"/>
          <w:color w:val="000000"/>
          <w:sz w:val="18"/>
        </w:rPr>
        <w:t>大于0时输出缺口数量、日期、影响需求和约束原因。</w:t>
      </w:r>
    </w:p>
    <w:p>
      <w:pPr>
        <w:keepLines/>
        <w:spacing w:before="60" w:after="60"/>
        <w:jc w:val="center"/>
      </w:pPr>
      <m:oMath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|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x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iot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−</m:t>
        </m:r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x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iot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base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|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≤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Δ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iot</m:t>
            </m:r>
          </m:sub>
        </m:sSub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（5-44）</w:t>
      </w:r>
    </w:p>
    <w:p>
      <w:pPr>
        <w:spacing w:line="324" w:lineRule="auto" w:after="80"/>
        <w:ind w:left="454" w:right="454"/>
        <w:jc w:val="both"/>
      </w:pPr>
      <w:r>
        <w:rPr>
          <w:rFonts w:ascii="Times New Roman" w:hAnsi="Times New Roman" w:eastAsia="Songti SC" w:cs="Times New Roman"/>
          <w:color w:val="000000"/>
          <w:sz w:val="18"/>
        </w:rPr>
        <w:t>对未锁定部分度量相对已发布基线的变更；锁定明细直接固定为基线值。</w:t>
      </w:r>
    </w:p>
    <w:p>
      <w:pPr>
        <w:keepNext/>
      </w:pPr>
      <w:r>
        <w:rPr>
          <w:rFonts w:ascii="Times New Roman" w:hAnsi="Times New Roman" w:eastAsia="Songti SC" w:cs="Times New Roman"/>
          <w:b/>
          <w:color w:val="000000"/>
          <w:sz w:val="21"/>
        </w:rPr>
        <w:t>（5）成本传导与费用分摊模型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767"/>
        <w:gridCol w:w="2767"/>
        <w:gridCol w:w="2767"/>
      </w:tblGrid>
      <w:tr>
        <w:trPr>
          <w:tblHeader w:val="true"/>
          <w:cantSplit/>
        </w:trPr>
        <w:tc>
          <w:tcPr>
            <w:tcW w:type="dxa" w:w="232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符号</w:t>
            </w:r>
          </w:p>
        </w:tc>
        <w:tc>
          <w:tcPr>
            <w:tcW w:type="dxa" w:w="4025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业务含义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单位/类型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m:oMath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16"/>
                  <w:szCs w:val="16"/>
                </w:rPr>
                <m:t xml:space="preserve">a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16"/>
                  <w:szCs w:val="16"/>
                </w:rPr>
                <m:t xml:space="preserve">、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16"/>
                  <w:szCs w:val="16"/>
                </w:rPr>
                <m:t xml:space="preserve">b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16"/>
                  <w:szCs w:val="16"/>
                </w:rPr>
                <m:t xml:space="preserve">、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16"/>
                  <w:szCs w:val="16"/>
                </w:rPr>
                <m:t xml:space="preserve">g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16"/>
                  <w:szCs w:val="16"/>
                </w:rPr>
                <m:t xml:space="preserve">、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16"/>
                  <w:szCs w:val="16"/>
                </w:rPr>
                <m:t xml:space="preserve">k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16"/>
                  <w:szCs w:val="16"/>
                </w:rPr>
                <m:t xml:space="preserve">、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16"/>
                  <w:szCs w:val="16"/>
                </w:rPr>
                <m:t xml:space="preserve">p</m:t>
              </m:r>
            </m:oMath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上游批次、下游批次、费用池、成本要素、期间索引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m:oMath>
              <m:sSubSup>
                <m:sSubSupPr/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a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out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→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b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16"/>
                  <w:szCs w:val="16"/>
                </w:rPr>
                <m:t xml:space="preserve">、</m:t>
              </m:r>
              <m:sSubSup>
                <m:sSubSupPr/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b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in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←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a</m:t>
                  </m:r>
                </m:sup>
              </m:sSubSup>
            </m:oMath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上游转出量和下游接收量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吨/千克/件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m:oMath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α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ab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16"/>
                  <w:szCs w:val="16"/>
                </w:rPr>
                <m:t xml:space="preserve">、</m:t>
              </m:r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β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ab</m:t>
                  </m:r>
                </m:sub>
              </m:sSub>
            </m:oMath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去向占比和来源占比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0～1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m:oMath>
              <m:sSubSup>
                <m:sSubSupPr/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b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direct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,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k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16"/>
                  <w:szCs w:val="16"/>
                </w:rPr>
                <m:t xml:space="preserve">、</m:t>
              </m:r>
              <m:sSubSup>
                <m:sSubSupPr/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a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→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b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k</m:t>
                  </m:r>
                </m:sup>
              </m:sSubSup>
            </m:oMath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直接成本和传入成本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元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m:oMath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Pool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g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16"/>
                  <w:szCs w:val="16"/>
                </w:rPr>
                <m:t xml:space="preserve">、</m:t>
              </m:r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Base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bg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16"/>
                  <w:szCs w:val="16"/>
                </w:rPr>
                <m:t xml:space="preserve">、</m:t>
              </m:r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Rate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g</m:t>
                  </m:r>
                </m:sub>
              </m:sSub>
            </m:oMath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费用池、动因基数和分摊率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元、动因单位、元/动因单位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m:oMath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Alloc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bg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16"/>
                  <w:szCs w:val="16"/>
                </w:rPr>
                <m:t xml:space="preserve">、</m:t>
              </m:r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16"/>
                  <w:szCs w:val="16"/>
                </w:rPr>
                <m:t xml:space="preserve">、</m:t>
              </m:r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UC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b</m:t>
                  </m:r>
                </m:sub>
              </m:sSub>
            </m:oMath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对象分摊额、批次总成本和单位成本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元、元/单位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m:oMath>
              <m:sSubSup>
                <m:sSubSupPr/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b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good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16"/>
                  <w:szCs w:val="16"/>
                </w:rPr>
                <m:t xml:space="preserve">、</m:t>
              </m:r>
              <m:sSubSup>
                <m:sSubSupPr/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b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  <m:t xml:space="preserve">normalLoss</m:t>
                  </m:r>
                </m:sup>
              </m:sSubSup>
            </m:oMath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合格产出和正常损耗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业务计量单位</w:t>
            </w:r>
          </w:p>
        </w:tc>
      </w:tr>
    </w:tbl>
    <w:p>
      <w:pPr>
        <w:spacing w:after="40"/>
      </w:pPr>
    </w:p>
    <w:p>
      <w:pPr>
        <w:keepLines/>
        <w:spacing w:before="60" w:after="60"/>
        <w:jc w:val="center"/>
      </w:pPr>
      <m:oMath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α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ab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f>
          <m:fPr/>
          <m:num>
            <m:sSubSup>
              <m:sSubSupPr/>
              <m:e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a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out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→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b</m:t>
                </m:r>
              </m:sup>
            </m:sSubSup>
          </m:num>
          <m:den>
            <m:sSub>
              <m:sSubPr/>
              <m:e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Σ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c</m:t>
                </m:r>
              </m:sub>
            </m:s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 </m:t>
            </m:r>
            <m:sSubSup>
              <m:sSubSupPr/>
              <m:e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a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out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→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c</m:t>
                </m:r>
              </m:sup>
            </m:sSubSup>
          </m:den>
        </m:f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，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β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ab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f>
          <m:fPr/>
          <m:num>
            <m:sSubSup>
              <m:sSubSupPr/>
              <m:e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b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in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←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a</m:t>
                </m:r>
              </m:sup>
            </m:sSubSup>
          </m:num>
          <m:den>
            <m:sSub>
              <m:sSubPr/>
              <m:e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Σ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c</m:t>
                </m:r>
              </m:sub>
            </m:s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 </m:t>
            </m:r>
            <m:sSubSup>
              <m:sSubSupPr/>
              <m:e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b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in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←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c</m:t>
                </m:r>
              </m:sup>
            </m:sSubSup>
          </m:den>
        </m:f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（5-45）</w:t>
      </w:r>
    </w:p>
    <w:p>
      <w:pPr>
        <w:spacing w:line="324" w:lineRule="auto" w:after="80"/>
        <w:ind w:left="454" w:right="454"/>
        <w:jc w:val="both"/>
      </w:pPr>
      <w:r>
        <w:rPr>
          <w:rFonts w:ascii="Times New Roman" w:hAnsi="Times New Roman" w:eastAsia="Songti SC" w:cs="Times New Roman"/>
          <w:color w:val="000000"/>
          <w:sz w:val="18"/>
        </w:rPr>
        <w:t>关系占比以质量或经批准的等价计量单位计算。存在计量差异时保留上游转出与下游接收两个量，不强行覆盖。</w:t>
      </w:r>
    </w:p>
    <w:p>
      <w:pPr>
        <w:keepLines/>
        <w:spacing w:before="60" w:after="60"/>
        <w:jc w:val="center"/>
      </w:pPr>
      <m:oMath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Σ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b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q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a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out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→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b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≤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q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a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available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，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Σ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a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q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b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in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←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a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q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b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input</m:t>
            </m:r>
          </m:sup>
        </m:sSubSup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（5-46）</w:t>
      </w:r>
    </w:p>
    <w:p>
      <w:pPr>
        <w:spacing w:line="324" w:lineRule="auto" w:after="80"/>
        <w:ind w:left="454" w:right="454"/>
        <w:jc w:val="both"/>
      </w:pPr>
      <w:r>
        <w:rPr>
          <w:rFonts w:ascii="Times New Roman" w:hAnsi="Times New Roman" w:eastAsia="Songti SC" w:cs="Times New Roman"/>
          <w:color w:val="000000"/>
          <w:sz w:val="18"/>
        </w:rPr>
        <w:t>谱系关系不得超分配上游可用量；下游来源合计必须与投入事实一致或形成明确对账差异。</w:t>
      </w:r>
    </w:p>
    <w:p>
      <w:pPr>
        <w:keepLines/>
        <w:spacing w:before="60" w:after="60"/>
        <w:jc w:val="center"/>
      </w:pPr>
      <m:oMath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b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direct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k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Σ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r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Qty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brk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·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Rate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rk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+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Σ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v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Amount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bvk</m:t>
            </m:r>
          </m:sub>
        </m:sSub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（5-47）</w:t>
      </w:r>
    </w:p>
    <w:p>
      <w:pPr>
        <w:spacing w:line="324" w:lineRule="auto" w:after="80"/>
        <w:ind w:left="454" w:right="454"/>
        <w:jc w:val="both"/>
      </w:pPr>
      <w:r>
        <w:rPr>
          <w:rFonts w:ascii="Times New Roman" w:hAnsi="Times New Roman" w:eastAsia="Songti SC" w:cs="Times New Roman"/>
          <w:color w:val="000000"/>
          <w:sz w:val="18"/>
        </w:rPr>
        <w:t>直接成本由可计量的数量乘费率以及可由凭证直接归属的金额组成；</w:t>
      </w:r>
      <m:oMath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r</m:t>
        </m:r>
      </m:oMath>
      <w:r>
        <w:rPr>
          <w:rFonts w:ascii="Times New Roman" w:hAnsi="Times New Roman" w:eastAsia="Songti SC" w:cs="Times New Roman"/>
          <w:color w:val="000000"/>
          <w:sz w:val="18"/>
        </w:rPr>
        <w:t>为计量记录，</w:t>
      </w:r>
      <m:oMath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v</m:t>
        </m:r>
      </m:oMath>
      <w:r>
        <w:rPr>
          <w:rFonts w:ascii="Times New Roman" w:hAnsi="Times New Roman" w:eastAsia="Songti SC" w:cs="Times New Roman"/>
          <w:color w:val="000000"/>
          <w:sz w:val="18"/>
        </w:rPr>
        <w:t>为直接凭证。</w:t>
      </w:r>
    </w:p>
    <w:p>
      <w:pPr>
        <w:keepLines/>
        <w:spacing w:before="60" w:after="60"/>
        <w:jc w:val="center"/>
      </w:pPr>
      <m:oMath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b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direct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Σ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k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b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direct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k</m:t>
            </m:r>
          </m:sup>
        </m:sSubSup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（5-48）</w:t>
      </w:r>
    </w:p>
    <w:p>
      <w:pPr>
        <w:spacing w:line="324" w:lineRule="auto" w:after="80"/>
        <w:ind w:left="454" w:right="454"/>
        <w:jc w:val="both"/>
      </w:pPr>
      <w:r>
        <w:rPr>
          <w:rFonts w:ascii="Times New Roman" w:hAnsi="Times New Roman" w:eastAsia="Songti SC" w:cs="Times New Roman"/>
          <w:color w:val="000000"/>
          <w:sz w:val="18"/>
        </w:rPr>
        <w:t>批次直接成本按材料、人工、能源、设备、质量、仓储、运输和其他已确认要素汇总。</w:t>
      </w:r>
    </w:p>
    <w:p>
      <w:pPr>
        <w:keepLines/>
        <w:spacing w:before="60" w:after="60"/>
        <w:jc w:val="center"/>
      </w:pPr>
      <m:oMath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a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→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b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k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a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available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k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·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α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ab</m:t>
            </m:r>
          </m:sub>
        </m:sSub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（5-49）</w:t>
      </w:r>
    </w:p>
    <w:p>
      <w:pPr>
        <w:spacing w:line="324" w:lineRule="auto" w:after="80"/>
        <w:ind w:left="454" w:right="454"/>
        <w:jc w:val="both"/>
      </w:pPr>
      <w:r>
        <w:rPr>
          <w:rFonts w:ascii="Times New Roman" w:hAnsi="Times New Roman" w:eastAsia="Songti SC" w:cs="Times New Roman"/>
          <w:color w:val="000000"/>
          <w:sz w:val="18"/>
        </w:rPr>
        <w:t>上游批次</w:t>
      </w:r>
      <m:oMath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a</m:t>
        </m:r>
      </m:oMath>
      <w:r>
        <w:rPr>
          <w:rFonts w:ascii="Times New Roman" w:hAnsi="Times New Roman" w:eastAsia="Songti SC" w:cs="Times New Roman"/>
          <w:color w:val="000000"/>
          <w:sz w:val="18"/>
        </w:rPr>
        <w:t>的可传导成本要素</w:t>
      </w:r>
      <m:oMath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k</m:t>
        </m:r>
      </m:oMath>
      <w:r>
        <w:rPr>
          <w:rFonts w:ascii="Times New Roman" w:hAnsi="Times New Roman" w:eastAsia="Songti SC" w:cs="Times New Roman"/>
          <w:color w:val="000000"/>
          <w:sz w:val="18"/>
        </w:rPr>
        <w:t>按去向占比分配给下游</w:t>
      </w:r>
      <m:oMath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b</m:t>
        </m:r>
      </m:oMath>
      <w:r>
        <w:rPr>
          <w:rFonts w:ascii="Times New Roman" w:hAnsi="Times New Roman" w:eastAsia="Songti SC" w:cs="Times New Roman"/>
          <w:color w:val="000000"/>
          <w:sz w:val="18"/>
        </w:rPr>
        <w:t>。若业务规则指定价值或品质权重，应形成版本化替代动因。</w:t>
      </w:r>
    </w:p>
    <w:p>
      <w:pPr>
        <w:keepLines/>
        <w:spacing w:before="60" w:after="60"/>
        <w:jc w:val="center"/>
      </w:pPr>
      <m:oMath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b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k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Σ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a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: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a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→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b</m:t>
            </m:r>
          </m:sub>
        </m:sSub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a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→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b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k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+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b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direct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k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+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b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pool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k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+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b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adjust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k</m:t>
            </m:r>
          </m:sup>
        </m:sSubSup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（5-50）</w:t>
      </w:r>
    </w:p>
    <w:p>
      <w:pPr>
        <w:spacing w:line="324" w:lineRule="auto" w:after="80"/>
        <w:ind w:left="454" w:right="454"/>
        <w:jc w:val="both"/>
      </w:pPr>
      <w:r>
        <w:rPr>
          <w:rFonts w:ascii="Times New Roman" w:hAnsi="Times New Roman" w:eastAsia="Songti SC" w:cs="Times New Roman"/>
          <w:color w:val="000000"/>
          <w:sz w:val="18"/>
        </w:rPr>
        <w:t>下游批次成本由上游传入、本节点直接计批、费用池分摊和经批准调整组成，各项保留来源明细。</w:t>
      </w:r>
    </w:p>
    <w:p>
      <w:pPr>
        <w:keepLines/>
        <w:spacing w:before="60" w:after="60"/>
        <w:jc w:val="center"/>
      </w:pPr>
      <m:oMath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b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Σ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k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b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k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，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UC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b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f>
          <m:fPr/>
          <m:num>
            <m:sSub>
              <m:sSubPr/>
              <m:e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b</m:t>
                </m:r>
              </m:sub>
            </m:sSub>
          </m:num>
          <m:den>
            <m:sSubSup>
              <m:sSubSupPr/>
              <m:e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b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costed</m:t>
                </m:r>
              </m:sup>
            </m:sSubSup>
          </m:den>
        </m:f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（5-51）</w:t>
      </w:r>
    </w:p>
    <w:p>
      <w:pPr>
        <w:spacing w:line="324" w:lineRule="auto" w:after="80"/>
        <w:ind w:left="454" w:right="454"/>
        <w:jc w:val="both"/>
      </w:pPr>
      <w:r>
        <w:rPr>
          <w:rFonts w:ascii="Times New Roman" w:hAnsi="Times New Roman" w:eastAsia="Songti SC" w:cs="Times New Roman"/>
          <w:color w:val="000000"/>
          <w:sz w:val="18"/>
        </w:rPr>
        <w:t>单位成本分母使用可计价合格产出或经批准的成本数量。分母为零时不得计算无限或零单位成本，应转异常。</w:t>
      </w:r>
    </w:p>
    <w:p>
      <w:pPr>
        <w:keepLines/>
        <w:spacing w:before="60" w:after="60"/>
        <w:jc w:val="center"/>
      </w:pPr>
      <m:oMath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Rate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g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f>
          <m:fPr/>
          <m:num>
            <m:sSub>
              <m:sSubPr/>
              <m:e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Pool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g</m:t>
                </m:r>
              </m:sub>
            </m:sSub>
          </m:num>
          <m:den>
            <m:sSub>
              <m:sSubPr/>
              <m:e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Σ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b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∈</m:t>
                </m:r>
                <m:sSub>
                  <m:sSubPr/>
                  <m:e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20"/>
                        <w:szCs w:val="20"/>
                      </w:rPr>
                      <m:t xml:space="preserve">Scope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20"/>
                        <w:szCs w:val="20"/>
                      </w:rPr>
                      <m:t xml:space="preserve">g</m:t>
                    </m:r>
                  </m:sub>
                </m:sSub>
              </m:sub>
            </m:sSub>
            <m:sSub>
              <m:sSubPr/>
              <m:e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Base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bg</m:t>
                </m:r>
              </m:sub>
            </m:sSub>
          </m:den>
        </m:f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（5-52）</w:t>
      </w:r>
    </w:p>
    <w:p>
      <w:pPr>
        <w:spacing w:line="324" w:lineRule="auto" w:after="80"/>
        <w:ind w:left="454" w:right="454"/>
        <w:jc w:val="both"/>
      </w:pPr>
      <w:r>
        <w:rPr>
          <w:rFonts w:ascii="Times New Roman" w:hAnsi="Times New Roman" w:eastAsia="Songti SC" w:cs="Times New Roman"/>
          <w:color w:val="000000"/>
          <w:sz w:val="18"/>
        </w:rPr>
        <w:t>费用池</w:t>
      </w:r>
      <m:oMath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g</m:t>
        </m:r>
      </m:oMath>
      <w:r>
        <w:rPr>
          <w:rFonts w:ascii="Times New Roman" w:hAnsi="Times New Roman" w:eastAsia="Songti SC" w:cs="Times New Roman"/>
          <w:color w:val="000000"/>
          <w:sz w:val="18"/>
        </w:rPr>
        <w:t>的分摊率等于池金额除以受益对象的有效动因基数。分母为零时不得自动改用其他动因，必须按规则版本处理。</w:t>
      </w:r>
    </w:p>
    <w:p>
      <w:pPr>
        <w:keepLines/>
        <w:spacing w:before="60" w:after="60"/>
        <w:jc w:val="center"/>
      </w:pPr>
      <m:oMath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Alloc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bg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Rate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g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·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Base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bg</m:t>
            </m:r>
          </m:sub>
        </m:sSub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（5-53）</w:t>
      </w:r>
    </w:p>
    <w:p>
      <w:pPr>
        <w:spacing w:line="324" w:lineRule="auto" w:after="80"/>
        <w:ind w:left="454" w:right="454"/>
        <w:jc w:val="both"/>
      </w:pPr>
      <w:r>
        <w:rPr>
          <w:rFonts w:ascii="Times New Roman" w:hAnsi="Times New Roman" w:eastAsia="Songti SC" w:cs="Times New Roman"/>
          <w:color w:val="000000"/>
          <w:sz w:val="18"/>
        </w:rPr>
        <w:t>对象</w:t>
      </w:r>
      <m:oMath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b</m:t>
        </m:r>
      </m:oMath>
      <w:r>
        <w:rPr>
          <w:rFonts w:ascii="Times New Roman" w:hAnsi="Times New Roman" w:eastAsia="Songti SC" w:cs="Times New Roman"/>
          <w:color w:val="000000"/>
          <w:sz w:val="18"/>
        </w:rPr>
        <w:t>从费用池</w:t>
      </w:r>
      <m:oMath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g</m:t>
        </m:r>
      </m:oMath>
      <w:r>
        <w:rPr>
          <w:rFonts w:ascii="Times New Roman" w:hAnsi="Times New Roman" w:eastAsia="Songti SC" w:cs="Times New Roman"/>
          <w:color w:val="000000"/>
          <w:sz w:val="18"/>
        </w:rPr>
        <w:t>获得的分摊额。舍入差异按规则指定的最终对象或最大基数对象调整，并保留明细。</w:t>
      </w:r>
    </w:p>
    <w:p>
      <w:pPr>
        <w:keepLines/>
        <w:spacing w:before="60" w:after="60"/>
        <w:jc w:val="center"/>
      </w:pPr>
      <m:oMath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Σ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b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∈</m:t>
            </m:r>
            <m:sSub>
              <m:sSubPr/>
              <m:e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Scope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g</m:t>
                </m:r>
              </m:sub>
            </m:sSub>
          </m:sub>
        </m:sSub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Alloc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bg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Pool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g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±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ε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g</m:t>
            </m:r>
          </m:sub>
        </m:sSub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（5-54）</w:t>
      </w:r>
    </w:p>
    <w:p>
      <w:pPr>
        <w:spacing w:line="324" w:lineRule="auto" w:after="80"/>
        <w:ind w:left="454" w:right="454"/>
        <w:jc w:val="both"/>
      </w:pPr>
      <w:r>
        <w:rPr>
          <w:rFonts w:ascii="Times New Roman" w:hAnsi="Times New Roman" w:eastAsia="Songti SC" w:cs="Times New Roman"/>
          <w:color w:val="000000"/>
          <w:sz w:val="18"/>
        </w:rPr>
        <w:t>分摊后合计与费用池金额在舍入容差</w:t>
      </w:r>
      <m:oMath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ε</m:t>
        </m:r>
      </m:oMath>
      <w:r>
        <w:rPr>
          <w:rFonts w:ascii="Times New Roman" w:hAnsi="Times New Roman" w:eastAsia="Songti SC" w:cs="Times New Roman"/>
          <w:color w:val="000000"/>
          <w:sz w:val="18"/>
        </w:rPr>
        <w:t>内一致；超差阻止发布。</w:t>
      </w:r>
    </w:p>
    <w:p>
      <w:pPr>
        <w:keepLines/>
        <w:spacing w:before="60" w:after="60"/>
        <w:jc w:val="center"/>
      </w:pPr>
      <m:oMath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Q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b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input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Q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b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good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+</m:t>
        </m:r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Q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b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byproduct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+</m:t>
        </m:r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Q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b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normalLoss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+</m:t>
        </m:r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Q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b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abnormalLoss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+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Δ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Q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b</m:t>
            </m:r>
          </m:sub>
        </m:sSub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（5-55）</w:t>
      </w:r>
    </w:p>
    <w:p>
      <w:pPr>
        <w:spacing w:line="324" w:lineRule="auto" w:after="80"/>
        <w:ind w:left="454" w:right="454"/>
        <w:jc w:val="both"/>
      </w:pPr>
      <w:r>
        <w:rPr>
          <w:rFonts w:ascii="Times New Roman" w:hAnsi="Times New Roman" w:eastAsia="Songti SC" w:cs="Times New Roman"/>
          <w:color w:val="000000"/>
          <w:sz w:val="18"/>
        </w:rPr>
        <w:t>数量守恒覆盖合格产出、副产品、正常损耗、异常损失和计量差异。</w:t>
      </w:r>
      <m:oMath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Δ</m:t>
        </m:r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Q</m:t>
        </m:r>
      </m:oMath>
      <w:r>
        <w:rPr>
          <w:rFonts w:ascii="Times New Roman" w:hAnsi="Times New Roman" w:eastAsia="Songti SC" w:cs="Times New Roman"/>
          <w:color w:val="000000"/>
          <w:sz w:val="18"/>
        </w:rPr>
        <w:t>超出容差时阻止成本发布。</w:t>
      </w:r>
    </w:p>
    <w:p>
      <w:pPr>
        <w:keepLines/>
        <w:spacing w:before="60" w:after="60"/>
        <w:jc w:val="center"/>
      </w:pPr>
      <m:oMath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UC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b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good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f>
          <m:fPr/>
          <m:num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(</m:t>
            </m:r>
            <m:sSub>
              <m:sSubPr/>
              <m:e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b</m:t>
                </m:r>
              </m:sub>
            </m:s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−</m:t>
            </m:r>
            <m:sSubSup>
              <m:sSubSupPr/>
              <m:e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b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abnormalLoss</m:t>
                </m:r>
              </m:sup>
            </m:sSub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−</m:t>
            </m:r>
            <m:sSubSup>
              <m:sSubSupPr/>
              <m:e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Credit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b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byproduct</m:t>
                </m:r>
              </m:sup>
            </m:sSub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)</m:t>
            </m:r>
          </m:num>
          <m:den>
            <m:sSubSup>
              <m:sSubSupPr/>
              <m:e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b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good</m:t>
                </m:r>
              </m:sup>
            </m:sSubSup>
          </m:den>
        </m:f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（5-56）</w:t>
      </w:r>
    </w:p>
    <w:p>
      <w:pPr>
        <w:spacing w:line="324" w:lineRule="auto" w:after="80"/>
        <w:ind w:left="454" w:right="454"/>
        <w:jc w:val="both"/>
      </w:pPr>
      <w:r>
        <w:rPr>
          <w:rFonts w:ascii="Times New Roman" w:hAnsi="Times New Roman" w:eastAsia="Songti SC" w:cs="Times New Roman"/>
          <w:color w:val="000000"/>
          <w:sz w:val="18"/>
        </w:rPr>
        <w:t>正常损耗进入合格产出单位成本；异常损失单独列示；副产品抵减口径由财务规则版本确定。</w:t>
      </w:r>
    </w:p>
    <w:p>
      <w:pPr>
        <w:keepLines/>
        <w:spacing w:before="60" w:after="60"/>
        <w:jc w:val="center"/>
      </w:pPr>
      <m:oMath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r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rework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q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transfer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+</m:t>
        </m:r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r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direct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+</m:t>
        </m:r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r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pool</m:t>
            </m:r>
          </m:sup>
        </m:sSubSup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（5-57）</w:t>
      </w:r>
    </w:p>
    <w:p>
      <w:pPr>
        <w:spacing w:line="324" w:lineRule="auto" w:after="80"/>
        <w:ind w:left="454" w:right="454"/>
        <w:jc w:val="both"/>
      </w:pPr>
      <w:r>
        <w:rPr>
          <w:rFonts w:ascii="Times New Roman" w:hAnsi="Times New Roman" w:eastAsia="Songti SC" w:cs="Times New Roman"/>
          <w:color w:val="000000"/>
          <w:sz w:val="18"/>
        </w:rPr>
        <w:t>QC不合格批</w:t>
      </w:r>
      <m:oMath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q</m:t>
        </m:r>
      </m:oMath>
      <w:r>
        <w:rPr>
          <w:rFonts w:ascii="Times New Roman" w:hAnsi="Times New Roman" w:eastAsia="Songti SC" w:cs="Times New Roman"/>
          <w:color w:val="000000"/>
          <w:sz w:val="18"/>
        </w:rPr>
        <w:t>进入返工辅助批</w:t>
      </w:r>
      <m:oMath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r</m:t>
        </m:r>
      </m:oMath>
      <w:r>
        <w:rPr>
          <w:rFonts w:ascii="Times New Roman" w:hAnsi="Times New Roman" w:eastAsia="Songti SC" w:cs="Times New Roman"/>
          <w:color w:val="000000"/>
          <w:sz w:val="18"/>
        </w:rPr>
        <w:t>时，保留原批次成本并叠加返工新增成本；返工后的合格产出建立新谱系。</w:t>
      </w:r>
    </w:p>
    <w:p>
      <w:pPr>
        <w:keepLines/>
        <w:spacing w:before="60" w:after="60"/>
        <w:jc w:val="center"/>
      </w:pPr>
      <m:oMath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Profit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d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Revenue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d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−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COGS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d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−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SellingCost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d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−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AllocatedCost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d</m:t>
            </m:r>
          </m:sub>
        </m:sSub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（5-58）</w:t>
      </w:r>
    </w:p>
    <w:p>
      <w:pPr>
        <w:spacing w:line="324" w:lineRule="auto" w:after="80"/>
        <w:ind w:left="454" w:right="454"/>
        <w:jc w:val="both"/>
      </w:pPr>
      <m:oMath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d</m:t>
        </m:r>
      </m:oMath>
      <w:r>
        <w:rPr>
          <w:rFonts w:ascii="Times New Roman" w:hAnsi="Times New Roman" w:eastAsia="Songti SC" w:cs="Times New Roman"/>
          <w:color w:val="000000"/>
          <w:sz w:val="18"/>
        </w:rPr>
        <w:t>为选定分析维度组合。利润口径必须标识成本版本、收入来源、含税口径、币种和期间。</w:t>
      </w:r>
    </w:p>
    <w:p>
      <w:pPr>
        <w:keepLines/>
        <w:spacing w:before="60" w:after="60"/>
        <w:jc w:val="center"/>
      </w:pPr>
      <m:oMath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Margin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d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f>
          <m:fPr/>
          <m:num>
            <m:sSub>
              <m:sSubPr/>
              <m:e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Profit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d</m:t>
                </m:r>
              </m:sub>
            </m:sSub>
          </m:num>
          <m:den>
            <m:sSub>
              <m:sSubPr/>
              <m:e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Revenue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d</m:t>
                </m:r>
              </m:sub>
            </m:sSub>
          </m:den>
        </m:f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（5-59）</w:t>
      </w:r>
    </w:p>
    <w:p>
      <w:pPr>
        <w:spacing w:line="324" w:lineRule="auto" w:after="80"/>
        <w:ind w:left="454" w:right="454"/>
        <w:jc w:val="both"/>
      </w:pPr>
      <w:r>
        <w:rPr>
          <w:rFonts w:ascii="Times New Roman" w:hAnsi="Times New Roman" w:eastAsia="Songti SC" w:cs="Times New Roman"/>
          <w:color w:val="000000"/>
          <w:sz w:val="18"/>
        </w:rPr>
        <w:t>收入为零或负数时不直接计算常规毛利率，应显示不适用并单独分析。</w:t>
      </w:r>
    </w:p>
    <w:p>
      <w:pPr>
        <w:keepLines/>
        <w:spacing w:before="60" w:after="60"/>
        <w:jc w:val="center"/>
      </w:pPr>
      <m:oMath>
        <m:sSup>
          <m:s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C</m:t>
            </m:r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open</m:t>
            </m:r>
          </m:sup>
        </m:s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+</m:t>
        </m:r>
        <m:sSup>
          <m:s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C</m:t>
            </m:r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input</m:t>
            </m:r>
          </m:sup>
        </m:s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−</m:t>
        </m:r>
        <m:sSup>
          <m:s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C</m:t>
            </m:r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close</m:t>
            </m:r>
          </m:sup>
        </m:s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−</m:t>
        </m:r>
        <m:sSup>
          <m:s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C</m:t>
            </m:r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transfer</m:t>
            </m:r>
          </m:sup>
        </m:s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−</m:t>
        </m:r>
        <m:sSup>
          <m:s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C</m:t>
            </m:r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loss</m:t>
            </m:r>
          </m:sup>
        </m:s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Δ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C</m:t>
        </m:r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（5-60）</w:t>
      </w:r>
    </w:p>
    <w:p>
      <w:pPr>
        <w:spacing w:line="324" w:lineRule="auto" w:after="80"/>
        <w:ind w:left="454" w:right="454"/>
        <w:jc w:val="both"/>
      </w:pPr>
      <w:r>
        <w:rPr>
          <w:rFonts w:ascii="Times New Roman" w:hAnsi="Times New Roman" w:eastAsia="Songti SC" w:cs="Times New Roman"/>
          <w:color w:val="000000"/>
          <w:sz w:val="18"/>
        </w:rPr>
        <w:t>成本守恒差异</w:t>
      </w:r>
      <m:oMath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Δ</m:t>
        </m:r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C</m:t>
        </m:r>
      </m:oMath>
      <w:r>
        <w:rPr>
          <w:rFonts w:ascii="Times New Roman" w:hAnsi="Times New Roman" w:eastAsia="Songti SC" w:cs="Times New Roman"/>
          <w:color w:val="000000"/>
          <w:sz w:val="18"/>
        </w:rPr>
        <w:t>应在配置容差内；超差必须定位到批次、费用池、库存结转或调整记录。</w:t>
      </w:r>
    </w:p>
    <w:p>
      <w:pPr>
        <w:keepLines/>
        <w:spacing w:before="60" w:after="60"/>
        <w:jc w:val="center"/>
      </w:pPr>
      <m:oMath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SCOSCost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org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p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−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SAPCost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org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p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ReconDiff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org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p</m:t>
            </m:r>
          </m:sub>
        </m:sSub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（5-61）</w:t>
      </w:r>
    </w:p>
    <w:p>
      <w:pPr>
        <w:spacing w:line="324" w:lineRule="auto" w:after="80"/>
        <w:ind w:left="454" w:right="454"/>
        <w:jc w:val="both"/>
      </w:pPr>
      <w:r>
        <w:rPr>
          <w:rFonts w:ascii="Times New Roman" w:hAnsi="Times New Roman" w:eastAsia="Songti SC" w:cs="Times New Roman"/>
          <w:color w:val="000000"/>
          <w:sz w:val="18"/>
        </w:rPr>
        <w:t>财务对账按组织、期间、科目或成本要素映射进行；口径差异与真实错误分开记录。</w:t>
      </w:r>
    </w:p>
    <w:p>
      <w:pPr>
        <w:keepNext/>
      </w:pPr>
      <w:r>
        <w:rPr>
          <w:rFonts w:ascii="Times New Roman" w:hAnsi="Times New Roman" w:eastAsia="Songti SC" w:cs="Times New Roman"/>
          <w:b/>
          <w:color w:val="000000"/>
          <w:sz w:val="21"/>
        </w:rPr>
        <w:t>（6）公共质量、采纳与预警模型</w:t>
      </w:r>
    </w:p>
    <w:p>
      <w:pPr>
        <w:keepLines/>
        <w:spacing w:before="60" w:after="60"/>
        <w:jc w:val="center"/>
      </w:pPr>
      <m:oMath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DQ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f>
          <m:fPr/>
          <m:num>
            <m:sSub>
              <m:sSubPr/>
              <m:e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Σ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r</m:t>
                </m:r>
              </m:sub>
            </m:s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 </m:t>
            </m:r>
            <m:sSub>
              <m:sSubPr/>
              <m:e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w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r</m:t>
                </m:r>
              </m:sub>
            </m:s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·</m:t>
            </m:r>
            <m:sSub>
              <m:sSubPr/>
              <m:e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pass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r</m:t>
                </m:r>
              </m:sub>
            </m:sSub>
          </m:num>
          <m:den>
            <m:sSub>
              <m:sSubPr/>
              <m:e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Σ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r</m:t>
                </m:r>
              </m:sub>
            </m:s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 </m:t>
            </m:r>
            <m:sSub>
              <m:sSubPr/>
              <m:e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w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r</m:t>
                </m:r>
              </m:sub>
            </m:sSub>
          </m:den>
        </m:f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（5-62）</w:t>
      </w:r>
    </w:p>
    <w:p>
      <w:pPr>
        <w:spacing w:line="324" w:lineRule="auto" w:after="80"/>
        <w:ind w:left="454" w:right="454"/>
        <w:jc w:val="both"/>
      </w:pPr>
      <m:oMath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DQ</m:t>
        </m:r>
      </m:oMath>
      <w:r>
        <w:rPr>
          <w:rFonts w:ascii="Times New Roman" w:hAnsi="Times New Roman" w:eastAsia="Songti SC" w:cs="Times New Roman"/>
          <w:color w:val="000000"/>
          <w:sz w:val="18"/>
        </w:rPr>
        <w:t>为数据质量加权得分；</w:t>
      </w:r>
      <m:oMath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18"/>
                <w:szCs w:val="18"/>
              </w:rPr>
              <m:t xml:space="preserve">pass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18"/>
                <w:szCs w:val="18"/>
              </w:rPr>
              <m:t xml:space="preserve">r</m:t>
            </m:r>
          </m:sub>
        </m:sSub>
      </m:oMath>
      <w:r>
        <w:rPr>
          <w:rFonts w:ascii="Times New Roman" w:hAnsi="Times New Roman" w:eastAsia="Songti SC" w:cs="Times New Roman"/>
          <w:color w:val="000000"/>
          <w:sz w:val="18"/>
        </w:rPr>
        <w:t>表示质量规则</w:t>
      </w:r>
      <m:oMath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r</m:t>
        </m:r>
      </m:oMath>
      <w:r>
        <w:rPr>
          <w:rFonts w:ascii="Times New Roman" w:hAnsi="Times New Roman" w:eastAsia="Songti SC" w:cs="Times New Roman"/>
          <w:color w:val="000000"/>
          <w:sz w:val="18"/>
        </w:rPr>
        <w:t>是否通过或其折算得分，</w:t>
      </w:r>
      <m:oMath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18"/>
                <w:szCs w:val="1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18"/>
                <w:szCs w:val="18"/>
              </w:rPr>
              <m:t xml:space="preserve">r</m:t>
            </m:r>
          </m:sub>
        </m:sSub>
      </m:oMath>
      <w:r>
        <w:rPr>
          <w:rFonts w:ascii="Times New Roman" w:hAnsi="Times New Roman" w:eastAsia="Songti SC" w:cs="Times New Roman"/>
          <w:color w:val="000000"/>
          <w:sz w:val="18"/>
        </w:rPr>
        <w:t>为规则权重。关键阻断规则失败时，不因综合分较高而放行。</w:t>
      </w:r>
    </w:p>
    <w:p>
      <w:pPr>
        <w:keepLines/>
        <w:spacing w:before="60" w:after="60"/>
        <w:jc w:val="center"/>
      </w:pPr>
      <m:oMath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Adopt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f>
          <m:fPr/>
          <m:num>
            <m:sSub>
              <m:sSubPr/>
              <m:e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accepted</m:t>
                </m:r>
              </m:sub>
            </m:sSub>
          </m:num>
          <m:den>
            <m:sSub>
              <m:sSubPr/>
              <m:e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 xml:space="preserve">recommended</m:t>
                </m:r>
              </m:sub>
            </m:sSub>
          </m:den>
        </m:f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（5-63）</w:t>
      </w:r>
    </w:p>
    <w:p>
      <w:pPr>
        <w:spacing w:line="324" w:lineRule="auto" w:after="80"/>
        <w:ind w:left="454" w:right="454"/>
        <w:jc w:val="both"/>
      </w:pPr>
      <m:oMath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Adopt</m:t>
        </m:r>
      </m:oMath>
      <w:r>
        <w:rPr>
          <w:rFonts w:ascii="Times New Roman" w:hAnsi="Times New Roman" w:eastAsia="Songti SC" w:cs="Times New Roman"/>
          <w:color w:val="000000"/>
          <w:sz w:val="18"/>
        </w:rPr>
        <w:t>为建议采纳率；分子和分母采用同一方案版本、统计窗口和计量单位。</w:t>
      </w:r>
    </w:p>
    <w:p>
      <w:pPr>
        <w:keepLines/>
        <w:spacing w:before="60" w:after="60"/>
        <w:jc w:val="center"/>
      </w:pPr>
      <m:oMath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A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α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I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+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β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U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+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γ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C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+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δ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R</m:t>
        </m:r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（5-64）</w:t>
      </w:r>
    </w:p>
    <w:p>
      <w:pPr>
        <w:spacing w:line="324" w:lineRule="auto" w:after="80"/>
        <w:ind w:left="454" w:right="454"/>
        <w:jc w:val="both"/>
      </w:pPr>
      <m:oMath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A</m:t>
        </m:r>
      </m:oMath>
      <w:r>
        <w:rPr>
          <w:rFonts w:ascii="Times New Roman" w:hAnsi="Times New Roman" w:eastAsia="Songti SC" w:cs="Times New Roman"/>
          <w:color w:val="000000"/>
          <w:sz w:val="18"/>
        </w:rPr>
        <w:t>为预警评分；</w:t>
      </w:r>
      <m:oMath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I</m:t>
        </m:r>
      </m:oMath>
      <w:r>
        <w:rPr>
          <w:rFonts w:ascii="Times New Roman" w:hAnsi="Times New Roman" w:eastAsia="Songti SC" w:cs="Times New Roman"/>
          <w:color w:val="000000"/>
          <w:sz w:val="18"/>
        </w:rPr>
        <w:t>、</w:t>
      </w:r>
      <m:oMath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U</m:t>
        </m:r>
      </m:oMath>
      <w:r>
        <w:rPr>
          <w:rFonts w:ascii="Times New Roman" w:hAnsi="Times New Roman" w:eastAsia="Songti SC" w:cs="Times New Roman"/>
          <w:color w:val="000000"/>
          <w:sz w:val="18"/>
        </w:rPr>
        <w:t>、</w:t>
      </w:r>
      <m:oMath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C</m:t>
        </m:r>
      </m:oMath>
      <w:r>
        <w:rPr>
          <w:rFonts w:ascii="Times New Roman" w:hAnsi="Times New Roman" w:eastAsia="Songti SC" w:cs="Times New Roman"/>
          <w:color w:val="000000"/>
          <w:sz w:val="18"/>
        </w:rPr>
        <w:t>、</w:t>
      </w:r>
      <m:oMath>
        <m:r>
          <m:rPr>
            <m:sty m:val="p"/>
          </m:rPr>
          <w:rPr>
            <w:rFonts w:ascii="Cambria Math" w:hAnsi="Cambria Math" w:eastAsia="Cambria Math" w:cs="Cambria Math"/>
            <w:sz w:val="18"/>
            <w:szCs w:val="18"/>
          </w:rPr>
          <m:t xml:space="preserve">R</m:t>
        </m:r>
      </m:oMath>
      <w:r>
        <w:rPr>
          <w:rFonts w:ascii="Times New Roman" w:hAnsi="Times New Roman" w:eastAsia="Songti SC" w:cs="Times New Roman"/>
          <w:color w:val="000000"/>
          <w:sz w:val="18"/>
        </w:rPr>
        <w:t>分别表示影响程度、紧迫程度、置信度和恢复难度，权重随规则版本发布。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53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模型族</w:t>
            </w:r>
          </w:p>
        </w:tc>
        <w:tc>
          <w:tcPr>
            <w:tcW w:type="dxa" w:w="3402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主要硬约束</w:t>
            </w:r>
          </w:p>
        </w:tc>
        <w:tc>
          <w:tcPr>
            <w:tcW w:type="dxa" w:w="2835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软约束/惩罚</w:t>
            </w:r>
          </w:p>
        </w:tc>
        <w:tc>
          <w:tcPr>
            <w:tcW w:type="dxa" w:w="3345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无解或异常处理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库存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库存平衡、储罐容量、兼容性、锁定计划保护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短缺、超储、计划波动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输出缺口和容量冲突；不覆盖锁定对象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采购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需求满足、供应能力、MOQ、合同与准入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成本、集中度、延期和风险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返回冲突约束、缺口和可解释放宽建议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要货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订单余量、供应/运输/收货能力、时间窗、锁定在途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短缺、提前到货、交叉送货和变更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保留锁定项，输出未满足需求和瓶颈日期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成本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数量守恒、成本守恒、谱系拓扑、分摊闭合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舍入差异和待分配金额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阻止发布并定位批次、费用池或映射差异</w:t>
            </w:r>
          </w:p>
        </w:tc>
      </w:tr>
    </w:tbl>
    <w:p>
      <w:pPr>
        <w:spacing w:after="40"/>
      </w:pP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5.3.1.4 模型运行与编排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模型运行由Java模型运行中心统一创建和排队。运行中心检查权限、快照质量、版本可用性和并发配额，向Python FastAPI服务发送带幂等键的运行请求；Python加载对应模型包与参数，执行预处理、SCIP建模、求解和后处理，再回传状态摘要与结果位置。Java持久化结果、执行业务校验并生成候选方案。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47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阶段</w:t>
            </w:r>
          </w:p>
        </w:tc>
        <w:tc>
          <w:tcPr>
            <w:tcW w:type="dxa" w:w="204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负责组件</w:t>
            </w:r>
          </w:p>
        </w:tc>
        <w:tc>
          <w:tcPr>
            <w:tcW w:type="dxa" w:w="294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关键控制</w:t>
            </w:r>
          </w:p>
        </w:tc>
        <w:tc>
          <w:tcPr>
            <w:tcW w:type="dxa" w:w="272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失败路径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数据准备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Java快照中心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截止时间、质量门禁、内容哈希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拒绝运行或受控降级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任务创建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Java运行中心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幂等键、优先级、并发配额、版本锁定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返回已有运行或排队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模型执行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Python/FastAPI/PySCIPOpt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资源上限、时限、求解间隙和取消检查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失败、超时、取消或可行解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结果校验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Python后处理＋Java领域校验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守恒、硬约束、精度和完整性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结果隔离并告警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方案生成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Java专业模块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基线、候选、差异与解释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保留运行结果但不进入审批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审批发布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工作流/发布服务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版本不可变、权限、锁定和幂等发布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撤回、补偿或人工接管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效果反馈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集成/指标服务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执行对账、偏差和收益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预警、参数治理和重跑建议</w:t>
            </w:r>
          </w:p>
        </w:tc>
      </w:tr>
    </w:tbl>
    <w:p>
      <w:pPr>
        <w:spacing w:after="40"/>
      </w:pPr>
    </w:p>
    <w:p>
      <w:pPr>
        <w:pStyle w:val="4"/>
      </w:pPr>
      <w:r>
        <w:rPr>
          <w:rFonts w:ascii="Times New Roman" w:hAnsi="Times New Roman" w:eastAsia="STHeiti" w:cs="Times New Roman"/>
          <w:b/>
          <w:color w:val="000000"/>
          <w:sz w:val="24"/>
        </w:rPr>
        <w:t>5.3.2 模型治理与效果评价</w:t>
      </w: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5.3.2.1 场景快照与沙盘推演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沙盘场景从已冻结基线快照派生，只保存假设差量、场景参数和运行结果。场景数据使用独立scene_id和空间类型，任何场景方案都不能直接进入正式发布状态；需要采用时，用户必须将经过确认的数据变更转化为正式业务输入，再基于新的正式快照重算和审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53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对象</w:t>
            </w:r>
          </w:p>
        </w:tc>
        <w:tc>
          <w:tcPr>
            <w:tcW w:type="dxa" w:w="255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正式空间</w:t>
            </w:r>
          </w:p>
        </w:tc>
        <w:tc>
          <w:tcPr>
            <w:tcW w:type="dxa" w:w="255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沙盘空间</w:t>
            </w:r>
          </w:p>
        </w:tc>
        <w:tc>
          <w:tcPr>
            <w:tcW w:type="dxa" w:w="255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隔离控制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数据基线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权威事实形成的冻结快照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引用基线并叠加假设差量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禁止覆盖基线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模型参数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已发布参数版本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允许场景级临时参数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临时参数不得发布为正式版本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运行与结果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可形成候选方案和审批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仅用于对比与解释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状态机无正式发布迁移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事件与预警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驱动真实待办和通知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仅场景标记或不通知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消费者校验空间类型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数据保留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按业务和审计周期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按场景期限自动归档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到期前提示所有者</w:t>
            </w:r>
          </w:p>
        </w:tc>
      </w:tr>
    </w:tbl>
    <w:p>
      <w:pPr>
        <w:spacing w:after="40"/>
      </w:pP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5.3.2.2 模型版本和参数治理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模型代码、运行镜像、输入输出契约和默认求解参数共同构成模型版本；业务参数单独版本化，并记录适用组织、对象、生效时间和审批状态。开发版本不能被生产运行引用，已发布版本不得原地修改。回退通过恢复上一模型与参数组合创建新运行完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47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状态</w:t>
            </w:r>
          </w:p>
        </w:tc>
        <w:tc>
          <w:tcPr>
            <w:tcW w:type="dxa" w:w="260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允许动作</w:t>
            </w:r>
          </w:p>
        </w:tc>
        <w:tc>
          <w:tcPr>
            <w:tcW w:type="dxa" w:w="272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准入证据</w:t>
            </w:r>
          </w:p>
        </w:tc>
        <w:tc>
          <w:tcPr>
            <w:tcW w:type="dxa" w:w="238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退出条件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开发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编码、单元测试和内部试算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代码提交、依赖锁定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通过开发测试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验证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历史回放、基准算例、性能与稳定性测试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验证数据和对比报告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业务与技术评审通过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候选发布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受控环境试运行或灰度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镜像摘要、模型卡、回退方案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观察期通过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已发布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生产运行引用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审批、生效期、监控阈值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被新版本替代或停用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停用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历史查询与复现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停用原因和影响分析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不得再创建新运行</w:t>
            </w:r>
          </w:p>
        </w:tc>
      </w:tr>
    </w:tbl>
    <w:p>
      <w:pPr>
        <w:spacing w:after="40"/>
      </w:pP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5.3.2.3 模型解释与人工调整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解释层至少给出目标值及构成、关键约束的使用量与余量、缺口或松弛、相对基线的变化、未选择候选的主要原因和不可行诊断。人工调整只能作用于未锁定的方案明细，修改后必须重新执行硬约束、守恒、业务规则和权限校验，并形成派生版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767"/>
        <w:gridCol w:w="2767"/>
        <w:gridCol w:w="2767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解释对象</w:t>
            </w:r>
          </w:p>
        </w:tc>
        <w:tc>
          <w:tcPr>
            <w:tcW w:type="dxa" w:w="3969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展示内容</w:t>
            </w:r>
          </w:p>
        </w:tc>
        <w:tc>
          <w:tcPr>
            <w:tcW w:type="dxa" w:w="238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人工调整后的控制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成本/收益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采购价、运费、账期、库存、缺货、惩罚和分摊构成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重新计算总额并检查口径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约束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上限、下限、实际值、余量、绑定状态和来源规则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硬约束不得绕过；软约束需说明风险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候选选择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被选/未选数量、边际影响、风险与业务原因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候选资格变化重新求解或校验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不可行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冲突约束集、缺失数据、最小放松建议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由业务选择补数、放松或停止，不伪造可行解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版本差异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模型原始版、人工版、审批版和发布版差异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记录前后值、原因、人员与时间</w:t>
            </w:r>
          </w:p>
        </w:tc>
      </w:tr>
    </w:tbl>
    <w:p>
      <w:pPr>
        <w:spacing w:after="40"/>
      </w:pP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5.3.2.4 模型效果监控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模型监控分为技术健康、求解质量、业务采纳和实际效果四类。监控按模型版本、参数版本、组织和时间统计；任何模型升级都与前一稳定版本比较。业务收益必须排除口径变化和外部条件影响，不能把模拟目标值直接作为已实现收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767"/>
        <w:gridCol w:w="2767"/>
        <w:gridCol w:w="2767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监控类别</w:t>
            </w:r>
          </w:p>
        </w:tc>
        <w:tc>
          <w:tcPr>
            <w:tcW w:type="dxa" w:w="4082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核心指标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触发动作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技术健康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调用成功率、排队时长、运行时长、内存、超时和异常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限流、资源调整、回退或运维告警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求解质量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可行率、最优间隙、无解率、约束冲突和降级率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模型诊断、参数校准和回归测试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业务采纳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方案查看、人工调整、审批通过、采纳和撤回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分析可解释性与流程问题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计划实际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建议与执行数量、日期、成本、库存和服务水平偏差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更新参数、数据质量和约束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业务收益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库存资金、缺货、采购TCO、到货达成、成本透明度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与基线对比并经业务确认</w:t>
            </w:r>
          </w:p>
        </w:tc>
      </w:tr>
    </w:tbl>
    <w:p>
      <w:pPr>
        <w:spacing w:after="40"/>
      </w:pPr>
    </w:p>
    <w:p>
      <w:pPr>
        <w:pStyle w:val="3"/>
      </w:pPr>
      <w:r>
        <w:t>5.4 集成架构设计</w:t>
      </w:r>
    </w:p>
    <w:p>
      <w:pPr>
        <w:pStyle w:val="4"/>
      </w:pPr>
      <w:r>
        <w:rPr>
          <w:rFonts w:ascii="Times New Roman" w:hAnsi="Times New Roman" w:eastAsia="STHeiti" w:cs="Times New Roman"/>
          <w:b/>
          <w:color w:val="000000"/>
          <w:sz w:val="24"/>
        </w:rPr>
        <w:t>5.4.1 集成全景与接口分类</w:t>
      </w: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5.4.1.1 集成目标与原则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集成架构以HTTPS RESTful API和JSON为主，受控批量文件为例外通道。所有接口具备版本、身份、幂等、超时、错误、追踪、重试和对账机制。外部系统不可用时，SCOS保留待发送批次或使用最近有效的只读数据受控降级，但不得伪造执行回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150"/>
        <w:gridCol w:w="4150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原则</w:t>
            </w:r>
          </w:p>
        </w:tc>
        <w:tc>
          <w:tcPr>
            <w:tcW w:type="dxa" w:w="635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契约优先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先定义OpenAPI、字段语义、枚举、时区、单位、错误和兼容策略，再开展开发。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REST优先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查询、提交、发布和回调使用HTTP资源与动作语义；大批量采用批次接口。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幂等可重试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写接口要求Idempotency-Key或外部业务唯一键；重复请求返回同一业务结果。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全链路追踪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请求、批次、事件、模型运行和外部回执共享trace_id或可关联标识。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安全最小化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双向认证或令牌、TLS、白名单和字段最小化；密钥定期轮换。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补偿与对账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跨系统不依赖分布式事务，使用本地事务、事件表、重试、补偿和对账。</w:t>
            </w:r>
          </w:p>
        </w:tc>
      </w:tr>
    </w:tbl>
    <w:p>
      <w:pPr>
        <w:spacing w:after="40"/>
      </w:pP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5.4.1.2 集成全景</w:t>
      </w:r>
    </w:p>
    <w:p>
      <w:pPr>
        <w:keepNext/>
        <w:spacing w:before="100" w:after="80"/>
        <w:jc w:val="center"/>
      </w:pPr>
      <w:r>
        <w:rPr>
          <w:rFonts w:ascii="Times New Roman" w:hAnsi="Times New Roman" w:eastAsia="Songti SC" w:cs="Times New Roman"/>
          <w:b/>
          <w:color w:val="000000"/>
          <w:sz w:val="18"/>
        </w:rPr>
        <w:t>图5-4 REST集成全景与可靠性交付</w:t>
      </w:r>
    </w:p>
    <w:p>
      <w:pPr>
        <w:keepLines/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112000" cy="28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4_REST集成全景与可靠性交付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外部系统经反向代理或企业API接入区访问Java集成适配器。适配器完成认证、限流、契约转换、幂等和批次登记，再调用领域服务；领域服务提交业务事务和事件表后返回。需要算法计算时，Java通过内网HTTP调用Python容器，外部系统不直接调用算法容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47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外部系统</w:t>
            </w:r>
          </w:p>
        </w:tc>
        <w:tc>
          <w:tcPr>
            <w:tcW w:type="dxa" w:w="3572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进入SCOS的主要对象</w:t>
            </w:r>
          </w:p>
        </w:tc>
        <w:tc>
          <w:tcPr>
            <w:tcW w:type="dxa" w:w="2665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SCOS输出/反馈</w:t>
            </w:r>
          </w:p>
        </w:tc>
        <w:tc>
          <w:tcPr>
            <w:tcW w:type="dxa" w:w="147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建议时效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SAP/ERP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主数据、订单合同、财务、生产计划和交易事实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采购/要货建议、成本结果引用、处理状态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准实时＋日批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MES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工单、计划、投料、产出、转移、批次和实绩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供应影响提示或确认信息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事件/小时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WMS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库存、库位、批次、收发、冻结和盘点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到货计划、库存处置建议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准实时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TMS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运输路线、在途、预约、签收和运费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到货安排、运输需求建议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事件/日度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QMS/LIMS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检验、冻结、放行和质量属性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受影响对象和处置任务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事件触发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E采/采购平台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询报价、供应商、合同订单和能力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采购分配建议或批准结果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业务事件/日度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统一身份/消息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用户、组织、角色和认证结果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通知摘要和深链接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登录实时/通知事件</w:t>
            </w:r>
          </w:p>
        </w:tc>
      </w:tr>
    </w:tbl>
    <w:p>
      <w:pPr>
        <w:spacing w:after="40"/>
      </w:pP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5.4.1.3 接口分类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75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接口类别</w:t>
            </w:r>
          </w:p>
        </w:tc>
        <w:tc>
          <w:tcPr>
            <w:tcW w:type="dxa" w:w="3515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典型对象</w:t>
            </w:r>
          </w:p>
        </w:tc>
        <w:tc>
          <w:tcPr>
            <w:tcW w:type="dxa" w:w="136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方向</w:t>
            </w:r>
          </w:p>
        </w:tc>
        <w:tc>
          <w:tcPr>
            <w:tcW w:type="dxa" w:w="255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技术模式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主数据同步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组织、物料、供应商、客户、仓库、储罐、科目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外部→SCOS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增量REST＋定期全量校验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业务事实查询/同步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需求、库存、生产、订单、运输、质量和成本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外部→SCOS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批次REST或分页查询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实时状态订阅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库存冻结、质量放行、到货签收和工单完成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外部→SCOS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回调事件＋轮询补偿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优化计算服务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快照运行请求、状态和结果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Java↔Python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内网REST，异步运行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审批与发布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方案、审批状态、发布批次和回执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SCOS↔外部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写接口＋幂等回执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建议/指令下发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采购分配、要货到货和库存处置建议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SCOS→外部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批次REST，保留明细状态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执行状态反馈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接受、拒绝、执行数量、日期和异常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外部→SCOS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回调或主动拉取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对账与补数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记录数、金额、数量、状态和差异明细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双向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日终批次＋补偿接口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预警与协同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预警、任务、评论、关闭和通知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SCOS↔协同渠道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REST/企业消息适配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外部市场数据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行情、指数、汇率和运价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外部→SCOS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受控API，记录来源和时间</w:t>
            </w:r>
          </w:p>
        </w:tc>
      </w:tr>
    </w:tbl>
    <w:p>
      <w:pPr>
        <w:spacing w:after="40"/>
      </w:pPr>
    </w:p>
    <w:p>
      <w:pPr>
        <w:pStyle w:val="4"/>
      </w:pPr>
      <w:r>
        <w:rPr>
          <w:rFonts w:ascii="Times New Roman" w:hAnsi="Times New Roman" w:eastAsia="STHeiti" w:cs="Times New Roman"/>
          <w:b/>
          <w:color w:val="000000"/>
          <w:sz w:val="24"/>
        </w:rPr>
        <w:t>5.4.2 RESTful API设计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API路径采用明确版本前缀，资源使用复数名词，查询使用GET，创建使用POST，整体替换使用PUT，局部变更在确有资源语义时使用PATCH。审批、发布、取消等业务动作可使用子资源动作接口。响应统一返回业务数据、错误对象和追踪标识；HTTP状态码表达传输结果，业务错误码表达具体原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150"/>
        <w:gridCol w:w="4150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设计项</w:t>
            </w:r>
          </w:p>
        </w:tc>
        <w:tc>
          <w:tcPr>
            <w:tcW w:type="dxa" w:w="635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统一规范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版本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路径使用/api/v1；兼容新增字段向后兼容，破坏性变化升级主版本。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分页排序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page、size、sort白名单；返回总数或游标；限制最大页大小。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时间数量金额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ISO 8601时间并明确时区；DECIMAL以字符串或契约约定格式传输；单位币种必填。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幂等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写操作使用Idempotency-Key和业务唯一键；保存请求摘要并校验重复请求内容。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错误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统一code、message、details、trace_id；不得返回堆栈和敏感配置。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超时重试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连接、读取和总超时分开设置；仅对幂等请求按指数退避重试。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限流熔断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按系统、接口和账号配额；外部依赖连续失败时熔断并告警。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审计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记录调用方、资源、动作、结果、耗时、批次和追踪号；敏感正文不入普通日志。</w:t>
            </w:r>
          </w:p>
        </w:tc>
      </w:tr>
    </w:tbl>
    <w:p>
      <w:pPr>
        <w:spacing w:after="40"/>
      </w:pPr>
    </w:p>
    <w:p>
      <w:pPr>
        <w:pStyle w:val="4"/>
      </w:pPr>
      <w:r>
        <w:rPr>
          <w:rFonts w:ascii="Times New Roman" w:hAnsi="Times New Roman" w:eastAsia="STHeiti" w:cs="Times New Roman"/>
          <w:b/>
          <w:color w:val="000000"/>
          <w:sz w:val="24"/>
        </w:rPr>
        <w:t>5.4.3 事件、异常与对账</w:t>
      </w: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5.4.3.1 事件与消息设计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本期不建设消息集群，可靠事件通过MySQL事件表和后台任务执行器实现。业务事务与事件记录在同一本地事务提交；投递器按状态、重试次数和下次执行时间扫描，调用内部消费者或外部REST回调。消费者必须幂等，失败事件进入待人工处理状态而不是无限重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事件</w:t>
            </w:r>
          </w:p>
        </w:tc>
        <w:tc>
          <w:tcPr>
            <w:tcW w:type="dxa" w:w="181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生产者</w:t>
            </w:r>
          </w:p>
        </w:tc>
        <w:tc>
          <w:tcPr>
            <w:tcW w:type="dxa" w:w="255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主要消费者</w:t>
            </w:r>
          </w:p>
        </w:tc>
        <w:tc>
          <w:tcPr>
            <w:tcW w:type="dxa" w:w="255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顺序与幂等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DataSnapshotReady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快照中心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模型运行中心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按snapshot_id唯一；重复忽略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ModelRunCompleted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算法回调/运行中心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专业模块、指标与通知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按run_id只处理一次终态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PlanVersionPublished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发布服务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外部适配器、驾驶舱、审计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按publish_batch_id顺序发送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ExecutionFeedbackReceived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集成适配器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专业模块、对账、指标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按外部回执业务键幂等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AlertRaised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预警服务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任务、通知和驾驶舱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按对象＋规则＋时间窗归并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CostPeriodClosed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成本模块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驾驶舱、报表和归档任务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按组织＋期间＋核算版本唯一</w:t>
            </w:r>
          </w:p>
        </w:tc>
      </w:tr>
    </w:tbl>
    <w:p>
      <w:pPr>
        <w:spacing w:after="40"/>
      </w:pP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5.4.3.2 批量数据交换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大批量对象优先采用分批REST上传或服务端分页拉取；仅当外部系统能力限制时使用CSV或压缩JSON文件。文件通道必须登记批次、格式版本、编码、分隔符、字段清单、记录数、摘要和校验和，并通过受控目录或企业文件交换服务传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150"/>
        <w:gridCol w:w="4150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控制点</w:t>
            </w:r>
          </w:p>
        </w:tc>
        <w:tc>
          <w:tcPr>
            <w:tcW w:type="dxa" w:w="635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命名与版本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文件名包含接口、业务日期、批次和版本；同批次不可静默替换。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完整性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先传临时名，完成后原子改名或发送完成标记；校验大小、记录数和摘要。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断点与补数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分片具有序号和总片数；失败从未确认分片继续；补数使用新批次并引用原批次。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错误明细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返回行号、业务键、字段、错误码和处理建议；支持部分成功时必须明确成功清单。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对账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按批次核对发送、接收、成功、失败、重复和忽略数量，并核对关键金额/数量。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安全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传输加密、目录最小权限、恶意文件检查预留、到期清理和下载审计。</w:t>
            </w:r>
          </w:p>
        </w:tc>
      </w:tr>
    </w:tbl>
    <w:p>
      <w:pPr>
        <w:spacing w:after="40"/>
      </w:pP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5.4.3.3 接口安全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接口安全采用网络分区、TLS、系统身份、最小授权、白名单、限流和审计的组合控制。企业统一API网关或身份平台能力明确后，详细设计应在不改变业务契约的前提下选择OAuth 2.0客户端凭证、双向TLS或签名令牌。所有密钥通过受控配置注入并定期轮换。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150"/>
        <w:gridCol w:w="4150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安全控制</w:t>
            </w:r>
          </w:p>
        </w:tc>
        <w:tc>
          <w:tcPr>
            <w:tcW w:type="dxa" w:w="635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设计要求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认证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系统到系统使用独立客户端身份；用户请求透传或映射用户与组织上下文。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授权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接口权限与数据范围在Java服务端校验；算法接口仅允许应用容器访问。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传输保护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生产接口使用TLS；必要时双向证书；禁止明文口令和敏感查询参数。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签名与防重放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高风险发布接口包含时间戳、随机数和签名；校验有效窗口与幂等键。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密钥治理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密钥不写入镜像、代码或普通数据库；轮换支持双密钥过渡。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审计与告警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认证失败、越权、异常流量、签名失败和敏感导出形成安全审计。</w:t>
            </w:r>
          </w:p>
        </w:tc>
      </w:tr>
    </w:tbl>
    <w:p>
      <w:pPr>
        <w:spacing w:after="40"/>
      </w:pP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5.4.3.4 接口异常、补偿与对账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接口异常按可重试、业务拒绝、数据质量、权限安全和未知五类处理。自动重试只适用于网络瞬断、限流和可恢复服务异常；业务拒绝和数据错误进入人工处理或来源修正。部分成功必须保存明细状态，补偿操作使用新请求并引用原请求，不通过改库或删除记录伪造成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92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异常场景</w:t>
            </w:r>
          </w:p>
        </w:tc>
        <w:tc>
          <w:tcPr>
            <w:tcW w:type="dxa" w:w="272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自动处理</w:t>
            </w:r>
          </w:p>
        </w:tc>
        <w:tc>
          <w:tcPr>
            <w:tcW w:type="dxa" w:w="272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人工/业务处理</w:t>
            </w:r>
          </w:p>
        </w:tc>
        <w:tc>
          <w:tcPr>
            <w:tcW w:type="dxa" w:w="238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对账证据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连接超时/服务不可用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指数退避重试、熔断、保留待发送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持续失败升级运维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请求、重试、最终状态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重复请求/重复事件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幂等键返回既有结果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内容不一致时拒绝并调查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请求摘要和原业务结果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部分成功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逐条保存状态，仅重试可重试项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业务失败项修正后补发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成功/失败清单与外部回执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字段或主数据错误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停止该记录进入正式层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来源修正或完成映射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质量结果、修正批次和复验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认证授权失败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不自动换身份或绕过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安全/接口责任人处理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安全日志与账号变更记录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回执缺失或状态不一致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主动查询或日终拉取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无法确认时建立差异工单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源目标状态、责任人和关闭证据</w:t>
            </w:r>
          </w:p>
        </w:tc>
      </w:tr>
    </w:tbl>
    <w:p>
      <w:pPr>
        <w:spacing w:after="40"/>
      </w:pPr>
    </w:p>
    <w:sectPr>
      <w:headerReference r:id="rId4" w:type="first"/>
      <w:footerReference r:id="rId6" w:type="first"/>
      <w:headerReference r:id="rId3" w:type="default"/>
      <w:footerReference r:id="rId5" w:type="default"/>
      <w:headerReference w:type="even" r:id="rId80"/>
      <w:pgSz w:w="11906" w:h="16838"/>
      <w:pgMar w:top="777" w:right="1803" w:bottom="1440" w:left="1803" w:header="255" w:footer="454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PMingLiU">
    <w:altName w:val="宋体-繁"/>
    <w:panose1 w:val="02010601000101010101"/>
    <w:charset w:val="88"/>
    <w:family w:val="swiss"/>
    <w:pitch w:val="default"/>
    <w:sig w:usb0="00000000" w:usb1="00000000" w:usb2="00000016" w:usb3="00000000" w:csb0="00100001" w:csb1="0000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Times">
    <w:altName w:val="Times New Roman"/>
    <w:panose1 w:val="00000500000000020000"/>
    <w:charset w:val="00"/>
    <w:family w:val="roman"/>
    <w:pitch w:val="default"/>
    <w:sig w:usb0="00000000" w:usb1="00000000" w:usb2="00000000" w:usb3="00000000" w:csb0="2000019F" w:csb1="4F01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0" w:after="0"/>
      <w:jc w:val="center"/>
    </w:pPr>
    <w:r>
      <w:rPr>
        <w:rFonts w:ascii="Times New Roman" w:hAnsi="Times New Roman" w:eastAsia="Songti SC" w:cs="Times New Roman"/>
        <w:color w:val="000000"/>
        <w:sz w:val="18"/>
      </w:rPr>
      <w:t xml:space="preserve">第 </w:t>
    </w:r>
    <w:r>
      <w:rPr>
        <w:rFonts w:ascii="Times New Roman" w:hAnsi="Times New Roman" w:eastAsia="Songti SC" w:cs="Times New Roman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Songti SC" w:cs="Times New Roman"/>
        <w:color w:val="000000"/>
        <w:sz w:val="18"/>
      </w:rPr>
      <w:t xml:space="preserve"> 页  共 </w:t>
    </w:r>
    <w:r>
      <w:rPr>
        <w:rFonts w:ascii="Times New Roman" w:hAnsi="Times New Roman" w:eastAsia="Songti SC" w:cs="Times New Roman"/>
        <w:color w:val="000000"/>
        <w:sz w:val="18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Times New Roman" w:hAnsi="Times New Roman" w:eastAsia="Songti SC" w:cs="Times New Roman"/>
        <w:color w:val="000000"/>
        <w:sz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B706C6">
    <w:pPr>
      <w:pStyle w:val="22"/>
      <w:rPr>
        <w:rFonts w:hint="eastAsia"/>
      </w:rPr>
    </w:pPr>
    <w:r>
      <w:rPr>
        <w:rFonts w:hint="eastAsia"/>
      </w:rPr>
      <w:t xml:space="preserve">          </w:t>
    </w:r>
    <w:r>
      <w:t xml:space="preserve"> </w:t>
    </w:r>
    <w:r>
      <w:rPr>
        <w:rFonts w:hint="eastAsia"/>
      </w:rPr>
      <w:t xml:space="preserve">            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893CD5">
    <w:pPr>
      <w:pStyle w:val="22"/>
      <w:jc w:val="right"/>
      <w:rPr>
        <w:rFonts w:hint="eastAsia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21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53746C">
                          <w:pPr>
                            <w:pStyle w:val="2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102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OqXm5zwAAAAUBAAAPAAAAAAAAAAEA&#10;IAAAACIAAABkcnMvZG93bnJldi54bWxQSwECFAAUAAAACACHTuJA1P1AiN8BAADBAwAADgAAAAAA&#10;AAABACAAAAAeAQAAZHJzL2Uyb0RvYy54bWxQSwUGAAAAAAYABgBZAQAAb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053746C">
                    <w:pPr>
                      <w:pStyle w:val="2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19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D8D761">
    <w:pPr>
      <w:pStyle w:val="22"/>
      <w:rPr>
        <w:rFonts w:hint="eastAsia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21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CBDC02">
                          <w:pPr>
                            <w:pStyle w:val="2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103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M6pebnPAAAABQEAAA8AAAAAAAAA&#10;AQAgAAAAIgAAAGRycy9kb3ducmV2LnhtbFBLAQIUABQAAAAIAIdO4kDiLEz44QEAAMEDAAAOAAAA&#10;AAAAAAEAIAAAAB4BAABkcnMvZTJvRG9jLnhtbFBLBQYAAAAABgAGAFkBAABx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DCBDC02">
                    <w:pPr>
                      <w:pStyle w:val="2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19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 xml:space="preserve">          </w:t>
    </w:r>
    <w:r>
      <w:t xml:space="preserve"> </w:t>
    </w:r>
    <w:r>
      <w:rPr>
        <w:rFonts w:hint="eastAsia"/>
      </w:rPr>
      <w:t xml:space="preserve">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ACD34B">
    <w:pPr>
      <w:pBdr>
        <w:bottom w:val="none" w:color="auto" w:sz="0" w:space="0"/>
      </w:pBdr>
      <w:spacing w:after="0" w:before="0"/>
      <w:rPr>
        <w:rFonts w:hint="eastAsia"/>
        <w:sz w:val="24"/>
        <w:szCs w:val="28"/>
        <w:lang w:val="en-US" w:eastAsia="zh-CN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-697865</wp:posOffset>
          </wp:positionH>
          <wp:positionV relativeFrom="paragraph">
            <wp:posOffset>146685</wp:posOffset>
          </wp:positionV>
          <wp:extent cx="909320" cy="431165"/>
          <wp:effectExtent l="0" t="0" r="5080" b="6985"/>
          <wp:wrapNone/>
          <wp:docPr id="4" name="图片 2099" descr="C:/Users/zhuzewei/Desktop/图片2.png图片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2099" descr="C:/Users/zhuzewei/Desktop/图片2.png图片2"/>
                  <pic:cNvPicPr>
                    <a:picLocks noChangeAspect="1"/>
                  </pic:cNvPicPr>
                </pic:nvPicPr>
                <pic:blipFill>
                  <a:blip r:embed="rId1"/>
                  <a:srcRect t="1689" b="1689"/>
                  <a:stretch>
                    <a:fillRect/>
                  </a:stretch>
                </pic:blipFill>
                <pic:spPr>
                  <a:xfrm>
                    <a:off x="0" y="0"/>
                    <a:ext cx="909320" cy="431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3322849">
    <w:pPr>
      <w:pBdr>
        <w:bottom w:val="none" w:color="auto" w:sz="0" w:space="0"/>
      </w:pBdr>
      <w:spacing w:after="0" w:before="0"/>
      <w:jc w:val="center"/>
      <w:rPr>
        <w:rFonts w:hint="eastAsia"/>
        <w:sz w:val="24"/>
        <w:szCs w:val="28"/>
        <w:lang w:val="en-US" w:eastAsia="zh-CN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4570730</wp:posOffset>
          </wp:positionH>
          <wp:positionV relativeFrom="paragraph">
            <wp:posOffset>149860</wp:posOffset>
          </wp:positionV>
          <wp:extent cx="1449070" cy="152400"/>
          <wp:effectExtent l="0" t="0" r="17780" b="0"/>
          <wp:wrapNone/>
          <wp:docPr id="3" name="图片 21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2100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449070" cy="152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719D2BE">
    <w:pPr>
      <w:pBdr>
        <w:bottom w:val="none" w:color="auto" w:sz="0" w:space="0"/>
      </w:pBdr>
      <w:spacing w:after="0" w:before="0"/>
      <w:jc w:val="center"/>
      <w:rPr>
        <w:rFonts w:hint="default" w:eastAsia="宋体"/>
        <w:sz w:val="24"/>
        <w:szCs w:val="28"/>
        <w:lang w:val="en-US"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1A3AAE">
    <w:pPr>
      <w:spacing w:after="0" w:before="0"/>
      <w:ind w:right="90"/>
      <w:jc w:val="right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-697865</wp:posOffset>
          </wp:positionH>
          <wp:positionV relativeFrom="paragraph">
            <wp:posOffset>150495</wp:posOffset>
          </wp:positionV>
          <wp:extent cx="899795" cy="441325"/>
          <wp:effectExtent l="0" t="0" r="14605" b="15875"/>
          <wp:wrapNone/>
          <wp:docPr id="2" name="图片 2097" descr="C:/Users/zhuzewei/Desktop/图片2.png图片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097" descr="C:/Users/zhuzewei/Desktop/图片2.png图片2"/>
                  <pic:cNvPicPr>
                    <a:picLocks noChangeAspect="1"/>
                  </pic:cNvPicPr>
                </pic:nvPicPr>
                <pic:blipFill>
                  <a:blip r:embed="rId1"/>
                  <a:srcRect t="1689" b="1689"/>
                  <a:stretch>
                    <a:fillRect/>
                  </a:stretch>
                </pic:blipFill>
                <pic:spPr>
                  <a:xfrm>
                    <a:off x="0" y="0"/>
                    <a:ext cx="899795" cy="441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23E4437">
    <w:pPr>
      <w:pBdr>
        <w:bottom w:val="single" w:color="auto" w:sz="4" w:space="0"/>
      </w:pBdr>
      <w:spacing w:after="0" w:before="0"/>
      <w:jc w:val="center"/>
      <w:rPr>
        <w:rFonts w:hint="eastAsia"/>
        <w:sz w:val="24"/>
        <w:szCs w:val="28"/>
        <w:lang w:val="en-US" w:eastAsia="zh-CN"/>
      </w:rPr>
    </w:pPr>
    <w: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4585970</wp:posOffset>
          </wp:positionH>
          <wp:positionV relativeFrom="paragraph">
            <wp:posOffset>149860</wp:posOffset>
          </wp:positionV>
          <wp:extent cx="1449070" cy="152400"/>
          <wp:effectExtent l="0" t="0" r="17780" b="0"/>
          <wp:wrapNone/>
          <wp:docPr id="5" name="图片 209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2098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449070" cy="152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C03E41D">
    <w:pPr>
      <w:pBdr>
        <w:bottom w:val="single" w:color="auto" w:sz="4" w:space="0"/>
      </w:pBdr>
      <w:spacing w:after="0" w:before="0"/>
      <w:jc w:val="center"/>
      <w:rPr>
        <w:rFonts w:hint="default"/>
        <w:lang w:val="en-US"/>
      </w:rPr>
    </w:pPr>
    <w:r>
      <w:rPr>
        <w:rFonts w:hint="eastAsia"/>
        <w:sz w:val="24"/>
        <w:szCs w:val="28"/>
        <w:lang w:val="en-US" w:eastAsia="zh-CN"/>
      </w:rPr>
      <w:t>研发管理业务蓝图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12"/>
    <w:multiLevelType w:val="multilevel"/>
    <w:tmpl w:val="00000012"/>
    <w:lvl w:ilvl="0" w:tentative="0">
      <w:start w:val="1"/>
      <w:numFmt w:val="bullet"/>
      <w:pStyle w:val="56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  <w:sz w:val="1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">
    <w:nsid w:val="31485DDC"/>
    <w:multiLevelType w:val="multilevel"/>
    <w:tmpl w:val="31485DDC"/>
    <w:lvl w:ilvl="0" w:tentative="0">
      <w:start w:val="1"/>
      <w:numFmt w:val="decimal"/>
      <w:lvlText w:val="%1."/>
      <w:lvlJc w:val="left"/>
      <w:pPr>
        <w:ind w:left="425" w:hanging="425"/>
      </w:pPr>
      <w:rPr>
        <w:sz w:val="44"/>
        <w:szCs w:val="44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sz w:val="32"/>
        <w:szCs w:val="30"/>
      </w:rPr>
    </w:lvl>
    <w:lvl w:ilvl="2" w:tentative="0">
      <w:start w:val="1"/>
      <w:numFmt w:val="decimal"/>
      <w:pStyle w:val="62"/>
      <w:lvlText w:val="%1.%2.%3."/>
      <w:lvlJc w:val="left"/>
      <w:pPr>
        <w:ind w:left="709" w:hanging="709"/>
      </w:pPr>
      <w:rPr>
        <w:sz w:val="24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sz w:val="24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6F97A34D"/>
    <w:multiLevelType w:val="singleLevel"/>
    <w:tmpl w:val="6F97A34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712C3E86"/>
    <w:multiLevelType w:val="multilevel"/>
    <w:tmpl w:val="712C3E86"/>
    <w:lvl w:ilvl="0" w:tentative="0">
      <w:start w:val="1"/>
      <w:numFmt w:val="chineseCounting"/>
      <w:pStyle w:val="2"/>
      <w:suff w:val="nothing"/>
      <w:lvlText w:val="%1、"/>
      <w:lvlJc w:val="left"/>
      <w:pPr>
        <w:tabs>
          <w:tab w:val="left" w:pos="420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isLgl/>
      <w:suff w:val="nothing"/>
      <w:lvlText w:val="%1.%2 "/>
      <w:lvlJc w:val="left"/>
      <w:pPr>
        <w:tabs>
          <w:tab w:val="left" w:pos="0"/>
        </w:tabs>
        <w:ind w:left="236" w:firstLine="171"/>
      </w:pPr>
      <w:rPr>
        <w:rFonts w:hint="eastAsia"/>
      </w:rPr>
    </w:lvl>
    <w:lvl w:ilvl="2" w:tentative="0">
      <w:start w:val="1"/>
      <w:numFmt w:val="decimal"/>
      <w:pStyle w:val="4"/>
      <w:isLgl/>
      <w:suff w:val="nothing"/>
      <w:lvlText w:val="%1.%2.%3 "/>
      <w:lvlJc w:val="left"/>
      <w:pPr>
        <w:ind w:left="-156" w:firstLine="79"/>
      </w:pPr>
      <w:rPr>
        <w:rFonts w:hint="eastAsia"/>
      </w:rPr>
    </w:lvl>
    <w:lvl w:ilvl="3" w:tentative="0">
      <w:start w:val="1"/>
      <w:numFmt w:val="decimal"/>
      <w:pStyle w:val="6"/>
      <w:isLgl/>
      <w:suff w:val="space"/>
      <w:lvlText w:val="%1.%2.%3.%4 "/>
      <w:lvlJc w:val="left"/>
      <w:pPr>
        <w:ind w:left="311" w:firstLine="97"/>
      </w:pPr>
      <w:rPr>
        <w:rFonts w:hint="eastAsia"/>
      </w:rPr>
    </w:lvl>
    <w:lvl w:ilvl="4" w:tentative="0">
      <w:start w:val="1"/>
      <w:numFmt w:val="decimal"/>
      <w:pStyle w:val="7"/>
      <w:suff w:val="space"/>
      <w:lvlText w:val="%5）"/>
      <w:lvlJc w:val="left"/>
      <w:pPr>
        <w:ind w:left="1008" w:hanging="600"/>
      </w:pPr>
      <w:rPr>
        <w:rFonts w:hint="eastAsia" w:ascii="Times New Roman" w:hAnsi="Times New Roman" w:cs="Times New Roman"/>
      </w:rPr>
    </w:lvl>
    <w:lvl w:ilvl="5" w:tentative="0">
      <w:start w:val="1"/>
      <w:numFmt w:val="decimal"/>
      <w:pStyle w:val="8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9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10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1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I1OTI5NzkyM2Y1ZmNiMDg5MWFkMzlmZGQzNWZhYzAifQ=="/>
  </w:docVars>
  <w:rsids>
    <w:rsidRoot w:val="00172A27"/>
    <w:rsid w:val="00005304"/>
    <w:rsid w:val="0002295F"/>
    <w:rsid w:val="00082910"/>
    <w:rsid w:val="000B212C"/>
    <w:rsid w:val="000C3E12"/>
    <w:rsid w:val="0019614B"/>
    <w:rsid w:val="00212A2F"/>
    <w:rsid w:val="00245594"/>
    <w:rsid w:val="00252D64"/>
    <w:rsid w:val="002B7BDF"/>
    <w:rsid w:val="002D0B0F"/>
    <w:rsid w:val="00321E17"/>
    <w:rsid w:val="004106CC"/>
    <w:rsid w:val="0047410F"/>
    <w:rsid w:val="004B3FD8"/>
    <w:rsid w:val="0050025D"/>
    <w:rsid w:val="00607CD2"/>
    <w:rsid w:val="006226F3"/>
    <w:rsid w:val="006D1854"/>
    <w:rsid w:val="006E00CE"/>
    <w:rsid w:val="006E5E11"/>
    <w:rsid w:val="00757F11"/>
    <w:rsid w:val="0076752E"/>
    <w:rsid w:val="00783422"/>
    <w:rsid w:val="007C08B0"/>
    <w:rsid w:val="0081083A"/>
    <w:rsid w:val="0087219E"/>
    <w:rsid w:val="008E05D7"/>
    <w:rsid w:val="009958F7"/>
    <w:rsid w:val="009A4E0B"/>
    <w:rsid w:val="009B07A7"/>
    <w:rsid w:val="009B0FF4"/>
    <w:rsid w:val="009F4339"/>
    <w:rsid w:val="00A4407A"/>
    <w:rsid w:val="00A81D22"/>
    <w:rsid w:val="00AA5FE0"/>
    <w:rsid w:val="00AE4E5E"/>
    <w:rsid w:val="00B67B1B"/>
    <w:rsid w:val="00B870A3"/>
    <w:rsid w:val="00BA3F3F"/>
    <w:rsid w:val="00BC7F6D"/>
    <w:rsid w:val="00BD2440"/>
    <w:rsid w:val="00C04860"/>
    <w:rsid w:val="00C1159C"/>
    <w:rsid w:val="00C15705"/>
    <w:rsid w:val="00C2257B"/>
    <w:rsid w:val="00C313D4"/>
    <w:rsid w:val="00C445D1"/>
    <w:rsid w:val="00CB5DF9"/>
    <w:rsid w:val="00CC77A0"/>
    <w:rsid w:val="00CF5500"/>
    <w:rsid w:val="00CF67DF"/>
    <w:rsid w:val="00D348DE"/>
    <w:rsid w:val="00D4692C"/>
    <w:rsid w:val="00E24854"/>
    <w:rsid w:val="00E33E00"/>
    <w:rsid w:val="00E46AB2"/>
    <w:rsid w:val="00F45208"/>
    <w:rsid w:val="00F77F1F"/>
    <w:rsid w:val="011614FB"/>
    <w:rsid w:val="011D2D66"/>
    <w:rsid w:val="013C64BD"/>
    <w:rsid w:val="014E5F84"/>
    <w:rsid w:val="01520EF8"/>
    <w:rsid w:val="01578CB6"/>
    <w:rsid w:val="015F310C"/>
    <w:rsid w:val="01680784"/>
    <w:rsid w:val="016C2D4F"/>
    <w:rsid w:val="01847962"/>
    <w:rsid w:val="018D42BD"/>
    <w:rsid w:val="018E53BB"/>
    <w:rsid w:val="019030FF"/>
    <w:rsid w:val="01A249C3"/>
    <w:rsid w:val="01A32339"/>
    <w:rsid w:val="01D6741B"/>
    <w:rsid w:val="01F561BC"/>
    <w:rsid w:val="021138F7"/>
    <w:rsid w:val="02277CC5"/>
    <w:rsid w:val="025C1016"/>
    <w:rsid w:val="02727AED"/>
    <w:rsid w:val="0290069C"/>
    <w:rsid w:val="029C3B08"/>
    <w:rsid w:val="02AD3799"/>
    <w:rsid w:val="02C80459"/>
    <w:rsid w:val="02FF7BF3"/>
    <w:rsid w:val="03080760"/>
    <w:rsid w:val="030C33A5"/>
    <w:rsid w:val="030D16F9"/>
    <w:rsid w:val="030E6468"/>
    <w:rsid w:val="03164667"/>
    <w:rsid w:val="0322205A"/>
    <w:rsid w:val="03241876"/>
    <w:rsid w:val="035C4020"/>
    <w:rsid w:val="035C60D2"/>
    <w:rsid w:val="037D5B64"/>
    <w:rsid w:val="037E320E"/>
    <w:rsid w:val="03A72764"/>
    <w:rsid w:val="03B456F5"/>
    <w:rsid w:val="03B552C8"/>
    <w:rsid w:val="03B7409F"/>
    <w:rsid w:val="03C12BFD"/>
    <w:rsid w:val="03D74410"/>
    <w:rsid w:val="03DF1C63"/>
    <w:rsid w:val="03E1792B"/>
    <w:rsid w:val="03E5574F"/>
    <w:rsid w:val="03FC1593"/>
    <w:rsid w:val="03FF62A8"/>
    <w:rsid w:val="04071455"/>
    <w:rsid w:val="040C6EF6"/>
    <w:rsid w:val="04103C70"/>
    <w:rsid w:val="04137DFA"/>
    <w:rsid w:val="041660F7"/>
    <w:rsid w:val="04267B2D"/>
    <w:rsid w:val="04277401"/>
    <w:rsid w:val="0431202E"/>
    <w:rsid w:val="043B638D"/>
    <w:rsid w:val="044B7594"/>
    <w:rsid w:val="044E498E"/>
    <w:rsid w:val="046877E2"/>
    <w:rsid w:val="0475016D"/>
    <w:rsid w:val="04781A0B"/>
    <w:rsid w:val="0479661F"/>
    <w:rsid w:val="04976897"/>
    <w:rsid w:val="04AB1FBE"/>
    <w:rsid w:val="04BE5F02"/>
    <w:rsid w:val="04C1427B"/>
    <w:rsid w:val="04D9694D"/>
    <w:rsid w:val="04E14131"/>
    <w:rsid w:val="04EA5290"/>
    <w:rsid w:val="04F74D2D"/>
    <w:rsid w:val="04FEF9F4"/>
    <w:rsid w:val="05073C98"/>
    <w:rsid w:val="05281683"/>
    <w:rsid w:val="05290F57"/>
    <w:rsid w:val="054537C2"/>
    <w:rsid w:val="054B5371"/>
    <w:rsid w:val="055406CA"/>
    <w:rsid w:val="05594913"/>
    <w:rsid w:val="057228FE"/>
    <w:rsid w:val="058F3C3A"/>
    <w:rsid w:val="05907F7E"/>
    <w:rsid w:val="05C56ED2"/>
    <w:rsid w:val="05C644A5"/>
    <w:rsid w:val="05CF1C23"/>
    <w:rsid w:val="05CF6EB3"/>
    <w:rsid w:val="05D6A8DC"/>
    <w:rsid w:val="05F11A75"/>
    <w:rsid w:val="05F31F23"/>
    <w:rsid w:val="05F77E76"/>
    <w:rsid w:val="060519C4"/>
    <w:rsid w:val="063267C3"/>
    <w:rsid w:val="06B55198"/>
    <w:rsid w:val="06D53145"/>
    <w:rsid w:val="06E11AE9"/>
    <w:rsid w:val="06E25862"/>
    <w:rsid w:val="06E62E9B"/>
    <w:rsid w:val="06EF20FA"/>
    <w:rsid w:val="072E57F1"/>
    <w:rsid w:val="073458D7"/>
    <w:rsid w:val="073C77E7"/>
    <w:rsid w:val="07426476"/>
    <w:rsid w:val="0747770C"/>
    <w:rsid w:val="075062A9"/>
    <w:rsid w:val="075D6B7A"/>
    <w:rsid w:val="07915A11"/>
    <w:rsid w:val="07A656A9"/>
    <w:rsid w:val="07AE154F"/>
    <w:rsid w:val="07B72AC0"/>
    <w:rsid w:val="07BC4304"/>
    <w:rsid w:val="07CA17B9"/>
    <w:rsid w:val="07D24881"/>
    <w:rsid w:val="07EE9A31"/>
    <w:rsid w:val="07F7A5AD"/>
    <w:rsid w:val="07FD1B08"/>
    <w:rsid w:val="083C62A8"/>
    <w:rsid w:val="08483A10"/>
    <w:rsid w:val="084C0216"/>
    <w:rsid w:val="084F2BE5"/>
    <w:rsid w:val="085A5FF7"/>
    <w:rsid w:val="085E0860"/>
    <w:rsid w:val="086766D9"/>
    <w:rsid w:val="086D43CF"/>
    <w:rsid w:val="087821DE"/>
    <w:rsid w:val="087E5506"/>
    <w:rsid w:val="087F5AEB"/>
    <w:rsid w:val="08822648"/>
    <w:rsid w:val="088475FD"/>
    <w:rsid w:val="08883776"/>
    <w:rsid w:val="088C0B36"/>
    <w:rsid w:val="08A72EF2"/>
    <w:rsid w:val="08B07870"/>
    <w:rsid w:val="08B5506F"/>
    <w:rsid w:val="08BA0844"/>
    <w:rsid w:val="08BD0334"/>
    <w:rsid w:val="08E24F8B"/>
    <w:rsid w:val="08E45616"/>
    <w:rsid w:val="08F17FDE"/>
    <w:rsid w:val="08F875BE"/>
    <w:rsid w:val="090A0C01"/>
    <w:rsid w:val="090A10C5"/>
    <w:rsid w:val="090B72F2"/>
    <w:rsid w:val="091C6030"/>
    <w:rsid w:val="092669FE"/>
    <w:rsid w:val="09287EA3"/>
    <w:rsid w:val="09325DEF"/>
    <w:rsid w:val="09350C06"/>
    <w:rsid w:val="093E0F73"/>
    <w:rsid w:val="093E76C7"/>
    <w:rsid w:val="09421657"/>
    <w:rsid w:val="094B62DC"/>
    <w:rsid w:val="0956773F"/>
    <w:rsid w:val="09577C19"/>
    <w:rsid w:val="09616F12"/>
    <w:rsid w:val="0969708C"/>
    <w:rsid w:val="096B2561"/>
    <w:rsid w:val="096D3B08"/>
    <w:rsid w:val="098128D7"/>
    <w:rsid w:val="098C549B"/>
    <w:rsid w:val="09AB7352"/>
    <w:rsid w:val="09CF47C3"/>
    <w:rsid w:val="09D516AE"/>
    <w:rsid w:val="09D62E23"/>
    <w:rsid w:val="0A054BE4"/>
    <w:rsid w:val="0A1B3F65"/>
    <w:rsid w:val="0A592132"/>
    <w:rsid w:val="0A5D5F01"/>
    <w:rsid w:val="0A622F41"/>
    <w:rsid w:val="0A73514E"/>
    <w:rsid w:val="0AAE262A"/>
    <w:rsid w:val="0AD32091"/>
    <w:rsid w:val="0ADA14C3"/>
    <w:rsid w:val="0AE75B3C"/>
    <w:rsid w:val="0AF3003D"/>
    <w:rsid w:val="0AF44923"/>
    <w:rsid w:val="0B057D70"/>
    <w:rsid w:val="0B1100DC"/>
    <w:rsid w:val="0B57681E"/>
    <w:rsid w:val="0B6E4FFD"/>
    <w:rsid w:val="0B84338B"/>
    <w:rsid w:val="0B9A670B"/>
    <w:rsid w:val="0B9B505D"/>
    <w:rsid w:val="0BB51797"/>
    <w:rsid w:val="0BB53D28"/>
    <w:rsid w:val="0BB92B92"/>
    <w:rsid w:val="0BB94724"/>
    <w:rsid w:val="0BE107DE"/>
    <w:rsid w:val="0BE91440"/>
    <w:rsid w:val="0BF7E88B"/>
    <w:rsid w:val="0BFD2F86"/>
    <w:rsid w:val="0BFF15C8"/>
    <w:rsid w:val="0BFFC41C"/>
    <w:rsid w:val="0C0C5775"/>
    <w:rsid w:val="0C246F78"/>
    <w:rsid w:val="0C2B455F"/>
    <w:rsid w:val="0C2D2A86"/>
    <w:rsid w:val="0C2F32F7"/>
    <w:rsid w:val="0C4F37DF"/>
    <w:rsid w:val="0C5F4538"/>
    <w:rsid w:val="0C64466B"/>
    <w:rsid w:val="0C674A4A"/>
    <w:rsid w:val="0C8131E5"/>
    <w:rsid w:val="0C8F38B2"/>
    <w:rsid w:val="0C9D5951"/>
    <w:rsid w:val="0CA70DBF"/>
    <w:rsid w:val="0CD8594F"/>
    <w:rsid w:val="0CE84F8D"/>
    <w:rsid w:val="0CEE52F6"/>
    <w:rsid w:val="0CF34325"/>
    <w:rsid w:val="0D350825"/>
    <w:rsid w:val="0D3D34CC"/>
    <w:rsid w:val="0D447EB9"/>
    <w:rsid w:val="0D573276"/>
    <w:rsid w:val="0D647CF2"/>
    <w:rsid w:val="0D75F289"/>
    <w:rsid w:val="0D7A67F4"/>
    <w:rsid w:val="0D8B27AF"/>
    <w:rsid w:val="0DB46977"/>
    <w:rsid w:val="0DB95A00"/>
    <w:rsid w:val="0DC7755F"/>
    <w:rsid w:val="0DD13167"/>
    <w:rsid w:val="0DEE4FAC"/>
    <w:rsid w:val="0DF9311F"/>
    <w:rsid w:val="0DFE82E7"/>
    <w:rsid w:val="0E0802A4"/>
    <w:rsid w:val="0E0B38F0"/>
    <w:rsid w:val="0E0C5732"/>
    <w:rsid w:val="0E111158"/>
    <w:rsid w:val="0E213409"/>
    <w:rsid w:val="0E4700F3"/>
    <w:rsid w:val="0E5C414B"/>
    <w:rsid w:val="0E5E4367"/>
    <w:rsid w:val="0E6F3C47"/>
    <w:rsid w:val="0E8813E4"/>
    <w:rsid w:val="0E8F4521"/>
    <w:rsid w:val="0E9F19DD"/>
    <w:rsid w:val="0EA30E54"/>
    <w:rsid w:val="0ED03838"/>
    <w:rsid w:val="0EDB59B8"/>
    <w:rsid w:val="0F005CCD"/>
    <w:rsid w:val="0F12576C"/>
    <w:rsid w:val="0F244B76"/>
    <w:rsid w:val="0F29227F"/>
    <w:rsid w:val="0F437CC1"/>
    <w:rsid w:val="0F4E6319"/>
    <w:rsid w:val="0F503375"/>
    <w:rsid w:val="0F784FB5"/>
    <w:rsid w:val="0F7F5900"/>
    <w:rsid w:val="0F9C36A6"/>
    <w:rsid w:val="0FB748C3"/>
    <w:rsid w:val="0FBBDBD7"/>
    <w:rsid w:val="0FBC30F4"/>
    <w:rsid w:val="0FCE5EBA"/>
    <w:rsid w:val="0FD82AD0"/>
    <w:rsid w:val="0FDD0E6A"/>
    <w:rsid w:val="0FE44CB0"/>
    <w:rsid w:val="0FE62A80"/>
    <w:rsid w:val="0FEF171B"/>
    <w:rsid w:val="0FF27A70"/>
    <w:rsid w:val="0FF7F9AA"/>
    <w:rsid w:val="0FF9A693"/>
    <w:rsid w:val="0FFB2976"/>
    <w:rsid w:val="10014FAA"/>
    <w:rsid w:val="10066A65"/>
    <w:rsid w:val="100C0ABB"/>
    <w:rsid w:val="101136E1"/>
    <w:rsid w:val="102066B5"/>
    <w:rsid w:val="102B3EF3"/>
    <w:rsid w:val="102D4481"/>
    <w:rsid w:val="10424E4B"/>
    <w:rsid w:val="10546B97"/>
    <w:rsid w:val="10757727"/>
    <w:rsid w:val="108D7BD8"/>
    <w:rsid w:val="109052A3"/>
    <w:rsid w:val="10940911"/>
    <w:rsid w:val="10B464C1"/>
    <w:rsid w:val="10D42352"/>
    <w:rsid w:val="10E11220"/>
    <w:rsid w:val="10F1555C"/>
    <w:rsid w:val="10F62A2C"/>
    <w:rsid w:val="11017E3D"/>
    <w:rsid w:val="1103131A"/>
    <w:rsid w:val="110939B5"/>
    <w:rsid w:val="110E0D66"/>
    <w:rsid w:val="111D6E87"/>
    <w:rsid w:val="112E1B59"/>
    <w:rsid w:val="112E63D2"/>
    <w:rsid w:val="11323891"/>
    <w:rsid w:val="113B3965"/>
    <w:rsid w:val="11497A10"/>
    <w:rsid w:val="115A0E16"/>
    <w:rsid w:val="115B4B8E"/>
    <w:rsid w:val="116B5F2B"/>
    <w:rsid w:val="1179776E"/>
    <w:rsid w:val="11840DE8"/>
    <w:rsid w:val="1191274E"/>
    <w:rsid w:val="11A20C5E"/>
    <w:rsid w:val="11BF4345"/>
    <w:rsid w:val="11D81D1F"/>
    <w:rsid w:val="11DD7458"/>
    <w:rsid w:val="11DD7B80"/>
    <w:rsid w:val="11E623C4"/>
    <w:rsid w:val="11EA09BB"/>
    <w:rsid w:val="11FDD8CB"/>
    <w:rsid w:val="120179F5"/>
    <w:rsid w:val="121D3BF2"/>
    <w:rsid w:val="125A5EAE"/>
    <w:rsid w:val="125B720A"/>
    <w:rsid w:val="125D4D08"/>
    <w:rsid w:val="12622A28"/>
    <w:rsid w:val="128C47CC"/>
    <w:rsid w:val="129A4C28"/>
    <w:rsid w:val="12A14823"/>
    <w:rsid w:val="12A44022"/>
    <w:rsid w:val="12B2677C"/>
    <w:rsid w:val="12BD4625"/>
    <w:rsid w:val="12C02EFB"/>
    <w:rsid w:val="12C17224"/>
    <w:rsid w:val="12D41384"/>
    <w:rsid w:val="12D76496"/>
    <w:rsid w:val="12D86AFB"/>
    <w:rsid w:val="12DB5F87"/>
    <w:rsid w:val="12E31B17"/>
    <w:rsid w:val="12EF1A32"/>
    <w:rsid w:val="12F901BB"/>
    <w:rsid w:val="12F94DAB"/>
    <w:rsid w:val="130C25E4"/>
    <w:rsid w:val="13280619"/>
    <w:rsid w:val="13286C49"/>
    <w:rsid w:val="134E710B"/>
    <w:rsid w:val="139A5E3D"/>
    <w:rsid w:val="139D4210"/>
    <w:rsid w:val="13A74B2A"/>
    <w:rsid w:val="13BB3AB8"/>
    <w:rsid w:val="13BC5DB8"/>
    <w:rsid w:val="13C0248A"/>
    <w:rsid w:val="13C06F2A"/>
    <w:rsid w:val="13C433E2"/>
    <w:rsid w:val="13D749A0"/>
    <w:rsid w:val="13E61CFD"/>
    <w:rsid w:val="13F73ACE"/>
    <w:rsid w:val="14035161"/>
    <w:rsid w:val="143D70CC"/>
    <w:rsid w:val="14603905"/>
    <w:rsid w:val="148835E1"/>
    <w:rsid w:val="14900811"/>
    <w:rsid w:val="14904172"/>
    <w:rsid w:val="149363ED"/>
    <w:rsid w:val="14947591"/>
    <w:rsid w:val="149C7998"/>
    <w:rsid w:val="14A34882"/>
    <w:rsid w:val="14AB3737"/>
    <w:rsid w:val="14AE3227"/>
    <w:rsid w:val="14C60F96"/>
    <w:rsid w:val="14CB2F17"/>
    <w:rsid w:val="14D233B9"/>
    <w:rsid w:val="14D66C67"/>
    <w:rsid w:val="14D84BF0"/>
    <w:rsid w:val="14E46078"/>
    <w:rsid w:val="14F544E1"/>
    <w:rsid w:val="150D57FF"/>
    <w:rsid w:val="150E269C"/>
    <w:rsid w:val="151439D2"/>
    <w:rsid w:val="15152C6A"/>
    <w:rsid w:val="153351A6"/>
    <w:rsid w:val="153D4CD7"/>
    <w:rsid w:val="154A72DE"/>
    <w:rsid w:val="156F5159"/>
    <w:rsid w:val="15783D30"/>
    <w:rsid w:val="157B75AD"/>
    <w:rsid w:val="157E2ADB"/>
    <w:rsid w:val="158C3568"/>
    <w:rsid w:val="15AF36A9"/>
    <w:rsid w:val="15B00039"/>
    <w:rsid w:val="15BF3FFD"/>
    <w:rsid w:val="15C34C68"/>
    <w:rsid w:val="15CD4FC7"/>
    <w:rsid w:val="15CD7A9E"/>
    <w:rsid w:val="15D2431D"/>
    <w:rsid w:val="15D56225"/>
    <w:rsid w:val="15FB66B9"/>
    <w:rsid w:val="15FFBF92"/>
    <w:rsid w:val="16136CFF"/>
    <w:rsid w:val="164136E4"/>
    <w:rsid w:val="164B51D1"/>
    <w:rsid w:val="16532CFC"/>
    <w:rsid w:val="16547378"/>
    <w:rsid w:val="16604D12"/>
    <w:rsid w:val="168E1E4B"/>
    <w:rsid w:val="16934831"/>
    <w:rsid w:val="169E43D4"/>
    <w:rsid w:val="16CD6EAE"/>
    <w:rsid w:val="16EB59A7"/>
    <w:rsid w:val="16EC0DFF"/>
    <w:rsid w:val="16F57E0F"/>
    <w:rsid w:val="16FB68F7"/>
    <w:rsid w:val="16FEEE6C"/>
    <w:rsid w:val="1703785A"/>
    <w:rsid w:val="17043616"/>
    <w:rsid w:val="1705338A"/>
    <w:rsid w:val="174B64D4"/>
    <w:rsid w:val="174C315A"/>
    <w:rsid w:val="175B3C7D"/>
    <w:rsid w:val="176FC43B"/>
    <w:rsid w:val="17757E35"/>
    <w:rsid w:val="177B7D38"/>
    <w:rsid w:val="17942BA8"/>
    <w:rsid w:val="17A5266F"/>
    <w:rsid w:val="17AB6D23"/>
    <w:rsid w:val="17AC7EF2"/>
    <w:rsid w:val="17C074F9"/>
    <w:rsid w:val="17D0734B"/>
    <w:rsid w:val="17E7386B"/>
    <w:rsid w:val="17F51899"/>
    <w:rsid w:val="17F7F413"/>
    <w:rsid w:val="17FB1A3B"/>
    <w:rsid w:val="17FE6E56"/>
    <w:rsid w:val="17FF64AB"/>
    <w:rsid w:val="18003FBB"/>
    <w:rsid w:val="18120968"/>
    <w:rsid w:val="181E6F28"/>
    <w:rsid w:val="18236353"/>
    <w:rsid w:val="18370FB6"/>
    <w:rsid w:val="183B34A8"/>
    <w:rsid w:val="183C53ED"/>
    <w:rsid w:val="18477C1A"/>
    <w:rsid w:val="18495740"/>
    <w:rsid w:val="186359F2"/>
    <w:rsid w:val="18916593"/>
    <w:rsid w:val="189A205E"/>
    <w:rsid w:val="18A230A3"/>
    <w:rsid w:val="18A34340"/>
    <w:rsid w:val="18AA77E9"/>
    <w:rsid w:val="18AD19A9"/>
    <w:rsid w:val="18C63235"/>
    <w:rsid w:val="18C70119"/>
    <w:rsid w:val="18D87CBA"/>
    <w:rsid w:val="18DF2BB7"/>
    <w:rsid w:val="18F16CB3"/>
    <w:rsid w:val="18FED94C"/>
    <w:rsid w:val="19085E4B"/>
    <w:rsid w:val="19145D4E"/>
    <w:rsid w:val="191A6982"/>
    <w:rsid w:val="1935342A"/>
    <w:rsid w:val="193A03BC"/>
    <w:rsid w:val="193E2DCB"/>
    <w:rsid w:val="19430B61"/>
    <w:rsid w:val="19480C9F"/>
    <w:rsid w:val="19602878"/>
    <w:rsid w:val="19662322"/>
    <w:rsid w:val="197F6BB8"/>
    <w:rsid w:val="198F0A41"/>
    <w:rsid w:val="199820C4"/>
    <w:rsid w:val="19A14C01"/>
    <w:rsid w:val="19C01A32"/>
    <w:rsid w:val="19CA5DD8"/>
    <w:rsid w:val="19CF2EBF"/>
    <w:rsid w:val="19D47FBD"/>
    <w:rsid w:val="1A0822E3"/>
    <w:rsid w:val="1A0C09AF"/>
    <w:rsid w:val="1A18186E"/>
    <w:rsid w:val="1A2521DD"/>
    <w:rsid w:val="1A491FB6"/>
    <w:rsid w:val="1A564145"/>
    <w:rsid w:val="1A803641"/>
    <w:rsid w:val="1A9E27F9"/>
    <w:rsid w:val="1AA43A98"/>
    <w:rsid w:val="1AA440DC"/>
    <w:rsid w:val="1ABFC63E"/>
    <w:rsid w:val="1AFBF9CD"/>
    <w:rsid w:val="1AFE4B89"/>
    <w:rsid w:val="1B0919D7"/>
    <w:rsid w:val="1B223C80"/>
    <w:rsid w:val="1B3846F0"/>
    <w:rsid w:val="1B43604F"/>
    <w:rsid w:val="1B4E38C0"/>
    <w:rsid w:val="1B585803"/>
    <w:rsid w:val="1B5A4CD4"/>
    <w:rsid w:val="1B5C1C2F"/>
    <w:rsid w:val="1B7139D2"/>
    <w:rsid w:val="1B984B09"/>
    <w:rsid w:val="1B9D7353"/>
    <w:rsid w:val="1BB83309"/>
    <w:rsid w:val="1BBE100B"/>
    <w:rsid w:val="1BC45208"/>
    <w:rsid w:val="1BC7A9D2"/>
    <w:rsid w:val="1BCF0653"/>
    <w:rsid w:val="1BDA70AF"/>
    <w:rsid w:val="1BDE2525"/>
    <w:rsid w:val="1BF92801"/>
    <w:rsid w:val="1BFE6842"/>
    <w:rsid w:val="1C011545"/>
    <w:rsid w:val="1C1C637A"/>
    <w:rsid w:val="1C264B43"/>
    <w:rsid w:val="1C2912CC"/>
    <w:rsid w:val="1C3FF0EC"/>
    <w:rsid w:val="1C650A0C"/>
    <w:rsid w:val="1C6E6B6E"/>
    <w:rsid w:val="1C917171"/>
    <w:rsid w:val="1C9A5D29"/>
    <w:rsid w:val="1C9C2C60"/>
    <w:rsid w:val="1CED1F8B"/>
    <w:rsid w:val="1CFFCFC7"/>
    <w:rsid w:val="1D085C52"/>
    <w:rsid w:val="1D1310FC"/>
    <w:rsid w:val="1D1F2F14"/>
    <w:rsid w:val="1D2F6450"/>
    <w:rsid w:val="1D3C3CB7"/>
    <w:rsid w:val="1D3D5F97"/>
    <w:rsid w:val="1D471BD6"/>
    <w:rsid w:val="1D5B1678"/>
    <w:rsid w:val="1D770D4C"/>
    <w:rsid w:val="1D888F2A"/>
    <w:rsid w:val="1D8C4DEF"/>
    <w:rsid w:val="1D9F76F1"/>
    <w:rsid w:val="1DAD4CFF"/>
    <w:rsid w:val="1DBB159B"/>
    <w:rsid w:val="1DD7CBA6"/>
    <w:rsid w:val="1DD871C9"/>
    <w:rsid w:val="1DE00903"/>
    <w:rsid w:val="1DFB6D4A"/>
    <w:rsid w:val="1DFFC63E"/>
    <w:rsid w:val="1E180A71"/>
    <w:rsid w:val="1E366F65"/>
    <w:rsid w:val="1E3A375D"/>
    <w:rsid w:val="1E3F7CDD"/>
    <w:rsid w:val="1E495DF2"/>
    <w:rsid w:val="1E5501C5"/>
    <w:rsid w:val="1E574A0E"/>
    <w:rsid w:val="1E7471DE"/>
    <w:rsid w:val="1E8C45D9"/>
    <w:rsid w:val="1E9235F6"/>
    <w:rsid w:val="1E933BB9"/>
    <w:rsid w:val="1EB7F713"/>
    <w:rsid w:val="1EB872AF"/>
    <w:rsid w:val="1EBA53BD"/>
    <w:rsid w:val="1EBB1463"/>
    <w:rsid w:val="1EC57AEB"/>
    <w:rsid w:val="1ECD6879"/>
    <w:rsid w:val="1ED64B25"/>
    <w:rsid w:val="1EE07B63"/>
    <w:rsid w:val="1EE77DD4"/>
    <w:rsid w:val="1EE7F941"/>
    <w:rsid w:val="1EE97DF2"/>
    <w:rsid w:val="1EF5549D"/>
    <w:rsid w:val="1EF67398"/>
    <w:rsid w:val="1EFEA515"/>
    <w:rsid w:val="1F100353"/>
    <w:rsid w:val="1F176598"/>
    <w:rsid w:val="1F232AA8"/>
    <w:rsid w:val="1F30765A"/>
    <w:rsid w:val="1F352F44"/>
    <w:rsid w:val="1F3822A2"/>
    <w:rsid w:val="1F3D58D3"/>
    <w:rsid w:val="1F5F4A4D"/>
    <w:rsid w:val="1F7C187E"/>
    <w:rsid w:val="1F8D413A"/>
    <w:rsid w:val="1F900E4C"/>
    <w:rsid w:val="1F901EA7"/>
    <w:rsid w:val="1F9B4D2F"/>
    <w:rsid w:val="1F9F0F8E"/>
    <w:rsid w:val="1FA63478"/>
    <w:rsid w:val="1FAF1E5F"/>
    <w:rsid w:val="1FBA2406"/>
    <w:rsid w:val="1FBD2A39"/>
    <w:rsid w:val="1FC94624"/>
    <w:rsid w:val="1FCE2288"/>
    <w:rsid w:val="1FCF6E73"/>
    <w:rsid w:val="1FDABD68"/>
    <w:rsid w:val="1FDB7A6F"/>
    <w:rsid w:val="1FDE70B6"/>
    <w:rsid w:val="1FE51F70"/>
    <w:rsid w:val="1FEBF21C"/>
    <w:rsid w:val="1FEF299D"/>
    <w:rsid w:val="1FF38547"/>
    <w:rsid w:val="1FF6B29C"/>
    <w:rsid w:val="1FF703D3"/>
    <w:rsid w:val="1FFBAA6A"/>
    <w:rsid w:val="1FFBFDC7"/>
    <w:rsid w:val="1FFF9842"/>
    <w:rsid w:val="1FFFD053"/>
    <w:rsid w:val="1FFFEB9F"/>
    <w:rsid w:val="200C3F86"/>
    <w:rsid w:val="200E4A1F"/>
    <w:rsid w:val="20353D62"/>
    <w:rsid w:val="204D5FA0"/>
    <w:rsid w:val="20507898"/>
    <w:rsid w:val="20695B39"/>
    <w:rsid w:val="20842008"/>
    <w:rsid w:val="20B43CF2"/>
    <w:rsid w:val="20DA53AA"/>
    <w:rsid w:val="20FF577E"/>
    <w:rsid w:val="210D0CC2"/>
    <w:rsid w:val="211B52F1"/>
    <w:rsid w:val="211E4F14"/>
    <w:rsid w:val="21224D81"/>
    <w:rsid w:val="212378F0"/>
    <w:rsid w:val="21311468"/>
    <w:rsid w:val="216D1A37"/>
    <w:rsid w:val="21780CB1"/>
    <w:rsid w:val="21787EF5"/>
    <w:rsid w:val="21900C74"/>
    <w:rsid w:val="21957C48"/>
    <w:rsid w:val="21B52D55"/>
    <w:rsid w:val="21BF4CC5"/>
    <w:rsid w:val="21BFAD0C"/>
    <w:rsid w:val="21C0508A"/>
    <w:rsid w:val="21C45D42"/>
    <w:rsid w:val="21CC415B"/>
    <w:rsid w:val="21CD73E2"/>
    <w:rsid w:val="21DC57E7"/>
    <w:rsid w:val="21DE525C"/>
    <w:rsid w:val="21F506E7"/>
    <w:rsid w:val="220719D3"/>
    <w:rsid w:val="221A0692"/>
    <w:rsid w:val="221C4134"/>
    <w:rsid w:val="222039B6"/>
    <w:rsid w:val="22291F9F"/>
    <w:rsid w:val="222A48FC"/>
    <w:rsid w:val="223241F0"/>
    <w:rsid w:val="224116B5"/>
    <w:rsid w:val="224705F5"/>
    <w:rsid w:val="22573F67"/>
    <w:rsid w:val="225F0181"/>
    <w:rsid w:val="22623FCE"/>
    <w:rsid w:val="228329C8"/>
    <w:rsid w:val="228F1762"/>
    <w:rsid w:val="22911EB1"/>
    <w:rsid w:val="22B51889"/>
    <w:rsid w:val="22BC5584"/>
    <w:rsid w:val="22C1655D"/>
    <w:rsid w:val="22CE3412"/>
    <w:rsid w:val="22E17A1D"/>
    <w:rsid w:val="22E36792"/>
    <w:rsid w:val="22F83FEB"/>
    <w:rsid w:val="23030452"/>
    <w:rsid w:val="2306369F"/>
    <w:rsid w:val="233849C7"/>
    <w:rsid w:val="233C0790"/>
    <w:rsid w:val="234C2D59"/>
    <w:rsid w:val="23520C6D"/>
    <w:rsid w:val="23551588"/>
    <w:rsid w:val="2357607E"/>
    <w:rsid w:val="23690890"/>
    <w:rsid w:val="23834019"/>
    <w:rsid w:val="23964A5E"/>
    <w:rsid w:val="23A3792D"/>
    <w:rsid w:val="23A9170F"/>
    <w:rsid w:val="23AC6E99"/>
    <w:rsid w:val="23BF0310"/>
    <w:rsid w:val="23D42CAA"/>
    <w:rsid w:val="23EF300E"/>
    <w:rsid w:val="23F74F9A"/>
    <w:rsid w:val="23FF584D"/>
    <w:rsid w:val="24040114"/>
    <w:rsid w:val="240B5FA0"/>
    <w:rsid w:val="24113B37"/>
    <w:rsid w:val="24150E93"/>
    <w:rsid w:val="242B3716"/>
    <w:rsid w:val="242C2E2F"/>
    <w:rsid w:val="243F3E9B"/>
    <w:rsid w:val="24661DF5"/>
    <w:rsid w:val="246F25C8"/>
    <w:rsid w:val="24755E7E"/>
    <w:rsid w:val="247B32BF"/>
    <w:rsid w:val="2491511F"/>
    <w:rsid w:val="249723D5"/>
    <w:rsid w:val="249F2AB4"/>
    <w:rsid w:val="24A217AC"/>
    <w:rsid w:val="24A96E7E"/>
    <w:rsid w:val="24D26ABE"/>
    <w:rsid w:val="24E707BB"/>
    <w:rsid w:val="24EB0F0B"/>
    <w:rsid w:val="24ED7049"/>
    <w:rsid w:val="25036248"/>
    <w:rsid w:val="25044920"/>
    <w:rsid w:val="25083EA5"/>
    <w:rsid w:val="251C753A"/>
    <w:rsid w:val="25223C13"/>
    <w:rsid w:val="25404D37"/>
    <w:rsid w:val="254607D8"/>
    <w:rsid w:val="255816B9"/>
    <w:rsid w:val="2561292F"/>
    <w:rsid w:val="256E31C8"/>
    <w:rsid w:val="258558A4"/>
    <w:rsid w:val="25951619"/>
    <w:rsid w:val="25980210"/>
    <w:rsid w:val="25987D07"/>
    <w:rsid w:val="259A3A47"/>
    <w:rsid w:val="25A349C2"/>
    <w:rsid w:val="25B26B77"/>
    <w:rsid w:val="25F72C80"/>
    <w:rsid w:val="25FB0004"/>
    <w:rsid w:val="26031625"/>
    <w:rsid w:val="260D4692"/>
    <w:rsid w:val="26170C2C"/>
    <w:rsid w:val="26252FE1"/>
    <w:rsid w:val="267B575B"/>
    <w:rsid w:val="267F3234"/>
    <w:rsid w:val="269B56F1"/>
    <w:rsid w:val="26A0369D"/>
    <w:rsid w:val="26C557BD"/>
    <w:rsid w:val="26C568DA"/>
    <w:rsid w:val="26C713AC"/>
    <w:rsid w:val="26D1EA4C"/>
    <w:rsid w:val="26DE799C"/>
    <w:rsid w:val="26E74AA2"/>
    <w:rsid w:val="26ED5E31"/>
    <w:rsid w:val="26EF2464"/>
    <w:rsid w:val="26FC6074"/>
    <w:rsid w:val="26FF9C91"/>
    <w:rsid w:val="270BA4BB"/>
    <w:rsid w:val="270C29EC"/>
    <w:rsid w:val="270F5DA7"/>
    <w:rsid w:val="272730F1"/>
    <w:rsid w:val="272852B8"/>
    <w:rsid w:val="272C6959"/>
    <w:rsid w:val="272F1FA5"/>
    <w:rsid w:val="273C5982"/>
    <w:rsid w:val="27606603"/>
    <w:rsid w:val="2769652E"/>
    <w:rsid w:val="27776D8D"/>
    <w:rsid w:val="27934767"/>
    <w:rsid w:val="27961FBA"/>
    <w:rsid w:val="27BF5A1F"/>
    <w:rsid w:val="27D044E5"/>
    <w:rsid w:val="27D9B076"/>
    <w:rsid w:val="27DD14EA"/>
    <w:rsid w:val="27DD57C6"/>
    <w:rsid w:val="27E36432"/>
    <w:rsid w:val="27E476A4"/>
    <w:rsid w:val="27E770BC"/>
    <w:rsid w:val="27FBCE58"/>
    <w:rsid w:val="27FDAFA3"/>
    <w:rsid w:val="280D1B36"/>
    <w:rsid w:val="28237451"/>
    <w:rsid w:val="28383284"/>
    <w:rsid w:val="28515867"/>
    <w:rsid w:val="28550131"/>
    <w:rsid w:val="286A466A"/>
    <w:rsid w:val="28771519"/>
    <w:rsid w:val="287853D1"/>
    <w:rsid w:val="287B78F8"/>
    <w:rsid w:val="28AA3FD9"/>
    <w:rsid w:val="28B22E8E"/>
    <w:rsid w:val="28B776A0"/>
    <w:rsid w:val="28CD627E"/>
    <w:rsid w:val="28D503CB"/>
    <w:rsid w:val="28DB0637"/>
    <w:rsid w:val="28DB142C"/>
    <w:rsid w:val="28F2659B"/>
    <w:rsid w:val="290862B9"/>
    <w:rsid w:val="290C07F0"/>
    <w:rsid w:val="291718D0"/>
    <w:rsid w:val="29317CDB"/>
    <w:rsid w:val="2934714C"/>
    <w:rsid w:val="29453A81"/>
    <w:rsid w:val="294855A0"/>
    <w:rsid w:val="29563397"/>
    <w:rsid w:val="29577634"/>
    <w:rsid w:val="297760FA"/>
    <w:rsid w:val="29833F07"/>
    <w:rsid w:val="298365D8"/>
    <w:rsid w:val="298B52D9"/>
    <w:rsid w:val="29AB2D12"/>
    <w:rsid w:val="29B51F43"/>
    <w:rsid w:val="29C235A5"/>
    <w:rsid w:val="29CA2459"/>
    <w:rsid w:val="29D07A70"/>
    <w:rsid w:val="29DA5C3B"/>
    <w:rsid w:val="29DE652E"/>
    <w:rsid w:val="29E575A9"/>
    <w:rsid w:val="29E61A78"/>
    <w:rsid w:val="29F747DA"/>
    <w:rsid w:val="2A0111CD"/>
    <w:rsid w:val="2A1B6F7E"/>
    <w:rsid w:val="2A2322AC"/>
    <w:rsid w:val="2A2F1CDB"/>
    <w:rsid w:val="2A39453E"/>
    <w:rsid w:val="2A4468E8"/>
    <w:rsid w:val="2A452A0A"/>
    <w:rsid w:val="2A461AE0"/>
    <w:rsid w:val="2A67601F"/>
    <w:rsid w:val="2A7F42F2"/>
    <w:rsid w:val="2A855847"/>
    <w:rsid w:val="2A8B196A"/>
    <w:rsid w:val="2AA77941"/>
    <w:rsid w:val="2AA8222A"/>
    <w:rsid w:val="2AA902C1"/>
    <w:rsid w:val="2AB96756"/>
    <w:rsid w:val="2AC74B8A"/>
    <w:rsid w:val="2ACB7B38"/>
    <w:rsid w:val="2AD7BF38"/>
    <w:rsid w:val="2ADA4EF4"/>
    <w:rsid w:val="2AFD1A91"/>
    <w:rsid w:val="2AFE8723"/>
    <w:rsid w:val="2B004385"/>
    <w:rsid w:val="2B1D615B"/>
    <w:rsid w:val="2B2E7586"/>
    <w:rsid w:val="2B3F8EC5"/>
    <w:rsid w:val="2B450F27"/>
    <w:rsid w:val="2B55703A"/>
    <w:rsid w:val="2B8C79C6"/>
    <w:rsid w:val="2B9F25ED"/>
    <w:rsid w:val="2BA411B4"/>
    <w:rsid w:val="2BA8B3B4"/>
    <w:rsid w:val="2BAC5784"/>
    <w:rsid w:val="2BD75D4F"/>
    <w:rsid w:val="2BD870AF"/>
    <w:rsid w:val="2BE8286B"/>
    <w:rsid w:val="2BEA65DC"/>
    <w:rsid w:val="2BEC02B5"/>
    <w:rsid w:val="2BEC479F"/>
    <w:rsid w:val="2BEF7F55"/>
    <w:rsid w:val="2C01229D"/>
    <w:rsid w:val="2C035F30"/>
    <w:rsid w:val="2C1427BB"/>
    <w:rsid w:val="2C1649D2"/>
    <w:rsid w:val="2C1A44DE"/>
    <w:rsid w:val="2C253A23"/>
    <w:rsid w:val="2C2F5EF6"/>
    <w:rsid w:val="2C446B2D"/>
    <w:rsid w:val="2C4D1CCA"/>
    <w:rsid w:val="2C536736"/>
    <w:rsid w:val="2C7566AC"/>
    <w:rsid w:val="2C825C43"/>
    <w:rsid w:val="2C963918"/>
    <w:rsid w:val="2C972AC7"/>
    <w:rsid w:val="2CA45E23"/>
    <w:rsid w:val="2CB400A6"/>
    <w:rsid w:val="2CBD3883"/>
    <w:rsid w:val="2CC05F34"/>
    <w:rsid w:val="2CC55886"/>
    <w:rsid w:val="2CC83A52"/>
    <w:rsid w:val="2CD3251A"/>
    <w:rsid w:val="2CDFA205"/>
    <w:rsid w:val="2CFED713"/>
    <w:rsid w:val="2D185992"/>
    <w:rsid w:val="2D1D71A5"/>
    <w:rsid w:val="2D23544A"/>
    <w:rsid w:val="2D327376"/>
    <w:rsid w:val="2D3F6442"/>
    <w:rsid w:val="2D451C1A"/>
    <w:rsid w:val="2D5262DB"/>
    <w:rsid w:val="2D6CB804"/>
    <w:rsid w:val="2D865FF5"/>
    <w:rsid w:val="2D8F684C"/>
    <w:rsid w:val="2D9417B7"/>
    <w:rsid w:val="2DA87687"/>
    <w:rsid w:val="2DBB66B4"/>
    <w:rsid w:val="2DBD69B9"/>
    <w:rsid w:val="2DC87B07"/>
    <w:rsid w:val="2DCD0805"/>
    <w:rsid w:val="2DD54233"/>
    <w:rsid w:val="2DD9E860"/>
    <w:rsid w:val="2DE37FB9"/>
    <w:rsid w:val="2DE53C0F"/>
    <w:rsid w:val="2DF3038D"/>
    <w:rsid w:val="2DF623E7"/>
    <w:rsid w:val="2DFD4901"/>
    <w:rsid w:val="2DFF1D40"/>
    <w:rsid w:val="2DFF7C43"/>
    <w:rsid w:val="2E083455"/>
    <w:rsid w:val="2E0C05E0"/>
    <w:rsid w:val="2E0F6966"/>
    <w:rsid w:val="2E1072F6"/>
    <w:rsid w:val="2E2B5E45"/>
    <w:rsid w:val="2E393461"/>
    <w:rsid w:val="2E3A7064"/>
    <w:rsid w:val="2E3E1DCE"/>
    <w:rsid w:val="2E4E3659"/>
    <w:rsid w:val="2E5F3951"/>
    <w:rsid w:val="2E6B577A"/>
    <w:rsid w:val="2EA620E4"/>
    <w:rsid w:val="2EA71C5B"/>
    <w:rsid w:val="2EAB0AAB"/>
    <w:rsid w:val="2EABAEE0"/>
    <w:rsid w:val="2EB364A5"/>
    <w:rsid w:val="2EB86C06"/>
    <w:rsid w:val="2EBC7A92"/>
    <w:rsid w:val="2EC42C7A"/>
    <w:rsid w:val="2EDF3A89"/>
    <w:rsid w:val="2EE06A9A"/>
    <w:rsid w:val="2F121012"/>
    <w:rsid w:val="2F147A9B"/>
    <w:rsid w:val="2F2258B6"/>
    <w:rsid w:val="2F32550E"/>
    <w:rsid w:val="2F332614"/>
    <w:rsid w:val="2F350375"/>
    <w:rsid w:val="2F472B9E"/>
    <w:rsid w:val="2F4D2D11"/>
    <w:rsid w:val="2F4F55C0"/>
    <w:rsid w:val="2F5A1E9D"/>
    <w:rsid w:val="2F5DC5D9"/>
    <w:rsid w:val="2F6B4E4F"/>
    <w:rsid w:val="2F6F3887"/>
    <w:rsid w:val="2F75095C"/>
    <w:rsid w:val="2F7946CF"/>
    <w:rsid w:val="2F7D6EF5"/>
    <w:rsid w:val="2F7EC3B3"/>
    <w:rsid w:val="2F854E58"/>
    <w:rsid w:val="2F930DD1"/>
    <w:rsid w:val="2F97EB8F"/>
    <w:rsid w:val="2FAC2E94"/>
    <w:rsid w:val="2FBB19A7"/>
    <w:rsid w:val="2FBC4AD6"/>
    <w:rsid w:val="2FBDE4D0"/>
    <w:rsid w:val="2FD7D3EC"/>
    <w:rsid w:val="2FD81D46"/>
    <w:rsid w:val="2FDC7194"/>
    <w:rsid w:val="2FDE0400"/>
    <w:rsid w:val="2FE40FC7"/>
    <w:rsid w:val="2FEF3E25"/>
    <w:rsid w:val="2FEF9A83"/>
    <w:rsid w:val="2FF28238"/>
    <w:rsid w:val="2FF2B663"/>
    <w:rsid w:val="2FF75ABD"/>
    <w:rsid w:val="2FFA7F34"/>
    <w:rsid w:val="2FFB81CA"/>
    <w:rsid w:val="2FFE29AD"/>
    <w:rsid w:val="2FFF752E"/>
    <w:rsid w:val="2FFFC90F"/>
    <w:rsid w:val="300A287B"/>
    <w:rsid w:val="30155939"/>
    <w:rsid w:val="30223949"/>
    <w:rsid w:val="30314FE0"/>
    <w:rsid w:val="30330DD3"/>
    <w:rsid w:val="3036075B"/>
    <w:rsid w:val="303D78E2"/>
    <w:rsid w:val="30406FD1"/>
    <w:rsid w:val="3049057C"/>
    <w:rsid w:val="3053334D"/>
    <w:rsid w:val="30672894"/>
    <w:rsid w:val="30725C8A"/>
    <w:rsid w:val="30776F35"/>
    <w:rsid w:val="30792EFB"/>
    <w:rsid w:val="307F111D"/>
    <w:rsid w:val="308275EA"/>
    <w:rsid w:val="30840ACC"/>
    <w:rsid w:val="30920BEE"/>
    <w:rsid w:val="309A4933"/>
    <w:rsid w:val="309C3CC8"/>
    <w:rsid w:val="30D42ED7"/>
    <w:rsid w:val="30DE0001"/>
    <w:rsid w:val="30E14632"/>
    <w:rsid w:val="30F50A3D"/>
    <w:rsid w:val="30F73AB6"/>
    <w:rsid w:val="30F9590F"/>
    <w:rsid w:val="30FF6E8C"/>
    <w:rsid w:val="31283B34"/>
    <w:rsid w:val="31350B00"/>
    <w:rsid w:val="31383596"/>
    <w:rsid w:val="313F6A1F"/>
    <w:rsid w:val="315A604D"/>
    <w:rsid w:val="316A1E0C"/>
    <w:rsid w:val="317A4FED"/>
    <w:rsid w:val="31994BEB"/>
    <w:rsid w:val="319F64F2"/>
    <w:rsid w:val="31A1649A"/>
    <w:rsid w:val="31CA75AD"/>
    <w:rsid w:val="31DF7492"/>
    <w:rsid w:val="31E57E30"/>
    <w:rsid w:val="31F67A05"/>
    <w:rsid w:val="31F79EDE"/>
    <w:rsid w:val="31FC0875"/>
    <w:rsid w:val="320C25F2"/>
    <w:rsid w:val="320D0FB0"/>
    <w:rsid w:val="32230959"/>
    <w:rsid w:val="323632CF"/>
    <w:rsid w:val="32420577"/>
    <w:rsid w:val="32427031"/>
    <w:rsid w:val="32546D64"/>
    <w:rsid w:val="328450EB"/>
    <w:rsid w:val="328C49EF"/>
    <w:rsid w:val="329B5284"/>
    <w:rsid w:val="32A66287"/>
    <w:rsid w:val="32AD18BC"/>
    <w:rsid w:val="32AD2E45"/>
    <w:rsid w:val="32DF90E3"/>
    <w:rsid w:val="32EB4AC3"/>
    <w:rsid w:val="32FF6030"/>
    <w:rsid w:val="331F2E53"/>
    <w:rsid w:val="3321758E"/>
    <w:rsid w:val="33273D63"/>
    <w:rsid w:val="332C4738"/>
    <w:rsid w:val="334975E7"/>
    <w:rsid w:val="33660F1D"/>
    <w:rsid w:val="3367C5D5"/>
    <w:rsid w:val="33743B62"/>
    <w:rsid w:val="3377466D"/>
    <w:rsid w:val="338319BA"/>
    <w:rsid w:val="338B0EAB"/>
    <w:rsid w:val="3398CF89"/>
    <w:rsid w:val="33AF10F6"/>
    <w:rsid w:val="33CC26E2"/>
    <w:rsid w:val="33E61CF5"/>
    <w:rsid w:val="33EA0AAD"/>
    <w:rsid w:val="33EA7BA3"/>
    <w:rsid w:val="33F3CD48"/>
    <w:rsid w:val="33F60B96"/>
    <w:rsid w:val="33FC6423"/>
    <w:rsid w:val="3402116D"/>
    <w:rsid w:val="34086058"/>
    <w:rsid w:val="3424335A"/>
    <w:rsid w:val="34254E5C"/>
    <w:rsid w:val="3430372B"/>
    <w:rsid w:val="34327204"/>
    <w:rsid w:val="343777C7"/>
    <w:rsid w:val="34482D34"/>
    <w:rsid w:val="344C4E4C"/>
    <w:rsid w:val="34563CEC"/>
    <w:rsid w:val="347907F4"/>
    <w:rsid w:val="347B142B"/>
    <w:rsid w:val="347D7562"/>
    <w:rsid w:val="347F4C87"/>
    <w:rsid w:val="348A1163"/>
    <w:rsid w:val="34AE0818"/>
    <w:rsid w:val="34AF2977"/>
    <w:rsid w:val="34B95B62"/>
    <w:rsid w:val="34C12E62"/>
    <w:rsid w:val="34D4418C"/>
    <w:rsid w:val="34E017EF"/>
    <w:rsid w:val="34E7065F"/>
    <w:rsid w:val="34FB6C49"/>
    <w:rsid w:val="35066A3B"/>
    <w:rsid w:val="350B22A4"/>
    <w:rsid w:val="350B5E00"/>
    <w:rsid w:val="350E3B42"/>
    <w:rsid w:val="35300A8B"/>
    <w:rsid w:val="353F2372"/>
    <w:rsid w:val="357723F2"/>
    <w:rsid w:val="35A3428A"/>
    <w:rsid w:val="35A62037"/>
    <w:rsid w:val="35A72369"/>
    <w:rsid w:val="35B3495D"/>
    <w:rsid w:val="35B359C0"/>
    <w:rsid w:val="35BF449B"/>
    <w:rsid w:val="35C17F8A"/>
    <w:rsid w:val="35C76FE0"/>
    <w:rsid w:val="35CF507F"/>
    <w:rsid w:val="35D2004D"/>
    <w:rsid w:val="35EF5B31"/>
    <w:rsid w:val="35F5AF5D"/>
    <w:rsid w:val="35FBC845"/>
    <w:rsid w:val="35FD60FF"/>
    <w:rsid w:val="36025094"/>
    <w:rsid w:val="360303BF"/>
    <w:rsid w:val="360C05BC"/>
    <w:rsid w:val="361418A2"/>
    <w:rsid w:val="361C403D"/>
    <w:rsid w:val="36227C9F"/>
    <w:rsid w:val="363A0BF9"/>
    <w:rsid w:val="364953DA"/>
    <w:rsid w:val="365F3078"/>
    <w:rsid w:val="36633A19"/>
    <w:rsid w:val="367B3D87"/>
    <w:rsid w:val="367D7167"/>
    <w:rsid w:val="367DDC35"/>
    <w:rsid w:val="367F11FA"/>
    <w:rsid w:val="368516AB"/>
    <w:rsid w:val="368E248F"/>
    <w:rsid w:val="369562F3"/>
    <w:rsid w:val="36B81FB7"/>
    <w:rsid w:val="36BF0388"/>
    <w:rsid w:val="36BF9E69"/>
    <w:rsid w:val="36EF6D53"/>
    <w:rsid w:val="370A3651"/>
    <w:rsid w:val="371317B3"/>
    <w:rsid w:val="373DDDA3"/>
    <w:rsid w:val="37417C74"/>
    <w:rsid w:val="374BE5A3"/>
    <w:rsid w:val="374D1306"/>
    <w:rsid w:val="374DB9D0"/>
    <w:rsid w:val="375B512E"/>
    <w:rsid w:val="376D1D07"/>
    <w:rsid w:val="3778621B"/>
    <w:rsid w:val="377FA5A6"/>
    <w:rsid w:val="379876F3"/>
    <w:rsid w:val="379A74B9"/>
    <w:rsid w:val="37A05205"/>
    <w:rsid w:val="37BB7CF6"/>
    <w:rsid w:val="37C0268B"/>
    <w:rsid w:val="37CF39CA"/>
    <w:rsid w:val="37D17296"/>
    <w:rsid w:val="37D76F6C"/>
    <w:rsid w:val="37DB6AB9"/>
    <w:rsid w:val="37DD5860"/>
    <w:rsid w:val="37E9EE1B"/>
    <w:rsid w:val="37ED1E46"/>
    <w:rsid w:val="37EF82B8"/>
    <w:rsid w:val="37F00FD4"/>
    <w:rsid w:val="37F35D21"/>
    <w:rsid w:val="37FCC55C"/>
    <w:rsid w:val="37FDC568"/>
    <w:rsid w:val="37FF0EED"/>
    <w:rsid w:val="38327B47"/>
    <w:rsid w:val="383576EA"/>
    <w:rsid w:val="383A3FFC"/>
    <w:rsid w:val="38446D79"/>
    <w:rsid w:val="38471845"/>
    <w:rsid w:val="384E7C11"/>
    <w:rsid w:val="385F68CE"/>
    <w:rsid w:val="387A583E"/>
    <w:rsid w:val="387E4B3B"/>
    <w:rsid w:val="389B465E"/>
    <w:rsid w:val="38A00833"/>
    <w:rsid w:val="38A86A29"/>
    <w:rsid w:val="38BF3A85"/>
    <w:rsid w:val="38C06F01"/>
    <w:rsid w:val="38C20ECB"/>
    <w:rsid w:val="38C5366B"/>
    <w:rsid w:val="38C63A29"/>
    <w:rsid w:val="38E86319"/>
    <w:rsid w:val="38FF2A9F"/>
    <w:rsid w:val="390469A8"/>
    <w:rsid w:val="3917772D"/>
    <w:rsid w:val="392576AC"/>
    <w:rsid w:val="392B0F47"/>
    <w:rsid w:val="393F1557"/>
    <w:rsid w:val="393F42CA"/>
    <w:rsid w:val="396A5D10"/>
    <w:rsid w:val="3974645A"/>
    <w:rsid w:val="397FF1E1"/>
    <w:rsid w:val="39846181"/>
    <w:rsid w:val="398C6304"/>
    <w:rsid w:val="39936DAD"/>
    <w:rsid w:val="39AD45D1"/>
    <w:rsid w:val="39BB3678"/>
    <w:rsid w:val="39BC7F13"/>
    <w:rsid w:val="39C033C3"/>
    <w:rsid w:val="39CE1AF2"/>
    <w:rsid w:val="39E17663"/>
    <w:rsid w:val="39E775D4"/>
    <w:rsid w:val="39ED11E2"/>
    <w:rsid w:val="39EDAA43"/>
    <w:rsid w:val="39EE7A9E"/>
    <w:rsid w:val="39F350B4"/>
    <w:rsid w:val="3A323E2F"/>
    <w:rsid w:val="3A3A7021"/>
    <w:rsid w:val="3A4060DF"/>
    <w:rsid w:val="3A4C56D1"/>
    <w:rsid w:val="3A4F49E1"/>
    <w:rsid w:val="3A50005F"/>
    <w:rsid w:val="3A54296F"/>
    <w:rsid w:val="3A6366DE"/>
    <w:rsid w:val="3A9A0395"/>
    <w:rsid w:val="3AB03049"/>
    <w:rsid w:val="3ABFED9E"/>
    <w:rsid w:val="3ADB297E"/>
    <w:rsid w:val="3ADF1D2C"/>
    <w:rsid w:val="3AE8050A"/>
    <w:rsid w:val="3AF826E2"/>
    <w:rsid w:val="3B1772FC"/>
    <w:rsid w:val="3B2E4C9B"/>
    <w:rsid w:val="3B334302"/>
    <w:rsid w:val="3B3731A4"/>
    <w:rsid w:val="3B3A6D66"/>
    <w:rsid w:val="3B440E49"/>
    <w:rsid w:val="3B464036"/>
    <w:rsid w:val="3B556755"/>
    <w:rsid w:val="3B5F602A"/>
    <w:rsid w:val="3B6F9D45"/>
    <w:rsid w:val="3B8D091C"/>
    <w:rsid w:val="3B9052B1"/>
    <w:rsid w:val="3BA66882"/>
    <w:rsid w:val="3BA9AAAC"/>
    <w:rsid w:val="3BAF30D6"/>
    <w:rsid w:val="3BB69542"/>
    <w:rsid w:val="3BBE5E4D"/>
    <w:rsid w:val="3BC44F5A"/>
    <w:rsid w:val="3BC63B7F"/>
    <w:rsid w:val="3BD74CA2"/>
    <w:rsid w:val="3BD86C58"/>
    <w:rsid w:val="3BD8B611"/>
    <w:rsid w:val="3BE51B6A"/>
    <w:rsid w:val="3BEDAD66"/>
    <w:rsid w:val="3BEE9BC7"/>
    <w:rsid w:val="3BFF839E"/>
    <w:rsid w:val="3BFFF1B3"/>
    <w:rsid w:val="3C0666B2"/>
    <w:rsid w:val="3C0D6901"/>
    <w:rsid w:val="3C100BA6"/>
    <w:rsid w:val="3C1E0B0E"/>
    <w:rsid w:val="3C2B4FD9"/>
    <w:rsid w:val="3C352D8E"/>
    <w:rsid w:val="3C613A24"/>
    <w:rsid w:val="3C6504EB"/>
    <w:rsid w:val="3C655CD1"/>
    <w:rsid w:val="3C9078FD"/>
    <w:rsid w:val="3C9A5CBB"/>
    <w:rsid w:val="3C9A71F9"/>
    <w:rsid w:val="3CA95C03"/>
    <w:rsid w:val="3CAC611A"/>
    <w:rsid w:val="3CAF5C0A"/>
    <w:rsid w:val="3CB44F98"/>
    <w:rsid w:val="3CB9031A"/>
    <w:rsid w:val="3CD80DF1"/>
    <w:rsid w:val="3CE8111C"/>
    <w:rsid w:val="3CE9F484"/>
    <w:rsid w:val="3CEDE268"/>
    <w:rsid w:val="3CF25AF7"/>
    <w:rsid w:val="3D0746DB"/>
    <w:rsid w:val="3D0A4BEF"/>
    <w:rsid w:val="3D110E22"/>
    <w:rsid w:val="3D2FCB5C"/>
    <w:rsid w:val="3D3103CE"/>
    <w:rsid w:val="3D37218E"/>
    <w:rsid w:val="3D3A5969"/>
    <w:rsid w:val="3D5A0CCE"/>
    <w:rsid w:val="3D605157"/>
    <w:rsid w:val="3D6A98AB"/>
    <w:rsid w:val="3D7103B4"/>
    <w:rsid w:val="3D7D5A70"/>
    <w:rsid w:val="3D840E45"/>
    <w:rsid w:val="3D867B10"/>
    <w:rsid w:val="3D8E62A8"/>
    <w:rsid w:val="3DA7347D"/>
    <w:rsid w:val="3DB321C8"/>
    <w:rsid w:val="3DB51B25"/>
    <w:rsid w:val="3DC76DD6"/>
    <w:rsid w:val="3DCD531B"/>
    <w:rsid w:val="3DD9003B"/>
    <w:rsid w:val="3DDD4A74"/>
    <w:rsid w:val="3DDF22C7"/>
    <w:rsid w:val="3DDF2E3B"/>
    <w:rsid w:val="3DDF50AF"/>
    <w:rsid w:val="3DDF69AE"/>
    <w:rsid w:val="3DEB5DED"/>
    <w:rsid w:val="3DEC8171"/>
    <w:rsid w:val="3DEF80AE"/>
    <w:rsid w:val="3DF58939"/>
    <w:rsid w:val="3DFA47F9"/>
    <w:rsid w:val="3DFB4D1F"/>
    <w:rsid w:val="3DFFADEF"/>
    <w:rsid w:val="3DFFBD80"/>
    <w:rsid w:val="3DFFEB88"/>
    <w:rsid w:val="3DFFF37F"/>
    <w:rsid w:val="3E0D1600"/>
    <w:rsid w:val="3E1C651F"/>
    <w:rsid w:val="3E2148E6"/>
    <w:rsid w:val="3E296A77"/>
    <w:rsid w:val="3E2A640E"/>
    <w:rsid w:val="3E38BFDC"/>
    <w:rsid w:val="3E4649FE"/>
    <w:rsid w:val="3E4A5080"/>
    <w:rsid w:val="3E5B5C82"/>
    <w:rsid w:val="3E5C53BF"/>
    <w:rsid w:val="3E5E1696"/>
    <w:rsid w:val="3E5EDE15"/>
    <w:rsid w:val="3E7F9D29"/>
    <w:rsid w:val="3E810BCD"/>
    <w:rsid w:val="3E885CEB"/>
    <w:rsid w:val="3E950E30"/>
    <w:rsid w:val="3E965664"/>
    <w:rsid w:val="3EA13FCD"/>
    <w:rsid w:val="3EB05890"/>
    <w:rsid w:val="3EB33C6D"/>
    <w:rsid w:val="3EB42B35"/>
    <w:rsid w:val="3EB7375B"/>
    <w:rsid w:val="3EBD2B0C"/>
    <w:rsid w:val="3EBF6624"/>
    <w:rsid w:val="3EDC25BB"/>
    <w:rsid w:val="3EDC26F2"/>
    <w:rsid w:val="3EDE4585"/>
    <w:rsid w:val="3EE74145"/>
    <w:rsid w:val="3EE7F631"/>
    <w:rsid w:val="3EEF5D48"/>
    <w:rsid w:val="3EEFFD42"/>
    <w:rsid w:val="3EF075F6"/>
    <w:rsid w:val="3EF787EA"/>
    <w:rsid w:val="3EFC58C6"/>
    <w:rsid w:val="3EFE458D"/>
    <w:rsid w:val="3EFF668B"/>
    <w:rsid w:val="3F067E9E"/>
    <w:rsid w:val="3F071F0D"/>
    <w:rsid w:val="3F13B7A3"/>
    <w:rsid w:val="3F1D63BC"/>
    <w:rsid w:val="3F1E2BD3"/>
    <w:rsid w:val="3F277D3F"/>
    <w:rsid w:val="3F2FB009"/>
    <w:rsid w:val="3F3E478C"/>
    <w:rsid w:val="3F3E8C26"/>
    <w:rsid w:val="3F3F55D8"/>
    <w:rsid w:val="3F3FF5EF"/>
    <w:rsid w:val="3F5E7474"/>
    <w:rsid w:val="3F634A8A"/>
    <w:rsid w:val="3F737FFD"/>
    <w:rsid w:val="3F784F9D"/>
    <w:rsid w:val="3F7B5B9F"/>
    <w:rsid w:val="3F7BDE11"/>
    <w:rsid w:val="3F7E0008"/>
    <w:rsid w:val="3F7E53FD"/>
    <w:rsid w:val="3F7E6BCC"/>
    <w:rsid w:val="3F7F09DF"/>
    <w:rsid w:val="3F7F1E25"/>
    <w:rsid w:val="3F7FB2CA"/>
    <w:rsid w:val="3F7FDBC4"/>
    <w:rsid w:val="3F80388E"/>
    <w:rsid w:val="3F8A0269"/>
    <w:rsid w:val="3F8C1185"/>
    <w:rsid w:val="3F916667"/>
    <w:rsid w:val="3F9D1756"/>
    <w:rsid w:val="3FA550A3"/>
    <w:rsid w:val="3FA570E9"/>
    <w:rsid w:val="3FAFCF1F"/>
    <w:rsid w:val="3FB3CE41"/>
    <w:rsid w:val="3FB452E6"/>
    <w:rsid w:val="3FB4E5C2"/>
    <w:rsid w:val="3FB55CD6"/>
    <w:rsid w:val="3FBE8BD8"/>
    <w:rsid w:val="3FBF4BE3"/>
    <w:rsid w:val="3FBFAD34"/>
    <w:rsid w:val="3FC9219E"/>
    <w:rsid w:val="3FD519D5"/>
    <w:rsid w:val="3FD70CEB"/>
    <w:rsid w:val="3FDBDD88"/>
    <w:rsid w:val="3FDD223E"/>
    <w:rsid w:val="3FDFBCB9"/>
    <w:rsid w:val="3FDFDC77"/>
    <w:rsid w:val="3FE1D653"/>
    <w:rsid w:val="3FE848CB"/>
    <w:rsid w:val="3FEAF0A2"/>
    <w:rsid w:val="3FEBD7E9"/>
    <w:rsid w:val="3FEC644E"/>
    <w:rsid w:val="3FEF6382"/>
    <w:rsid w:val="3FF3F39A"/>
    <w:rsid w:val="3FF50614"/>
    <w:rsid w:val="3FF65532"/>
    <w:rsid w:val="3FFA9B2F"/>
    <w:rsid w:val="3FFAD8F6"/>
    <w:rsid w:val="3FFB3BF8"/>
    <w:rsid w:val="3FFB76EA"/>
    <w:rsid w:val="3FFBEF28"/>
    <w:rsid w:val="3FFBF331"/>
    <w:rsid w:val="3FFC0875"/>
    <w:rsid w:val="3FFC5273"/>
    <w:rsid w:val="3FFC5332"/>
    <w:rsid w:val="3FFD8C2E"/>
    <w:rsid w:val="3FFEA819"/>
    <w:rsid w:val="3FFFF84F"/>
    <w:rsid w:val="40077BE8"/>
    <w:rsid w:val="401F6C03"/>
    <w:rsid w:val="40291677"/>
    <w:rsid w:val="406805AA"/>
    <w:rsid w:val="407D29C3"/>
    <w:rsid w:val="408812A1"/>
    <w:rsid w:val="409C46F8"/>
    <w:rsid w:val="40BE48B9"/>
    <w:rsid w:val="40C53E29"/>
    <w:rsid w:val="40D246F5"/>
    <w:rsid w:val="40DD4172"/>
    <w:rsid w:val="40DE086C"/>
    <w:rsid w:val="410367FC"/>
    <w:rsid w:val="4105404B"/>
    <w:rsid w:val="4126745A"/>
    <w:rsid w:val="4145623B"/>
    <w:rsid w:val="414605D8"/>
    <w:rsid w:val="414E27DD"/>
    <w:rsid w:val="41617770"/>
    <w:rsid w:val="41681B3C"/>
    <w:rsid w:val="418D32C8"/>
    <w:rsid w:val="41A37D9D"/>
    <w:rsid w:val="41AF3FB7"/>
    <w:rsid w:val="41BA022B"/>
    <w:rsid w:val="41CE2CBF"/>
    <w:rsid w:val="41E409EC"/>
    <w:rsid w:val="41FDB119"/>
    <w:rsid w:val="42001671"/>
    <w:rsid w:val="42100A15"/>
    <w:rsid w:val="42187DAE"/>
    <w:rsid w:val="42677828"/>
    <w:rsid w:val="4275470F"/>
    <w:rsid w:val="4283791D"/>
    <w:rsid w:val="42957651"/>
    <w:rsid w:val="42E24574"/>
    <w:rsid w:val="42FC76D0"/>
    <w:rsid w:val="430A2F6B"/>
    <w:rsid w:val="433951B5"/>
    <w:rsid w:val="433C4414"/>
    <w:rsid w:val="4376196D"/>
    <w:rsid w:val="437B1F9B"/>
    <w:rsid w:val="43851473"/>
    <w:rsid w:val="4396043E"/>
    <w:rsid w:val="439F9C10"/>
    <w:rsid w:val="43AB3D16"/>
    <w:rsid w:val="43AD09C3"/>
    <w:rsid w:val="43CA280D"/>
    <w:rsid w:val="43DB616F"/>
    <w:rsid w:val="43E46BFC"/>
    <w:rsid w:val="43EF2D90"/>
    <w:rsid w:val="43EFFBC5"/>
    <w:rsid w:val="43F37E95"/>
    <w:rsid w:val="43F85E9E"/>
    <w:rsid w:val="440E5732"/>
    <w:rsid w:val="44150B50"/>
    <w:rsid w:val="44281AE8"/>
    <w:rsid w:val="4446233C"/>
    <w:rsid w:val="445157F9"/>
    <w:rsid w:val="44693CC3"/>
    <w:rsid w:val="44921D2E"/>
    <w:rsid w:val="44935E12"/>
    <w:rsid w:val="44996471"/>
    <w:rsid w:val="44AB079C"/>
    <w:rsid w:val="44B1627E"/>
    <w:rsid w:val="44B2044D"/>
    <w:rsid w:val="44B729D9"/>
    <w:rsid w:val="44BD69EB"/>
    <w:rsid w:val="44BD6C44"/>
    <w:rsid w:val="44DA499F"/>
    <w:rsid w:val="44E16B7D"/>
    <w:rsid w:val="44FB0400"/>
    <w:rsid w:val="44FC470A"/>
    <w:rsid w:val="452638D4"/>
    <w:rsid w:val="452D1DC2"/>
    <w:rsid w:val="453B3F40"/>
    <w:rsid w:val="4544329A"/>
    <w:rsid w:val="454C301F"/>
    <w:rsid w:val="456652D4"/>
    <w:rsid w:val="456927F9"/>
    <w:rsid w:val="456E4165"/>
    <w:rsid w:val="45893A19"/>
    <w:rsid w:val="45C1250B"/>
    <w:rsid w:val="45C435FA"/>
    <w:rsid w:val="45CD5F5B"/>
    <w:rsid w:val="45DD622C"/>
    <w:rsid w:val="45E2495B"/>
    <w:rsid w:val="45EF1E24"/>
    <w:rsid w:val="460A7953"/>
    <w:rsid w:val="461634B3"/>
    <w:rsid w:val="461A4898"/>
    <w:rsid w:val="461C2718"/>
    <w:rsid w:val="463F3290"/>
    <w:rsid w:val="46402B6E"/>
    <w:rsid w:val="46467C99"/>
    <w:rsid w:val="46480573"/>
    <w:rsid w:val="464A6980"/>
    <w:rsid w:val="464C60CC"/>
    <w:rsid w:val="46771813"/>
    <w:rsid w:val="468C2B19"/>
    <w:rsid w:val="469F45FA"/>
    <w:rsid w:val="46A55988"/>
    <w:rsid w:val="46A613B3"/>
    <w:rsid w:val="46AE01FC"/>
    <w:rsid w:val="46B82087"/>
    <w:rsid w:val="46BF4803"/>
    <w:rsid w:val="46CF66BA"/>
    <w:rsid w:val="46CF7057"/>
    <w:rsid w:val="46FA8FF4"/>
    <w:rsid w:val="47067DB5"/>
    <w:rsid w:val="470ED653"/>
    <w:rsid w:val="471A09B1"/>
    <w:rsid w:val="47275C7E"/>
    <w:rsid w:val="473B4DD9"/>
    <w:rsid w:val="473D779F"/>
    <w:rsid w:val="475E63F3"/>
    <w:rsid w:val="476F14B4"/>
    <w:rsid w:val="47727F60"/>
    <w:rsid w:val="47962FFF"/>
    <w:rsid w:val="479F062A"/>
    <w:rsid w:val="47B32045"/>
    <w:rsid w:val="47C747F6"/>
    <w:rsid w:val="47DC1EBB"/>
    <w:rsid w:val="47DC37AA"/>
    <w:rsid w:val="47DC6B96"/>
    <w:rsid w:val="47DE73A4"/>
    <w:rsid w:val="47FBC182"/>
    <w:rsid w:val="47FC0DB5"/>
    <w:rsid w:val="47FE9217"/>
    <w:rsid w:val="480B608A"/>
    <w:rsid w:val="48256293"/>
    <w:rsid w:val="48440B68"/>
    <w:rsid w:val="484E2664"/>
    <w:rsid w:val="48515DC8"/>
    <w:rsid w:val="485B6C46"/>
    <w:rsid w:val="485D6325"/>
    <w:rsid w:val="48733F90"/>
    <w:rsid w:val="487B3A98"/>
    <w:rsid w:val="488D5B16"/>
    <w:rsid w:val="48AC2FFE"/>
    <w:rsid w:val="48B459D5"/>
    <w:rsid w:val="48B77A66"/>
    <w:rsid w:val="48B93350"/>
    <w:rsid w:val="48C663A1"/>
    <w:rsid w:val="48CB3DCC"/>
    <w:rsid w:val="48F0738F"/>
    <w:rsid w:val="48F826E7"/>
    <w:rsid w:val="49016A3B"/>
    <w:rsid w:val="490A0BA2"/>
    <w:rsid w:val="490D18E7"/>
    <w:rsid w:val="4961203A"/>
    <w:rsid w:val="49625EC0"/>
    <w:rsid w:val="4969673B"/>
    <w:rsid w:val="497E0A8E"/>
    <w:rsid w:val="49903741"/>
    <w:rsid w:val="49BA5C57"/>
    <w:rsid w:val="49C23212"/>
    <w:rsid w:val="49C91E7D"/>
    <w:rsid w:val="49D40C88"/>
    <w:rsid w:val="49DA1A8D"/>
    <w:rsid w:val="49E74038"/>
    <w:rsid w:val="49EB0BD4"/>
    <w:rsid w:val="49F80027"/>
    <w:rsid w:val="49FD6207"/>
    <w:rsid w:val="49FE7552"/>
    <w:rsid w:val="49FF2393"/>
    <w:rsid w:val="4A0632D8"/>
    <w:rsid w:val="4A08001C"/>
    <w:rsid w:val="4A1B29F5"/>
    <w:rsid w:val="4A1C7B57"/>
    <w:rsid w:val="4A3E1813"/>
    <w:rsid w:val="4A615739"/>
    <w:rsid w:val="4A6F61FE"/>
    <w:rsid w:val="4A851990"/>
    <w:rsid w:val="4A873CC0"/>
    <w:rsid w:val="4A913556"/>
    <w:rsid w:val="4A9201C5"/>
    <w:rsid w:val="4A937FFF"/>
    <w:rsid w:val="4AB21DA9"/>
    <w:rsid w:val="4ABA47E8"/>
    <w:rsid w:val="4AC640C6"/>
    <w:rsid w:val="4ACA7D4A"/>
    <w:rsid w:val="4AD90B04"/>
    <w:rsid w:val="4AE27CEC"/>
    <w:rsid w:val="4AE7535B"/>
    <w:rsid w:val="4AE97DF8"/>
    <w:rsid w:val="4AEA6060"/>
    <w:rsid w:val="4AF072C6"/>
    <w:rsid w:val="4AFF886B"/>
    <w:rsid w:val="4B002700"/>
    <w:rsid w:val="4B06733D"/>
    <w:rsid w:val="4B0709C0"/>
    <w:rsid w:val="4B201A81"/>
    <w:rsid w:val="4B4320F8"/>
    <w:rsid w:val="4B576BE5"/>
    <w:rsid w:val="4B5C574C"/>
    <w:rsid w:val="4B5FC7B9"/>
    <w:rsid w:val="4B843F6C"/>
    <w:rsid w:val="4BA007F5"/>
    <w:rsid w:val="4BAF3531"/>
    <w:rsid w:val="4BC671C9"/>
    <w:rsid w:val="4BE04638"/>
    <w:rsid w:val="4BF638E9"/>
    <w:rsid w:val="4BFAA9D5"/>
    <w:rsid w:val="4BFBF96C"/>
    <w:rsid w:val="4BFCDA7D"/>
    <w:rsid w:val="4BFD1FF2"/>
    <w:rsid w:val="4BFFC6E1"/>
    <w:rsid w:val="4C067202"/>
    <w:rsid w:val="4C5D2DE6"/>
    <w:rsid w:val="4C613484"/>
    <w:rsid w:val="4C6D5B21"/>
    <w:rsid w:val="4CB30DFF"/>
    <w:rsid w:val="4CB701C3"/>
    <w:rsid w:val="4CBD7ED0"/>
    <w:rsid w:val="4CED4926"/>
    <w:rsid w:val="4CFCCBCA"/>
    <w:rsid w:val="4CFD53E1"/>
    <w:rsid w:val="4D002DB2"/>
    <w:rsid w:val="4D1063DD"/>
    <w:rsid w:val="4D19055E"/>
    <w:rsid w:val="4D2A239A"/>
    <w:rsid w:val="4D376F36"/>
    <w:rsid w:val="4D4E35F7"/>
    <w:rsid w:val="4D58654C"/>
    <w:rsid w:val="4D706BFF"/>
    <w:rsid w:val="4D72F2C4"/>
    <w:rsid w:val="4D7351CB"/>
    <w:rsid w:val="4D7A11C1"/>
    <w:rsid w:val="4DB373F7"/>
    <w:rsid w:val="4DB46AD0"/>
    <w:rsid w:val="4DEB6377"/>
    <w:rsid w:val="4E080D95"/>
    <w:rsid w:val="4E1458CD"/>
    <w:rsid w:val="4E1501AA"/>
    <w:rsid w:val="4E157897"/>
    <w:rsid w:val="4E320D8A"/>
    <w:rsid w:val="4E611424"/>
    <w:rsid w:val="4E683861"/>
    <w:rsid w:val="4E746617"/>
    <w:rsid w:val="4E8130D3"/>
    <w:rsid w:val="4E9110C1"/>
    <w:rsid w:val="4EA50C1B"/>
    <w:rsid w:val="4EA54AF9"/>
    <w:rsid w:val="4EAC3B24"/>
    <w:rsid w:val="4EAF3848"/>
    <w:rsid w:val="4EC5306C"/>
    <w:rsid w:val="4EC8400D"/>
    <w:rsid w:val="4EDD7044"/>
    <w:rsid w:val="4EE3FBC1"/>
    <w:rsid w:val="4EF23735"/>
    <w:rsid w:val="4EF902B0"/>
    <w:rsid w:val="4EFE032C"/>
    <w:rsid w:val="4F0F4779"/>
    <w:rsid w:val="4F174A8C"/>
    <w:rsid w:val="4F583D63"/>
    <w:rsid w:val="4F592503"/>
    <w:rsid w:val="4F6F8B0A"/>
    <w:rsid w:val="4F7BF45A"/>
    <w:rsid w:val="4F7F4E05"/>
    <w:rsid w:val="4F8DC100"/>
    <w:rsid w:val="4F8E7901"/>
    <w:rsid w:val="4F907CED"/>
    <w:rsid w:val="4F912F4E"/>
    <w:rsid w:val="4F9B5FBB"/>
    <w:rsid w:val="4FB27574"/>
    <w:rsid w:val="4FBBB80F"/>
    <w:rsid w:val="4FCB6460"/>
    <w:rsid w:val="4FCE41A2"/>
    <w:rsid w:val="4FDC42F4"/>
    <w:rsid w:val="4FDE63EF"/>
    <w:rsid w:val="4FDFB1A7"/>
    <w:rsid w:val="4FDFCE49"/>
    <w:rsid w:val="4FE421CD"/>
    <w:rsid w:val="4FEF6ED4"/>
    <w:rsid w:val="4FEFFD84"/>
    <w:rsid w:val="4FF3573E"/>
    <w:rsid w:val="4FF7A287"/>
    <w:rsid w:val="4FFE5F94"/>
    <w:rsid w:val="4FFE883B"/>
    <w:rsid w:val="4FFF93C3"/>
    <w:rsid w:val="5028222A"/>
    <w:rsid w:val="50302767"/>
    <w:rsid w:val="503400B6"/>
    <w:rsid w:val="503B1779"/>
    <w:rsid w:val="503C110B"/>
    <w:rsid w:val="503C1161"/>
    <w:rsid w:val="504D3625"/>
    <w:rsid w:val="50533412"/>
    <w:rsid w:val="50746AF7"/>
    <w:rsid w:val="507A47DF"/>
    <w:rsid w:val="508023F2"/>
    <w:rsid w:val="508551C2"/>
    <w:rsid w:val="509F550A"/>
    <w:rsid w:val="50A54F03"/>
    <w:rsid w:val="50AA076B"/>
    <w:rsid w:val="50AA0EDA"/>
    <w:rsid w:val="50B0012E"/>
    <w:rsid w:val="50B54CA8"/>
    <w:rsid w:val="50FA2A4B"/>
    <w:rsid w:val="50FA2A73"/>
    <w:rsid w:val="51070D17"/>
    <w:rsid w:val="510C4F82"/>
    <w:rsid w:val="513421C6"/>
    <w:rsid w:val="51404D2B"/>
    <w:rsid w:val="51486741"/>
    <w:rsid w:val="51501CA0"/>
    <w:rsid w:val="516172EA"/>
    <w:rsid w:val="51A463DC"/>
    <w:rsid w:val="51CD2D07"/>
    <w:rsid w:val="51DAA665"/>
    <w:rsid w:val="51EACAB0"/>
    <w:rsid w:val="51FF3550"/>
    <w:rsid w:val="51FFD316"/>
    <w:rsid w:val="52087684"/>
    <w:rsid w:val="52224DD1"/>
    <w:rsid w:val="523C056E"/>
    <w:rsid w:val="523C29F9"/>
    <w:rsid w:val="52687CEA"/>
    <w:rsid w:val="528B1ED6"/>
    <w:rsid w:val="529062EC"/>
    <w:rsid w:val="529B2DD1"/>
    <w:rsid w:val="52A336C4"/>
    <w:rsid w:val="52AA2EB5"/>
    <w:rsid w:val="52B4142D"/>
    <w:rsid w:val="52EAC045"/>
    <w:rsid w:val="52F061DD"/>
    <w:rsid w:val="531B048E"/>
    <w:rsid w:val="532F31A9"/>
    <w:rsid w:val="53364BCC"/>
    <w:rsid w:val="53541258"/>
    <w:rsid w:val="535722C9"/>
    <w:rsid w:val="535F7F53"/>
    <w:rsid w:val="536D0486"/>
    <w:rsid w:val="537961D3"/>
    <w:rsid w:val="537B3EED"/>
    <w:rsid w:val="538452A3"/>
    <w:rsid w:val="539646E0"/>
    <w:rsid w:val="539955AD"/>
    <w:rsid w:val="539E2FE8"/>
    <w:rsid w:val="53A00F43"/>
    <w:rsid w:val="53AC56B8"/>
    <w:rsid w:val="53B95B6D"/>
    <w:rsid w:val="53BB71CF"/>
    <w:rsid w:val="53BD20B9"/>
    <w:rsid w:val="53BEBC76"/>
    <w:rsid w:val="53BF1070"/>
    <w:rsid w:val="53D97D2A"/>
    <w:rsid w:val="53DE4531"/>
    <w:rsid w:val="53EF1AB8"/>
    <w:rsid w:val="53F827A0"/>
    <w:rsid w:val="53FD3A8A"/>
    <w:rsid w:val="54307546"/>
    <w:rsid w:val="544607AB"/>
    <w:rsid w:val="544A318B"/>
    <w:rsid w:val="54600098"/>
    <w:rsid w:val="54612FF9"/>
    <w:rsid w:val="54773C97"/>
    <w:rsid w:val="547B6EC0"/>
    <w:rsid w:val="548D3EAE"/>
    <w:rsid w:val="54943068"/>
    <w:rsid w:val="549B74C0"/>
    <w:rsid w:val="54A454D1"/>
    <w:rsid w:val="54A54DC8"/>
    <w:rsid w:val="54A767DE"/>
    <w:rsid w:val="54AB6112"/>
    <w:rsid w:val="54AD44D0"/>
    <w:rsid w:val="54D966CD"/>
    <w:rsid w:val="54F468D8"/>
    <w:rsid w:val="550D12C8"/>
    <w:rsid w:val="55450A62"/>
    <w:rsid w:val="55453D13"/>
    <w:rsid w:val="554618F6"/>
    <w:rsid w:val="555271FC"/>
    <w:rsid w:val="555A0B35"/>
    <w:rsid w:val="55614055"/>
    <w:rsid w:val="556B43D4"/>
    <w:rsid w:val="55791150"/>
    <w:rsid w:val="557B26D6"/>
    <w:rsid w:val="55846B36"/>
    <w:rsid w:val="558B1CB3"/>
    <w:rsid w:val="558D1FE7"/>
    <w:rsid w:val="55AF2052"/>
    <w:rsid w:val="55B32574"/>
    <w:rsid w:val="55B94290"/>
    <w:rsid w:val="55C60E22"/>
    <w:rsid w:val="55D10265"/>
    <w:rsid w:val="55E93AE3"/>
    <w:rsid w:val="55EE10FA"/>
    <w:rsid w:val="55F123EA"/>
    <w:rsid w:val="55FD411B"/>
    <w:rsid w:val="55FDFFCD"/>
    <w:rsid w:val="55FF451C"/>
    <w:rsid w:val="560C6576"/>
    <w:rsid w:val="5619468E"/>
    <w:rsid w:val="561968C9"/>
    <w:rsid w:val="561F6B5A"/>
    <w:rsid w:val="56644B3C"/>
    <w:rsid w:val="56663CE0"/>
    <w:rsid w:val="5667B3E4"/>
    <w:rsid w:val="566A3EC6"/>
    <w:rsid w:val="567E2386"/>
    <w:rsid w:val="56847AE7"/>
    <w:rsid w:val="56A76843"/>
    <w:rsid w:val="56B0015D"/>
    <w:rsid w:val="56B22127"/>
    <w:rsid w:val="56B70327"/>
    <w:rsid w:val="56CE5FBC"/>
    <w:rsid w:val="56D26326"/>
    <w:rsid w:val="56DA3985"/>
    <w:rsid w:val="56EB24D4"/>
    <w:rsid w:val="57077A2B"/>
    <w:rsid w:val="570A547C"/>
    <w:rsid w:val="570C5D6D"/>
    <w:rsid w:val="571063AD"/>
    <w:rsid w:val="57167056"/>
    <w:rsid w:val="571682CB"/>
    <w:rsid w:val="57262EF2"/>
    <w:rsid w:val="57380ED0"/>
    <w:rsid w:val="573FB6FA"/>
    <w:rsid w:val="574216FD"/>
    <w:rsid w:val="575D64CC"/>
    <w:rsid w:val="5763403D"/>
    <w:rsid w:val="576F0018"/>
    <w:rsid w:val="576F1DC6"/>
    <w:rsid w:val="57743881"/>
    <w:rsid w:val="577924DD"/>
    <w:rsid w:val="577A75C3"/>
    <w:rsid w:val="577E025B"/>
    <w:rsid w:val="578A062C"/>
    <w:rsid w:val="579746E1"/>
    <w:rsid w:val="57975075"/>
    <w:rsid w:val="57A40D99"/>
    <w:rsid w:val="57B72FF4"/>
    <w:rsid w:val="57BB325E"/>
    <w:rsid w:val="57CE1850"/>
    <w:rsid w:val="57CF743D"/>
    <w:rsid w:val="57DF6DD5"/>
    <w:rsid w:val="57E02CC4"/>
    <w:rsid w:val="57E842D2"/>
    <w:rsid w:val="57EF3DAD"/>
    <w:rsid w:val="57EF72E8"/>
    <w:rsid w:val="57F367AC"/>
    <w:rsid w:val="57F74F7B"/>
    <w:rsid w:val="57F77429"/>
    <w:rsid w:val="57FC598D"/>
    <w:rsid w:val="57FF10D2"/>
    <w:rsid w:val="57FF1E68"/>
    <w:rsid w:val="57FF8AF5"/>
    <w:rsid w:val="57FFEB31"/>
    <w:rsid w:val="57FFF3FF"/>
    <w:rsid w:val="581875C8"/>
    <w:rsid w:val="58250DC7"/>
    <w:rsid w:val="58277084"/>
    <w:rsid w:val="585C58B0"/>
    <w:rsid w:val="58605503"/>
    <w:rsid w:val="58747932"/>
    <w:rsid w:val="5877129C"/>
    <w:rsid w:val="58A15BF6"/>
    <w:rsid w:val="58C11948"/>
    <w:rsid w:val="58E00F03"/>
    <w:rsid w:val="58E16E01"/>
    <w:rsid w:val="58F5F697"/>
    <w:rsid w:val="59032BA2"/>
    <w:rsid w:val="59037F05"/>
    <w:rsid w:val="59097FF9"/>
    <w:rsid w:val="591043AD"/>
    <w:rsid w:val="591C41D0"/>
    <w:rsid w:val="591F4074"/>
    <w:rsid w:val="5924281B"/>
    <w:rsid w:val="59426249"/>
    <w:rsid w:val="59464DA9"/>
    <w:rsid w:val="594E2362"/>
    <w:rsid w:val="59587520"/>
    <w:rsid w:val="595A6A38"/>
    <w:rsid w:val="595FD031"/>
    <w:rsid w:val="597926C9"/>
    <w:rsid w:val="597E1ED1"/>
    <w:rsid w:val="597E4984"/>
    <w:rsid w:val="59802B07"/>
    <w:rsid w:val="5984098A"/>
    <w:rsid w:val="5996363A"/>
    <w:rsid w:val="599FFAE7"/>
    <w:rsid w:val="59BB8D36"/>
    <w:rsid w:val="59BD1015"/>
    <w:rsid w:val="59CC6ED7"/>
    <w:rsid w:val="59F10CF0"/>
    <w:rsid w:val="59F69BA3"/>
    <w:rsid w:val="59FF08EE"/>
    <w:rsid w:val="5A054982"/>
    <w:rsid w:val="5A1B4FF3"/>
    <w:rsid w:val="5A1D7A23"/>
    <w:rsid w:val="5A227012"/>
    <w:rsid w:val="5A2E0AB3"/>
    <w:rsid w:val="5A461F0B"/>
    <w:rsid w:val="5A547122"/>
    <w:rsid w:val="5A70032F"/>
    <w:rsid w:val="5A984DD1"/>
    <w:rsid w:val="5A998449"/>
    <w:rsid w:val="5A9C26D5"/>
    <w:rsid w:val="5A9C35AB"/>
    <w:rsid w:val="5AB9150E"/>
    <w:rsid w:val="5ABD4210"/>
    <w:rsid w:val="5ABE78FD"/>
    <w:rsid w:val="5ABF3B49"/>
    <w:rsid w:val="5AE14D89"/>
    <w:rsid w:val="5AE91FD9"/>
    <w:rsid w:val="5AEB5C8C"/>
    <w:rsid w:val="5AF15262"/>
    <w:rsid w:val="5AF656F7"/>
    <w:rsid w:val="5AFB4FD7"/>
    <w:rsid w:val="5B1E5FDD"/>
    <w:rsid w:val="5B2829B8"/>
    <w:rsid w:val="5B3752F1"/>
    <w:rsid w:val="5B3A26EB"/>
    <w:rsid w:val="5B486A9A"/>
    <w:rsid w:val="5B7F4848"/>
    <w:rsid w:val="5B905AAB"/>
    <w:rsid w:val="5B9E17DD"/>
    <w:rsid w:val="5BC07C83"/>
    <w:rsid w:val="5BC576D9"/>
    <w:rsid w:val="5BC73051"/>
    <w:rsid w:val="5BDF587F"/>
    <w:rsid w:val="5BEE59CA"/>
    <w:rsid w:val="5BEEDC86"/>
    <w:rsid w:val="5BEFF4C2"/>
    <w:rsid w:val="5BF3746A"/>
    <w:rsid w:val="5BF422B6"/>
    <w:rsid w:val="5BF840AA"/>
    <w:rsid w:val="5BF842B4"/>
    <w:rsid w:val="5BFB342B"/>
    <w:rsid w:val="5BFB3597"/>
    <w:rsid w:val="5BFB5C8C"/>
    <w:rsid w:val="5BFB8FCB"/>
    <w:rsid w:val="5BFBA970"/>
    <w:rsid w:val="5BFC4010"/>
    <w:rsid w:val="5BFD5FEF"/>
    <w:rsid w:val="5BFE0C7E"/>
    <w:rsid w:val="5BFEEA05"/>
    <w:rsid w:val="5BFF6E6A"/>
    <w:rsid w:val="5BFFA9F2"/>
    <w:rsid w:val="5C0056E3"/>
    <w:rsid w:val="5C05558B"/>
    <w:rsid w:val="5C4C7E91"/>
    <w:rsid w:val="5C731DC8"/>
    <w:rsid w:val="5C8B3048"/>
    <w:rsid w:val="5CAA564F"/>
    <w:rsid w:val="5CAF313F"/>
    <w:rsid w:val="5CBC4063"/>
    <w:rsid w:val="5CC00C5B"/>
    <w:rsid w:val="5CC6081A"/>
    <w:rsid w:val="5CD71FE6"/>
    <w:rsid w:val="5CDE5E81"/>
    <w:rsid w:val="5CDF691D"/>
    <w:rsid w:val="5CE00DF1"/>
    <w:rsid w:val="5CFF153D"/>
    <w:rsid w:val="5CFF4929"/>
    <w:rsid w:val="5D0000A8"/>
    <w:rsid w:val="5D012F32"/>
    <w:rsid w:val="5D1A4582"/>
    <w:rsid w:val="5D3E11E9"/>
    <w:rsid w:val="5D5B2019"/>
    <w:rsid w:val="5D650BBB"/>
    <w:rsid w:val="5D6F0D72"/>
    <w:rsid w:val="5D705070"/>
    <w:rsid w:val="5D857AC4"/>
    <w:rsid w:val="5D8E0DA2"/>
    <w:rsid w:val="5D9407D9"/>
    <w:rsid w:val="5DA80F61"/>
    <w:rsid w:val="5DAA683B"/>
    <w:rsid w:val="5DAF45E7"/>
    <w:rsid w:val="5DAFC408"/>
    <w:rsid w:val="5DB7EF4E"/>
    <w:rsid w:val="5DCEFBAE"/>
    <w:rsid w:val="5DD32121"/>
    <w:rsid w:val="5DD66D7C"/>
    <w:rsid w:val="5DD9FED9"/>
    <w:rsid w:val="5DDF7FC7"/>
    <w:rsid w:val="5DE22C40"/>
    <w:rsid w:val="5DE864F9"/>
    <w:rsid w:val="5DEF687E"/>
    <w:rsid w:val="5DF7423F"/>
    <w:rsid w:val="5DF87B95"/>
    <w:rsid w:val="5DFD1C2B"/>
    <w:rsid w:val="5DFF0898"/>
    <w:rsid w:val="5DFF63BA"/>
    <w:rsid w:val="5E0205E0"/>
    <w:rsid w:val="5E362CFB"/>
    <w:rsid w:val="5E3653EC"/>
    <w:rsid w:val="5E366553"/>
    <w:rsid w:val="5E3E53BE"/>
    <w:rsid w:val="5E52534D"/>
    <w:rsid w:val="5E5A37D0"/>
    <w:rsid w:val="5E5B54D8"/>
    <w:rsid w:val="5E6C6B92"/>
    <w:rsid w:val="5E7EE4CD"/>
    <w:rsid w:val="5E8F5F1F"/>
    <w:rsid w:val="5E9B5B97"/>
    <w:rsid w:val="5E9C71C5"/>
    <w:rsid w:val="5EAF2218"/>
    <w:rsid w:val="5ED3003D"/>
    <w:rsid w:val="5EDCCDD7"/>
    <w:rsid w:val="5EDF4C82"/>
    <w:rsid w:val="5EDF8EA5"/>
    <w:rsid w:val="5EE757C9"/>
    <w:rsid w:val="5EEAC1F3"/>
    <w:rsid w:val="5EEEB22F"/>
    <w:rsid w:val="5EF59879"/>
    <w:rsid w:val="5EF5B193"/>
    <w:rsid w:val="5EFB4350"/>
    <w:rsid w:val="5EFB6493"/>
    <w:rsid w:val="5EFDF16C"/>
    <w:rsid w:val="5EFF163E"/>
    <w:rsid w:val="5EFF6126"/>
    <w:rsid w:val="5F0963F9"/>
    <w:rsid w:val="5F0E4B4E"/>
    <w:rsid w:val="5F100333"/>
    <w:rsid w:val="5F217650"/>
    <w:rsid w:val="5F2F29DF"/>
    <w:rsid w:val="5F332DDB"/>
    <w:rsid w:val="5F390976"/>
    <w:rsid w:val="5F3F4E6F"/>
    <w:rsid w:val="5F4542A9"/>
    <w:rsid w:val="5F4C19F1"/>
    <w:rsid w:val="5F576B1E"/>
    <w:rsid w:val="5F64545E"/>
    <w:rsid w:val="5F693096"/>
    <w:rsid w:val="5F6B72AD"/>
    <w:rsid w:val="5F734876"/>
    <w:rsid w:val="5F7445AB"/>
    <w:rsid w:val="5F7CCB4C"/>
    <w:rsid w:val="5F7F40D0"/>
    <w:rsid w:val="5F8D54E0"/>
    <w:rsid w:val="5F95C94D"/>
    <w:rsid w:val="5F9C2193"/>
    <w:rsid w:val="5F9E28CE"/>
    <w:rsid w:val="5F9F5E2A"/>
    <w:rsid w:val="5F9FFDCE"/>
    <w:rsid w:val="5FA43E4A"/>
    <w:rsid w:val="5FA82319"/>
    <w:rsid w:val="5FAA1AAF"/>
    <w:rsid w:val="5FAE6571"/>
    <w:rsid w:val="5FAF81D3"/>
    <w:rsid w:val="5FB37464"/>
    <w:rsid w:val="5FB5CB06"/>
    <w:rsid w:val="5FB74D04"/>
    <w:rsid w:val="5FB7FC49"/>
    <w:rsid w:val="5FBBC5E0"/>
    <w:rsid w:val="5FBE192F"/>
    <w:rsid w:val="5FBFB602"/>
    <w:rsid w:val="5FCB016D"/>
    <w:rsid w:val="5FCD7FD2"/>
    <w:rsid w:val="5FCF01DD"/>
    <w:rsid w:val="5FD6524E"/>
    <w:rsid w:val="5FDBDFE9"/>
    <w:rsid w:val="5FDCEBCB"/>
    <w:rsid w:val="5FE4E89F"/>
    <w:rsid w:val="5FEA5A50"/>
    <w:rsid w:val="5FEC9D50"/>
    <w:rsid w:val="5FED0871"/>
    <w:rsid w:val="5FEE662E"/>
    <w:rsid w:val="5FEE757C"/>
    <w:rsid w:val="5FEF43DD"/>
    <w:rsid w:val="5FEFD4DA"/>
    <w:rsid w:val="5FF35785"/>
    <w:rsid w:val="5FFB587B"/>
    <w:rsid w:val="5FFB8BCC"/>
    <w:rsid w:val="5FFBD2A5"/>
    <w:rsid w:val="5FFCB86E"/>
    <w:rsid w:val="5FFCCFEF"/>
    <w:rsid w:val="5FFD6422"/>
    <w:rsid w:val="5FFE82FB"/>
    <w:rsid w:val="5FFF2132"/>
    <w:rsid w:val="5FFF2478"/>
    <w:rsid w:val="5FFF9391"/>
    <w:rsid w:val="5FFFE54C"/>
    <w:rsid w:val="600F4698"/>
    <w:rsid w:val="60135BFE"/>
    <w:rsid w:val="60165FF1"/>
    <w:rsid w:val="601878EC"/>
    <w:rsid w:val="6028345A"/>
    <w:rsid w:val="60285C26"/>
    <w:rsid w:val="60397415"/>
    <w:rsid w:val="6047408C"/>
    <w:rsid w:val="60740B2E"/>
    <w:rsid w:val="607C686C"/>
    <w:rsid w:val="6084265C"/>
    <w:rsid w:val="60953F01"/>
    <w:rsid w:val="60F046AA"/>
    <w:rsid w:val="6105633A"/>
    <w:rsid w:val="610F0A45"/>
    <w:rsid w:val="6138DC2D"/>
    <w:rsid w:val="613A318E"/>
    <w:rsid w:val="614B4A38"/>
    <w:rsid w:val="614C69AF"/>
    <w:rsid w:val="616724F7"/>
    <w:rsid w:val="61710B30"/>
    <w:rsid w:val="617E0347"/>
    <w:rsid w:val="61967070"/>
    <w:rsid w:val="61B70D3C"/>
    <w:rsid w:val="61B825BC"/>
    <w:rsid w:val="61C40F61"/>
    <w:rsid w:val="61C4682A"/>
    <w:rsid w:val="61CE21E5"/>
    <w:rsid w:val="61DE0274"/>
    <w:rsid w:val="61DFBCC9"/>
    <w:rsid w:val="61EE5FDE"/>
    <w:rsid w:val="61FE4BEB"/>
    <w:rsid w:val="62196C33"/>
    <w:rsid w:val="622720EB"/>
    <w:rsid w:val="622B5618"/>
    <w:rsid w:val="62525E65"/>
    <w:rsid w:val="625B1297"/>
    <w:rsid w:val="62726788"/>
    <w:rsid w:val="6279D7B6"/>
    <w:rsid w:val="62851D59"/>
    <w:rsid w:val="628B45D7"/>
    <w:rsid w:val="62B72874"/>
    <w:rsid w:val="62B925AC"/>
    <w:rsid w:val="62C52A98"/>
    <w:rsid w:val="62E80C7F"/>
    <w:rsid w:val="62FF990A"/>
    <w:rsid w:val="6302251B"/>
    <w:rsid w:val="632918EB"/>
    <w:rsid w:val="63342F97"/>
    <w:rsid w:val="63422A85"/>
    <w:rsid w:val="63470962"/>
    <w:rsid w:val="634A676B"/>
    <w:rsid w:val="634B4489"/>
    <w:rsid w:val="63723B7C"/>
    <w:rsid w:val="63736226"/>
    <w:rsid w:val="637609F6"/>
    <w:rsid w:val="63A63014"/>
    <w:rsid w:val="63AF1137"/>
    <w:rsid w:val="63BF135B"/>
    <w:rsid w:val="63D00937"/>
    <w:rsid w:val="63D14483"/>
    <w:rsid w:val="63D500F7"/>
    <w:rsid w:val="63DC1C35"/>
    <w:rsid w:val="63DD9D8B"/>
    <w:rsid w:val="63E40722"/>
    <w:rsid w:val="63E81C94"/>
    <w:rsid w:val="63F5426F"/>
    <w:rsid w:val="63F54745"/>
    <w:rsid w:val="63F72DA7"/>
    <w:rsid w:val="63F773BF"/>
    <w:rsid w:val="63FD37DE"/>
    <w:rsid w:val="63FF983E"/>
    <w:rsid w:val="63FFC7E8"/>
    <w:rsid w:val="64032214"/>
    <w:rsid w:val="64082020"/>
    <w:rsid w:val="6436347E"/>
    <w:rsid w:val="64385432"/>
    <w:rsid w:val="644736BC"/>
    <w:rsid w:val="64524F4A"/>
    <w:rsid w:val="6454419C"/>
    <w:rsid w:val="645E4E80"/>
    <w:rsid w:val="646D3B32"/>
    <w:rsid w:val="6475380F"/>
    <w:rsid w:val="64770C5F"/>
    <w:rsid w:val="648533CA"/>
    <w:rsid w:val="648C688A"/>
    <w:rsid w:val="648E7B3F"/>
    <w:rsid w:val="649CA633"/>
    <w:rsid w:val="64AC3537"/>
    <w:rsid w:val="64C4731D"/>
    <w:rsid w:val="64D23995"/>
    <w:rsid w:val="64D859D2"/>
    <w:rsid w:val="64E04A90"/>
    <w:rsid w:val="64EC4A56"/>
    <w:rsid w:val="64EE5841"/>
    <w:rsid w:val="64FEAA85"/>
    <w:rsid w:val="652A1A23"/>
    <w:rsid w:val="653943E1"/>
    <w:rsid w:val="65501442"/>
    <w:rsid w:val="656D5525"/>
    <w:rsid w:val="657B06EF"/>
    <w:rsid w:val="657DC244"/>
    <w:rsid w:val="65B3128D"/>
    <w:rsid w:val="65B31A18"/>
    <w:rsid w:val="65B36BB3"/>
    <w:rsid w:val="65BA6467"/>
    <w:rsid w:val="65C50665"/>
    <w:rsid w:val="65C76908"/>
    <w:rsid w:val="65C842CB"/>
    <w:rsid w:val="65C94D98"/>
    <w:rsid w:val="65CE23AE"/>
    <w:rsid w:val="65CE4DF4"/>
    <w:rsid w:val="65D5092F"/>
    <w:rsid w:val="65DFB4C6"/>
    <w:rsid w:val="65E14B73"/>
    <w:rsid w:val="65E15F77"/>
    <w:rsid w:val="65E66119"/>
    <w:rsid w:val="65F72507"/>
    <w:rsid w:val="65FB43C2"/>
    <w:rsid w:val="66001B35"/>
    <w:rsid w:val="660B4C8A"/>
    <w:rsid w:val="663074C7"/>
    <w:rsid w:val="66353FBE"/>
    <w:rsid w:val="6637E569"/>
    <w:rsid w:val="663E57AA"/>
    <w:rsid w:val="6675289A"/>
    <w:rsid w:val="66794A10"/>
    <w:rsid w:val="667FB0F4"/>
    <w:rsid w:val="667FE6B4"/>
    <w:rsid w:val="6683763C"/>
    <w:rsid w:val="66917FD9"/>
    <w:rsid w:val="66974E96"/>
    <w:rsid w:val="66B9504E"/>
    <w:rsid w:val="66BB6FFF"/>
    <w:rsid w:val="66BF2CEF"/>
    <w:rsid w:val="66C8504F"/>
    <w:rsid w:val="66CA22E9"/>
    <w:rsid w:val="66CC9847"/>
    <w:rsid w:val="66CD106E"/>
    <w:rsid w:val="66D210FB"/>
    <w:rsid w:val="66E12470"/>
    <w:rsid w:val="66E7830E"/>
    <w:rsid w:val="66EE0BF2"/>
    <w:rsid w:val="66EE8EAD"/>
    <w:rsid w:val="67010066"/>
    <w:rsid w:val="671C497D"/>
    <w:rsid w:val="671D3749"/>
    <w:rsid w:val="67242300"/>
    <w:rsid w:val="674848E9"/>
    <w:rsid w:val="674A63AC"/>
    <w:rsid w:val="675D6234"/>
    <w:rsid w:val="675D8979"/>
    <w:rsid w:val="67682E27"/>
    <w:rsid w:val="676A4358"/>
    <w:rsid w:val="677F2647"/>
    <w:rsid w:val="67A7C8F9"/>
    <w:rsid w:val="67AC741B"/>
    <w:rsid w:val="67AFA1DE"/>
    <w:rsid w:val="67B26DBE"/>
    <w:rsid w:val="67B6396A"/>
    <w:rsid w:val="67B65149"/>
    <w:rsid w:val="67BB759C"/>
    <w:rsid w:val="67CB3049"/>
    <w:rsid w:val="67CD37DA"/>
    <w:rsid w:val="67EE7ED5"/>
    <w:rsid w:val="67EFCA8D"/>
    <w:rsid w:val="67F78BFE"/>
    <w:rsid w:val="67FE22F6"/>
    <w:rsid w:val="67FFF2CC"/>
    <w:rsid w:val="680447AD"/>
    <w:rsid w:val="68120201"/>
    <w:rsid w:val="68251C6A"/>
    <w:rsid w:val="68336E40"/>
    <w:rsid w:val="684352D5"/>
    <w:rsid w:val="6849742C"/>
    <w:rsid w:val="685F6B11"/>
    <w:rsid w:val="687B2634"/>
    <w:rsid w:val="68B166E3"/>
    <w:rsid w:val="68BE1872"/>
    <w:rsid w:val="68BFAAA5"/>
    <w:rsid w:val="68C513CB"/>
    <w:rsid w:val="68CD0D3E"/>
    <w:rsid w:val="68D04014"/>
    <w:rsid w:val="68D8555E"/>
    <w:rsid w:val="68D91796"/>
    <w:rsid w:val="691D55AF"/>
    <w:rsid w:val="69232124"/>
    <w:rsid w:val="69270728"/>
    <w:rsid w:val="692A6524"/>
    <w:rsid w:val="693A1E76"/>
    <w:rsid w:val="694617D8"/>
    <w:rsid w:val="695A3EDC"/>
    <w:rsid w:val="6961209D"/>
    <w:rsid w:val="69655E7A"/>
    <w:rsid w:val="69670B4F"/>
    <w:rsid w:val="696C1B25"/>
    <w:rsid w:val="696D00E3"/>
    <w:rsid w:val="69790883"/>
    <w:rsid w:val="699F29DF"/>
    <w:rsid w:val="699F75F5"/>
    <w:rsid w:val="69B81D8B"/>
    <w:rsid w:val="69BA61B5"/>
    <w:rsid w:val="69BD10B7"/>
    <w:rsid w:val="69BD2E65"/>
    <w:rsid w:val="69C21525"/>
    <w:rsid w:val="69CE6191"/>
    <w:rsid w:val="69D34437"/>
    <w:rsid w:val="69D520AE"/>
    <w:rsid w:val="69D6AC4E"/>
    <w:rsid w:val="69D7FD86"/>
    <w:rsid w:val="69DEC831"/>
    <w:rsid w:val="69DF5EE5"/>
    <w:rsid w:val="69F3BBB5"/>
    <w:rsid w:val="69F3F068"/>
    <w:rsid w:val="69FC8612"/>
    <w:rsid w:val="69FF874B"/>
    <w:rsid w:val="69FF92A3"/>
    <w:rsid w:val="6A052FA0"/>
    <w:rsid w:val="6A083800"/>
    <w:rsid w:val="6A1707C7"/>
    <w:rsid w:val="6A257D16"/>
    <w:rsid w:val="6A291205"/>
    <w:rsid w:val="6A420834"/>
    <w:rsid w:val="6A461251"/>
    <w:rsid w:val="6A463D2C"/>
    <w:rsid w:val="6A535740"/>
    <w:rsid w:val="6A591CD2"/>
    <w:rsid w:val="6A6908F7"/>
    <w:rsid w:val="6A6F3544"/>
    <w:rsid w:val="6A791458"/>
    <w:rsid w:val="6A863B07"/>
    <w:rsid w:val="6A896F72"/>
    <w:rsid w:val="6A917F7C"/>
    <w:rsid w:val="6ABE6CA7"/>
    <w:rsid w:val="6ADA4648"/>
    <w:rsid w:val="6ADC2764"/>
    <w:rsid w:val="6AE3C01E"/>
    <w:rsid w:val="6AE9107E"/>
    <w:rsid w:val="6AE9569D"/>
    <w:rsid w:val="6AEC1C54"/>
    <w:rsid w:val="6AEF7BB7"/>
    <w:rsid w:val="6AF07079"/>
    <w:rsid w:val="6AF1726A"/>
    <w:rsid w:val="6AFC6AD6"/>
    <w:rsid w:val="6AFF7E2B"/>
    <w:rsid w:val="6AFFD252"/>
    <w:rsid w:val="6B2105A5"/>
    <w:rsid w:val="6B3A0067"/>
    <w:rsid w:val="6B3F6C95"/>
    <w:rsid w:val="6B4915B5"/>
    <w:rsid w:val="6B4D1FC7"/>
    <w:rsid w:val="6B56608D"/>
    <w:rsid w:val="6B7684F6"/>
    <w:rsid w:val="6B7AF4D5"/>
    <w:rsid w:val="6B91584F"/>
    <w:rsid w:val="6B9D0CCD"/>
    <w:rsid w:val="6B9DB148"/>
    <w:rsid w:val="6B9F7E04"/>
    <w:rsid w:val="6BB6C70E"/>
    <w:rsid w:val="6BB8240C"/>
    <w:rsid w:val="6BB84DEC"/>
    <w:rsid w:val="6BBF2EC5"/>
    <w:rsid w:val="6BDADEDB"/>
    <w:rsid w:val="6BE07E99"/>
    <w:rsid w:val="6BE40B7D"/>
    <w:rsid w:val="6BEB605C"/>
    <w:rsid w:val="6BEE2298"/>
    <w:rsid w:val="6BFB3C6A"/>
    <w:rsid w:val="6BFDAEF0"/>
    <w:rsid w:val="6BFFBF87"/>
    <w:rsid w:val="6C3B76F2"/>
    <w:rsid w:val="6C450EF0"/>
    <w:rsid w:val="6C457995"/>
    <w:rsid w:val="6C48777B"/>
    <w:rsid w:val="6C4C6608"/>
    <w:rsid w:val="6C4D41DC"/>
    <w:rsid w:val="6C6B0957"/>
    <w:rsid w:val="6C7C7008"/>
    <w:rsid w:val="6C8B0FF9"/>
    <w:rsid w:val="6C9003BD"/>
    <w:rsid w:val="6CA43E69"/>
    <w:rsid w:val="6CA5DD33"/>
    <w:rsid w:val="6CA71A09"/>
    <w:rsid w:val="6CAA2625"/>
    <w:rsid w:val="6CB04AD5"/>
    <w:rsid w:val="6CB33E70"/>
    <w:rsid w:val="6CB56076"/>
    <w:rsid w:val="6CC3531E"/>
    <w:rsid w:val="6CC4275D"/>
    <w:rsid w:val="6CC60C6F"/>
    <w:rsid w:val="6CC85DA9"/>
    <w:rsid w:val="6CD03518"/>
    <w:rsid w:val="6CDFFEEB"/>
    <w:rsid w:val="6CE781CA"/>
    <w:rsid w:val="6CEA1EDF"/>
    <w:rsid w:val="6CF5580F"/>
    <w:rsid w:val="6CFB0115"/>
    <w:rsid w:val="6CFC5A53"/>
    <w:rsid w:val="6D0A4613"/>
    <w:rsid w:val="6D0F7C1C"/>
    <w:rsid w:val="6D1B4804"/>
    <w:rsid w:val="6D21195D"/>
    <w:rsid w:val="6D285BB7"/>
    <w:rsid w:val="6D291C5E"/>
    <w:rsid w:val="6D376AB8"/>
    <w:rsid w:val="6D3C105A"/>
    <w:rsid w:val="6D3F3718"/>
    <w:rsid w:val="6D406899"/>
    <w:rsid w:val="6D4A2C62"/>
    <w:rsid w:val="6D66182D"/>
    <w:rsid w:val="6D6D7ABE"/>
    <w:rsid w:val="6D6FE5C7"/>
    <w:rsid w:val="6D7B5EEC"/>
    <w:rsid w:val="6D8C6CB5"/>
    <w:rsid w:val="6D970F5E"/>
    <w:rsid w:val="6DA6FEFB"/>
    <w:rsid w:val="6DA7746E"/>
    <w:rsid w:val="6DB706F2"/>
    <w:rsid w:val="6DB7E750"/>
    <w:rsid w:val="6DBECE7F"/>
    <w:rsid w:val="6DC3D8E8"/>
    <w:rsid w:val="6DD92BDE"/>
    <w:rsid w:val="6DDE8629"/>
    <w:rsid w:val="6DECB3E3"/>
    <w:rsid w:val="6DEE45A7"/>
    <w:rsid w:val="6DF16232"/>
    <w:rsid w:val="6DF7D96F"/>
    <w:rsid w:val="6DF95E46"/>
    <w:rsid w:val="6DFB18C5"/>
    <w:rsid w:val="6DFB7E27"/>
    <w:rsid w:val="6DFE6194"/>
    <w:rsid w:val="6DFF0642"/>
    <w:rsid w:val="6DFF1795"/>
    <w:rsid w:val="6DFF7F73"/>
    <w:rsid w:val="6E1B6935"/>
    <w:rsid w:val="6E1F40EF"/>
    <w:rsid w:val="6E331948"/>
    <w:rsid w:val="6E5E0A92"/>
    <w:rsid w:val="6E7E0862"/>
    <w:rsid w:val="6E7EF06F"/>
    <w:rsid w:val="6E852690"/>
    <w:rsid w:val="6E8E6D18"/>
    <w:rsid w:val="6E906E0C"/>
    <w:rsid w:val="6E967FFB"/>
    <w:rsid w:val="6EA35C22"/>
    <w:rsid w:val="6EBE5B7B"/>
    <w:rsid w:val="6EC466C2"/>
    <w:rsid w:val="6ED030A9"/>
    <w:rsid w:val="6ED0555D"/>
    <w:rsid w:val="6ED36C87"/>
    <w:rsid w:val="6ED81FD9"/>
    <w:rsid w:val="6ED959C6"/>
    <w:rsid w:val="6EDA0016"/>
    <w:rsid w:val="6EDBDDDE"/>
    <w:rsid w:val="6EDF5CA8"/>
    <w:rsid w:val="6EE5485B"/>
    <w:rsid w:val="6EF07839"/>
    <w:rsid w:val="6EF235B1"/>
    <w:rsid w:val="6EF7B59F"/>
    <w:rsid w:val="6EFA090D"/>
    <w:rsid w:val="6EFFFC27"/>
    <w:rsid w:val="6F012E7C"/>
    <w:rsid w:val="6F064FA0"/>
    <w:rsid w:val="6F0C4BB1"/>
    <w:rsid w:val="6F1F508D"/>
    <w:rsid w:val="6F24186A"/>
    <w:rsid w:val="6F2D03C8"/>
    <w:rsid w:val="6F2F54E3"/>
    <w:rsid w:val="6F357FF8"/>
    <w:rsid w:val="6F39D533"/>
    <w:rsid w:val="6F3D6063"/>
    <w:rsid w:val="6F3F6E5A"/>
    <w:rsid w:val="6F4B56C0"/>
    <w:rsid w:val="6F4B6292"/>
    <w:rsid w:val="6F596ED1"/>
    <w:rsid w:val="6F5FC79E"/>
    <w:rsid w:val="6F666A20"/>
    <w:rsid w:val="6F67378E"/>
    <w:rsid w:val="6F6E1984"/>
    <w:rsid w:val="6F733438"/>
    <w:rsid w:val="6F755123"/>
    <w:rsid w:val="6F763B0C"/>
    <w:rsid w:val="6F7D9290"/>
    <w:rsid w:val="6F7E6421"/>
    <w:rsid w:val="6F7E6F33"/>
    <w:rsid w:val="6F7EFA78"/>
    <w:rsid w:val="6F93A071"/>
    <w:rsid w:val="6F97D615"/>
    <w:rsid w:val="6F97E0A0"/>
    <w:rsid w:val="6F9D6521"/>
    <w:rsid w:val="6F9FFA7E"/>
    <w:rsid w:val="6FA229AA"/>
    <w:rsid w:val="6FAA873B"/>
    <w:rsid w:val="6FABBBFB"/>
    <w:rsid w:val="6FAF2683"/>
    <w:rsid w:val="6FB73410"/>
    <w:rsid w:val="6FB7424D"/>
    <w:rsid w:val="6FB7686E"/>
    <w:rsid w:val="6FBD4B5F"/>
    <w:rsid w:val="6FBD62BD"/>
    <w:rsid w:val="6FBE2D32"/>
    <w:rsid w:val="6FBF1D3E"/>
    <w:rsid w:val="6FC0545D"/>
    <w:rsid w:val="6FC61156"/>
    <w:rsid w:val="6FC7623B"/>
    <w:rsid w:val="6FC772D4"/>
    <w:rsid w:val="6FD505E9"/>
    <w:rsid w:val="6FD60103"/>
    <w:rsid w:val="6FD7269A"/>
    <w:rsid w:val="6FDD71A1"/>
    <w:rsid w:val="6FE24103"/>
    <w:rsid w:val="6FE690EE"/>
    <w:rsid w:val="6FEB740A"/>
    <w:rsid w:val="6FEFCC61"/>
    <w:rsid w:val="6FF52BCA"/>
    <w:rsid w:val="6FF6C684"/>
    <w:rsid w:val="6FF9011D"/>
    <w:rsid w:val="6FF9535E"/>
    <w:rsid w:val="6FFB3AFE"/>
    <w:rsid w:val="6FFB6E76"/>
    <w:rsid w:val="6FFF3600"/>
    <w:rsid w:val="6FFF62DE"/>
    <w:rsid w:val="6FFF70AC"/>
    <w:rsid w:val="6FFF8DF7"/>
    <w:rsid w:val="6FFFB55F"/>
    <w:rsid w:val="6FFFBE5A"/>
    <w:rsid w:val="6FFFD809"/>
    <w:rsid w:val="70221706"/>
    <w:rsid w:val="702E3FF6"/>
    <w:rsid w:val="70306D73"/>
    <w:rsid w:val="70692594"/>
    <w:rsid w:val="7073227F"/>
    <w:rsid w:val="7085085E"/>
    <w:rsid w:val="70901F84"/>
    <w:rsid w:val="70926DFA"/>
    <w:rsid w:val="709706B5"/>
    <w:rsid w:val="709D2496"/>
    <w:rsid w:val="70C74370"/>
    <w:rsid w:val="70D13314"/>
    <w:rsid w:val="70D22318"/>
    <w:rsid w:val="70E71F82"/>
    <w:rsid w:val="70E95588"/>
    <w:rsid w:val="70FB0F90"/>
    <w:rsid w:val="70FD1DED"/>
    <w:rsid w:val="711F4406"/>
    <w:rsid w:val="71242620"/>
    <w:rsid w:val="71301304"/>
    <w:rsid w:val="71306613"/>
    <w:rsid w:val="713C4FB8"/>
    <w:rsid w:val="71433B02"/>
    <w:rsid w:val="717D51A3"/>
    <w:rsid w:val="71AA0173"/>
    <w:rsid w:val="71AD4217"/>
    <w:rsid w:val="71C12CE4"/>
    <w:rsid w:val="71C9314D"/>
    <w:rsid w:val="71CF004C"/>
    <w:rsid w:val="71D3BF39"/>
    <w:rsid w:val="71D65BDC"/>
    <w:rsid w:val="71E84D08"/>
    <w:rsid w:val="71EA6A44"/>
    <w:rsid w:val="71EC253A"/>
    <w:rsid w:val="71EF4B02"/>
    <w:rsid w:val="71EF5ACC"/>
    <w:rsid w:val="71F02A85"/>
    <w:rsid w:val="71FF18BD"/>
    <w:rsid w:val="71FFF525"/>
    <w:rsid w:val="720C52BF"/>
    <w:rsid w:val="72165809"/>
    <w:rsid w:val="721E6704"/>
    <w:rsid w:val="72256ADE"/>
    <w:rsid w:val="7239E3C7"/>
    <w:rsid w:val="724C7C4B"/>
    <w:rsid w:val="72536115"/>
    <w:rsid w:val="725560EA"/>
    <w:rsid w:val="72776E1D"/>
    <w:rsid w:val="72920BA0"/>
    <w:rsid w:val="729A01E8"/>
    <w:rsid w:val="72C9287B"/>
    <w:rsid w:val="72CE1EB1"/>
    <w:rsid w:val="72DF209E"/>
    <w:rsid w:val="72EA3C3A"/>
    <w:rsid w:val="72F50D3E"/>
    <w:rsid w:val="72F524A8"/>
    <w:rsid w:val="72FF18B8"/>
    <w:rsid w:val="731B34AF"/>
    <w:rsid w:val="73267CCD"/>
    <w:rsid w:val="733267A4"/>
    <w:rsid w:val="733C759B"/>
    <w:rsid w:val="73552361"/>
    <w:rsid w:val="73555EBD"/>
    <w:rsid w:val="73577E87"/>
    <w:rsid w:val="735D2FC3"/>
    <w:rsid w:val="736C1141"/>
    <w:rsid w:val="7379401F"/>
    <w:rsid w:val="738A386D"/>
    <w:rsid w:val="73974727"/>
    <w:rsid w:val="739C8FD1"/>
    <w:rsid w:val="739F538A"/>
    <w:rsid w:val="73A527A7"/>
    <w:rsid w:val="73B52DFF"/>
    <w:rsid w:val="73C92407"/>
    <w:rsid w:val="73CF1F4E"/>
    <w:rsid w:val="73D276CD"/>
    <w:rsid w:val="73D749AB"/>
    <w:rsid w:val="73D77271"/>
    <w:rsid w:val="73D93250"/>
    <w:rsid w:val="73DB42F4"/>
    <w:rsid w:val="73DD260A"/>
    <w:rsid w:val="73DF31F3"/>
    <w:rsid w:val="73F301AC"/>
    <w:rsid w:val="73F43CE7"/>
    <w:rsid w:val="73FAFF87"/>
    <w:rsid w:val="73FB6617"/>
    <w:rsid w:val="73FB9438"/>
    <w:rsid w:val="73FD61ED"/>
    <w:rsid w:val="73FECB2D"/>
    <w:rsid w:val="73FF88CC"/>
    <w:rsid w:val="73FFFAC8"/>
    <w:rsid w:val="741322AD"/>
    <w:rsid w:val="7413415B"/>
    <w:rsid w:val="74243790"/>
    <w:rsid w:val="742576F4"/>
    <w:rsid w:val="7431692A"/>
    <w:rsid w:val="74387CB8"/>
    <w:rsid w:val="743F1D56"/>
    <w:rsid w:val="74440B21"/>
    <w:rsid w:val="744964F5"/>
    <w:rsid w:val="745A3314"/>
    <w:rsid w:val="747D1B6F"/>
    <w:rsid w:val="748A60FB"/>
    <w:rsid w:val="748E3AAD"/>
    <w:rsid w:val="74911176"/>
    <w:rsid w:val="749B17E6"/>
    <w:rsid w:val="749C0C4A"/>
    <w:rsid w:val="74AF3B68"/>
    <w:rsid w:val="74B22B0A"/>
    <w:rsid w:val="74B4020F"/>
    <w:rsid w:val="74D996C1"/>
    <w:rsid w:val="74E46B7B"/>
    <w:rsid w:val="74E66F97"/>
    <w:rsid w:val="74EF9BEE"/>
    <w:rsid w:val="74F47DEE"/>
    <w:rsid w:val="74F5C14B"/>
    <w:rsid w:val="74F86833"/>
    <w:rsid w:val="74FEB3E8"/>
    <w:rsid w:val="75111351"/>
    <w:rsid w:val="75114972"/>
    <w:rsid w:val="753D2178"/>
    <w:rsid w:val="75410573"/>
    <w:rsid w:val="7547C49A"/>
    <w:rsid w:val="754825D6"/>
    <w:rsid w:val="75647B92"/>
    <w:rsid w:val="7568637B"/>
    <w:rsid w:val="75736ACE"/>
    <w:rsid w:val="757714F1"/>
    <w:rsid w:val="757DCD54"/>
    <w:rsid w:val="7595577C"/>
    <w:rsid w:val="759727BC"/>
    <w:rsid w:val="75AF2645"/>
    <w:rsid w:val="75B42149"/>
    <w:rsid w:val="75BC1506"/>
    <w:rsid w:val="75CE55D0"/>
    <w:rsid w:val="75D35E9F"/>
    <w:rsid w:val="75D5BA81"/>
    <w:rsid w:val="75D7793E"/>
    <w:rsid w:val="75DD8D53"/>
    <w:rsid w:val="75DFD6E5"/>
    <w:rsid w:val="75E832AF"/>
    <w:rsid w:val="75F6664F"/>
    <w:rsid w:val="75F92A3D"/>
    <w:rsid w:val="75FAD7E6"/>
    <w:rsid w:val="75FB350E"/>
    <w:rsid w:val="75FDE7F7"/>
    <w:rsid w:val="75FE4AB7"/>
    <w:rsid w:val="75FEF3EB"/>
    <w:rsid w:val="75FFDF2A"/>
    <w:rsid w:val="760E5962"/>
    <w:rsid w:val="761F0FF0"/>
    <w:rsid w:val="76307741"/>
    <w:rsid w:val="763F09E6"/>
    <w:rsid w:val="76426BCC"/>
    <w:rsid w:val="76467477"/>
    <w:rsid w:val="764EF18B"/>
    <w:rsid w:val="76511BC9"/>
    <w:rsid w:val="76524935"/>
    <w:rsid w:val="765479F2"/>
    <w:rsid w:val="765D039E"/>
    <w:rsid w:val="766043C2"/>
    <w:rsid w:val="76726D86"/>
    <w:rsid w:val="767B6EA0"/>
    <w:rsid w:val="769C2536"/>
    <w:rsid w:val="769D90EE"/>
    <w:rsid w:val="76A10A5E"/>
    <w:rsid w:val="76A814A3"/>
    <w:rsid w:val="76AF14CB"/>
    <w:rsid w:val="76B723A2"/>
    <w:rsid w:val="76BF7E23"/>
    <w:rsid w:val="76C43A85"/>
    <w:rsid w:val="76C683C6"/>
    <w:rsid w:val="76CE66B2"/>
    <w:rsid w:val="76D9BB09"/>
    <w:rsid w:val="76DC25E8"/>
    <w:rsid w:val="76DC277B"/>
    <w:rsid w:val="76DD5674"/>
    <w:rsid w:val="76E36454"/>
    <w:rsid w:val="76E47C83"/>
    <w:rsid w:val="76E71522"/>
    <w:rsid w:val="76EA6BA6"/>
    <w:rsid w:val="76EC4D8A"/>
    <w:rsid w:val="76EE7915"/>
    <w:rsid w:val="76EFA56C"/>
    <w:rsid w:val="76EFC91A"/>
    <w:rsid w:val="76F307BA"/>
    <w:rsid w:val="76F91BE4"/>
    <w:rsid w:val="76FB1051"/>
    <w:rsid w:val="76FBD80D"/>
    <w:rsid w:val="76FDC55B"/>
    <w:rsid w:val="76FFBF68"/>
    <w:rsid w:val="76FFD2FF"/>
    <w:rsid w:val="77251601"/>
    <w:rsid w:val="7739B7C5"/>
    <w:rsid w:val="773F6EF8"/>
    <w:rsid w:val="77493C16"/>
    <w:rsid w:val="77666DBF"/>
    <w:rsid w:val="77676631"/>
    <w:rsid w:val="7767B5C4"/>
    <w:rsid w:val="776A134A"/>
    <w:rsid w:val="7771C35A"/>
    <w:rsid w:val="77720A93"/>
    <w:rsid w:val="77723841"/>
    <w:rsid w:val="7775A055"/>
    <w:rsid w:val="7775A623"/>
    <w:rsid w:val="7777D945"/>
    <w:rsid w:val="777B7FDD"/>
    <w:rsid w:val="777F0D3C"/>
    <w:rsid w:val="777FC6F6"/>
    <w:rsid w:val="77811976"/>
    <w:rsid w:val="7785437F"/>
    <w:rsid w:val="77B6E115"/>
    <w:rsid w:val="77B7699E"/>
    <w:rsid w:val="77BA0C63"/>
    <w:rsid w:val="77BD2CDF"/>
    <w:rsid w:val="77C27899"/>
    <w:rsid w:val="77CF3FAF"/>
    <w:rsid w:val="77CF650E"/>
    <w:rsid w:val="77DADF59"/>
    <w:rsid w:val="77DAECB3"/>
    <w:rsid w:val="77DB72D8"/>
    <w:rsid w:val="77DD704B"/>
    <w:rsid w:val="77DD91C6"/>
    <w:rsid w:val="77E43CB3"/>
    <w:rsid w:val="77E676C8"/>
    <w:rsid w:val="77EEA410"/>
    <w:rsid w:val="77EED393"/>
    <w:rsid w:val="77EF4444"/>
    <w:rsid w:val="77EFA147"/>
    <w:rsid w:val="77F11C83"/>
    <w:rsid w:val="77F70953"/>
    <w:rsid w:val="77F9666C"/>
    <w:rsid w:val="77F9B7DD"/>
    <w:rsid w:val="77FC208A"/>
    <w:rsid w:val="77FD5ADD"/>
    <w:rsid w:val="77FF4FE5"/>
    <w:rsid w:val="77FF71B4"/>
    <w:rsid w:val="77FF99DC"/>
    <w:rsid w:val="77FFC03D"/>
    <w:rsid w:val="78153E6C"/>
    <w:rsid w:val="78222A51"/>
    <w:rsid w:val="78244A5D"/>
    <w:rsid w:val="782C0014"/>
    <w:rsid w:val="782E3942"/>
    <w:rsid w:val="78306EF8"/>
    <w:rsid w:val="784062AB"/>
    <w:rsid w:val="78552663"/>
    <w:rsid w:val="78642CBF"/>
    <w:rsid w:val="78700B0A"/>
    <w:rsid w:val="78713799"/>
    <w:rsid w:val="78763ED1"/>
    <w:rsid w:val="7877314B"/>
    <w:rsid w:val="78793D6A"/>
    <w:rsid w:val="787A6483"/>
    <w:rsid w:val="787D2E84"/>
    <w:rsid w:val="787E6FB9"/>
    <w:rsid w:val="789016B8"/>
    <w:rsid w:val="78B8D4DE"/>
    <w:rsid w:val="78BD2AAF"/>
    <w:rsid w:val="78EDD339"/>
    <w:rsid w:val="78EF290F"/>
    <w:rsid w:val="78F574E1"/>
    <w:rsid w:val="790F19B1"/>
    <w:rsid w:val="79387CB6"/>
    <w:rsid w:val="79422EA0"/>
    <w:rsid w:val="79497C31"/>
    <w:rsid w:val="794B9212"/>
    <w:rsid w:val="794C7FE7"/>
    <w:rsid w:val="7957C3BF"/>
    <w:rsid w:val="795F5DC1"/>
    <w:rsid w:val="79611281"/>
    <w:rsid w:val="7961380D"/>
    <w:rsid w:val="7967B07B"/>
    <w:rsid w:val="798217B4"/>
    <w:rsid w:val="79842E07"/>
    <w:rsid w:val="798474E4"/>
    <w:rsid w:val="79905EA0"/>
    <w:rsid w:val="79911803"/>
    <w:rsid w:val="799F4050"/>
    <w:rsid w:val="79B3632C"/>
    <w:rsid w:val="79BCA8A7"/>
    <w:rsid w:val="79CB3682"/>
    <w:rsid w:val="79CF0DC2"/>
    <w:rsid w:val="79D42231"/>
    <w:rsid w:val="79D86DDC"/>
    <w:rsid w:val="79D93EEF"/>
    <w:rsid w:val="79DFE588"/>
    <w:rsid w:val="79E157E7"/>
    <w:rsid w:val="79E71D6B"/>
    <w:rsid w:val="79E78AA8"/>
    <w:rsid w:val="79EBF087"/>
    <w:rsid w:val="79EC2CE6"/>
    <w:rsid w:val="79F07B4A"/>
    <w:rsid w:val="79F63C3E"/>
    <w:rsid w:val="79F99AC6"/>
    <w:rsid w:val="79FDFC74"/>
    <w:rsid w:val="79FFBB99"/>
    <w:rsid w:val="79FFC7B5"/>
    <w:rsid w:val="7A1A144A"/>
    <w:rsid w:val="7A331962"/>
    <w:rsid w:val="7A33417F"/>
    <w:rsid w:val="7A4F1717"/>
    <w:rsid w:val="7A572665"/>
    <w:rsid w:val="7A680B70"/>
    <w:rsid w:val="7A6D7F90"/>
    <w:rsid w:val="7A6F359A"/>
    <w:rsid w:val="7A785F8A"/>
    <w:rsid w:val="7A94551C"/>
    <w:rsid w:val="7A9562EF"/>
    <w:rsid w:val="7A9B68AB"/>
    <w:rsid w:val="7AB855CE"/>
    <w:rsid w:val="7AC74078"/>
    <w:rsid w:val="7AD46261"/>
    <w:rsid w:val="7AD55A85"/>
    <w:rsid w:val="7AD718AD"/>
    <w:rsid w:val="7ADF524D"/>
    <w:rsid w:val="7AE34709"/>
    <w:rsid w:val="7AED10D1"/>
    <w:rsid w:val="7AEDCFE7"/>
    <w:rsid w:val="7AEFBA71"/>
    <w:rsid w:val="7AEFD802"/>
    <w:rsid w:val="7AF374B5"/>
    <w:rsid w:val="7AF558FD"/>
    <w:rsid w:val="7AF763CB"/>
    <w:rsid w:val="7AF96C22"/>
    <w:rsid w:val="7AF9F50A"/>
    <w:rsid w:val="7AFCF35C"/>
    <w:rsid w:val="7AFE373D"/>
    <w:rsid w:val="7B0542A9"/>
    <w:rsid w:val="7B1A5989"/>
    <w:rsid w:val="7B1DD32A"/>
    <w:rsid w:val="7B2A4524"/>
    <w:rsid w:val="7B2C1BF9"/>
    <w:rsid w:val="7B374CBB"/>
    <w:rsid w:val="7B37AEDA"/>
    <w:rsid w:val="7B3B27E1"/>
    <w:rsid w:val="7B424271"/>
    <w:rsid w:val="7B506B30"/>
    <w:rsid w:val="7B590ED7"/>
    <w:rsid w:val="7B6C46EB"/>
    <w:rsid w:val="7B7B2E46"/>
    <w:rsid w:val="7B7CA017"/>
    <w:rsid w:val="7B7F2C8B"/>
    <w:rsid w:val="7B8D6C56"/>
    <w:rsid w:val="7B8E5988"/>
    <w:rsid w:val="7B907B64"/>
    <w:rsid w:val="7B9461DD"/>
    <w:rsid w:val="7B967FA2"/>
    <w:rsid w:val="7B9C10D8"/>
    <w:rsid w:val="7BAD9F12"/>
    <w:rsid w:val="7BAF1FD2"/>
    <w:rsid w:val="7BB11580"/>
    <w:rsid w:val="7BB11697"/>
    <w:rsid w:val="7BB4FBD9"/>
    <w:rsid w:val="7BBD7D65"/>
    <w:rsid w:val="7BBE3C27"/>
    <w:rsid w:val="7BBFC333"/>
    <w:rsid w:val="7BBFC387"/>
    <w:rsid w:val="7BBFCEEC"/>
    <w:rsid w:val="7BC8F17D"/>
    <w:rsid w:val="7BCE76B2"/>
    <w:rsid w:val="7BD66276"/>
    <w:rsid w:val="7BD754CD"/>
    <w:rsid w:val="7BD7816E"/>
    <w:rsid w:val="7BDA1655"/>
    <w:rsid w:val="7BDED489"/>
    <w:rsid w:val="7BDF2F35"/>
    <w:rsid w:val="7BE7897F"/>
    <w:rsid w:val="7BED75DA"/>
    <w:rsid w:val="7BEF4CBC"/>
    <w:rsid w:val="7BF74AAC"/>
    <w:rsid w:val="7BF80D1B"/>
    <w:rsid w:val="7BFA9449"/>
    <w:rsid w:val="7BFACBC5"/>
    <w:rsid w:val="7BFAD85B"/>
    <w:rsid w:val="7BFBE0BC"/>
    <w:rsid w:val="7BFBE5D1"/>
    <w:rsid w:val="7BFD6257"/>
    <w:rsid w:val="7BFD8548"/>
    <w:rsid w:val="7BFE34F6"/>
    <w:rsid w:val="7BFE4EA6"/>
    <w:rsid w:val="7BFF0EBF"/>
    <w:rsid w:val="7BFF1F10"/>
    <w:rsid w:val="7BFFBE48"/>
    <w:rsid w:val="7BFFEF4B"/>
    <w:rsid w:val="7C0039BB"/>
    <w:rsid w:val="7C02295A"/>
    <w:rsid w:val="7C1B578F"/>
    <w:rsid w:val="7C200B96"/>
    <w:rsid w:val="7C275833"/>
    <w:rsid w:val="7C340576"/>
    <w:rsid w:val="7C3D3992"/>
    <w:rsid w:val="7C4411C4"/>
    <w:rsid w:val="7C561B33"/>
    <w:rsid w:val="7C647170"/>
    <w:rsid w:val="7C65584D"/>
    <w:rsid w:val="7C6706D1"/>
    <w:rsid w:val="7C6E6EF5"/>
    <w:rsid w:val="7C72188D"/>
    <w:rsid w:val="7C7E7E01"/>
    <w:rsid w:val="7C8021FC"/>
    <w:rsid w:val="7C8D2B6B"/>
    <w:rsid w:val="7C9E32B9"/>
    <w:rsid w:val="7CA030B4"/>
    <w:rsid w:val="7CA17496"/>
    <w:rsid w:val="7CA86BD5"/>
    <w:rsid w:val="7CAFEB55"/>
    <w:rsid w:val="7CB19973"/>
    <w:rsid w:val="7CB901C3"/>
    <w:rsid w:val="7CC33573"/>
    <w:rsid w:val="7CCBEF18"/>
    <w:rsid w:val="7CD2057E"/>
    <w:rsid w:val="7CDAC5AB"/>
    <w:rsid w:val="7CDF6334"/>
    <w:rsid w:val="7CDFD1CA"/>
    <w:rsid w:val="7CE9753D"/>
    <w:rsid w:val="7CECD853"/>
    <w:rsid w:val="7CEE2025"/>
    <w:rsid w:val="7CF65414"/>
    <w:rsid w:val="7CFD9520"/>
    <w:rsid w:val="7CFE5CAF"/>
    <w:rsid w:val="7CFF60D8"/>
    <w:rsid w:val="7CFFBEEF"/>
    <w:rsid w:val="7CFFD058"/>
    <w:rsid w:val="7D07578C"/>
    <w:rsid w:val="7D0A5F6A"/>
    <w:rsid w:val="7D0C7F34"/>
    <w:rsid w:val="7D0E6E9F"/>
    <w:rsid w:val="7D1C7A4B"/>
    <w:rsid w:val="7D23702C"/>
    <w:rsid w:val="7D374D33"/>
    <w:rsid w:val="7D377823"/>
    <w:rsid w:val="7D392F2B"/>
    <w:rsid w:val="7D3B0636"/>
    <w:rsid w:val="7D403DC1"/>
    <w:rsid w:val="7D521A0C"/>
    <w:rsid w:val="7D5DA7D0"/>
    <w:rsid w:val="7D6D3664"/>
    <w:rsid w:val="7D7D9E46"/>
    <w:rsid w:val="7D7E7D02"/>
    <w:rsid w:val="7D7E9300"/>
    <w:rsid w:val="7D7F28DB"/>
    <w:rsid w:val="7D8E1F59"/>
    <w:rsid w:val="7D90280C"/>
    <w:rsid w:val="7D9677FD"/>
    <w:rsid w:val="7D9F4EFB"/>
    <w:rsid w:val="7DAB4741"/>
    <w:rsid w:val="7DB130FE"/>
    <w:rsid w:val="7DB70F31"/>
    <w:rsid w:val="7DB91335"/>
    <w:rsid w:val="7DB94A13"/>
    <w:rsid w:val="7DBC492A"/>
    <w:rsid w:val="7DBCFC5A"/>
    <w:rsid w:val="7DBF7739"/>
    <w:rsid w:val="7DBFC7B8"/>
    <w:rsid w:val="7DCB1DED"/>
    <w:rsid w:val="7DCDE715"/>
    <w:rsid w:val="7DCF1098"/>
    <w:rsid w:val="7DCF21DA"/>
    <w:rsid w:val="7DD3F30B"/>
    <w:rsid w:val="7DD7E7CD"/>
    <w:rsid w:val="7DD81BC4"/>
    <w:rsid w:val="7DDBC140"/>
    <w:rsid w:val="7DDD5124"/>
    <w:rsid w:val="7DDF443E"/>
    <w:rsid w:val="7DEB50D6"/>
    <w:rsid w:val="7DEF2C2F"/>
    <w:rsid w:val="7DEF5758"/>
    <w:rsid w:val="7DEFAEA2"/>
    <w:rsid w:val="7DF3CB16"/>
    <w:rsid w:val="7DF6DED8"/>
    <w:rsid w:val="7DF6F688"/>
    <w:rsid w:val="7DF73300"/>
    <w:rsid w:val="7DF7B518"/>
    <w:rsid w:val="7DFA4E99"/>
    <w:rsid w:val="7DFB0C11"/>
    <w:rsid w:val="7DFB938C"/>
    <w:rsid w:val="7DFBD012"/>
    <w:rsid w:val="7DFD1FA3"/>
    <w:rsid w:val="7DFD39E1"/>
    <w:rsid w:val="7DFD7131"/>
    <w:rsid w:val="7DFD7C9E"/>
    <w:rsid w:val="7DFE01BA"/>
    <w:rsid w:val="7DFE8D43"/>
    <w:rsid w:val="7DFF4F40"/>
    <w:rsid w:val="7DFF8193"/>
    <w:rsid w:val="7DFFAF0C"/>
    <w:rsid w:val="7DFFF72B"/>
    <w:rsid w:val="7E0EEC9D"/>
    <w:rsid w:val="7E2474AF"/>
    <w:rsid w:val="7E254D05"/>
    <w:rsid w:val="7E298FC5"/>
    <w:rsid w:val="7E2F7522"/>
    <w:rsid w:val="7E3861DE"/>
    <w:rsid w:val="7E3B0F30"/>
    <w:rsid w:val="7E3BF8EC"/>
    <w:rsid w:val="7E4603A6"/>
    <w:rsid w:val="7E52501A"/>
    <w:rsid w:val="7E624705"/>
    <w:rsid w:val="7E6D6954"/>
    <w:rsid w:val="7E785749"/>
    <w:rsid w:val="7E7EFF04"/>
    <w:rsid w:val="7E7FC91B"/>
    <w:rsid w:val="7E8169F8"/>
    <w:rsid w:val="7E926980"/>
    <w:rsid w:val="7E951C6A"/>
    <w:rsid w:val="7E97A8A7"/>
    <w:rsid w:val="7E9A9745"/>
    <w:rsid w:val="7EAC0D86"/>
    <w:rsid w:val="7EB18D0D"/>
    <w:rsid w:val="7EB70CC9"/>
    <w:rsid w:val="7EB70CDE"/>
    <w:rsid w:val="7EBB7375"/>
    <w:rsid w:val="7EBBE874"/>
    <w:rsid w:val="7EBC424F"/>
    <w:rsid w:val="7EBE8BCD"/>
    <w:rsid w:val="7EBEDCED"/>
    <w:rsid w:val="7EBF1987"/>
    <w:rsid w:val="7EBF57AD"/>
    <w:rsid w:val="7ECCF22C"/>
    <w:rsid w:val="7ECF746B"/>
    <w:rsid w:val="7ECF8A8A"/>
    <w:rsid w:val="7ECFBEEB"/>
    <w:rsid w:val="7EDA54A4"/>
    <w:rsid w:val="7EDD5193"/>
    <w:rsid w:val="7EDE3ADF"/>
    <w:rsid w:val="7EDFF65C"/>
    <w:rsid w:val="7EE21F25"/>
    <w:rsid w:val="7EE76077"/>
    <w:rsid w:val="7EEB9507"/>
    <w:rsid w:val="7EED2AF2"/>
    <w:rsid w:val="7EEFB10E"/>
    <w:rsid w:val="7EEFF2A1"/>
    <w:rsid w:val="7EF59524"/>
    <w:rsid w:val="7EF7E7E9"/>
    <w:rsid w:val="7EF9328A"/>
    <w:rsid w:val="7EFA5242"/>
    <w:rsid w:val="7EFB0676"/>
    <w:rsid w:val="7EFB1DC1"/>
    <w:rsid w:val="7EFBB1D4"/>
    <w:rsid w:val="7EFBC792"/>
    <w:rsid w:val="7EFD77AB"/>
    <w:rsid w:val="7EFE9F53"/>
    <w:rsid w:val="7EFF260D"/>
    <w:rsid w:val="7EFF4B8E"/>
    <w:rsid w:val="7EFF59C2"/>
    <w:rsid w:val="7EFFC4B5"/>
    <w:rsid w:val="7EFFED1C"/>
    <w:rsid w:val="7EFFF2B4"/>
    <w:rsid w:val="7F198709"/>
    <w:rsid w:val="7F1FE5DE"/>
    <w:rsid w:val="7F2552DD"/>
    <w:rsid w:val="7F2991B2"/>
    <w:rsid w:val="7F2BBCF1"/>
    <w:rsid w:val="7F2FA19C"/>
    <w:rsid w:val="7F3271D9"/>
    <w:rsid w:val="7F3723CC"/>
    <w:rsid w:val="7F37314B"/>
    <w:rsid w:val="7F376DBE"/>
    <w:rsid w:val="7F3D1F78"/>
    <w:rsid w:val="7F3E0DF5"/>
    <w:rsid w:val="7F3F86EC"/>
    <w:rsid w:val="7F3FB650"/>
    <w:rsid w:val="7F3FD706"/>
    <w:rsid w:val="7F435763"/>
    <w:rsid w:val="7F447AE2"/>
    <w:rsid w:val="7F4B520E"/>
    <w:rsid w:val="7F5E343C"/>
    <w:rsid w:val="7F5EE93C"/>
    <w:rsid w:val="7F5FD87D"/>
    <w:rsid w:val="7F67CDC1"/>
    <w:rsid w:val="7F6A6C04"/>
    <w:rsid w:val="7F6C6B50"/>
    <w:rsid w:val="7F706A17"/>
    <w:rsid w:val="7F72DDD6"/>
    <w:rsid w:val="7F7607C4"/>
    <w:rsid w:val="7F7629C4"/>
    <w:rsid w:val="7F764621"/>
    <w:rsid w:val="7F77DE75"/>
    <w:rsid w:val="7F7859A8"/>
    <w:rsid w:val="7F7911FE"/>
    <w:rsid w:val="7F792076"/>
    <w:rsid w:val="7F7B81C6"/>
    <w:rsid w:val="7F7BAED9"/>
    <w:rsid w:val="7F7D01B2"/>
    <w:rsid w:val="7F7D1AEB"/>
    <w:rsid w:val="7F7DE39C"/>
    <w:rsid w:val="7F7E7F76"/>
    <w:rsid w:val="7F7F0CA4"/>
    <w:rsid w:val="7F7F1600"/>
    <w:rsid w:val="7F7F899C"/>
    <w:rsid w:val="7F8A2DBE"/>
    <w:rsid w:val="7F8E98EE"/>
    <w:rsid w:val="7F8F8114"/>
    <w:rsid w:val="7F904E08"/>
    <w:rsid w:val="7F944BC1"/>
    <w:rsid w:val="7F97109A"/>
    <w:rsid w:val="7F9A3AE4"/>
    <w:rsid w:val="7F9E1538"/>
    <w:rsid w:val="7F9E28F9"/>
    <w:rsid w:val="7F9F8E25"/>
    <w:rsid w:val="7F9FD28D"/>
    <w:rsid w:val="7F9FD9EC"/>
    <w:rsid w:val="7F9FF007"/>
    <w:rsid w:val="7FA288B2"/>
    <w:rsid w:val="7FA56CBA"/>
    <w:rsid w:val="7FAB1B6C"/>
    <w:rsid w:val="7FAB5503"/>
    <w:rsid w:val="7FADC52C"/>
    <w:rsid w:val="7FAE1F83"/>
    <w:rsid w:val="7FAF004A"/>
    <w:rsid w:val="7FAF3B77"/>
    <w:rsid w:val="7FAF67D1"/>
    <w:rsid w:val="7FAFA22C"/>
    <w:rsid w:val="7FB1B426"/>
    <w:rsid w:val="7FB31036"/>
    <w:rsid w:val="7FB71B95"/>
    <w:rsid w:val="7FB7359B"/>
    <w:rsid w:val="7FB796A0"/>
    <w:rsid w:val="7FB9453E"/>
    <w:rsid w:val="7FB96E7E"/>
    <w:rsid w:val="7FBA2458"/>
    <w:rsid w:val="7FBB28C8"/>
    <w:rsid w:val="7FBBE37D"/>
    <w:rsid w:val="7FBC51B1"/>
    <w:rsid w:val="7FBC6330"/>
    <w:rsid w:val="7FBC6DFA"/>
    <w:rsid w:val="7FBD0F25"/>
    <w:rsid w:val="7FBD6926"/>
    <w:rsid w:val="7FBDBCF1"/>
    <w:rsid w:val="7FBDFDA8"/>
    <w:rsid w:val="7FBF085D"/>
    <w:rsid w:val="7FBF85D0"/>
    <w:rsid w:val="7FBFF27E"/>
    <w:rsid w:val="7FC31497"/>
    <w:rsid w:val="7FCB4EC8"/>
    <w:rsid w:val="7FCB5E84"/>
    <w:rsid w:val="7FCD4F21"/>
    <w:rsid w:val="7FCFF9DD"/>
    <w:rsid w:val="7FD3B142"/>
    <w:rsid w:val="7FD5CD06"/>
    <w:rsid w:val="7FD689B3"/>
    <w:rsid w:val="7FD8B945"/>
    <w:rsid w:val="7FDA041E"/>
    <w:rsid w:val="7FDAA694"/>
    <w:rsid w:val="7FDB2ABD"/>
    <w:rsid w:val="7FDD4682"/>
    <w:rsid w:val="7FDD4BEF"/>
    <w:rsid w:val="7FDD5BB8"/>
    <w:rsid w:val="7FDD74FE"/>
    <w:rsid w:val="7FDD7F75"/>
    <w:rsid w:val="7FDDD057"/>
    <w:rsid w:val="7FDE19C9"/>
    <w:rsid w:val="7FDEF334"/>
    <w:rsid w:val="7FDF1270"/>
    <w:rsid w:val="7FDF36DE"/>
    <w:rsid w:val="7FDF69D8"/>
    <w:rsid w:val="7FDF8B50"/>
    <w:rsid w:val="7FDF9E69"/>
    <w:rsid w:val="7FDFBB0C"/>
    <w:rsid w:val="7FDFFCAB"/>
    <w:rsid w:val="7FE3ACA4"/>
    <w:rsid w:val="7FE3F29A"/>
    <w:rsid w:val="7FE82D70"/>
    <w:rsid w:val="7FE906FE"/>
    <w:rsid w:val="7FE9415B"/>
    <w:rsid w:val="7FEA2A9A"/>
    <w:rsid w:val="7FEA51EE"/>
    <w:rsid w:val="7FEA6D55"/>
    <w:rsid w:val="7FEB641C"/>
    <w:rsid w:val="7FEBA4C4"/>
    <w:rsid w:val="7FEECB1B"/>
    <w:rsid w:val="7FEEEBF4"/>
    <w:rsid w:val="7FEEF070"/>
    <w:rsid w:val="7FEFB884"/>
    <w:rsid w:val="7FEFF883"/>
    <w:rsid w:val="7FF07158"/>
    <w:rsid w:val="7FF1DFCC"/>
    <w:rsid w:val="7FF33C62"/>
    <w:rsid w:val="7FF37B6D"/>
    <w:rsid w:val="7FF3B4DA"/>
    <w:rsid w:val="7FF51C4E"/>
    <w:rsid w:val="7FF56A5D"/>
    <w:rsid w:val="7FF58C17"/>
    <w:rsid w:val="7FF5B5BB"/>
    <w:rsid w:val="7FF5EAE8"/>
    <w:rsid w:val="7FF6901D"/>
    <w:rsid w:val="7FF7673A"/>
    <w:rsid w:val="7FF77DAF"/>
    <w:rsid w:val="7FF79FD0"/>
    <w:rsid w:val="7FF7B325"/>
    <w:rsid w:val="7FF7ED9F"/>
    <w:rsid w:val="7FF83E70"/>
    <w:rsid w:val="7FF92038"/>
    <w:rsid w:val="7FFB143B"/>
    <w:rsid w:val="7FFB1F71"/>
    <w:rsid w:val="7FFB6B58"/>
    <w:rsid w:val="7FFBD4DB"/>
    <w:rsid w:val="7FFD0B14"/>
    <w:rsid w:val="7FFD8067"/>
    <w:rsid w:val="7FFE2451"/>
    <w:rsid w:val="7FFE9888"/>
    <w:rsid w:val="7FFE9DCE"/>
    <w:rsid w:val="7FFEA480"/>
    <w:rsid w:val="7FFECF79"/>
    <w:rsid w:val="7FFF0E65"/>
    <w:rsid w:val="7FFF2141"/>
    <w:rsid w:val="7FFF2A3A"/>
    <w:rsid w:val="7FFF4144"/>
    <w:rsid w:val="7FFF74B1"/>
    <w:rsid w:val="7FFF77FF"/>
    <w:rsid w:val="7FFF79EC"/>
    <w:rsid w:val="7FFF8F5A"/>
    <w:rsid w:val="7FFF9B82"/>
    <w:rsid w:val="7FFFE3FD"/>
    <w:rsid w:val="7FFFE541"/>
    <w:rsid w:val="7FFFF5D4"/>
    <w:rsid w:val="7FFFF703"/>
    <w:rsid w:val="83DF4BA6"/>
    <w:rsid w:val="85EF88A3"/>
    <w:rsid w:val="864B19B8"/>
    <w:rsid w:val="8677DBB2"/>
    <w:rsid w:val="87352C0B"/>
    <w:rsid w:val="87BE58AC"/>
    <w:rsid w:val="8AF7A7D1"/>
    <w:rsid w:val="8CF61D35"/>
    <w:rsid w:val="8EEEDA0D"/>
    <w:rsid w:val="8EFC1318"/>
    <w:rsid w:val="8F5B8CB4"/>
    <w:rsid w:val="8FAF319E"/>
    <w:rsid w:val="8FFFB737"/>
    <w:rsid w:val="92FD2B40"/>
    <w:rsid w:val="93FFE889"/>
    <w:rsid w:val="954E26E9"/>
    <w:rsid w:val="95BF23FC"/>
    <w:rsid w:val="95E57FE1"/>
    <w:rsid w:val="95FB80A8"/>
    <w:rsid w:val="96543735"/>
    <w:rsid w:val="96DE6EF5"/>
    <w:rsid w:val="977DA018"/>
    <w:rsid w:val="97BDA284"/>
    <w:rsid w:val="97FF6FFA"/>
    <w:rsid w:val="99B956E0"/>
    <w:rsid w:val="99BE62AE"/>
    <w:rsid w:val="99DFAA60"/>
    <w:rsid w:val="99E7E6E4"/>
    <w:rsid w:val="9A613FB9"/>
    <w:rsid w:val="9AFF5B89"/>
    <w:rsid w:val="9BF76C37"/>
    <w:rsid w:val="9BFF72CF"/>
    <w:rsid w:val="9C2EE788"/>
    <w:rsid w:val="9CB29165"/>
    <w:rsid w:val="9DB91A5C"/>
    <w:rsid w:val="9DD61F99"/>
    <w:rsid w:val="9DEF2475"/>
    <w:rsid w:val="9DFFDE74"/>
    <w:rsid w:val="9E415D7C"/>
    <w:rsid w:val="9E7BA729"/>
    <w:rsid w:val="9E7DEB6E"/>
    <w:rsid w:val="9E7E7ECC"/>
    <w:rsid w:val="9E7EE10B"/>
    <w:rsid w:val="9EE34120"/>
    <w:rsid w:val="9F3B99DD"/>
    <w:rsid w:val="9F3E7576"/>
    <w:rsid w:val="9F5C5AA7"/>
    <w:rsid w:val="9F5FD5F0"/>
    <w:rsid w:val="9F7FE49F"/>
    <w:rsid w:val="9F8636AD"/>
    <w:rsid w:val="9FAF1624"/>
    <w:rsid w:val="9FB74971"/>
    <w:rsid w:val="9FBE818E"/>
    <w:rsid w:val="9FD40F55"/>
    <w:rsid w:val="9FD7214E"/>
    <w:rsid w:val="9FD7A23A"/>
    <w:rsid w:val="9FED48A6"/>
    <w:rsid w:val="9FFB9CA7"/>
    <w:rsid w:val="9FFBDE45"/>
    <w:rsid w:val="9FFE16FE"/>
    <w:rsid w:val="9FFF2B06"/>
    <w:rsid w:val="9FFFCF06"/>
    <w:rsid w:val="9FFFD77E"/>
    <w:rsid w:val="A1EF8BFD"/>
    <w:rsid w:val="A1FF023B"/>
    <w:rsid w:val="A31FF8B2"/>
    <w:rsid w:val="A35F3774"/>
    <w:rsid w:val="A37507D6"/>
    <w:rsid w:val="A3FF0D18"/>
    <w:rsid w:val="A53BD0FD"/>
    <w:rsid w:val="A5DD98D8"/>
    <w:rsid w:val="A6E5703C"/>
    <w:rsid w:val="A706A2E2"/>
    <w:rsid w:val="A7C71483"/>
    <w:rsid w:val="A7DD766F"/>
    <w:rsid w:val="A7E7280D"/>
    <w:rsid w:val="A7F4A0DF"/>
    <w:rsid w:val="A7F7D502"/>
    <w:rsid w:val="A7FD7CDD"/>
    <w:rsid w:val="A7FD8E59"/>
    <w:rsid w:val="A7FE37C2"/>
    <w:rsid w:val="A9BF061A"/>
    <w:rsid w:val="AA1981C1"/>
    <w:rsid w:val="AAE71513"/>
    <w:rsid w:val="AAFF1E8C"/>
    <w:rsid w:val="AB5F190D"/>
    <w:rsid w:val="AB871F5F"/>
    <w:rsid w:val="ABBF3EB0"/>
    <w:rsid w:val="ABEC013E"/>
    <w:rsid w:val="ABF75373"/>
    <w:rsid w:val="ABFE3D74"/>
    <w:rsid w:val="ABFF866A"/>
    <w:rsid w:val="AD3FA41A"/>
    <w:rsid w:val="AD7BC590"/>
    <w:rsid w:val="AD7F226B"/>
    <w:rsid w:val="ADF745DC"/>
    <w:rsid w:val="ADFC41A4"/>
    <w:rsid w:val="ADFF923C"/>
    <w:rsid w:val="ADFFFEBB"/>
    <w:rsid w:val="AE0FDDDC"/>
    <w:rsid w:val="AE765B5A"/>
    <w:rsid w:val="AE9F20C9"/>
    <w:rsid w:val="AEF92EBD"/>
    <w:rsid w:val="AFADC5D7"/>
    <w:rsid w:val="AFB7A3A1"/>
    <w:rsid w:val="AFCF7AEA"/>
    <w:rsid w:val="AFD8F9BF"/>
    <w:rsid w:val="AFEF364B"/>
    <w:rsid w:val="AFF73477"/>
    <w:rsid w:val="AFFB3066"/>
    <w:rsid w:val="AFFF00AA"/>
    <w:rsid w:val="AFFFE4BE"/>
    <w:rsid w:val="B27F31B9"/>
    <w:rsid w:val="B33DA34F"/>
    <w:rsid w:val="B33E9E0D"/>
    <w:rsid w:val="B36674EA"/>
    <w:rsid w:val="B3DD8486"/>
    <w:rsid w:val="B47ED904"/>
    <w:rsid w:val="B4FEABDE"/>
    <w:rsid w:val="B539F80B"/>
    <w:rsid w:val="B57DD40D"/>
    <w:rsid w:val="B5B2F46B"/>
    <w:rsid w:val="B5D740B7"/>
    <w:rsid w:val="B5F75A07"/>
    <w:rsid w:val="B5FCFC7A"/>
    <w:rsid w:val="B65F3C21"/>
    <w:rsid w:val="B66FDEB6"/>
    <w:rsid w:val="B6BAA500"/>
    <w:rsid w:val="B6D49B6B"/>
    <w:rsid w:val="B6DB3081"/>
    <w:rsid w:val="B6FDDE2A"/>
    <w:rsid w:val="B6FF5DFD"/>
    <w:rsid w:val="B74FC73A"/>
    <w:rsid w:val="B7675A2E"/>
    <w:rsid w:val="B779298F"/>
    <w:rsid w:val="B7990E8E"/>
    <w:rsid w:val="B7E13619"/>
    <w:rsid w:val="B7EF3722"/>
    <w:rsid w:val="B7F24806"/>
    <w:rsid w:val="B7F68B75"/>
    <w:rsid w:val="B7FF5178"/>
    <w:rsid w:val="B7FFA440"/>
    <w:rsid w:val="B8BF4B60"/>
    <w:rsid w:val="B8CD834A"/>
    <w:rsid w:val="B8FEDBD9"/>
    <w:rsid w:val="B9BE3431"/>
    <w:rsid w:val="B9C1F6BB"/>
    <w:rsid w:val="B9D7A35E"/>
    <w:rsid w:val="B9FFDAE3"/>
    <w:rsid w:val="BAB7CD6D"/>
    <w:rsid w:val="BAED0299"/>
    <w:rsid w:val="BB2F0ADA"/>
    <w:rsid w:val="BB5E735C"/>
    <w:rsid w:val="BB5F76FC"/>
    <w:rsid w:val="BB6B1C3F"/>
    <w:rsid w:val="BB6F9EDC"/>
    <w:rsid w:val="BB7DCFF0"/>
    <w:rsid w:val="BB7F4AEF"/>
    <w:rsid w:val="BB7FC72E"/>
    <w:rsid w:val="BB7FF1FF"/>
    <w:rsid w:val="BB7FF29B"/>
    <w:rsid w:val="BB97AC7A"/>
    <w:rsid w:val="BB97B2D4"/>
    <w:rsid w:val="BBCEB600"/>
    <w:rsid w:val="BBE26893"/>
    <w:rsid w:val="BBE6D652"/>
    <w:rsid w:val="BBF4B979"/>
    <w:rsid w:val="BBF8D9AC"/>
    <w:rsid w:val="BBFD5654"/>
    <w:rsid w:val="BBFEA33B"/>
    <w:rsid w:val="BBFEE1F9"/>
    <w:rsid w:val="BBFFD803"/>
    <w:rsid w:val="BC7FF366"/>
    <w:rsid w:val="BCD69DB0"/>
    <w:rsid w:val="BCFE7BD8"/>
    <w:rsid w:val="BCFE9520"/>
    <w:rsid w:val="BD2D7060"/>
    <w:rsid w:val="BD5CBE49"/>
    <w:rsid w:val="BD7BA976"/>
    <w:rsid w:val="BD7F5A98"/>
    <w:rsid w:val="BD8FDC33"/>
    <w:rsid w:val="BDBDA77F"/>
    <w:rsid w:val="BDBEF394"/>
    <w:rsid w:val="BDBF222C"/>
    <w:rsid w:val="BDD99D72"/>
    <w:rsid w:val="BDDDA1AE"/>
    <w:rsid w:val="BDEF40B3"/>
    <w:rsid w:val="BDEFF32F"/>
    <w:rsid w:val="BDF3FA2D"/>
    <w:rsid w:val="BDF6E7D6"/>
    <w:rsid w:val="BDFCCA70"/>
    <w:rsid w:val="BDFDA1F4"/>
    <w:rsid w:val="BDFFB355"/>
    <w:rsid w:val="BDFFE040"/>
    <w:rsid w:val="BE3F4502"/>
    <w:rsid w:val="BE562830"/>
    <w:rsid w:val="BE77B7C8"/>
    <w:rsid w:val="BE7EAF9A"/>
    <w:rsid w:val="BE7F6071"/>
    <w:rsid w:val="BE9AAB2F"/>
    <w:rsid w:val="BEAF04EA"/>
    <w:rsid w:val="BECC7886"/>
    <w:rsid w:val="BEDF709E"/>
    <w:rsid w:val="BEE79F75"/>
    <w:rsid w:val="BEFB2525"/>
    <w:rsid w:val="BEFBA0B0"/>
    <w:rsid w:val="BEFBA662"/>
    <w:rsid w:val="BEFF108D"/>
    <w:rsid w:val="BF1BE272"/>
    <w:rsid w:val="BF1F8E7C"/>
    <w:rsid w:val="BF2328A9"/>
    <w:rsid w:val="BF374F23"/>
    <w:rsid w:val="BF3B1846"/>
    <w:rsid w:val="BF3F92D4"/>
    <w:rsid w:val="BF5E226B"/>
    <w:rsid w:val="BF5F176C"/>
    <w:rsid w:val="BF742370"/>
    <w:rsid w:val="BF752E25"/>
    <w:rsid w:val="BF7E31BA"/>
    <w:rsid w:val="BF7F2F13"/>
    <w:rsid w:val="BF7F7B8E"/>
    <w:rsid w:val="BF7FDC75"/>
    <w:rsid w:val="BF9180D3"/>
    <w:rsid w:val="BFA3D2E0"/>
    <w:rsid w:val="BFAFCC7F"/>
    <w:rsid w:val="BFB3D9AB"/>
    <w:rsid w:val="BFB62494"/>
    <w:rsid w:val="BFBB1744"/>
    <w:rsid w:val="BFBFCAD6"/>
    <w:rsid w:val="BFCB7DBF"/>
    <w:rsid w:val="BFCCFA0E"/>
    <w:rsid w:val="BFD7034D"/>
    <w:rsid w:val="BFD7058E"/>
    <w:rsid w:val="BFDAC37A"/>
    <w:rsid w:val="BFDD8CF7"/>
    <w:rsid w:val="BFDFF689"/>
    <w:rsid w:val="BFE7D93A"/>
    <w:rsid w:val="BFE7EFF4"/>
    <w:rsid w:val="BFEEB82D"/>
    <w:rsid w:val="BFEF396F"/>
    <w:rsid w:val="BFEF4767"/>
    <w:rsid w:val="BFEFC948"/>
    <w:rsid w:val="BFF71C24"/>
    <w:rsid w:val="BFF7BFCA"/>
    <w:rsid w:val="BFF81552"/>
    <w:rsid w:val="BFF88CA8"/>
    <w:rsid w:val="BFFA5025"/>
    <w:rsid w:val="BFFADF3F"/>
    <w:rsid w:val="BFFBB7C4"/>
    <w:rsid w:val="BFFD322B"/>
    <w:rsid w:val="BFFD4CCB"/>
    <w:rsid w:val="BFFDBD8A"/>
    <w:rsid w:val="BFFE2535"/>
    <w:rsid w:val="BFFEEF0B"/>
    <w:rsid w:val="BFFF16C7"/>
    <w:rsid w:val="BFFF5AA0"/>
    <w:rsid w:val="BFFF66B7"/>
    <w:rsid w:val="BFFFF99D"/>
    <w:rsid w:val="C14FF5A3"/>
    <w:rsid w:val="C34FC6BD"/>
    <w:rsid w:val="C5B95A90"/>
    <w:rsid w:val="C6BFBB9F"/>
    <w:rsid w:val="C7590D8D"/>
    <w:rsid w:val="C76E042B"/>
    <w:rsid w:val="C77FDBC5"/>
    <w:rsid w:val="C7E7C281"/>
    <w:rsid w:val="C7F90DB4"/>
    <w:rsid w:val="C96A5BD4"/>
    <w:rsid w:val="C9BB1F29"/>
    <w:rsid w:val="CA6E569D"/>
    <w:rsid w:val="CAEB6440"/>
    <w:rsid w:val="CB578579"/>
    <w:rsid w:val="CBB72CDA"/>
    <w:rsid w:val="CBE7BA56"/>
    <w:rsid w:val="CBFFF11C"/>
    <w:rsid w:val="CC7F8705"/>
    <w:rsid w:val="CCCC1E5A"/>
    <w:rsid w:val="CCDF8B5A"/>
    <w:rsid w:val="CCEDA08E"/>
    <w:rsid w:val="CD4C13FF"/>
    <w:rsid w:val="CDEF32C6"/>
    <w:rsid w:val="CDFF14FB"/>
    <w:rsid w:val="CDFF19F3"/>
    <w:rsid w:val="CE7F1F29"/>
    <w:rsid w:val="CE7FE161"/>
    <w:rsid w:val="CEEF5871"/>
    <w:rsid w:val="CEF7BAD0"/>
    <w:rsid w:val="CF76A02B"/>
    <w:rsid w:val="CFBF3595"/>
    <w:rsid w:val="CFBF99C9"/>
    <w:rsid w:val="CFCF0C23"/>
    <w:rsid w:val="CFDF8F38"/>
    <w:rsid w:val="CFEFAF95"/>
    <w:rsid w:val="CFEFD094"/>
    <w:rsid w:val="CFEFEF26"/>
    <w:rsid w:val="CFF550E4"/>
    <w:rsid w:val="CFF70162"/>
    <w:rsid w:val="CFF7EDDB"/>
    <w:rsid w:val="CFFB1712"/>
    <w:rsid w:val="CFFD73E9"/>
    <w:rsid w:val="CFFF6720"/>
    <w:rsid w:val="D17FD074"/>
    <w:rsid w:val="D1DF3EBB"/>
    <w:rsid w:val="D2EFAFE7"/>
    <w:rsid w:val="D2FFC16C"/>
    <w:rsid w:val="D3CF2BB6"/>
    <w:rsid w:val="D3D93B6D"/>
    <w:rsid w:val="D45F7CC6"/>
    <w:rsid w:val="D4D914AE"/>
    <w:rsid w:val="D4F779E5"/>
    <w:rsid w:val="D4FE91B0"/>
    <w:rsid w:val="D5771460"/>
    <w:rsid w:val="D57E3F58"/>
    <w:rsid w:val="D5FD7086"/>
    <w:rsid w:val="D5FF24DB"/>
    <w:rsid w:val="D5FFD60F"/>
    <w:rsid w:val="D5FFEA9F"/>
    <w:rsid w:val="D6578D0F"/>
    <w:rsid w:val="D66F74DB"/>
    <w:rsid w:val="D6D54104"/>
    <w:rsid w:val="D6EE9724"/>
    <w:rsid w:val="D6EFC3BC"/>
    <w:rsid w:val="D6EFCD2F"/>
    <w:rsid w:val="D6F73717"/>
    <w:rsid w:val="D73B0F75"/>
    <w:rsid w:val="D77DD8AF"/>
    <w:rsid w:val="D77DEC88"/>
    <w:rsid w:val="D78C0DD3"/>
    <w:rsid w:val="D7B58CC7"/>
    <w:rsid w:val="D7BFA78E"/>
    <w:rsid w:val="D7CD59A1"/>
    <w:rsid w:val="D7CEBD8A"/>
    <w:rsid w:val="D7DD57EE"/>
    <w:rsid w:val="D7DEB9B0"/>
    <w:rsid w:val="D7ED6F28"/>
    <w:rsid w:val="D7F618ED"/>
    <w:rsid w:val="D7FE2499"/>
    <w:rsid w:val="D7FF3D83"/>
    <w:rsid w:val="D8E3FC98"/>
    <w:rsid w:val="D8FDA9DF"/>
    <w:rsid w:val="D97BDB17"/>
    <w:rsid w:val="D9BFB7EF"/>
    <w:rsid w:val="D9DEA4BD"/>
    <w:rsid w:val="D9F3EC02"/>
    <w:rsid w:val="D9FE85B3"/>
    <w:rsid w:val="DA811A63"/>
    <w:rsid w:val="DAFE8FF7"/>
    <w:rsid w:val="DB3D5741"/>
    <w:rsid w:val="DB6B7C3A"/>
    <w:rsid w:val="DB76C395"/>
    <w:rsid w:val="DBAB4EF9"/>
    <w:rsid w:val="DBB7189F"/>
    <w:rsid w:val="DBB76AC0"/>
    <w:rsid w:val="DBBDCFE1"/>
    <w:rsid w:val="DBDEE984"/>
    <w:rsid w:val="DBDF4CAB"/>
    <w:rsid w:val="DBDF6C3C"/>
    <w:rsid w:val="DBEA4313"/>
    <w:rsid w:val="DBFC0F7C"/>
    <w:rsid w:val="DBFDB6CF"/>
    <w:rsid w:val="DBFDE603"/>
    <w:rsid w:val="DBFF193B"/>
    <w:rsid w:val="DBFF5201"/>
    <w:rsid w:val="DBFF607C"/>
    <w:rsid w:val="DC3F3259"/>
    <w:rsid w:val="DCEFF81E"/>
    <w:rsid w:val="DCFC48C2"/>
    <w:rsid w:val="DCFEFB71"/>
    <w:rsid w:val="DD4FD296"/>
    <w:rsid w:val="DD5B0AB3"/>
    <w:rsid w:val="DD6D63A0"/>
    <w:rsid w:val="DD774738"/>
    <w:rsid w:val="DD7B60EA"/>
    <w:rsid w:val="DD7DA98D"/>
    <w:rsid w:val="DD7F233A"/>
    <w:rsid w:val="DD7F2ECA"/>
    <w:rsid w:val="DDB5C1CE"/>
    <w:rsid w:val="DDCDD5FD"/>
    <w:rsid w:val="DDDBA910"/>
    <w:rsid w:val="DDDF072B"/>
    <w:rsid w:val="DDDFE445"/>
    <w:rsid w:val="DDDFF85C"/>
    <w:rsid w:val="DDE33814"/>
    <w:rsid w:val="DDE645F5"/>
    <w:rsid w:val="DDEF4F6A"/>
    <w:rsid w:val="DDEFF129"/>
    <w:rsid w:val="DDF499DE"/>
    <w:rsid w:val="DDFBC95C"/>
    <w:rsid w:val="DDFF6FA4"/>
    <w:rsid w:val="DE7BC3EB"/>
    <w:rsid w:val="DE7E7AC3"/>
    <w:rsid w:val="DE87338E"/>
    <w:rsid w:val="DEBB8BC2"/>
    <w:rsid w:val="DECAFBAB"/>
    <w:rsid w:val="DEEE6BEE"/>
    <w:rsid w:val="DEF3B456"/>
    <w:rsid w:val="DEFB81C0"/>
    <w:rsid w:val="DEFF1DC2"/>
    <w:rsid w:val="DEFF5D3B"/>
    <w:rsid w:val="DF1F592D"/>
    <w:rsid w:val="DF2A6CE2"/>
    <w:rsid w:val="DF37E43A"/>
    <w:rsid w:val="DF539E86"/>
    <w:rsid w:val="DF66E939"/>
    <w:rsid w:val="DF6772A9"/>
    <w:rsid w:val="DF6FCC12"/>
    <w:rsid w:val="DF7B256C"/>
    <w:rsid w:val="DF7C1030"/>
    <w:rsid w:val="DF8F5AD9"/>
    <w:rsid w:val="DF9F4472"/>
    <w:rsid w:val="DF9F8365"/>
    <w:rsid w:val="DF9FA0DC"/>
    <w:rsid w:val="DFB74867"/>
    <w:rsid w:val="DFBBB8DD"/>
    <w:rsid w:val="DFBC2BA3"/>
    <w:rsid w:val="DFBD744E"/>
    <w:rsid w:val="DFBF709B"/>
    <w:rsid w:val="DFCD318B"/>
    <w:rsid w:val="DFCF5E34"/>
    <w:rsid w:val="DFD676CA"/>
    <w:rsid w:val="DFDDBDCC"/>
    <w:rsid w:val="DFDF40CB"/>
    <w:rsid w:val="DFED4BEC"/>
    <w:rsid w:val="DFF5E9FC"/>
    <w:rsid w:val="DFF73543"/>
    <w:rsid w:val="DFFBCAEE"/>
    <w:rsid w:val="DFFBF079"/>
    <w:rsid w:val="DFFC43DE"/>
    <w:rsid w:val="DFFD0973"/>
    <w:rsid w:val="DFFD3EEF"/>
    <w:rsid w:val="DFFD7474"/>
    <w:rsid w:val="DFFD7C84"/>
    <w:rsid w:val="DFFE571F"/>
    <w:rsid w:val="DFFE7417"/>
    <w:rsid w:val="DFFEB679"/>
    <w:rsid w:val="DFFF6FBB"/>
    <w:rsid w:val="DFFF95F8"/>
    <w:rsid w:val="DFFFAD9F"/>
    <w:rsid w:val="E0EFCE42"/>
    <w:rsid w:val="E1779CE6"/>
    <w:rsid w:val="E19B01B4"/>
    <w:rsid w:val="E1EEFBFE"/>
    <w:rsid w:val="E2DB1BD6"/>
    <w:rsid w:val="E2F50E39"/>
    <w:rsid w:val="E33FF013"/>
    <w:rsid w:val="E35E7DFE"/>
    <w:rsid w:val="E362D9AF"/>
    <w:rsid w:val="E39EC31A"/>
    <w:rsid w:val="E3AB3696"/>
    <w:rsid w:val="E3AFF40D"/>
    <w:rsid w:val="E3BB40F2"/>
    <w:rsid w:val="E3DDD110"/>
    <w:rsid w:val="E3F3DC56"/>
    <w:rsid w:val="E3FDBBA5"/>
    <w:rsid w:val="E3FF8A06"/>
    <w:rsid w:val="E4B54700"/>
    <w:rsid w:val="E4FE588D"/>
    <w:rsid w:val="E5BF6554"/>
    <w:rsid w:val="E5CF9198"/>
    <w:rsid w:val="E5DA5C19"/>
    <w:rsid w:val="E5EA5C26"/>
    <w:rsid w:val="E5EF2EB9"/>
    <w:rsid w:val="E6677ECC"/>
    <w:rsid w:val="E6DE5D18"/>
    <w:rsid w:val="E6FB5E73"/>
    <w:rsid w:val="E6FBEB6F"/>
    <w:rsid w:val="E6FD5501"/>
    <w:rsid w:val="E73F48ED"/>
    <w:rsid w:val="E75FA105"/>
    <w:rsid w:val="E777CA41"/>
    <w:rsid w:val="E7B77793"/>
    <w:rsid w:val="E7DF9DD6"/>
    <w:rsid w:val="E7E2DED6"/>
    <w:rsid w:val="E7E609AF"/>
    <w:rsid w:val="E7EA30B1"/>
    <w:rsid w:val="E7F1B6BE"/>
    <w:rsid w:val="E7F62BEC"/>
    <w:rsid w:val="E7FB1682"/>
    <w:rsid w:val="E7FF4C6A"/>
    <w:rsid w:val="E8B77ABB"/>
    <w:rsid w:val="E8E6F03F"/>
    <w:rsid w:val="E8FD2E92"/>
    <w:rsid w:val="E9BDFD97"/>
    <w:rsid w:val="E9BFB8B5"/>
    <w:rsid w:val="E9FF4E7F"/>
    <w:rsid w:val="E9FF6643"/>
    <w:rsid w:val="EAF6C43E"/>
    <w:rsid w:val="EB4F018F"/>
    <w:rsid w:val="EB7BA9C8"/>
    <w:rsid w:val="EB9FB9C6"/>
    <w:rsid w:val="EBBC3187"/>
    <w:rsid w:val="EBBE04EF"/>
    <w:rsid w:val="EBD54A6B"/>
    <w:rsid w:val="EBDE2B25"/>
    <w:rsid w:val="EBEDCF1A"/>
    <w:rsid w:val="EBEF7733"/>
    <w:rsid w:val="EBF7114F"/>
    <w:rsid w:val="EBFD3F93"/>
    <w:rsid w:val="EBFF2342"/>
    <w:rsid w:val="EBFF9926"/>
    <w:rsid w:val="EC2FDCD0"/>
    <w:rsid w:val="EC3B4D1A"/>
    <w:rsid w:val="EC3F85E1"/>
    <w:rsid w:val="ECD8E8D3"/>
    <w:rsid w:val="ECFBE4CD"/>
    <w:rsid w:val="ED5FC1AE"/>
    <w:rsid w:val="ED75487F"/>
    <w:rsid w:val="ED77DA7F"/>
    <w:rsid w:val="ED7AE755"/>
    <w:rsid w:val="ED8FDAFE"/>
    <w:rsid w:val="EDBB208B"/>
    <w:rsid w:val="EDF62F74"/>
    <w:rsid w:val="EDFDA358"/>
    <w:rsid w:val="EDFFEBCD"/>
    <w:rsid w:val="EE2E2900"/>
    <w:rsid w:val="EE35A594"/>
    <w:rsid w:val="EE4D2711"/>
    <w:rsid w:val="EE7FBCFA"/>
    <w:rsid w:val="EE8D4C37"/>
    <w:rsid w:val="EE9D96A7"/>
    <w:rsid w:val="EEBD1579"/>
    <w:rsid w:val="EEC70727"/>
    <w:rsid w:val="EEEF3D61"/>
    <w:rsid w:val="EEF579E9"/>
    <w:rsid w:val="EEFAFDDC"/>
    <w:rsid w:val="EF0DF19E"/>
    <w:rsid w:val="EF3727C7"/>
    <w:rsid w:val="EF3EC350"/>
    <w:rsid w:val="EF479EC6"/>
    <w:rsid w:val="EF5A6565"/>
    <w:rsid w:val="EF5E8911"/>
    <w:rsid w:val="EF6F7631"/>
    <w:rsid w:val="EF7B00EC"/>
    <w:rsid w:val="EF7D7F98"/>
    <w:rsid w:val="EF7F46C4"/>
    <w:rsid w:val="EF7F69EF"/>
    <w:rsid w:val="EF7FC0D1"/>
    <w:rsid w:val="EF8CC11B"/>
    <w:rsid w:val="EF8D5295"/>
    <w:rsid w:val="EF97244B"/>
    <w:rsid w:val="EF9ECB43"/>
    <w:rsid w:val="EFAC6CEF"/>
    <w:rsid w:val="EFAD9B20"/>
    <w:rsid w:val="EFAFC84F"/>
    <w:rsid w:val="EFBA3D3D"/>
    <w:rsid w:val="EFBB1E18"/>
    <w:rsid w:val="EFBB8883"/>
    <w:rsid w:val="EFBBD3AF"/>
    <w:rsid w:val="EFBBD5E8"/>
    <w:rsid w:val="EFBC32DE"/>
    <w:rsid w:val="EFBF2F55"/>
    <w:rsid w:val="EFC69317"/>
    <w:rsid w:val="EFCC3E2C"/>
    <w:rsid w:val="EFD9ED5D"/>
    <w:rsid w:val="EFDDB7B1"/>
    <w:rsid w:val="EFDF28E1"/>
    <w:rsid w:val="EFDF4297"/>
    <w:rsid w:val="EFE726A6"/>
    <w:rsid w:val="EFED05B5"/>
    <w:rsid w:val="EFED51D6"/>
    <w:rsid w:val="EFEDEC5D"/>
    <w:rsid w:val="EFEE1584"/>
    <w:rsid w:val="EFF21AB3"/>
    <w:rsid w:val="EFF5BFA4"/>
    <w:rsid w:val="EFF5F833"/>
    <w:rsid w:val="EFFB9829"/>
    <w:rsid w:val="EFFBF0FD"/>
    <w:rsid w:val="EFFC738B"/>
    <w:rsid w:val="EFFDAC72"/>
    <w:rsid w:val="EFFDF7A6"/>
    <w:rsid w:val="EFFE815F"/>
    <w:rsid w:val="EFFEB706"/>
    <w:rsid w:val="EFFF2BDC"/>
    <w:rsid w:val="EFFFA5B3"/>
    <w:rsid w:val="EFFFAAED"/>
    <w:rsid w:val="EFFFE98E"/>
    <w:rsid w:val="F1650175"/>
    <w:rsid w:val="F195064C"/>
    <w:rsid w:val="F1A54590"/>
    <w:rsid w:val="F1BFF92C"/>
    <w:rsid w:val="F1CB3DBB"/>
    <w:rsid w:val="F21E727A"/>
    <w:rsid w:val="F2799502"/>
    <w:rsid w:val="F27B90E4"/>
    <w:rsid w:val="F2EDB910"/>
    <w:rsid w:val="F2FBFAA6"/>
    <w:rsid w:val="F2FF5469"/>
    <w:rsid w:val="F39BDCAB"/>
    <w:rsid w:val="F39F26CA"/>
    <w:rsid w:val="F39F6079"/>
    <w:rsid w:val="F3B5F21A"/>
    <w:rsid w:val="F3BE2AAF"/>
    <w:rsid w:val="F3DCF0ED"/>
    <w:rsid w:val="F3DF811A"/>
    <w:rsid w:val="F3E3E4BE"/>
    <w:rsid w:val="F3EB4E2B"/>
    <w:rsid w:val="F3EF5B10"/>
    <w:rsid w:val="F3F167E4"/>
    <w:rsid w:val="F3FB46CB"/>
    <w:rsid w:val="F3FF548F"/>
    <w:rsid w:val="F3FF89BD"/>
    <w:rsid w:val="F45F6A09"/>
    <w:rsid w:val="F477B282"/>
    <w:rsid w:val="F4788011"/>
    <w:rsid w:val="F4F6BC6D"/>
    <w:rsid w:val="F4FF32D3"/>
    <w:rsid w:val="F4FF621F"/>
    <w:rsid w:val="F4FFA9DB"/>
    <w:rsid w:val="F54D80F9"/>
    <w:rsid w:val="F577423E"/>
    <w:rsid w:val="F58D7E4F"/>
    <w:rsid w:val="F593B0BD"/>
    <w:rsid w:val="F5BDE211"/>
    <w:rsid w:val="F5D75789"/>
    <w:rsid w:val="F5DEBC14"/>
    <w:rsid w:val="F5DFEF11"/>
    <w:rsid w:val="F5EB0C16"/>
    <w:rsid w:val="F5EB676B"/>
    <w:rsid w:val="F5EFEFCE"/>
    <w:rsid w:val="F5F4DCBC"/>
    <w:rsid w:val="F5F9D500"/>
    <w:rsid w:val="F5FB4308"/>
    <w:rsid w:val="F5FF5E2D"/>
    <w:rsid w:val="F5FFA53E"/>
    <w:rsid w:val="F5FFEE1E"/>
    <w:rsid w:val="F61F4729"/>
    <w:rsid w:val="F6453589"/>
    <w:rsid w:val="F6676EEE"/>
    <w:rsid w:val="F66B55F3"/>
    <w:rsid w:val="F67B6137"/>
    <w:rsid w:val="F67F4304"/>
    <w:rsid w:val="F69739FA"/>
    <w:rsid w:val="F69F2007"/>
    <w:rsid w:val="F6AE0AB7"/>
    <w:rsid w:val="F6B2123A"/>
    <w:rsid w:val="F6DCCC83"/>
    <w:rsid w:val="F6DF25AA"/>
    <w:rsid w:val="F6EE3938"/>
    <w:rsid w:val="F6EF0854"/>
    <w:rsid w:val="F6EFF97E"/>
    <w:rsid w:val="F6FBE325"/>
    <w:rsid w:val="F6FC4391"/>
    <w:rsid w:val="F6FCA0B1"/>
    <w:rsid w:val="F6FFB327"/>
    <w:rsid w:val="F739FAD9"/>
    <w:rsid w:val="F73F789E"/>
    <w:rsid w:val="F73F94B5"/>
    <w:rsid w:val="F73FB268"/>
    <w:rsid w:val="F75150C8"/>
    <w:rsid w:val="F76FE2F7"/>
    <w:rsid w:val="F7712BFD"/>
    <w:rsid w:val="F7768ECE"/>
    <w:rsid w:val="F77B989E"/>
    <w:rsid w:val="F77F1348"/>
    <w:rsid w:val="F77FF9B3"/>
    <w:rsid w:val="F78A69CC"/>
    <w:rsid w:val="F78FDD92"/>
    <w:rsid w:val="F79EC383"/>
    <w:rsid w:val="F79FA3F2"/>
    <w:rsid w:val="F7ADBA6B"/>
    <w:rsid w:val="F7AEA0C8"/>
    <w:rsid w:val="F7B695CC"/>
    <w:rsid w:val="F7B91025"/>
    <w:rsid w:val="F7B93460"/>
    <w:rsid w:val="F7BCE39F"/>
    <w:rsid w:val="F7BDFDC5"/>
    <w:rsid w:val="F7C70161"/>
    <w:rsid w:val="F7CBB2EB"/>
    <w:rsid w:val="F7CF4146"/>
    <w:rsid w:val="F7D72379"/>
    <w:rsid w:val="F7D7786B"/>
    <w:rsid w:val="F7DDFCFA"/>
    <w:rsid w:val="F7DF1DC9"/>
    <w:rsid w:val="F7E17A94"/>
    <w:rsid w:val="F7E53FAE"/>
    <w:rsid w:val="F7E6CDC7"/>
    <w:rsid w:val="F7E7B358"/>
    <w:rsid w:val="F7E92486"/>
    <w:rsid w:val="F7EB77FE"/>
    <w:rsid w:val="F7ED06B3"/>
    <w:rsid w:val="F7EDB92F"/>
    <w:rsid w:val="F7EEDBAB"/>
    <w:rsid w:val="F7EF47F3"/>
    <w:rsid w:val="F7F6403D"/>
    <w:rsid w:val="F7F7C19A"/>
    <w:rsid w:val="F7F7C8BF"/>
    <w:rsid w:val="F7FAA49B"/>
    <w:rsid w:val="F7FC8F63"/>
    <w:rsid w:val="F7FD23AE"/>
    <w:rsid w:val="F7FE4E74"/>
    <w:rsid w:val="F7FF243C"/>
    <w:rsid w:val="F7FF7B64"/>
    <w:rsid w:val="F7FFF52B"/>
    <w:rsid w:val="F87F605E"/>
    <w:rsid w:val="F8A7747D"/>
    <w:rsid w:val="F8F70D46"/>
    <w:rsid w:val="F8F8C04F"/>
    <w:rsid w:val="F8FF327C"/>
    <w:rsid w:val="F97602BD"/>
    <w:rsid w:val="F97D0745"/>
    <w:rsid w:val="F97FEBC0"/>
    <w:rsid w:val="F9BF51BA"/>
    <w:rsid w:val="F9C484D4"/>
    <w:rsid w:val="F9D7208C"/>
    <w:rsid w:val="F9D8E52B"/>
    <w:rsid w:val="F9F51F40"/>
    <w:rsid w:val="F9F6A0F2"/>
    <w:rsid w:val="F9F78102"/>
    <w:rsid w:val="FA3B8418"/>
    <w:rsid w:val="FA577E57"/>
    <w:rsid w:val="FABC5A2B"/>
    <w:rsid w:val="FACB9C27"/>
    <w:rsid w:val="FAD413D3"/>
    <w:rsid w:val="FAD68294"/>
    <w:rsid w:val="FAD70F65"/>
    <w:rsid w:val="FAEBC80F"/>
    <w:rsid w:val="FAFCD0E2"/>
    <w:rsid w:val="FAFE678F"/>
    <w:rsid w:val="FAFEA11A"/>
    <w:rsid w:val="FAFFC179"/>
    <w:rsid w:val="FB1BD6B4"/>
    <w:rsid w:val="FB2E0913"/>
    <w:rsid w:val="FB4537F8"/>
    <w:rsid w:val="FB5E947A"/>
    <w:rsid w:val="FB6FDB88"/>
    <w:rsid w:val="FB729E2A"/>
    <w:rsid w:val="FB7D4B94"/>
    <w:rsid w:val="FB9F81E0"/>
    <w:rsid w:val="FB9FED65"/>
    <w:rsid w:val="FBAFAB6E"/>
    <w:rsid w:val="FBB0619E"/>
    <w:rsid w:val="FBB26FA9"/>
    <w:rsid w:val="FBB9AB0D"/>
    <w:rsid w:val="FBB9F3C4"/>
    <w:rsid w:val="FBBB10BF"/>
    <w:rsid w:val="FBBD9A1D"/>
    <w:rsid w:val="FBBDEF7C"/>
    <w:rsid w:val="FBBFA0B0"/>
    <w:rsid w:val="FBBFF976"/>
    <w:rsid w:val="FBCFDF79"/>
    <w:rsid w:val="FBDF03DC"/>
    <w:rsid w:val="FBDF20F5"/>
    <w:rsid w:val="FBDF4DFE"/>
    <w:rsid w:val="FBDFBF55"/>
    <w:rsid w:val="FBED8833"/>
    <w:rsid w:val="FBEEBFCF"/>
    <w:rsid w:val="FBEFB744"/>
    <w:rsid w:val="FBF18C96"/>
    <w:rsid w:val="FBF21445"/>
    <w:rsid w:val="FBF32689"/>
    <w:rsid w:val="FBF51ACE"/>
    <w:rsid w:val="FBF5829B"/>
    <w:rsid w:val="FBF77645"/>
    <w:rsid w:val="FBF7D68D"/>
    <w:rsid w:val="FBF7DCFE"/>
    <w:rsid w:val="FBFAD953"/>
    <w:rsid w:val="FBFAD9B0"/>
    <w:rsid w:val="FBFBFA1A"/>
    <w:rsid w:val="FBFD1556"/>
    <w:rsid w:val="FBFD4995"/>
    <w:rsid w:val="FBFE294D"/>
    <w:rsid w:val="FBFE9538"/>
    <w:rsid w:val="FBFE99C9"/>
    <w:rsid w:val="FBFEEB44"/>
    <w:rsid w:val="FC2ECEFF"/>
    <w:rsid w:val="FC3F1155"/>
    <w:rsid w:val="FC3FC475"/>
    <w:rsid w:val="FC4455C8"/>
    <w:rsid w:val="FC4DBEE6"/>
    <w:rsid w:val="FC53B003"/>
    <w:rsid w:val="FC5F3C9E"/>
    <w:rsid w:val="FC7E3DFA"/>
    <w:rsid w:val="FC7FDA7B"/>
    <w:rsid w:val="FCBF7540"/>
    <w:rsid w:val="FCD3EDBB"/>
    <w:rsid w:val="FCDA9516"/>
    <w:rsid w:val="FCDD120C"/>
    <w:rsid w:val="FCDD36B1"/>
    <w:rsid w:val="FCDF5403"/>
    <w:rsid w:val="FCEAA8C7"/>
    <w:rsid w:val="FCED4E79"/>
    <w:rsid w:val="FCEF5364"/>
    <w:rsid w:val="FCEFD976"/>
    <w:rsid w:val="FCF66698"/>
    <w:rsid w:val="FCFD8AA7"/>
    <w:rsid w:val="FCFF2AB0"/>
    <w:rsid w:val="FCFF57F2"/>
    <w:rsid w:val="FD1F621F"/>
    <w:rsid w:val="FD26D8F5"/>
    <w:rsid w:val="FD2B7B76"/>
    <w:rsid w:val="FD5D66D7"/>
    <w:rsid w:val="FD67647F"/>
    <w:rsid w:val="FD6FF7D9"/>
    <w:rsid w:val="FD77825E"/>
    <w:rsid w:val="FD7F3B00"/>
    <w:rsid w:val="FD7F63CE"/>
    <w:rsid w:val="FD7F7CD1"/>
    <w:rsid w:val="FD7F95B5"/>
    <w:rsid w:val="FD857CF4"/>
    <w:rsid w:val="FD9AC060"/>
    <w:rsid w:val="FD9F2762"/>
    <w:rsid w:val="FD9FFA39"/>
    <w:rsid w:val="FDAE3423"/>
    <w:rsid w:val="FDB773A3"/>
    <w:rsid w:val="FDB77A08"/>
    <w:rsid w:val="FDB7A512"/>
    <w:rsid w:val="FDB7B633"/>
    <w:rsid w:val="FDBC12F5"/>
    <w:rsid w:val="FDBD3629"/>
    <w:rsid w:val="FDBD86A0"/>
    <w:rsid w:val="FDBF70E4"/>
    <w:rsid w:val="FDCE3F09"/>
    <w:rsid w:val="FDD5E156"/>
    <w:rsid w:val="FDDBA897"/>
    <w:rsid w:val="FDDC1FC9"/>
    <w:rsid w:val="FDDC3E47"/>
    <w:rsid w:val="FDDD5383"/>
    <w:rsid w:val="FDDDC615"/>
    <w:rsid w:val="FDE707DF"/>
    <w:rsid w:val="FDEBEC7F"/>
    <w:rsid w:val="FDEE7417"/>
    <w:rsid w:val="FDF47E18"/>
    <w:rsid w:val="FDF6EAEB"/>
    <w:rsid w:val="FDF70055"/>
    <w:rsid w:val="FDF7291B"/>
    <w:rsid w:val="FDF771AF"/>
    <w:rsid w:val="FDF78FC0"/>
    <w:rsid w:val="FDF962F9"/>
    <w:rsid w:val="FDFB1A55"/>
    <w:rsid w:val="FDFD308D"/>
    <w:rsid w:val="FDFF2205"/>
    <w:rsid w:val="FDFFE00F"/>
    <w:rsid w:val="FDFFE097"/>
    <w:rsid w:val="FE1D31B6"/>
    <w:rsid w:val="FE3F448C"/>
    <w:rsid w:val="FE560BCD"/>
    <w:rsid w:val="FE5635F3"/>
    <w:rsid w:val="FE5F0C68"/>
    <w:rsid w:val="FE5F5187"/>
    <w:rsid w:val="FE7703C6"/>
    <w:rsid w:val="FE771796"/>
    <w:rsid w:val="FE7D3ED4"/>
    <w:rsid w:val="FE7E02CD"/>
    <w:rsid w:val="FE7E3823"/>
    <w:rsid w:val="FE7EAAB2"/>
    <w:rsid w:val="FE7FFD49"/>
    <w:rsid w:val="FE9F7EB8"/>
    <w:rsid w:val="FEA35C32"/>
    <w:rsid w:val="FEB5A76D"/>
    <w:rsid w:val="FEC39F8D"/>
    <w:rsid w:val="FECD0DF6"/>
    <w:rsid w:val="FEDE0DA5"/>
    <w:rsid w:val="FEDE4421"/>
    <w:rsid w:val="FEDFFBB0"/>
    <w:rsid w:val="FEE3B27A"/>
    <w:rsid w:val="FEE58EA5"/>
    <w:rsid w:val="FEED25F1"/>
    <w:rsid w:val="FEED2F9C"/>
    <w:rsid w:val="FEEF824D"/>
    <w:rsid w:val="FEF7B854"/>
    <w:rsid w:val="FEF7FCC4"/>
    <w:rsid w:val="FEFC7E03"/>
    <w:rsid w:val="FEFDB842"/>
    <w:rsid w:val="FEFE7EF4"/>
    <w:rsid w:val="FEFF31FC"/>
    <w:rsid w:val="FEFF49C7"/>
    <w:rsid w:val="FEFF52AC"/>
    <w:rsid w:val="FEFFBAB9"/>
    <w:rsid w:val="FEFFC2B8"/>
    <w:rsid w:val="FF130693"/>
    <w:rsid w:val="FF1BEEBD"/>
    <w:rsid w:val="FF1EDC80"/>
    <w:rsid w:val="FF26B918"/>
    <w:rsid w:val="FF2D6ED3"/>
    <w:rsid w:val="FF32D183"/>
    <w:rsid w:val="FF3C3ADE"/>
    <w:rsid w:val="FF3D6A39"/>
    <w:rsid w:val="FF3EF80B"/>
    <w:rsid w:val="FF3F1129"/>
    <w:rsid w:val="FF3FF55E"/>
    <w:rsid w:val="FF438CFE"/>
    <w:rsid w:val="FF49330C"/>
    <w:rsid w:val="FF521FF8"/>
    <w:rsid w:val="FF5AB476"/>
    <w:rsid w:val="FF5F1805"/>
    <w:rsid w:val="FF5F3F6F"/>
    <w:rsid w:val="FF5F48EC"/>
    <w:rsid w:val="FF619C13"/>
    <w:rsid w:val="FF62D1EC"/>
    <w:rsid w:val="FF67DE3E"/>
    <w:rsid w:val="FF6913B7"/>
    <w:rsid w:val="FF6AAB01"/>
    <w:rsid w:val="FF6BEAE9"/>
    <w:rsid w:val="FF6FDCFB"/>
    <w:rsid w:val="FF73B3AC"/>
    <w:rsid w:val="FF758D94"/>
    <w:rsid w:val="FF76A315"/>
    <w:rsid w:val="FF7700AB"/>
    <w:rsid w:val="FF7721C0"/>
    <w:rsid w:val="FF778958"/>
    <w:rsid w:val="FF7B0831"/>
    <w:rsid w:val="FF7BC78C"/>
    <w:rsid w:val="FF7E06C6"/>
    <w:rsid w:val="FF7F5349"/>
    <w:rsid w:val="FF7F9F04"/>
    <w:rsid w:val="FF867EE5"/>
    <w:rsid w:val="FF8FC6EC"/>
    <w:rsid w:val="FF9798D0"/>
    <w:rsid w:val="FF9FCAD3"/>
    <w:rsid w:val="FFA629A6"/>
    <w:rsid w:val="FFA76D41"/>
    <w:rsid w:val="FFAAFD0F"/>
    <w:rsid w:val="FFAF3C83"/>
    <w:rsid w:val="FFB28458"/>
    <w:rsid w:val="FFB42E63"/>
    <w:rsid w:val="FFB6CB4A"/>
    <w:rsid w:val="FFB7F637"/>
    <w:rsid w:val="FFB9D6ED"/>
    <w:rsid w:val="FFBC5357"/>
    <w:rsid w:val="FFBC6ED7"/>
    <w:rsid w:val="FFBD0779"/>
    <w:rsid w:val="FFBD40E6"/>
    <w:rsid w:val="FFBEA2F9"/>
    <w:rsid w:val="FFBF1461"/>
    <w:rsid w:val="FFBF3862"/>
    <w:rsid w:val="FFBFB1B1"/>
    <w:rsid w:val="FFBFD564"/>
    <w:rsid w:val="FFBFDCF6"/>
    <w:rsid w:val="FFC7EB2D"/>
    <w:rsid w:val="FFCB053B"/>
    <w:rsid w:val="FFCD3C8B"/>
    <w:rsid w:val="FFCDD062"/>
    <w:rsid w:val="FFCE6B0B"/>
    <w:rsid w:val="FFCF22B0"/>
    <w:rsid w:val="FFCF4ABC"/>
    <w:rsid w:val="FFCF6118"/>
    <w:rsid w:val="FFCFEEC8"/>
    <w:rsid w:val="FFD32D3C"/>
    <w:rsid w:val="FFD3D6B6"/>
    <w:rsid w:val="FFD77A81"/>
    <w:rsid w:val="FFDBD627"/>
    <w:rsid w:val="FFDD4043"/>
    <w:rsid w:val="FFDDC1DD"/>
    <w:rsid w:val="FFDDCEBF"/>
    <w:rsid w:val="FFDE7AA0"/>
    <w:rsid w:val="FFDF6E0E"/>
    <w:rsid w:val="FFDFB31B"/>
    <w:rsid w:val="FFDFC932"/>
    <w:rsid w:val="FFE1A067"/>
    <w:rsid w:val="FFE2F0F3"/>
    <w:rsid w:val="FFE30D38"/>
    <w:rsid w:val="FFE6180F"/>
    <w:rsid w:val="FFE6A8D9"/>
    <w:rsid w:val="FFE75944"/>
    <w:rsid w:val="FFE769FE"/>
    <w:rsid w:val="FFEADCA9"/>
    <w:rsid w:val="FFEB5E4B"/>
    <w:rsid w:val="FFEBAA1F"/>
    <w:rsid w:val="FFED06A3"/>
    <w:rsid w:val="FFED82B7"/>
    <w:rsid w:val="FFEDD1AD"/>
    <w:rsid w:val="FFEE0CA8"/>
    <w:rsid w:val="FFEEB36D"/>
    <w:rsid w:val="FFEEEC70"/>
    <w:rsid w:val="FFEEF9F2"/>
    <w:rsid w:val="FFEF264A"/>
    <w:rsid w:val="FFEF2B7F"/>
    <w:rsid w:val="FFEF48BD"/>
    <w:rsid w:val="FFEFB043"/>
    <w:rsid w:val="FFEFD1FB"/>
    <w:rsid w:val="FFEFF522"/>
    <w:rsid w:val="FFF154BB"/>
    <w:rsid w:val="FFF28D77"/>
    <w:rsid w:val="FFF51B3B"/>
    <w:rsid w:val="FFF54094"/>
    <w:rsid w:val="FFF5EA56"/>
    <w:rsid w:val="FFF67A2E"/>
    <w:rsid w:val="FFF7109D"/>
    <w:rsid w:val="FFF71F1E"/>
    <w:rsid w:val="FFF753A2"/>
    <w:rsid w:val="FFF76152"/>
    <w:rsid w:val="FFF78508"/>
    <w:rsid w:val="FFF7F1C8"/>
    <w:rsid w:val="FFF94F6D"/>
    <w:rsid w:val="FFF97638"/>
    <w:rsid w:val="FFF987A9"/>
    <w:rsid w:val="FFFA0558"/>
    <w:rsid w:val="FFFB0279"/>
    <w:rsid w:val="FFFBD5D2"/>
    <w:rsid w:val="FFFBE0E0"/>
    <w:rsid w:val="FFFD909F"/>
    <w:rsid w:val="FFFDEC00"/>
    <w:rsid w:val="FFFE48C9"/>
    <w:rsid w:val="FFFE72B7"/>
    <w:rsid w:val="FFFEA232"/>
    <w:rsid w:val="FFFEABA9"/>
    <w:rsid w:val="FFFF1183"/>
    <w:rsid w:val="FFFF1857"/>
    <w:rsid w:val="FFFF1DE2"/>
    <w:rsid w:val="FFFF2EE2"/>
    <w:rsid w:val="FFFF4735"/>
    <w:rsid w:val="FFFF47F4"/>
    <w:rsid w:val="FFFF6A82"/>
    <w:rsid w:val="FFFF8C3C"/>
    <w:rsid w:val="FFFFA574"/>
    <w:rsid w:val="FFFFB13F"/>
    <w:rsid w:val="FFFFB21E"/>
    <w:rsid w:val="FFFFB49A"/>
    <w:rsid w:val="FFFFC5E3"/>
    <w:rsid w:val="FFFFD1BD"/>
    <w:rsid w:val="FFFFD6E6"/>
    <w:rsid w:val="FFFFE9C1"/>
    <w:rsid w:val="FFFFF5B3"/>
    <w:rsid w:val="FFFFFA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9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99" w:semiHidden="0" w:name="heading 5"/>
    <w:lsdException w:qFormat="1" w:unhideWhenUsed="0" w:uiPriority="0" w:semiHidden="0" w:name="heading 6"/>
    <w:lsdException w:qFormat="1" w:uiPriority="9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qFormat="1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qFormat="1" w:unhideWhenUsed="0" w:uiPriority="0" w:semiHidden="0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qFormat="1" w:uiPriority="99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qFormat="1" w:unhideWhenUsed="0" w:uiPriority="0" w:semiHidden="0" w:name="Body Text 3"/>
    <w:lsdException w:uiPriority="99" w:name="Body Text Indent 2"/>
    <w:lsdException w:uiPriority="99" w:name="Body Text Indent 3"/>
    <w:lsdException w:qFormat="1" w:uiPriority="9" w:semiHidden="0" w:name="Block Text"/>
    <w:lsdException w:qFormat="1" w:unhideWhenUsed="0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24" w:lineRule="auto" w:after="80"/>
      <w:jc w:val="both"/>
    </w:pPr>
    <w:rPr>
      <w:rFonts w:ascii="Times New Roman" w:hAnsi="Times New Roman" w:eastAsia="Songti SC" w:cs="Times New Roman"/>
      <w:color w:val="000000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beforeLines="50" w:after="200" w:afterLines="50" w:line="276" w:lineRule="auto"/>
      <w:outlineLvl w:val="0"/>
    </w:pPr>
    <w:rPr>
      <w:rFonts w:eastAsia="STHeiti" w:ascii="Times New Roman" w:hAnsi="Times New Roman"/>
      <w:b/>
      <w:color w:val="000000"/>
      <w:kern w:val="44"/>
      <w:sz w:val="32"/>
    </w:rPr>
  </w:style>
  <w:style w:type="paragraph" w:styleId="3">
    <w:name w:val="heading 2"/>
    <w:basedOn w:val="1"/>
    <w:next w:val="1"/>
    <w:link w:val="81"/>
    <w:qFormat/>
    <w:uiPriority w:val="99"/>
    <w:pPr>
      <w:keepNext/>
      <w:keepLines/>
      <w:spacing w:before="280" w:beforeLines="50" w:after="120" w:afterLines="50" w:line="276" w:lineRule="auto"/>
      <w:ind w:left="181" w:firstLine="170"/>
      <w:outlineLvl w:val="1"/>
    </w:pPr>
    <w:rPr>
      <w:rFonts w:eastAsia="STHeiti" w:ascii="Times New Roman" w:hAnsi="Times New Roman"/>
      <w:b/>
      <w:color w:val="000000"/>
      <w:sz w:val="28"/>
    </w:rPr>
  </w:style>
  <w:style w:type="paragraph" w:styleId="4">
    <w:name w:val="heading 3"/>
    <w:basedOn w:val="1"/>
    <w:next w:val="5"/>
    <w:link w:val="80"/>
    <w:qFormat/>
    <w:uiPriority w:val="0"/>
    <w:pPr>
      <w:keepNext/>
      <w:keepLines/>
      <w:spacing w:before="200" w:beforeLines="50" w:after="80" w:afterLines="50" w:line="276" w:lineRule="auto"/>
      <w:ind w:left="238" w:firstLine="79"/>
      <w:outlineLvl w:val="2"/>
    </w:pPr>
    <w:rPr>
      <w:rFonts w:ascii="Times New Roman" w:hAnsi="Times New Roman" w:eastAsia="STHeiti"/>
      <w:b/>
      <w:color w:val="000000"/>
      <w:sz w:val="24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160" w:beforeLines="50" w:after="60" w:afterLines="50" w:line="276" w:lineRule="auto"/>
      <w:ind w:left="311" w:firstLine="97"/>
      <w:outlineLvl w:val="3"/>
    </w:pPr>
    <w:rPr>
      <w:rFonts w:ascii="Times New Roman" w:hAnsi="Times New Roman" w:eastAsia="STHeiti"/>
      <w:b/>
      <w:color w:val="000000"/>
      <w:sz w:val="22"/>
    </w:rPr>
  </w:style>
  <w:style w:type="paragraph" w:styleId="7">
    <w:name w:val="heading 5"/>
    <w:basedOn w:val="1"/>
    <w:next w:val="1"/>
    <w:qFormat/>
    <w:uiPriority w:val="99"/>
    <w:pPr>
      <w:keepNext/>
      <w:keepLines/>
      <w:numPr>
        <w:ilvl w:val="4"/>
        <w:numId w:val="1"/>
      </w:numPr>
      <w:spacing w:before="156" w:beforeLines="50" w:after="156" w:afterLines="50" w:line="360" w:lineRule="auto"/>
      <w:ind w:left="1008" w:hanging="600"/>
      <w:outlineLvl w:val="4"/>
    </w:pPr>
    <w:rPr>
      <w:rFonts w:ascii="Times New Roman" w:hAnsi="Times New Roman" w:eastAsia="黑体"/>
    </w:rPr>
  </w:style>
  <w:style w:type="paragraph" w:styleId="8">
    <w:name w:val="heading 6"/>
    <w:basedOn w:val="1"/>
    <w:next w:val="1"/>
    <w:link w:val="38"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9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10">
    <w:name w:val="heading 8"/>
    <w:basedOn w:val="1"/>
    <w:next w:val="1"/>
    <w:link w:val="39"/>
    <w:qFormat/>
    <w:uiPriority w:val="0"/>
    <w:pPr>
      <w:keepNext/>
      <w:keepLines/>
      <w:numPr>
        <w:ilvl w:val="7"/>
        <w:numId w:val="1"/>
      </w:numPr>
      <w:spacing w:before="240" w:beforeLines="0" w:after="64" w:afterLines="0" w:line="320" w:lineRule="auto"/>
      <w:ind w:left="1440" w:hanging="1440"/>
      <w:outlineLvl w:val="7"/>
    </w:pPr>
    <w:rPr>
      <w:rFonts w:ascii="Cambria" w:hAnsi="Cambria" w:eastAsia="宋体" w:cs="Times New Roman"/>
      <w:kern w:val="2"/>
      <w:sz w:val="24"/>
      <w:szCs w:val="24"/>
    </w:rPr>
  </w:style>
  <w:style w:type="paragraph" w:styleId="11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33">
    <w:name w:val="Default Paragraph Font"/>
    <w:qFormat/>
    <w:uiPriority w:val="0"/>
  </w:style>
  <w:style w:type="table" w:default="1" w:styleId="31">
    <w:name w:val="Normal Table"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42"/>
    <w:unhideWhenUsed/>
    <w:qFormat/>
    <w:uiPriority w:val="99"/>
    <w:pPr>
      <w:spacing w:after="120"/>
    </w:pPr>
    <w:rPr>
      <w:rFonts w:eastAsia="宋体"/>
      <w:sz w:val="18"/>
    </w:rPr>
  </w:style>
  <w:style w:type="paragraph" w:styleId="12">
    <w:name w:val="List Number 2"/>
    <w:basedOn w:val="1"/>
    <w:qFormat/>
    <w:uiPriority w:val="0"/>
    <w:pPr>
      <w:tabs>
        <w:tab w:val="left" w:pos="840"/>
      </w:tabs>
      <w:ind w:left="840" w:hanging="420"/>
    </w:pPr>
  </w:style>
  <w:style w:type="paragraph" w:styleId="13">
    <w:name w:val="Normal Indent"/>
    <w:basedOn w:val="1"/>
    <w:qFormat/>
    <w:uiPriority w:val="0"/>
    <w:pPr>
      <w:ind w:firstLine="420"/>
    </w:pPr>
  </w:style>
  <w:style w:type="paragraph" w:styleId="14">
    <w:name w:val="Document Map"/>
    <w:basedOn w:val="1"/>
    <w:qFormat/>
    <w:uiPriority w:val="0"/>
    <w:pPr>
      <w:shd w:val="clear" w:color="auto" w:fill="000080"/>
    </w:pPr>
  </w:style>
  <w:style w:type="paragraph" w:styleId="15">
    <w:name w:val="annotation text"/>
    <w:basedOn w:val="1"/>
    <w:link w:val="40"/>
    <w:unhideWhenUsed/>
    <w:qFormat/>
    <w:uiPriority w:val="0"/>
    <w:pPr>
      <w:spacing w:line="360" w:lineRule="auto"/>
      <w:jc w:val="left"/>
    </w:pPr>
  </w:style>
  <w:style w:type="paragraph" w:styleId="16">
    <w:name w:val="Body Text 3"/>
    <w:basedOn w:val="1"/>
    <w:link w:val="41"/>
    <w:qFormat/>
    <w:uiPriority w:val="0"/>
    <w:pPr>
      <w:spacing w:line="0" w:lineRule="atLeast"/>
      <w:jc w:val="center"/>
    </w:pPr>
    <w:rPr>
      <w:rFonts w:ascii="黑体" w:eastAsia="黑体"/>
      <w:kern w:val="2"/>
      <w:sz w:val="24"/>
      <w:szCs w:val="24"/>
    </w:rPr>
  </w:style>
  <w:style w:type="paragraph" w:styleId="17">
    <w:name w:val="Body Text Indent"/>
    <w:basedOn w:val="1"/>
    <w:qFormat/>
    <w:uiPriority w:val="0"/>
    <w:pPr>
      <w:widowControl/>
      <w:autoSpaceDE w:val="0"/>
      <w:autoSpaceDN w:val="0"/>
      <w:adjustRightInd w:val="0"/>
      <w:spacing w:line="360" w:lineRule="auto"/>
      <w:ind w:firstLine="723" w:firstLineChars="200"/>
      <w:textAlignment w:val="bottom"/>
    </w:pPr>
    <w:rPr>
      <w:rFonts w:ascii="宋体" w:hAnsi="宋体"/>
      <w:kern w:val="0"/>
      <w:sz w:val="24"/>
      <w:szCs w:val="20"/>
    </w:rPr>
  </w:style>
  <w:style w:type="paragraph" w:styleId="18">
    <w:name w:val="Block Text"/>
    <w:basedOn w:val="5"/>
    <w:next w:val="5"/>
    <w:unhideWhenUsed/>
    <w:qFormat/>
    <w:uiPriority w:val="9"/>
    <w:pPr>
      <w:spacing w:before="100" w:after="100"/>
      <w:ind w:left="480" w:right="480" w:firstLine="0"/>
    </w:pPr>
  </w:style>
  <w:style w:type="paragraph" w:styleId="19">
    <w:name w:val="toc 3"/>
    <w:basedOn w:val="1"/>
    <w:next w:val="1"/>
    <w:qFormat/>
    <w:uiPriority w:val="39"/>
    <w:pPr>
      <w:ind w:left="840" w:leftChars="400"/>
    </w:pPr>
  </w:style>
  <w:style w:type="paragraph" w:styleId="20">
    <w:name w:val="Plain Text"/>
    <w:basedOn w:val="1"/>
    <w:link w:val="43"/>
    <w:qFormat/>
    <w:uiPriority w:val="0"/>
    <w:rPr>
      <w:rFonts w:ascii="宋体" w:hAnsi="Courier New"/>
      <w:kern w:val="2"/>
      <w:sz w:val="21"/>
      <w:szCs w:val="21"/>
    </w:rPr>
  </w:style>
  <w:style w:type="paragraph" w:styleId="21">
    <w:name w:val="Balloon Text"/>
    <w:basedOn w:val="1"/>
    <w:link w:val="44"/>
    <w:unhideWhenUsed/>
    <w:qFormat/>
    <w:uiPriority w:val="99"/>
    <w:rPr>
      <w:sz w:val="18"/>
      <w:szCs w:val="18"/>
    </w:rPr>
  </w:style>
  <w:style w:type="paragraph" w:styleId="22">
    <w:name w:val="footer"/>
    <w:basedOn w:val="1"/>
    <w:link w:val="45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24">
    <w:name w:val="toc 1"/>
    <w:basedOn w:val="1"/>
    <w:next w:val="1"/>
    <w:link w:val="74"/>
    <w:qFormat/>
    <w:uiPriority w:val="39"/>
  </w:style>
  <w:style w:type="paragraph" w:styleId="25">
    <w:name w:val="List"/>
    <w:basedOn w:val="1"/>
    <w:link w:val="73"/>
    <w:qFormat/>
    <w:uiPriority w:val="0"/>
    <w:pPr>
      <w:ind w:left="200" w:hanging="200" w:hangingChars="200"/>
      <w:contextualSpacing/>
    </w:pPr>
  </w:style>
  <w:style w:type="paragraph" w:styleId="26">
    <w:name w:val="table of figures"/>
    <w:basedOn w:val="1"/>
    <w:next w:val="1"/>
    <w:unhideWhenUsed/>
    <w:qFormat/>
    <w:uiPriority w:val="99"/>
    <w:pPr>
      <w:ind w:left="200" w:leftChars="200" w:hanging="200" w:hangingChars="200"/>
    </w:pPr>
  </w:style>
  <w:style w:type="paragraph" w:styleId="27">
    <w:name w:val="toc 2"/>
    <w:basedOn w:val="1"/>
    <w:next w:val="1"/>
    <w:qFormat/>
    <w:uiPriority w:val="39"/>
    <w:pPr>
      <w:ind w:left="420" w:leftChars="200"/>
    </w:pPr>
  </w:style>
  <w:style w:type="paragraph" w:styleId="28">
    <w:name w:val="Normal (Web)"/>
    <w:basedOn w:val="1"/>
    <w:unhideWhenUsed/>
    <w:qFormat/>
    <w:uiPriority w:val="99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29">
    <w:name w:val="Title"/>
    <w:basedOn w:val="1"/>
    <w:next w:val="1"/>
    <w:link w:val="46"/>
    <w:qFormat/>
    <w:uiPriority w:val="0"/>
    <w:pPr>
      <w:keepNext/>
      <w:wordWrap w:val="0"/>
      <w:spacing w:after="240"/>
      <w:jc w:val="center"/>
    </w:pPr>
    <w:rPr>
      <w:rFonts w:ascii="Times New Roman" w:hAnsi="Times New Roman" w:eastAsia="STHeiti"/>
      <w:b/>
      <w:color w:val="000000"/>
      <w:kern w:val="0"/>
      <w:sz w:val="48"/>
    </w:rPr>
  </w:style>
  <w:style w:type="paragraph" w:styleId="30">
    <w:name w:val="Body Text First Indent"/>
    <w:basedOn w:val="5"/>
    <w:link w:val="47"/>
    <w:unhideWhenUsed/>
    <w:qFormat/>
    <w:uiPriority w:val="99"/>
    <w:pPr>
      <w:ind w:firstLine="420" w:firstLineChars="100"/>
    </w:pPr>
  </w:style>
  <w:style w:type="table" w:styleId="32">
    <w:name w:val="Table Grid"/>
    <w:basedOn w:val="31"/>
    <w:qFormat/>
    <w:uiPriority w:val="59"/>
    <w:rPr>
      <w:rFonts w:ascii="Calibri" w:hAnsi="Calibri" w:eastAsia="宋体" w:cs="Times New Roman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34">
    <w:name w:val="Strong"/>
    <w:basedOn w:val="33"/>
    <w:qFormat/>
    <w:uiPriority w:val="22"/>
    <w:rPr>
      <w:b/>
    </w:rPr>
  </w:style>
  <w:style w:type="character" w:styleId="35">
    <w:name w:val="page number"/>
    <w:basedOn w:val="33"/>
    <w:qFormat/>
    <w:uiPriority w:val="0"/>
  </w:style>
  <w:style w:type="character" w:styleId="36">
    <w:name w:val="FollowedHyperlink"/>
    <w:basedOn w:val="33"/>
    <w:semiHidden/>
    <w:unhideWhenUsed/>
    <w:qFormat/>
    <w:uiPriority w:val="99"/>
    <w:rPr>
      <w:color w:val="800080"/>
      <w:u w:val="single"/>
    </w:rPr>
  </w:style>
  <w:style w:type="character" w:styleId="37">
    <w:name w:val="Hyperlink"/>
    <w:qFormat/>
    <w:uiPriority w:val="99"/>
    <w:rPr>
      <w:color w:val="0000FF"/>
      <w:u w:val="single"/>
    </w:rPr>
  </w:style>
  <w:style w:type="character" w:customStyle="1" w:styleId="38">
    <w:name w:val="标题 6 Char"/>
    <w:link w:val="8"/>
    <w:qFormat/>
    <w:uiPriority w:val="0"/>
    <w:rPr>
      <w:rFonts w:ascii="Arial" w:hAnsi="Arial" w:eastAsia="黑体"/>
      <w:b/>
      <w:kern w:val="2"/>
      <w:sz w:val="24"/>
    </w:rPr>
  </w:style>
  <w:style w:type="character" w:customStyle="1" w:styleId="39">
    <w:name w:val="标题 8 Char"/>
    <w:link w:val="10"/>
    <w:qFormat/>
    <w:uiPriority w:val="0"/>
    <w:rPr>
      <w:rFonts w:ascii="Cambria" w:hAnsi="Cambria" w:eastAsia="宋体" w:cs="Times New Roman"/>
      <w:kern w:val="2"/>
      <w:sz w:val="24"/>
      <w:szCs w:val="24"/>
    </w:rPr>
  </w:style>
  <w:style w:type="character" w:customStyle="1" w:styleId="40">
    <w:name w:val="批注文字 Char"/>
    <w:link w:val="15"/>
    <w:semiHidden/>
    <w:qFormat/>
    <w:uiPriority w:val="0"/>
    <w:rPr>
      <w:kern w:val="2"/>
      <w:sz w:val="21"/>
    </w:rPr>
  </w:style>
  <w:style w:type="character" w:customStyle="1" w:styleId="41">
    <w:name w:val="正文文本 3 Char"/>
    <w:link w:val="16"/>
    <w:qFormat/>
    <w:uiPriority w:val="0"/>
    <w:rPr>
      <w:rFonts w:ascii="黑体" w:eastAsia="黑体"/>
      <w:kern w:val="2"/>
      <w:sz w:val="24"/>
      <w:szCs w:val="24"/>
    </w:rPr>
  </w:style>
  <w:style w:type="character" w:customStyle="1" w:styleId="42">
    <w:name w:val="正文文本 Char"/>
    <w:link w:val="5"/>
    <w:semiHidden/>
    <w:qFormat/>
    <w:uiPriority w:val="99"/>
    <w:rPr>
      <w:rFonts w:eastAsia="宋体"/>
      <w:kern w:val="2"/>
      <w:sz w:val="18"/>
    </w:rPr>
  </w:style>
  <w:style w:type="character" w:customStyle="1" w:styleId="43">
    <w:name w:val="纯文本 Char"/>
    <w:link w:val="20"/>
    <w:qFormat/>
    <w:uiPriority w:val="0"/>
    <w:rPr>
      <w:rFonts w:ascii="宋体" w:hAnsi="Courier New"/>
      <w:kern w:val="2"/>
      <w:sz w:val="21"/>
      <w:szCs w:val="21"/>
    </w:rPr>
  </w:style>
  <w:style w:type="character" w:customStyle="1" w:styleId="44">
    <w:name w:val="批注框文本 Char"/>
    <w:link w:val="21"/>
    <w:semiHidden/>
    <w:qFormat/>
    <w:uiPriority w:val="99"/>
    <w:rPr>
      <w:kern w:val="2"/>
      <w:sz w:val="18"/>
      <w:szCs w:val="18"/>
    </w:rPr>
  </w:style>
  <w:style w:type="character" w:customStyle="1" w:styleId="45">
    <w:name w:val="页脚 Char"/>
    <w:link w:val="22"/>
    <w:qFormat/>
    <w:uiPriority w:val="99"/>
    <w:rPr>
      <w:kern w:val="2"/>
      <w:sz w:val="18"/>
    </w:rPr>
  </w:style>
  <w:style w:type="character" w:customStyle="1" w:styleId="46">
    <w:name w:val="标题 Char"/>
    <w:link w:val="29"/>
    <w:qFormat/>
    <w:uiPriority w:val="0"/>
    <w:rPr>
      <w:b/>
      <w:sz w:val="36"/>
    </w:rPr>
  </w:style>
  <w:style w:type="character" w:customStyle="1" w:styleId="47">
    <w:name w:val="正文首行缩进 Char"/>
    <w:basedOn w:val="42"/>
    <w:link w:val="30"/>
    <w:semiHidden/>
    <w:qFormat/>
    <w:uiPriority w:val="99"/>
  </w:style>
  <w:style w:type="paragraph" w:customStyle="1" w:styleId="48">
    <w:name w:val="正文（首行缩进）"/>
    <w:basedOn w:val="1"/>
    <w:qFormat/>
    <w:uiPriority w:val="0"/>
    <w:pPr>
      <w:widowControl/>
      <w:ind w:firstLine="480" w:firstLineChars="200"/>
    </w:pPr>
    <w:rPr>
      <w:rFonts w:ascii="Calibri" w:hAnsi="Calibri"/>
      <w:szCs w:val="21"/>
    </w:rPr>
  </w:style>
  <w:style w:type="character" w:customStyle="1" w:styleId="49">
    <w:name w:val="bluewrite"/>
    <w:qFormat/>
    <w:uiPriority w:val="0"/>
    <w:rPr>
      <w:rFonts w:eastAsia="宋体"/>
      <w:i/>
      <w:color w:val="3366FF"/>
      <w:sz w:val="21"/>
    </w:rPr>
  </w:style>
  <w:style w:type="character" w:customStyle="1" w:styleId="50">
    <w:name w:val="纯文本 Char Char"/>
    <w:qFormat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51">
    <w:name w:val="Tabletext"/>
    <w:basedOn w:val="1"/>
    <w:qFormat/>
    <w:uiPriority w:val="0"/>
    <w:pPr>
      <w:keepLines/>
      <w:wordWrap w:val="0"/>
      <w:spacing w:after="120" w:line="400" w:lineRule="atLeast"/>
      <w:ind w:left="1701"/>
      <w:jc w:val="left"/>
    </w:pPr>
    <w:rPr>
      <w:kern w:val="0"/>
      <w:sz w:val="24"/>
    </w:rPr>
  </w:style>
  <w:style w:type="paragraph" w:customStyle="1" w:styleId="52">
    <w:name w:val="正文2"/>
    <w:basedOn w:val="1"/>
    <w:qFormat/>
    <w:uiPriority w:val="0"/>
    <w:pPr>
      <w:spacing w:line="360" w:lineRule="auto"/>
      <w:ind w:firstLine="480"/>
    </w:pPr>
    <w:rPr>
      <w:rFonts w:ascii="宋体" w:hAnsi="宋体"/>
      <w:sz w:val="24"/>
      <w:szCs w:val="24"/>
    </w:rPr>
  </w:style>
  <w:style w:type="paragraph" w:customStyle="1" w:styleId="53">
    <w:name w:val="List Paragraph1"/>
    <w:basedOn w:val="1"/>
    <w:qFormat/>
    <w:uiPriority w:val="0"/>
    <w:pPr>
      <w:ind w:firstLine="420" w:firstLineChars="200"/>
    </w:pPr>
    <w:rPr>
      <w:rFonts w:ascii="Calibri" w:hAnsi="Calibri"/>
      <w:szCs w:val="22"/>
    </w:rPr>
  </w:style>
  <w:style w:type="paragraph" w:customStyle="1" w:styleId="54">
    <w:name w:val="样式2"/>
    <w:basedOn w:val="3"/>
    <w:qFormat/>
    <w:uiPriority w:val="0"/>
    <w:pPr>
      <w:spacing w:before="240"/>
      <w:ind w:left="0" w:firstLine="0"/>
      <w:jc w:val="left"/>
    </w:pPr>
    <w:rPr>
      <w:color w:val="auto"/>
    </w:rPr>
  </w:style>
  <w:style w:type="paragraph" w:customStyle="1" w:styleId="55">
    <w:name w:val="页眉_现状分析报告"/>
    <w:basedOn w:val="23"/>
    <w:qFormat/>
    <w:uiPriority w:val="0"/>
    <w:pPr>
      <w:ind w:firstLine="0"/>
      <w:jc w:val="center"/>
    </w:pPr>
    <w:rPr>
      <w:rFonts w:hAnsi="宋体"/>
    </w:rPr>
  </w:style>
  <w:style w:type="paragraph" w:customStyle="1" w:styleId="56">
    <w:name w:val="表中序列_现状分析报告"/>
    <w:basedOn w:val="12"/>
    <w:qFormat/>
    <w:uiPriority w:val="0"/>
    <w:pPr>
      <w:numPr>
        <w:ilvl w:val="0"/>
        <w:numId w:val="2"/>
      </w:numPr>
    </w:pPr>
  </w:style>
  <w:style w:type="paragraph" w:customStyle="1" w:styleId="57">
    <w:name w:val="段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styleId="58">
    <w:name w:val="List Paragraph"/>
    <w:basedOn w:val="1"/>
    <w:qFormat/>
    <w:uiPriority w:val="0"/>
    <w:pPr>
      <w:ind w:firstLine="420" w:firstLineChars="200"/>
    </w:pPr>
  </w:style>
  <w:style w:type="paragraph" w:customStyle="1" w:styleId="59">
    <w:name w:val="正文_现状分析报告"/>
    <w:basedOn w:val="1"/>
    <w:qFormat/>
    <w:uiPriority w:val="0"/>
    <w:pPr>
      <w:ind w:firstLine="567"/>
    </w:pPr>
    <w:rPr>
      <w:rFonts w:eastAsia="宋体"/>
      <w:kern w:val="2"/>
      <w:sz w:val="28"/>
      <w:lang w:val="en-US" w:eastAsia="zh-CN"/>
    </w:rPr>
  </w:style>
  <w:style w:type="paragraph" w:customStyle="1" w:styleId="60">
    <w:name w:val="手册正文"/>
    <w:qFormat/>
    <w:uiPriority w:val="0"/>
    <w:pPr>
      <w:spacing w:line="500" w:lineRule="exact"/>
      <w:ind w:firstLine="200" w:firstLineChars="200"/>
    </w:pPr>
    <w:rPr>
      <w:rFonts w:ascii="Arial" w:hAnsi="Arial" w:eastAsia="宋体" w:cs="Times New Roman"/>
      <w:sz w:val="24"/>
    </w:rPr>
  </w:style>
  <w:style w:type="paragraph" w:customStyle="1" w:styleId="61">
    <w:name w:val="表单文字_现状分析报告"/>
    <w:basedOn w:val="1"/>
    <w:qFormat/>
    <w:uiPriority w:val="0"/>
    <w:pPr>
      <w:adjustRightInd w:val="0"/>
      <w:snapToGrid w:val="0"/>
      <w:spacing w:line="240" w:lineRule="auto"/>
      <w:jc w:val="center"/>
    </w:pPr>
    <w:rPr>
      <w:rFonts w:ascii="Times New Roman" w:hAnsi="Times New Roman" w:eastAsia="黑体"/>
    </w:rPr>
  </w:style>
  <w:style w:type="paragraph" w:customStyle="1" w:styleId="62">
    <w:name w:val="样式3"/>
    <w:basedOn w:val="54"/>
    <w:qFormat/>
    <w:uiPriority w:val="0"/>
    <w:pPr>
      <w:numPr>
        <w:ilvl w:val="2"/>
        <w:numId w:val="3"/>
      </w:numPr>
      <w:pBdr>
        <w:bottom w:val="none" w:color="auto" w:sz="0" w:space="0"/>
      </w:pBdr>
      <w:ind w:left="803" w:hanging="803"/>
      <w:outlineLvl w:val="2"/>
    </w:pPr>
    <w:rPr>
      <w:color w:val="632423"/>
      <w:sz w:val="28"/>
    </w:rPr>
  </w:style>
  <w:style w:type="paragraph" w:customStyle="1" w:styleId="63">
    <w:name w:val="Del Text"/>
    <w:basedOn w:val="1"/>
    <w:qFormat/>
    <w:uiPriority w:val="0"/>
    <w:pPr>
      <w:widowControl/>
      <w:autoSpaceDE/>
      <w:autoSpaceDN/>
      <w:adjustRightInd/>
      <w:spacing w:before="120" w:after="60"/>
      <w:textAlignment w:val="auto"/>
    </w:pPr>
    <w:rPr>
      <w:rFonts w:ascii="Arial" w:hAnsi="Arial" w:eastAsia="PMingLiU"/>
      <w:lang w:eastAsia="en-US"/>
    </w:rPr>
  </w:style>
  <w:style w:type="paragraph" w:customStyle="1" w:styleId="64">
    <w:name w:val="zw"/>
    <w:basedOn w:val="1"/>
    <w:qFormat/>
    <w:uiPriority w:val="0"/>
    <w:pPr>
      <w:spacing w:line="360" w:lineRule="auto"/>
      <w:ind w:firstLine="420"/>
      <w:jc w:val="left"/>
    </w:pPr>
    <w:rPr>
      <w:sz w:val="24"/>
      <w:szCs w:val="24"/>
    </w:rPr>
  </w:style>
  <w:style w:type="paragraph" w:customStyle="1" w:styleId="65">
    <w:name w:val="三级标题_现状分析报告"/>
    <w:qFormat/>
    <w:uiPriority w:val="0"/>
    <w:pPr>
      <w:keepNext/>
      <w:keepLines/>
      <w:tabs>
        <w:tab w:val="left" w:pos="720"/>
        <w:tab w:val="left" w:pos="1021"/>
      </w:tabs>
      <w:spacing w:line="360" w:lineRule="auto"/>
      <w:jc w:val="both"/>
      <w:outlineLvl w:val="2"/>
    </w:pPr>
    <w:rPr>
      <w:rFonts w:ascii="Times New Roman" w:hAnsi="Times New Roman" w:eastAsia="宋体" w:cs="Times New Roman"/>
      <w:sz w:val="28"/>
      <w:lang w:val="en-US" w:eastAsia="zh-CN" w:bidi="ar-SA"/>
    </w:rPr>
  </w:style>
  <w:style w:type="paragraph" w:customStyle="1" w:styleId="66">
    <w:name w:val=" Char Char Char Char Char Char"/>
    <w:basedOn w:val="1"/>
    <w:qFormat/>
    <w:uiPriority w:val="0"/>
    <w:rPr>
      <w:rFonts w:ascii="Tahoma" w:hAnsi="Tahoma"/>
      <w:sz w:val="24"/>
    </w:rPr>
  </w:style>
  <w:style w:type="paragraph" w:customStyle="1" w:styleId="67">
    <w:name w:val="项目值"/>
    <w:basedOn w:val="1"/>
    <w:qFormat/>
    <w:uiPriority w:val="0"/>
    <w:pPr>
      <w:pBdr>
        <w:bottom w:val="none" w:color="auto" w:sz="0" w:space="0"/>
      </w:pBdr>
      <w:jc w:val="left"/>
    </w:pPr>
    <w:rPr>
      <w:rFonts w:hint="eastAsia" w:ascii="Times New Roman" w:hAnsi="Times New Roman"/>
      <w:color w:val="000000"/>
      <w:sz w:val="18"/>
    </w:rPr>
  </w:style>
  <w:style w:type="paragraph" w:customStyle="1" w:styleId="68">
    <w:name w:val="列出段落1"/>
    <w:basedOn w:val="1"/>
    <w:qFormat/>
    <w:uiPriority w:val="0"/>
    <w:pPr>
      <w:spacing w:line="360" w:lineRule="auto"/>
      <w:ind w:left="720"/>
    </w:pPr>
  </w:style>
  <w:style w:type="paragraph" w:customStyle="1" w:styleId="69">
    <w:name w:val="标题 2 New"/>
    <w:basedOn w:val="1"/>
    <w:next w:val="1"/>
    <w:qFormat/>
    <w:uiPriority w:val="0"/>
    <w:pPr>
      <w:keepNext/>
      <w:keepLines/>
      <w:numPr>
        <w:ilvl w:val="0"/>
        <w:numId w:val="0"/>
      </w:numPr>
      <w:spacing w:before="156" w:beforeLines="50" w:beforeAutospacing="0" w:after="156" w:afterLines="50" w:afterAutospacing="0" w:line="360" w:lineRule="auto"/>
      <w:outlineLvl w:val="1"/>
    </w:pPr>
    <w:rPr>
      <w:rFonts w:eastAsia="黑体"/>
      <w:b/>
      <w:sz w:val="30"/>
    </w:rPr>
  </w:style>
  <w:style w:type="paragraph" w:styleId="70">
    <w:name w:val="No Spacing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71">
    <w:name w:val="正文缩进1"/>
    <w:basedOn w:val="1"/>
    <w:qFormat/>
    <w:uiPriority w:val="0"/>
    <w:pPr>
      <w:ind w:firstLine="420"/>
    </w:pPr>
    <w:rPr>
      <w:rFonts w:ascii="宋体" w:hAnsi="宋体" w:eastAsia="宋体"/>
    </w:rPr>
  </w:style>
  <w:style w:type="paragraph" w:customStyle="1" w:styleId="72">
    <w:name w:val="表格"/>
    <w:basedOn w:val="20"/>
    <w:next w:val="1"/>
    <w:qFormat/>
    <w:uiPriority w:val="0"/>
    <w:pPr>
      <w:spacing w:line="240" w:lineRule="auto"/>
      <w:ind w:firstLine="0" w:firstLineChars="0"/>
    </w:pPr>
    <w:rPr>
      <w:rFonts w:hint="eastAsia" w:hAnsi="宋体"/>
      <w:sz w:val="24"/>
    </w:rPr>
  </w:style>
  <w:style w:type="character" w:customStyle="1" w:styleId="73">
    <w:name w:val="列表 Char"/>
    <w:link w:val="25"/>
    <w:qFormat/>
    <w:uiPriority w:val="0"/>
  </w:style>
  <w:style w:type="character" w:customStyle="1" w:styleId="74">
    <w:name w:val="目录 1 Char"/>
    <w:link w:val="24"/>
    <w:qFormat/>
    <w:uiPriority w:val="39"/>
  </w:style>
  <w:style w:type="table" w:customStyle="1" w:styleId="7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customStyle="1" w:styleId="77">
    <w:name w:val="First Paragraph"/>
    <w:basedOn w:val="5"/>
    <w:next w:val="5"/>
    <w:qFormat/>
    <w:uiPriority w:val="0"/>
  </w:style>
  <w:style w:type="paragraph" w:customStyle="1" w:styleId="78">
    <w:name w:val="Compact"/>
    <w:basedOn w:val="5"/>
    <w:qFormat/>
    <w:uiPriority w:val="0"/>
    <w:pPr>
      <w:spacing w:before="36" w:after="36"/>
    </w:pPr>
  </w:style>
  <w:style w:type="table" w:customStyle="1" w:styleId="7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80">
    <w:name w:val="标题 3 Char"/>
    <w:link w:val="4"/>
    <w:qFormat/>
    <w:uiPriority w:val="0"/>
    <w:rPr>
      <w:rFonts w:ascii="Times New Roman" w:hAnsi="Times New Roman" w:eastAsia="黑体"/>
      <w:b/>
      <w:sz w:val="28"/>
    </w:rPr>
  </w:style>
  <w:style w:type="character" w:customStyle="1" w:styleId="81">
    <w:name w:val="标题 2 Char"/>
    <w:link w:val="3"/>
    <w:qFormat/>
    <w:uiPriority w:val="99"/>
    <w:rPr>
      <w:rFonts w:eastAsia="黑体"/>
      <w:b/>
      <w:sz w:val="30"/>
    </w:rPr>
  </w:style>
  <w:style w:type="character" w:customStyle="1" w:styleId="82">
    <w:name w:val="font01"/>
    <w:basedOn w:val="33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9" Type="http://schemas.openxmlformats.org/officeDocument/2006/relationships/fontTable" Target="fontTable.xml"/><Relationship Id="rId78" Type="http://schemas.openxmlformats.org/officeDocument/2006/relationships/customXml" Target="../customXml/item2.xml"/><Relationship Id="rId77" Type="http://schemas.openxmlformats.org/officeDocument/2006/relationships/numbering" Target="numbering.xml"/><Relationship Id="rId76" Type="http://schemas.openxmlformats.org/officeDocument/2006/relationships/customXml" Target="../customXml/item1.xml"/><Relationship Id="rId75" Type="http://schemas.openxmlformats.org/officeDocument/2006/relationships/image" Target="media/image68.png"/><Relationship Id="rId74" Type="http://schemas.openxmlformats.org/officeDocument/2006/relationships/image" Target="media/image67.png"/><Relationship Id="rId73" Type="http://schemas.openxmlformats.org/officeDocument/2006/relationships/image" Target="media/image66.png"/><Relationship Id="rId72" Type="http://schemas.openxmlformats.org/officeDocument/2006/relationships/image" Target="media/image65.png"/><Relationship Id="rId71" Type="http://schemas.openxmlformats.org/officeDocument/2006/relationships/image" Target="media/image64.png"/><Relationship Id="rId70" Type="http://schemas.openxmlformats.org/officeDocument/2006/relationships/image" Target="media/image63.png"/><Relationship Id="rId7" Type="http://schemas.openxmlformats.org/officeDocument/2006/relationships/footer" Target="footer3.xml"/><Relationship Id="rId69" Type="http://schemas.openxmlformats.org/officeDocument/2006/relationships/image" Target="media/image62.png"/><Relationship Id="rId68" Type="http://schemas.openxmlformats.org/officeDocument/2006/relationships/image" Target="media/image61.png"/><Relationship Id="rId67" Type="http://schemas.openxmlformats.org/officeDocument/2006/relationships/image" Target="media/image60.png"/><Relationship Id="rId66" Type="http://schemas.openxmlformats.org/officeDocument/2006/relationships/image" Target="media/image59.svg"/><Relationship Id="rId65" Type="http://schemas.openxmlformats.org/officeDocument/2006/relationships/image" Target="media/image58.png"/><Relationship Id="rId64" Type="http://schemas.openxmlformats.org/officeDocument/2006/relationships/image" Target="media/image57.svg"/><Relationship Id="rId63" Type="http://schemas.openxmlformats.org/officeDocument/2006/relationships/image" Target="media/image56.png"/><Relationship Id="rId62" Type="http://schemas.openxmlformats.org/officeDocument/2006/relationships/image" Target="media/image55.svg"/><Relationship Id="rId61" Type="http://schemas.openxmlformats.org/officeDocument/2006/relationships/image" Target="media/image54.png"/><Relationship Id="rId60" Type="http://schemas.openxmlformats.org/officeDocument/2006/relationships/image" Target="media/image53.svg"/><Relationship Id="rId6" Type="http://schemas.openxmlformats.org/officeDocument/2006/relationships/footer" Target="footer2.xml"/><Relationship Id="rId59" Type="http://schemas.openxmlformats.org/officeDocument/2006/relationships/image" Target="media/image52.png"/><Relationship Id="rId58" Type="http://schemas.openxmlformats.org/officeDocument/2006/relationships/image" Target="media/image51.svg"/><Relationship Id="rId57" Type="http://schemas.openxmlformats.org/officeDocument/2006/relationships/image" Target="media/image50.png"/><Relationship Id="rId56" Type="http://schemas.openxmlformats.org/officeDocument/2006/relationships/image" Target="media/image49.svg"/><Relationship Id="rId55" Type="http://schemas.openxmlformats.org/officeDocument/2006/relationships/image" Target="media/image48.png"/><Relationship Id="rId54" Type="http://schemas.openxmlformats.org/officeDocument/2006/relationships/image" Target="media/image47.svg"/><Relationship Id="rId53" Type="http://schemas.openxmlformats.org/officeDocument/2006/relationships/image" Target="media/image46.png"/><Relationship Id="rId52" Type="http://schemas.openxmlformats.org/officeDocument/2006/relationships/image" Target="media/image45.svg"/><Relationship Id="rId51" Type="http://schemas.openxmlformats.org/officeDocument/2006/relationships/image" Target="media/image44.png"/><Relationship Id="rId50" Type="http://schemas.openxmlformats.org/officeDocument/2006/relationships/image" Target="media/image43.svg"/><Relationship Id="rId5" Type="http://schemas.openxmlformats.org/officeDocument/2006/relationships/footer" Target="footer1.xml"/><Relationship Id="rId49" Type="http://schemas.openxmlformats.org/officeDocument/2006/relationships/image" Target="media/image42.png"/><Relationship Id="rId48" Type="http://schemas.openxmlformats.org/officeDocument/2006/relationships/image" Target="media/image41.svg"/><Relationship Id="rId47" Type="http://schemas.openxmlformats.org/officeDocument/2006/relationships/image" Target="media/image40.png"/><Relationship Id="rId46" Type="http://schemas.openxmlformats.org/officeDocument/2006/relationships/image" Target="media/image39.svg"/><Relationship Id="rId45" Type="http://schemas.openxmlformats.org/officeDocument/2006/relationships/image" Target="media/image38.png"/><Relationship Id="rId44" Type="http://schemas.openxmlformats.org/officeDocument/2006/relationships/image" Target="media/image37.svg"/><Relationship Id="rId43" Type="http://schemas.openxmlformats.org/officeDocument/2006/relationships/image" Target="media/image36.png"/><Relationship Id="rId42" Type="http://schemas.openxmlformats.org/officeDocument/2006/relationships/image" Target="media/image35.svg"/><Relationship Id="rId41" Type="http://schemas.openxmlformats.org/officeDocument/2006/relationships/image" Target="media/image34.png"/><Relationship Id="rId40" Type="http://schemas.openxmlformats.org/officeDocument/2006/relationships/image" Target="media/image33.svg"/><Relationship Id="rId4" Type="http://schemas.openxmlformats.org/officeDocument/2006/relationships/header" Target="header2.xml"/><Relationship Id="rId39" Type="http://schemas.openxmlformats.org/officeDocument/2006/relationships/image" Target="media/image32.png"/><Relationship Id="rId38" Type="http://schemas.openxmlformats.org/officeDocument/2006/relationships/image" Target="media/image31.svg"/><Relationship Id="rId37" Type="http://schemas.openxmlformats.org/officeDocument/2006/relationships/image" Target="media/image30.png"/><Relationship Id="rId36" Type="http://schemas.openxmlformats.org/officeDocument/2006/relationships/image" Target="media/image29.svg"/><Relationship Id="rId35" Type="http://schemas.openxmlformats.org/officeDocument/2006/relationships/image" Target="media/image28.png"/><Relationship Id="rId34" Type="http://schemas.openxmlformats.org/officeDocument/2006/relationships/image" Target="media/image27.svg"/><Relationship Id="rId33" Type="http://schemas.openxmlformats.org/officeDocument/2006/relationships/image" Target="media/image26.png"/><Relationship Id="rId32" Type="http://schemas.openxmlformats.org/officeDocument/2006/relationships/image" Target="media/image25.svg"/><Relationship Id="rId31" Type="http://schemas.openxmlformats.org/officeDocument/2006/relationships/image" Target="media/image24.png"/><Relationship Id="rId30" Type="http://schemas.openxmlformats.org/officeDocument/2006/relationships/image" Target="media/image23.svg"/><Relationship Id="rId3" Type="http://schemas.openxmlformats.org/officeDocument/2006/relationships/header" Target="header1.xml"/><Relationship Id="rId29" Type="http://schemas.openxmlformats.org/officeDocument/2006/relationships/image" Target="media/image22.png"/><Relationship Id="rId28" Type="http://schemas.openxmlformats.org/officeDocument/2006/relationships/image" Target="media/image21.svg"/><Relationship Id="rId27" Type="http://schemas.openxmlformats.org/officeDocument/2006/relationships/image" Target="media/image20.png"/><Relationship Id="rId26" Type="http://schemas.openxmlformats.org/officeDocument/2006/relationships/image" Target="media/image19.svg"/><Relationship Id="rId25" Type="http://schemas.openxmlformats.org/officeDocument/2006/relationships/image" Target="media/image18.png"/><Relationship Id="rId24" Type="http://schemas.openxmlformats.org/officeDocument/2006/relationships/image" Target="media/image17.svg"/><Relationship Id="rId23" Type="http://schemas.openxmlformats.org/officeDocument/2006/relationships/image" Target="media/image16.png"/><Relationship Id="rId22" Type="http://schemas.openxmlformats.org/officeDocument/2006/relationships/image" Target="media/image15.svg"/><Relationship Id="rId21" Type="http://schemas.openxmlformats.org/officeDocument/2006/relationships/image" Target="media/image14.png"/><Relationship Id="rId20" Type="http://schemas.openxmlformats.org/officeDocument/2006/relationships/image" Target="media/image13.jpeg"/><Relationship Id="rId2" Type="http://schemas.openxmlformats.org/officeDocument/2006/relationships/settings" Target="settings.xml"/><Relationship Id="rId19" Type="http://schemas.openxmlformats.org/officeDocument/2006/relationships/image" Target="media/image12.jpeg"/><Relationship Id="rId18" Type="http://schemas.openxmlformats.org/officeDocument/2006/relationships/image" Target="media/image11.jpeg"/><Relationship Id="rId17" Type="http://schemas.openxmlformats.org/officeDocument/2006/relationships/image" Target="media/image10.jpeg"/><Relationship Id="rId16" Type="http://schemas.openxmlformats.org/officeDocument/2006/relationships/image" Target="media/image9.jpeg"/><Relationship Id="rId15" Type="http://schemas.openxmlformats.org/officeDocument/2006/relationships/image" Target="media/image8.jpeg"/><Relationship Id="rId14" Type="http://schemas.openxmlformats.org/officeDocument/2006/relationships/image" Target="media/image7.jpeg"/><Relationship Id="rId13" Type="http://schemas.openxmlformats.org/officeDocument/2006/relationships/image" Target="media/image6.jpeg"/><Relationship Id="rId12" Type="http://schemas.openxmlformats.org/officeDocument/2006/relationships/image" Target="media/image5.jpeg"/><Relationship Id="rId11" Type="http://schemas.openxmlformats.org/officeDocument/2006/relationships/image" Target="media/image4.jpeg"/><Relationship Id="rId10" Type="http://schemas.openxmlformats.org/officeDocument/2006/relationships/image" Target="media/image3.png"/><Relationship Id="rId1" Type="http://schemas.openxmlformats.org/officeDocument/2006/relationships/styles" Target="styles.xml"/><Relationship Id="rId80" Type="http://schemas.openxmlformats.org/officeDocument/2006/relationships/header" Target="header3.xml"/><Relationship Id="rId81" Type="http://schemas.openxmlformats.org/officeDocument/2006/relationships/image" Target="media/image69.png"/><Relationship Id="rId82" Type="http://schemas.openxmlformats.org/officeDocument/2006/relationships/image" Target="media/image70.png"/><Relationship Id="rId83" Type="http://schemas.openxmlformats.org/officeDocument/2006/relationships/image" Target="media/image71.png"/><Relationship Id="rId84" Type="http://schemas.openxmlformats.org/officeDocument/2006/relationships/image" Target="media/image72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contractReview xmlns="http://schemas.wps.cn/vas-ai-hub/contract-review">
  <reviewItems xmlns="http://schemas.wps.cn/vas-ai-hub/contract-review">
    <reviewItem xmlns="http://schemas.wps.cn/vas-ai-hub/contract-review">
      <errorID xmlns="http://schemas.wps.cn/vas-ai-hub/contract-review">0397dbd0-eeb5-4a49-9daf-1612d12f9f85</errorID>
      <errorWord xmlns="http://schemas.wps.cn/vas-ai-hub/contract-review">二0二六</errorWord>
      <group xmlns="http://schemas.wps.cn/vas-ai-hub/contract-review">L1_Knowledge</group>
      <groupName xmlns="http://schemas.wps.cn/vas-ai-hub/contract-review">知识性问题</groupName>
      <ability xmlns="http://schemas.wps.cn/vas-ai-hub/contract-review">L2_Knowledge</ability>
      <abilityName xmlns="http://schemas.wps.cn/vas-ai-hub/contract-review">其他知识</abilityName>
      <candidateList xmlns="http://schemas.wps.cn/vas-ai-hub/contract-review">
        <item xmlns="http://schemas.wps.cn/vas-ai-hub/contract-review">二〇二六</item>
      </candidateList>
      <explain xmlns="http://schemas.wps.cn/vas-ai-hub/contract-review">中文数字应使用“〇”，而非形似的字符，如“0”。该字符在不同字体下外观可能相似，但含义和编码不同，请注意区分。</explain>
      <paraID xmlns="http://schemas.wps.cn/vas-ai-hub/contract-review">27522DC5</paraID>
      <start xmlns="http://schemas.wps.cn/vas-ai-hub/contract-review">0</start>
      <end xmlns="http://schemas.wps.cn/vas-ai-hub/contract-review">4</end>
      <status xmlns="http://schemas.wps.cn/vas-ai-hub/contract-review">modified</status>
      <modifiedWord xmlns="http://schemas.wps.cn/vas-ai-hub/contract-review">二〇二六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7f42d286-30d4-4306-af47-46712e0b011e</errorID>
      <errorWord xmlns="http://schemas.wps.cn/vas-ai-hub/contract-review">点击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，点击</item>
      </candidateList>
      <explain xmlns="http://schemas.wps.cn/vas-ai-hub/contract-review"/>
      <paraID xmlns="http://schemas.wps.cn/vas-ai-hub/contract-review">461E492E</paraID>
      <start xmlns="http://schemas.wps.cn/vas-ai-hub/contract-review">47</start>
      <end xmlns="http://schemas.wps.cn/vas-ai-hub/contract-review">50</end>
      <status xmlns="http://schemas.wps.cn/vas-ai-hub/contract-review">modified</status>
      <modifiedWord xmlns="http://schemas.wps.cn/vas-ai-hub/contract-review">，点击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27f1a6da-3897-4806-ab05-df9d9e4a357a</errorID>
      <errorWord xmlns="http://schemas.wps.cn/vas-ai-hub/contract-review">无法自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无法</item>
      </candidateList>
      <explain xmlns="http://schemas.wps.cn/vas-ai-hub/contract-review"/>
      <paraID xmlns="http://schemas.wps.cn/vas-ai-hub/contract-review">63D6D8D8</paraID>
      <start xmlns="http://schemas.wps.cn/vas-ai-hub/contract-review">68</start>
      <end xmlns="http://schemas.wps.cn/vas-ai-hub/contract-review">70</end>
      <status xmlns="http://schemas.wps.cn/vas-ai-hub/contract-review">modified</status>
      <modifiedWord xmlns="http://schemas.wps.cn/vas-ai-hub/contract-review">无法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6d64603b-3bbe-46c4-95db-8c37017e54cd</errorID>
      <errorWord xmlns="http://schemas.wps.cn/vas-ai-hub/contract-review">。</errorWord>
      <group xmlns="http://schemas.wps.cn/vas-ai-hub/contract-review">L1_Grammar</group>
      <groupName xmlns="http://schemas.wps.cn/vas-ai-hub/contract-review">语法问题</groupName>
      <ability xmlns="http://schemas.wps.cn/vas-ai-hub/contract-review">L2_Grammar</ability>
      <abilityName xmlns="http://schemas.wps.cn/vas-ai-hub/contract-review">语法错误</abilityName>
      <candidateList xmlns="http://schemas.wps.cn/vas-ai-hub/contract-review">
        <item xmlns="http://schemas.wps.cn/vas-ai-hub/contract-review">系统。</item>
      </candidateList>
      <explain xmlns="http://schemas.wps.cn/vas-ai-hub/contract-review"/>
      <paraID xmlns="http://schemas.wps.cn/vas-ai-hub/contract-review"> 1582C31</paraID>
      <start xmlns="http://schemas.wps.cn/vas-ai-hub/contract-review">26</start>
      <end xmlns="http://schemas.wps.cn/vas-ai-hub/contract-review">29</end>
      <status xmlns="http://schemas.wps.cn/vas-ai-hub/contract-review">modified</status>
      <modifiedWord xmlns="http://schemas.wps.cn/vas-ai-hub/contract-review">系统。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90e1d046-5d6a-4a85-b605-edadf81afb03</errorID>
      <errorWord xmlns="http://schemas.wps.cn/vas-ai-hub/contract-review">用来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来</item>
      </candidateList>
      <explain xmlns="http://schemas.wps.cn/vas-ai-hub/contract-review">（來）∥•lái〈动〉趋向动词。❶用在动词后，表示动作朝着说话人所在的地方：把锄头拿～｜各条战线传～了振奋人心的消息。❷用在动词后，表示结果：信笔写～｜一觉醒～｜说～话长｜看～今年超产没有问题｜想～你是早有准备的了。</explain>
      <paraID xmlns="http://schemas.wps.cn/vas-ai-hub/contract-review"> 1582C31</paraID>
      <start xmlns="http://schemas.wps.cn/vas-ai-hub/contract-review">49</start>
      <end xmlns="http://schemas.wps.cn/vas-ai-hub/contract-review">50</end>
      <status xmlns="http://schemas.wps.cn/vas-ai-hub/contract-review">modified</status>
      <modifiedWord xmlns="http://schemas.wps.cn/vas-ai-hub/contract-review">来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d6eac387-d27e-46ab-9580-e96e6a691af9</errorID>
      <errorWord xmlns="http://schemas.wps.cn/vas-ai-hub/contract-review">繁琐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烦琐</item>
      </candidateList>
      <explain xmlns="http://schemas.wps.cn/vas-ai-hub/contract-review"/>
      <paraID xmlns="http://schemas.wps.cn/vas-ai-hub/contract-review">253EAEA4</paraID>
      <start xmlns="http://schemas.wps.cn/vas-ai-hub/contract-review">22</start>
      <end xmlns="http://schemas.wps.cn/vas-ai-hub/contract-review">24</end>
      <status xmlns="http://schemas.wps.cn/vas-ai-hub/contract-review">modified</status>
      <modifiedWord xmlns="http://schemas.wps.cn/vas-ai-hub/contract-review">烦琐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153ba44a-6c8b-43e3-8c75-fc470e377c2f</errorID>
      <errorWord xmlns="http://schemas.wps.cn/vas-ai-hub/contract-review">进行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，</item>
      </candidateList>
      <explain xmlns="http://schemas.wps.cn/vas-ai-hub/contract-review"/>
      <paraID xmlns="http://schemas.wps.cn/vas-ai-hub/contract-review">253EAEA4</paraID>
      <start xmlns="http://schemas.wps.cn/vas-ai-hub/contract-review">159</start>
      <end xmlns="http://schemas.wps.cn/vas-ai-hub/contract-review">160</end>
      <status xmlns="http://schemas.wps.cn/vas-ai-hub/contract-review">modified</status>
      <modifiedWord xmlns="http://schemas.wps.cn/vas-ai-hub/contract-review">，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841020a0-29ce-4b9e-9d7a-3e37e27ced8c</errorID>
      <errorWord xmlns="http://schemas.wps.cn/vas-ai-hub/contract-review">建议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建议。</item>
      </candidateList>
      <explain xmlns="http://schemas.wps.cn/vas-ai-hub/contract-review"/>
      <paraID xmlns="http://schemas.wps.cn/vas-ai-hub/contract-review">1B551218</paraID>
      <start xmlns="http://schemas.wps.cn/vas-ai-hub/contract-review">38</start>
      <end xmlns="http://schemas.wps.cn/vas-ai-hub/contract-review">41</end>
      <status xmlns="http://schemas.wps.cn/vas-ai-hub/contract-review">modified</status>
      <modifiedWord xmlns="http://schemas.wps.cn/vas-ai-hub/contract-review">建议。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59d74fe1-bba6-4178-a388-653fc50ed1cd</errorID>
      <errorWord xmlns="http://schemas.wps.cn/vas-ai-hub/contract-review">无法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，无法</item>
      </candidateList>
      <explain xmlns="http://schemas.wps.cn/vas-ai-hub/contract-review"/>
      <paraID xmlns="http://schemas.wps.cn/vas-ai-hub/contract-review">2CB2586C</paraID>
      <start xmlns="http://schemas.wps.cn/vas-ai-hub/contract-review">26</start>
      <end xmlns="http://schemas.wps.cn/vas-ai-hub/contract-review">29</end>
      <status xmlns="http://schemas.wps.cn/vas-ai-hub/contract-review">modified</status>
      <modifiedWord xmlns="http://schemas.wps.cn/vas-ai-hub/contract-review">，无法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422d43a4-ec4c-4e43-9c68-dea8fad0e2c1</errorID>
      <errorWord xmlns="http://schemas.wps.cn/vas-ai-hub/contract-review">。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，以</item>
      </candidateList>
      <explain xmlns="http://schemas.wps.cn/vas-ai-hub/contract-review"/>
      <paraID xmlns="http://schemas.wps.cn/vas-ai-hub/contract-review">64D6D2AB</paraID>
      <start xmlns="http://schemas.wps.cn/vas-ai-hub/contract-review">35</start>
      <end xmlns="http://schemas.wps.cn/vas-ai-hub/contract-review">37</end>
      <status xmlns="http://schemas.wps.cn/vas-ai-hub/contract-review">modified</status>
      <modifiedWord xmlns="http://schemas.wps.cn/vas-ai-hub/contract-review">，以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9ebe41d2-bbbf-4447-b37c-555484594191</errorID>
      <errorWord xmlns="http://schemas.wps.cn/vas-ai-hub/contract-review">经过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经</item>
      </candidateList>
      <explain xmlns="http://schemas.wps.cn/vas-ai-hub/contract-review"/>
      <paraID xmlns="http://schemas.wps.cn/vas-ai-hub/contract-review">42BB3EC4</paraID>
      <start xmlns="http://schemas.wps.cn/vas-ai-hub/contract-review">21</start>
      <end xmlns="http://schemas.wps.cn/vas-ai-hub/contract-review">22</end>
      <status xmlns="http://schemas.wps.cn/vas-ai-hub/contract-review">modified</status>
      <modifiedWord xmlns="http://schemas.wps.cn/vas-ai-hub/contract-review">经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aaf426e1-d077-4d2b-b7f3-783502961005</errorID>
      <errorWord xmlns="http://schemas.wps.cn/vas-ai-hub/contract-review">当前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，当前</item>
      </candidateList>
      <explain xmlns="http://schemas.wps.cn/vas-ai-hub/contract-review"/>
      <paraID xmlns="http://schemas.wps.cn/vas-ai-hub/contract-review">42BB3EC4</paraID>
      <start xmlns="http://schemas.wps.cn/vas-ai-hub/contract-review">24</start>
      <end xmlns="http://schemas.wps.cn/vas-ai-hub/contract-review">27</end>
      <status xmlns="http://schemas.wps.cn/vas-ai-hub/contract-review">modified</status>
      <modifiedWord xmlns="http://schemas.wps.cn/vas-ai-hub/contract-review">，当前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6cc0cdc1-628c-4611-a7ee-a52bb90dc39c</errorID>
      <errorWord xmlns="http://schemas.wps.cn/vas-ai-hub/contract-review">流程也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流程</item>
      </candidateList>
      <explain xmlns="http://schemas.wps.cn/vas-ai-hub/contract-review"/>
      <paraID xmlns="http://schemas.wps.cn/vas-ai-hub/contract-review">42BB3EC4</paraID>
      <start xmlns="http://schemas.wps.cn/vas-ai-hub/contract-review">31</start>
      <end xmlns="http://schemas.wps.cn/vas-ai-hub/contract-review">33</end>
      <status xmlns="http://schemas.wps.cn/vas-ai-hub/contract-review">modified</status>
      <modifiedWord xmlns="http://schemas.wps.cn/vas-ai-hub/contract-review">流程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cb4cbf70-4b94-4fb1-94db-f04e8d302168</errorID>
      <errorWord xmlns="http://schemas.wps.cn/vas-ai-hub/contract-review">supos</errorWord>
      <group xmlns="http://schemas.wps.cn/vas-ai-hub/contract-review">L1_English</group>
      <groupName xmlns="http://schemas.wps.cn/vas-ai-hub/contract-review">英文问题</groupName>
      <ability xmlns="http://schemas.wps.cn/vas-ai-hub/contract-review">L2_Spell</ability>
      <abilityName xmlns="http://schemas.wps.cn/vas-ai-hub/contract-review">拼写问题</abilityName>
      <candidateList xmlns="http://schemas.wps.cn/vas-ai-hub/contract-review">
        <item xmlns="http://schemas.wps.cn/vas-ai-hub/contract-review">support</item>
      </candidateList>
      <explain xmlns="http://schemas.wps.cn/vas-ai-hub/contract-review">疑似单词拼写有误，建议将supos修改为support</explain>
      <paraID xmlns="http://schemas.wps.cn/vas-ai-hub/contract-review">42BB3EC4</paraID>
      <start xmlns="http://schemas.wps.cn/vas-ai-hub/contract-review">56</start>
      <end xmlns="http://schemas.wps.cn/vas-ai-hub/contract-review">61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046965d6-6ec7-4e7d-98a6-068d3a20265d</errorID>
      <errorWord xmlns="http://schemas.wps.cn/vas-ai-hub/contract-review">。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，</item>
      </candidateList>
      <explain xmlns="http://schemas.wps.cn/vas-ai-hub/contract-review"/>
      <paraID xmlns="http://schemas.wps.cn/vas-ai-hub/contract-review">42BB3EC4</paraID>
      <start xmlns="http://schemas.wps.cn/vas-ai-hub/contract-review">69</start>
      <end xmlns="http://schemas.wps.cn/vas-ai-hub/contract-review">70</end>
      <status xmlns="http://schemas.wps.cn/vas-ai-hub/contract-review">modified</status>
      <modifiedWord xmlns="http://schemas.wps.cn/vas-ai-hub/contract-review">，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7e2bfe41-a9bc-43a8-b7f0-047a63e02a86</errorID>
      <errorWord xmlns="http://schemas.wps.cn/vas-ai-hub/contract-review">，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、</item>
      </candidateList>
      <explain xmlns="http://schemas.wps.cn/vas-ai-hub/contract-review"/>
      <paraID xmlns="http://schemas.wps.cn/vas-ai-hub/contract-review">6AE97751</paraID>
      <start xmlns="http://schemas.wps.cn/vas-ai-hub/contract-review">66</start>
      <end xmlns="http://schemas.wps.cn/vas-ai-hub/contract-review">67</end>
      <status xmlns="http://schemas.wps.cn/vas-ai-hub/contract-review">modified</status>
      <modifiedWord xmlns="http://schemas.wps.cn/vas-ai-hub/contract-review">、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4f9e7734-9090-46ba-a1c1-7188e9e30e31</errorID>
      <errorWord xmlns="http://schemas.wps.cn/vas-ai-hub/contract-review">，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/>
      </candidateList>
      <explain xmlns="http://schemas.wps.cn/vas-ai-hub/contract-review"/>
      <paraID xmlns="http://schemas.wps.cn/vas-ai-hub/contract-review">6AE97751</paraID>
      <start xmlns="http://schemas.wps.cn/vas-ai-hub/contract-review">71</start>
      <end xmlns="http://schemas.wps.cn/vas-ai-hub/contract-review">71</end>
      <status xmlns="http://schemas.wps.cn/vas-ai-hub/contract-review">modified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8cbee792-5e9b-48d1-a876-6c6797293673</errorID>
      <errorWord xmlns="http://schemas.wps.cn/vas-ai-hub/contract-review">功能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等功能</item>
      </candidateList>
      <explain xmlns="http://schemas.wps.cn/vas-ai-hub/contract-review"/>
      <paraID xmlns="http://schemas.wps.cn/vas-ai-hub/contract-review">6AE97751</paraID>
      <start xmlns="http://schemas.wps.cn/vas-ai-hub/contract-review">88</start>
      <end xmlns="http://schemas.wps.cn/vas-ai-hub/contract-review">91</end>
      <status xmlns="http://schemas.wps.cn/vas-ai-hub/contract-review">modified</status>
      <modifiedWord xmlns="http://schemas.wps.cn/vas-ai-hub/contract-review">等功能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7e473e73-4b34-46fe-8488-6db9fe9449c4</errorID>
      <errorWord xmlns="http://schemas.wps.cn/vas-ai-hub/contract-review">但是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但</item>
      </candidateList>
      <explain xmlns="http://schemas.wps.cn/vas-ai-hub/contract-review"/>
      <paraID xmlns="http://schemas.wps.cn/vas-ai-hub/contract-review">54332C20</paraID>
      <start xmlns="http://schemas.wps.cn/vas-ai-hub/contract-review">40</start>
      <end xmlns="http://schemas.wps.cn/vas-ai-hub/contract-review">41</end>
      <status xmlns="http://schemas.wps.cn/vas-ai-hub/contract-review">modified</status>
      <modifiedWord xmlns="http://schemas.wps.cn/vas-ai-hub/contract-review">但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dc0d8cb8-b34c-4514-be49-72fe2d0bde91</errorID>
      <errorWord xmlns="http://schemas.wps.cn/vas-ai-hub/contract-review">跟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与</item>
      </candidateList>
      <explain xmlns="http://schemas.wps.cn/vas-ai-hub/contract-review"/>
      <paraID xmlns="http://schemas.wps.cn/vas-ai-hub/contract-review">54332C20</paraID>
      <start xmlns="http://schemas.wps.cn/vas-ai-hub/contract-review">48</start>
      <end xmlns="http://schemas.wps.cn/vas-ai-hub/contract-review">49</end>
      <status xmlns="http://schemas.wps.cn/vas-ai-hub/contract-review">modified</status>
      <modifiedWord xmlns="http://schemas.wps.cn/vas-ai-hub/contract-review">与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ed9ff905-ae6a-444f-b2fe-b9ac8ca78a9e</errorID>
      <errorWord xmlns="http://schemas.wps.cn/vas-ai-hub/contract-review">的时候</errorWord>
      <group xmlns="http://schemas.wps.cn/vas-ai-hub/contract-review">L1_Grammar</group>
      <groupName xmlns="http://schemas.wps.cn/vas-ai-hub/contract-review">语法问题</groupName>
      <ability xmlns="http://schemas.wps.cn/vas-ai-hub/contract-review">L2_Grammar</ability>
      <abilityName xmlns="http://schemas.wps.cn/vas-ai-hub/contract-review">语法错误</abilityName>
      <candidateList xmlns="http://schemas.wps.cn/vas-ai-hub/contract-review">
        <item xmlns="http://schemas.wps.cn/vas-ai-hub/contract-review">时</item>
      </candidateList>
      <explain xmlns="http://schemas.wps.cn/vas-ai-hub/contract-review"/>
      <paraID xmlns="http://schemas.wps.cn/vas-ai-hub/contract-review">54332C20</paraID>
      <start xmlns="http://schemas.wps.cn/vas-ai-hub/contract-review">67</start>
      <end xmlns="http://schemas.wps.cn/vas-ai-hub/contract-review">68</end>
      <status xmlns="http://schemas.wps.cn/vas-ai-hub/contract-review">modified</status>
      <modifiedWord xmlns="http://schemas.wps.cn/vas-ai-hub/contract-review">时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373b0740-edd5-4917-a24f-07dca9f1ca75</errorID>
      <errorWord xmlns="http://schemas.wps.cn/vas-ai-hub/contract-review">繁琐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烦琐</item>
      </candidateList>
      <explain xmlns="http://schemas.wps.cn/vas-ai-hub/contract-review"/>
      <paraID xmlns="http://schemas.wps.cn/vas-ai-hub/contract-review">54332C20</paraID>
      <start xmlns="http://schemas.wps.cn/vas-ai-hub/contract-review">70</start>
      <end xmlns="http://schemas.wps.cn/vas-ai-hub/contract-review">72</end>
      <status xmlns="http://schemas.wps.cn/vas-ai-hub/contract-review">modified</status>
      <modifiedWord xmlns="http://schemas.wps.cn/vas-ai-hub/contract-review">烦琐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448652a5-5930-4f82-be73-5315bb6cb2e3</errorID>
      <errorWord xmlns="http://schemas.wps.cn/vas-ai-hub/contract-review">对于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对</item>
      </candidateList>
      <explain xmlns="http://schemas.wps.cn/vas-ai-hub/contract-review">（對）duì❶回答：～答｜无言以～。❷〈动〉对待；对付：～事不～人｜～症下药｜刀～刀，枪～枪。❸〈动〉朝着；向着（常跟“着”）：～着镜子理理头发｜枪口～着敌人。❹二者相对；彼此相向：～调｜～流｜～立｜～抗。❺对面的；敌对的：～岸｜～方｜～手｜作～。❻〈动〉使两个东西配合或接触：～对子｜把门～上｜～个火儿。</explain>
      <paraID xmlns="http://schemas.wps.cn/vas-ai-hub/contract-review">7582229E</paraID>
      <start xmlns="http://schemas.wps.cn/vas-ai-hub/contract-review">104</start>
      <end xmlns="http://schemas.wps.cn/vas-ai-hub/contract-review">105</end>
      <status xmlns="http://schemas.wps.cn/vas-ai-hub/contract-review">modified</status>
      <modifiedWord xmlns="http://schemas.wps.cn/vas-ai-hub/contract-review">对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baafdaa7-6774-45b1-8b17-5496160e0fa9</errorID>
      <errorWord xmlns="http://schemas.wps.cn/vas-ai-hub/contract-review">中会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中</item>
      </candidateList>
      <explain xmlns="http://schemas.wps.cn/vas-ai-hub/contract-review">〈动〉❶正对上；恰好合上：～选｜猜～了｜三枪都打～了目标。❷受到；遭受：～毒｜～暑｜胳膊上～了一枪。</explain>
      <paraID xmlns="http://schemas.wps.cn/vas-ai-hub/contract-review">47A231CF</paraID>
      <start xmlns="http://schemas.wps.cn/vas-ai-hub/contract-review">31</start>
      <end xmlns="http://schemas.wps.cn/vas-ai-hub/contract-review">32</end>
      <status xmlns="http://schemas.wps.cn/vas-ai-hub/contract-review">modified</status>
      <modifiedWord xmlns="http://schemas.wps.cn/vas-ai-hub/contract-review">中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b11c87e0-ad88-408d-a9fa-eeb85e8022e4</errorID>
      <errorWord xmlns="http://schemas.wps.cn/vas-ai-hub/contract-review">引入了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引入</item>
      </candidateList>
      <explain xmlns="http://schemas.wps.cn/vas-ai-hub/contract-review"/>
      <paraID xmlns="http://schemas.wps.cn/vas-ai-hub/contract-review">47A231CF</paraID>
      <start xmlns="http://schemas.wps.cn/vas-ai-hub/contract-review">32</start>
      <end xmlns="http://schemas.wps.cn/vas-ai-hub/contract-review">34</end>
      <status xmlns="http://schemas.wps.cn/vas-ai-hub/contract-review">modified</status>
      <modifiedWord xmlns="http://schemas.wps.cn/vas-ai-hub/contract-review">引入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66396af8-1cea-4353-b7aa-f98563ad8788</errorID>
      <errorWord xmlns="http://schemas.wps.cn/vas-ai-hub/contract-review">制定计划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制订计划</item>
      </candidateList>
      <explain xmlns="http://schemas.wps.cn/vas-ai-hub/contract-review"/>
      <paraID xmlns="http://schemas.wps.cn/vas-ai-hub/contract-review">184EF741</paraID>
      <start xmlns="http://schemas.wps.cn/vas-ai-hub/contract-review">19</start>
      <end xmlns="http://schemas.wps.cn/vas-ai-hub/contract-review">23</end>
      <status xmlns="http://schemas.wps.cn/vas-ai-hub/contract-review">modified</status>
      <modifiedWord xmlns="http://schemas.wps.cn/vas-ai-hub/contract-review">制订计划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b7d8dc65-337d-46ef-9130-75b422c68bd3</errorID>
      <errorWord xmlns="http://schemas.wps.cn/vas-ai-hub/contract-review">于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与</item>
      </candidateList>
      <explain xmlns="http://schemas.wps.cn/vas-ai-hub/contract-review"/>
      <paraID xmlns="http://schemas.wps.cn/vas-ai-hub/contract-review">54E8136F</paraID>
      <start xmlns="http://schemas.wps.cn/vas-ai-hub/contract-review">25</start>
      <end xmlns="http://schemas.wps.cn/vas-ai-hub/contract-review">26</end>
      <status xmlns="http://schemas.wps.cn/vas-ai-hub/contract-review">modified</status>
      <modifiedWord xmlns="http://schemas.wps.cn/vas-ai-hub/contract-review">与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08184c90-2123-4deb-857a-bc466c4a3987</errorID>
      <errorWord xmlns="http://schemas.wps.cn/vas-ai-hub/contract-review">现场的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现场</item>
      </candidateList>
      <explain xmlns="http://schemas.wps.cn/vas-ai-hub/contract-review"/>
      <paraID xmlns="http://schemas.wps.cn/vas-ai-hub/contract-review">117C34FC</paraID>
      <start xmlns="http://schemas.wps.cn/vas-ai-hub/contract-review">2</start>
      <end xmlns="http://schemas.wps.cn/vas-ai-hub/contract-review">4</end>
      <status xmlns="http://schemas.wps.cn/vas-ai-hub/contract-review">modified</status>
      <modifiedWord xmlns="http://schemas.wps.cn/vas-ai-hub/contract-review">现场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bea6cfd2-ac59-4475-8661-b393bc3a9bc6</errorID>
      <errorWord xmlns="http://schemas.wps.cn/vas-ai-hub/contract-review">对于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对</item>
      </candidateList>
      <explain xmlns="http://schemas.wps.cn/vas-ai-hub/contract-review">（對）duì❶回答：～答｜无言以～。❷〈动〉对待；对付：～事不～人｜～症下药｜刀～刀，枪～枪。❸〈动〉朝着；向着（常跟“着”）：～着镜子理理头发｜枪口～着敌人。❹二者相对；彼此相向：～调｜～流｜～立｜～抗。❺对面的；敌对的：～岸｜～方｜～手｜作～。❻〈动〉使两个东西配合或接触：～对子｜把门～上｜～个火儿。</explain>
      <paraID xmlns="http://schemas.wps.cn/vas-ai-hub/contract-review">3534BF4E</paraID>
      <start xmlns="http://schemas.wps.cn/vas-ai-hub/contract-review">71</start>
      <end xmlns="http://schemas.wps.cn/vas-ai-hub/contract-review">72</end>
      <status xmlns="http://schemas.wps.cn/vas-ai-hub/contract-review">modified</status>
      <modifiedWord xmlns="http://schemas.wps.cn/vas-ai-hub/contract-review">对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49a44ea3-e832-4fcc-8db5-5adea555c411</errorID>
      <errorWord xmlns="http://schemas.wps.cn/vas-ai-hub/contract-review">，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。</item>
      </candidateList>
      <explain xmlns="http://schemas.wps.cn/vas-ai-hub/contract-review"/>
      <paraID xmlns="http://schemas.wps.cn/vas-ai-hub/contract-review">780BADC2</paraID>
      <start xmlns="http://schemas.wps.cn/vas-ai-hub/contract-review">13</start>
      <end xmlns="http://schemas.wps.cn/vas-ai-hub/contract-review">14</end>
      <status xmlns="http://schemas.wps.cn/vas-ai-hub/contract-review">modified</status>
      <modifiedWord xmlns="http://schemas.wps.cn/vas-ai-hub/contract-review">。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6f2a7da6-7ce3-4be2-a066-32eba74d1532</errorID>
      <errorWord xmlns="http://schemas.wps.cn/vas-ai-hub/contract-review">支持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并</item>
      </candidateList>
      <explain xmlns="http://schemas.wps.cn/vas-ai-hub/contract-review"/>
      <paraID xmlns="http://schemas.wps.cn/vas-ai-hub/contract-review">780BADC2</paraID>
      <start xmlns="http://schemas.wps.cn/vas-ai-hub/contract-review">28</start>
      <end xmlns="http://schemas.wps.cn/vas-ai-hub/contract-review">29</end>
      <status xmlns="http://schemas.wps.cn/vas-ai-hub/contract-review">modified</status>
      <modifiedWord xmlns="http://schemas.wps.cn/vas-ai-hub/contract-review">并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07ac6d59-384e-4659-9b2f-81b989742a34</errorID>
      <errorWord xmlns="http://schemas.wps.cn/vas-ai-hub/contract-review">*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/>
      <explain xmlns="http://schemas.wps.cn/vas-ai-hub/contract-review"/>
      <paraID xmlns="http://schemas.wps.cn/vas-ai-hub/contract-review">146AD511</paraID>
      <start xmlns="http://schemas.wps.cn/vas-ai-hub/contract-review">0</start>
      <end xmlns="http://schemas.wps.cn/vas-ai-hub/contract-review">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b85fd087-2b5e-4288-bdc7-601f10b0d94d</errorID>
      <errorWord xmlns="http://schemas.wps.cn/vas-ai-hub/contract-review">*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/>
      <explain xmlns="http://schemas.wps.cn/vas-ai-hub/contract-review"/>
      <paraID xmlns="http://schemas.wps.cn/vas-ai-hub/contract-review">5A7A4004</paraID>
      <start xmlns="http://schemas.wps.cn/vas-ai-hub/contract-review">0</start>
      <end xmlns="http://schemas.wps.cn/vas-ai-hub/contract-review">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3f64bc1d-b002-4ffe-87a0-fce294140713</errorID>
      <errorWord xmlns="http://schemas.wps.cn/vas-ai-hub/contract-review">*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/>
      <explain xmlns="http://schemas.wps.cn/vas-ai-hub/contract-review"/>
      <paraID xmlns="http://schemas.wps.cn/vas-ai-hub/contract-review"> 743E576</paraID>
      <start xmlns="http://schemas.wps.cn/vas-ai-hub/contract-review">0</start>
      <end xmlns="http://schemas.wps.cn/vas-ai-hub/contract-review">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00083c11-ceef-4140-8cf1-c083915fd11d</errorID>
      <errorWord xmlns="http://schemas.wps.cn/vas-ai-hub/contract-review">*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/>
      <explain xmlns="http://schemas.wps.cn/vas-ai-hub/contract-review"/>
      <paraID xmlns="http://schemas.wps.cn/vas-ai-hub/contract-review">2D75F2E2</paraID>
      <start xmlns="http://schemas.wps.cn/vas-ai-hub/contract-review">0</start>
      <end xmlns="http://schemas.wps.cn/vas-ai-hub/contract-review">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dbdb1ced-b150-42c0-b4b7-a0442d75d9b6</errorID>
      <errorWord xmlns="http://schemas.wps.cn/vas-ai-hub/contract-review">以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地以</item>
      </candidateList>
      <explain xmlns="http://schemas.wps.cn/vas-ai-hub/contract-review"/>
      <paraID xmlns="http://schemas.wps.cn/vas-ai-hub/contract-review">406646EB</paraID>
      <start xmlns="http://schemas.wps.cn/vas-ai-hub/contract-review">99</start>
      <end xmlns="http://schemas.wps.cn/vas-ai-hub/contract-review">101</end>
      <status xmlns="http://schemas.wps.cn/vas-ai-hub/contract-review">modified</status>
      <modifiedWord xmlns="http://schemas.wps.cn/vas-ai-hub/contract-review">地以</modifiedWord>
      <trackRevisions xmlns="http://schemas.wps.cn/vas-ai-hub/contract-review">false</trackRevisions>
    </reviewItem>
  </reviewItems>
  <config xmlns="http://schemas.wps.cn/vas-ai-hub/contract-review"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054fb20-bf7a-4d45-ab07-6ef513583f1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supcon</Company>
  <Pages>190</Pages>
  <Words>636</Words>
  <Characters>965</Characters>
  <Lines>345</Lines>
  <Paragraphs>97</Paragraphs>
  <TotalTime>9</TotalTime>
  <ScaleCrop>false</ScaleCrop>
  <LinksUpToDate>false</LinksUpToDate>
  <CharactersWithSpaces>1077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2011-06-22T22:57:00Z</dcterms:created>
  <dc:creator>中控技术股份有限公司</dc:creator>
  <cp:lastModifiedBy>郭子豪</cp:lastModifiedBy>
  <dcterms:modified xsi:type="dcterms:W3CDTF">2026-09-30T13:29:27Z</dcterms:modified>
  <dc:subject>SCOS全局供应链优化与协同系统技术蓝图</dc:subject>
  <dc:title>05-数据、模型与集成架构</dc:title>
  <cp:keywords>SCOS,供应链优化,技术蓝图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7C9514D1B85F2A7C5147A26AB07C8B55_43</vt:lpwstr>
  </property>
  <property fmtid="{D5CDD505-2E9C-101B-9397-08002B2CF9AE}" pid="4" name="KSOTemplateDocerSaveRecord">
    <vt:lpwstr>eyJoZGlkIjoiNzcxOGEyODQxMjJkNGJmODkyMWU4ZTM0MmY3MmE1ZmYiLCJ1c2VySWQiOiIyNjE0OTkxMzkifQ==</vt:lpwstr>
  </property>
</Properties>
</file>