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
    <w:p/>
    <w:p>
      <w:pPr>
        <w:pStyle w:val="29"/>
      </w:pPr>
      <w:r>
        <w:rPr>
          <w:rFonts w:ascii="Times New Roman" w:hAnsi="Times New Roman" w:eastAsia="STHeiti" w:cs="Times New Roman"/>
          <w:b/>
          <w:color w:val="000000"/>
          <w:sz w:val="36"/>
        </w:rPr>
        <w:t>中粮生物科技太仓新建55万吨每年淀粉糖项目</w:t>
      </w:r>
    </w:p>
    <w:p>
      <w:pPr>
        <w:pStyle w:val="29"/>
      </w:pPr>
      <w:r>
        <w:rPr>
          <w:rFonts w:ascii="Times New Roman" w:hAnsi="Times New Roman" w:eastAsia="STHeiti" w:cs="Times New Roman"/>
          <w:b/>
          <w:color w:val="000000"/>
          <w:sz w:val="48"/>
        </w:rPr>
        <w:t>SCOS全局供应链优化与协同系统技术蓝图设计说明书</w:t>
      </w:r>
    </w:p>
    <w:p>
      <w:pPr>
        <w:spacing w:before="400"/>
        <w:jc w:val="center"/>
      </w:pPr>
      <w:r>
        <w:rPr>
          <w:rFonts w:ascii="Times New Roman" w:hAnsi="Times New Roman" w:eastAsia="STHeiti" w:cs="Times New Roman"/>
          <w:b/>
          <w:color w:val="000000"/>
          <w:sz w:val="40"/>
        </w:rPr>
        <w:t>六、安全、部署、运维与非功能设计</w:t>
      </w:r>
    </w:p>
    <w:p/>
    <w:p/>
    <w:tbl>
      <w:tblPr>
        <w:tblW w:type="auto" w:w="0"/>
        <w:jc w:val="center"/>
        <w:tblLayout w:type="fixed"/>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4150"/>
        <w:gridCol w:w="4150"/>
      </w:tblGrid>
      <w:tr>
        <w:trPr>
          <w:cantSplit/>
        </w:trPr>
        <w:tc>
          <w:tcPr>
            <w:tcW w:type="dxa" w:w="1814"/>
            <w:vAlign w:val="center"/>
            <w:tcMar>
              <w:top w:w="100" w:type="dxa"/>
              <w:start w:w="120" w:type="dxa"/>
              <w:bottom w:w="100" w:type="dxa"/>
              <w:end w:w="120" w:type="dxa"/>
            </w:tcMar>
            <w:shd w:fill="D9D9D9"/>
          </w:tcPr>
          <w:p>
            <w:pPr>
              <w:jc w:val="center"/>
            </w:pPr>
            <w:r>
              <w:rPr>
                <w:rFonts w:ascii="Times New Roman" w:hAnsi="Times New Roman" w:eastAsia="Songti SC" w:cs="Times New Roman"/>
                <w:b/>
                <w:color w:val="000000"/>
                <w:sz w:val="21"/>
              </w:rPr>
              <w:t>文档版本</w:t>
            </w:r>
          </w:p>
        </w:tc>
        <w:tc>
          <w:tcPr>
            <w:tcW w:type="dxa" w:w="4819"/>
            <w:vAlign w:val="center"/>
            <w:tcMar>
              <w:top w:w="100" w:type="dxa"/>
              <w:start w:w="120" w:type="dxa"/>
              <w:bottom w:w="100" w:type="dxa"/>
              <w:end w:w="120" w:type="dxa"/>
            </w:tcMar>
            <w:shd w:fill="FFFFFF"/>
          </w:tcPr>
          <w:p>
            <w:pPr>
              <w:jc w:val="left"/>
            </w:pPr>
            <w:r>
              <w:rPr>
                <w:rFonts w:ascii="Times New Roman" w:hAnsi="Times New Roman" w:eastAsia="Songti SC" w:cs="Times New Roman"/>
                <w:b w:val="0"/>
                <w:color w:val="000000"/>
                <w:sz w:val="21"/>
              </w:rPr>
              <w:t>v1.0</w:t>
            </w:r>
          </w:p>
        </w:tc>
      </w:tr>
      <w:tr>
        <w:trPr>
          <w:cantSplit/>
        </w:trPr>
        <w:tc>
          <w:tcPr>
            <w:tcW w:type="dxa" w:w="1814"/>
            <w:vAlign w:val="center"/>
            <w:tcMar>
              <w:top w:w="100" w:type="dxa"/>
              <w:start w:w="120" w:type="dxa"/>
              <w:bottom w:w="100" w:type="dxa"/>
              <w:end w:w="120" w:type="dxa"/>
            </w:tcMar>
            <w:shd w:fill="D9D9D9"/>
          </w:tcPr>
          <w:p>
            <w:pPr>
              <w:jc w:val="center"/>
            </w:pPr>
            <w:r>
              <w:rPr>
                <w:rFonts w:ascii="Times New Roman" w:hAnsi="Times New Roman" w:eastAsia="Songti SC" w:cs="Times New Roman"/>
                <w:b/>
                <w:color w:val="000000"/>
                <w:sz w:val="21"/>
              </w:rPr>
              <w:t>编制单位</w:t>
            </w:r>
          </w:p>
        </w:tc>
        <w:tc>
          <w:tcPr>
            <w:tcW w:type="dxa" w:w="4819"/>
            <w:vAlign w:val="center"/>
            <w:tcMar>
              <w:top w:w="100" w:type="dxa"/>
              <w:start w:w="120" w:type="dxa"/>
              <w:bottom w:w="100" w:type="dxa"/>
              <w:end w:w="120" w:type="dxa"/>
            </w:tcMar>
            <w:shd w:fill="FFFFFF"/>
          </w:tcPr>
          <w:p>
            <w:pPr>
              <w:jc w:val="left"/>
            </w:pPr>
            <w:r>
              <w:rPr>
                <w:rFonts w:ascii="Times New Roman" w:hAnsi="Times New Roman" w:eastAsia="Songti SC" w:cs="Times New Roman"/>
                <w:b w:val="0"/>
                <w:color w:val="000000"/>
                <w:sz w:val="21"/>
              </w:rPr>
              <w:t>中控技术股份有限公司</w:t>
            </w:r>
          </w:p>
        </w:tc>
      </w:tr>
      <w:tr>
        <w:trPr>
          <w:cantSplit/>
        </w:trPr>
        <w:tc>
          <w:tcPr>
            <w:tcW w:type="dxa" w:w="1814"/>
            <w:vAlign w:val="center"/>
            <w:tcMar>
              <w:top w:w="100" w:type="dxa"/>
              <w:start w:w="120" w:type="dxa"/>
              <w:bottom w:w="100" w:type="dxa"/>
              <w:end w:w="120" w:type="dxa"/>
            </w:tcMar>
            <w:shd w:fill="D9D9D9"/>
          </w:tcPr>
          <w:p>
            <w:pPr>
              <w:jc w:val="center"/>
            </w:pPr>
            <w:r>
              <w:rPr>
                <w:rFonts w:ascii="Times New Roman" w:hAnsi="Times New Roman" w:eastAsia="Songti SC" w:cs="Times New Roman"/>
                <w:b/>
                <w:color w:val="000000"/>
                <w:sz w:val="21"/>
              </w:rPr>
              <w:t>编制日期</w:t>
            </w:r>
          </w:p>
        </w:tc>
        <w:tc>
          <w:tcPr>
            <w:tcW w:type="dxa" w:w="4819"/>
            <w:vAlign w:val="center"/>
            <w:tcMar>
              <w:top w:w="100" w:type="dxa"/>
              <w:start w:w="120" w:type="dxa"/>
              <w:bottom w:w="100" w:type="dxa"/>
              <w:end w:w="120" w:type="dxa"/>
            </w:tcMar>
            <w:shd w:fill="FFFFFF"/>
          </w:tcPr>
          <w:p>
            <w:pPr>
              <w:jc w:val="left"/>
            </w:pPr>
            <w:r>
              <w:rPr>
                <w:rFonts w:ascii="Times New Roman" w:hAnsi="Times New Roman" w:eastAsia="Songti SC" w:cs="Times New Roman"/>
                <w:b w:val="0"/>
                <w:color w:val="000000"/>
                <w:sz w:val="21"/>
              </w:rPr>
              <w:t>2026年10月22日</w:t>
            </w:r>
          </w:p>
        </w:tc>
      </w:tr>
    </w:tbl>
    <w:p>
      <w:r>
        <w:br w:type="page"/>
      </w:r>
    </w:p>
    <w:p>
      <w:pPr>
        <w:pStyle w:val="2"/>
      </w:pPr>
      <w:r>
        <w:t>文档信息</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项目</w:t>
            </w:r>
          </w:p>
        </w:tc>
        <w:tc>
          <w:tcPr>
            <w:tcW w:type="dxa" w:w="481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内容</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文档名称</w:t>
            </w:r>
          </w:p>
        </w:tc>
        <w:tc>
          <w:tcPr>
            <w:tcW w:type="dxa" w:w="481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第六章 安全、部署、运维与非功能设计</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文档版本</w:t>
            </w:r>
          </w:p>
        </w:tc>
        <w:tc>
          <w:tcPr>
            <w:tcW w:type="dxa" w:w="481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v1.0</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文档状态</w:t>
            </w:r>
          </w:p>
        </w:tc>
        <w:tc>
          <w:tcPr>
            <w:tcW w:type="dxa" w:w="481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技术蓝图正式编制稿</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适用范围</w:t>
            </w:r>
          </w:p>
        </w:tc>
        <w:tc>
          <w:tcPr>
            <w:tcW w:type="dxa" w:w="481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SCOS五大模块及公共技术能力</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保密级别</w:t>
            </w:r>
          </w:p>
        </w:tc>
        <w:tc>
          <w:tcPr>
            <w:tcW w:type="dxa" w:w="481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项目内部</w:t>
            </w:r>
          </w:p>
        </w:tc>
      </w:tr>
    </w:tbl>
    <w:p>
      <w:pPr>
        <w:spacing w:after="40"/>
      </w:pPr>
    </w:p>
    <w:p>
      <w:pPr>
        <w:pStyle w:val="2"/>
      </w:pPr>
      <w:r>
        <w:t>修订记录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13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版本</w:t>
            </w:r>
          </w:p>
        </w:tc>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日期</w:t>
            </w:r>
          </w:p>
        </w:tc>
        <w:tc>
          <w:tcPr>
            <w:tcW w:type="dxa" w:w="28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修订说明</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编制单位</w:t>
            </w:r>
          </w:p>
        </w:tc>
      </w:tr>
      <w:tr>
        <w:trPr>
          <w:cantSplit/>
        </w:trPr>
        <w:tc>
          <w:tcPr>
            <w:tcW w:type="dxa" w:w="113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v1.0</w:t>
            </w:r>
          </w:p>
        </w:tc>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2026年10月22日</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初次编制</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中控技术股份有限公司</w:t>
            </w:r>
          </w:p>
        </w:tc>
      </w:tr>
    </w:tbl>
    <w:p>
      <w:pPr>
        <w:spacing w:after="40"/>
      </w:pPr>
    </w:p>
    <w:p>
      <w:r>
        <w:br w:type="page"/>
      </w:r>
    </w:p>
    <w:p>
      <w:pPr>
        <w:pStyle w:val="2"/>
      </w:pPr>
      <w:r>
        <w:t>六、安全、部署、运维与非功能设计</w:t>
      </w:r>
    </w:p>
    <w:p>
      <w:pPr>
        <w:spacing w:line="324" w:lineRule="auto" w:after="80"/>
        <w:ind w:firstLine="420"/>
        <w:jc w:val="both"/>
      </w:pPr>
      <w:r>
        <w:rPr>
          <w:rFonts w:ascii="Times New Roman" w:hAnsi="Times New Roman" w:eastAsia="Songti SC" w:cs="Times New Roman"/>
          <w:color w:val="000000"/>
          <w:sz w:val="21"/>
        </w:rPr>
        <w:t>本章规定SCOS在企业受控网络中的安全、分层部署、容量、备份、非功能和运维要求。前端与Java后端部署在一台或多台应用服务器上，MySQL原则上部署在独立数据库服务器上；每个算法引擎作为独立Docker容器运行，可共同部署在一台算法服务器上。系统不依赖算法集群，通过多用户并发控制、健康检查、资源隔离、可靠备份、快速重建、全链路观测和人工接管降低运行风险。</w:t>
      </w:r>
    </w:p>
    <w:p>
      <w:pPr>
        <w:pStyle w:val="3"/>
      </w:pPr>
      <w:r>
        <w:t>6.1 安全架构设计</w:t>
      </w:r>
    </w:p>
    <w:p>
      <w:pPr>
        <w:pStyle w:val="4"/>
      </w:pPr>
      <w:r>
        <w:rPr>
          <w:rFonts w:ascii="Times New Roman" w:hAnsi="Times New Roman" w:eastAsia="STHeiti" w:cs="Times New Roman"/>
          <w:b/>
          <w:color w:val="000000"/>
          <w:sz w:val="24"/>
        </w:rPr>
        <w:t>6.1.1 身份与访问安全</w:t>
      </w:r>
    </w:p>
    <w:p>
      <w:pPr>
        <w:pStyle w:val="6"/>
      </w:pPr>
      <w:r>
        <w:rPr>
          <w:rFonts w:ascii="Times New Roman" w:hAnsi="Times New Roman" w:eastAsia="STHeiti" w:cs="Times New Roman"/>
          <w:b/>
          <w:color w:val="000000"/>
          <w:sz w:val="22"/>
        </w:rPr>
        <w:t>6.1.1.1 安全目标与合规要求</w:t>
      </w:r>
    </w:p>
    <w:p>
      <w:pPr>
        <w:spacing w:line="324" w:lineRule="auto" w:after="80"/>
        <w:ind w:firstLine="420"/>
        <w:jc w:val="both"/>
      </w:pPr>
      <w:r>
        <w:rPr>
          <w:rFonts w:ascii="Times New Roman" w:hAnsi="Times New Roman" w:eastAsia="Songti SC" w:cs="Times New Roman"/>
          <w:color w:val="000000"/>
          <w:sz w:val="21"/>
        </w:rPr>
        <w:t>安全设计遵循企业信息安全、数据安全、账号权限、日志审计和软件供应链管理制度；等保定级、密码应用和数据出境等法定或企业专项要求由项目安全负责人确认后纳入详细设计。SCOS至少保证身份可信、访问受控、数据受保护、操作可追溯、漏洞可治理和安全事件可响应。</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安全目标</w:t>
            </w:r>
          </w:p>
        </w:tc>
        <w:tc>
          <w:tcPr>
            <w:tcW w:type="dxa" w:w="402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蓝图控制</w:t>
            </w:r>
          </w:p>
        </w:tc>
        <w:tc>
          <w:tcPr>
            <w:tcW w:type="dxa" w:w="243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验收证据</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身份可信</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统一身份、服务身份、会话和高风险操作二次控制</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认证流程、账号清单和失败日志</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最小权限</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RBAC、组织/对象/字段范围、职责分离和默认拒绝</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权限矩阵和越权测试</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边界清晰</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网络分区、入口收敛、白名单和算法/数据库不直接暴露</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网络拓扑和端口扫描</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数据保护</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TLS、敏感字段控制、脱敏、水印、备份保护和最小载荷</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配置、抽查和导出审计</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过程可审计</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登录、配置、模型、审批、发布、导出和运维均留痕</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审计检索与完整性检查</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供应链安全</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基础镜像、依赖、漏洞、制品摘要和SBOM受控</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扫描报告和发布清单</w:t>
            </w:r>
          </w:p>
        </w:tc>
      </w:tr>
    </w:tbl>
    <w:p>
      <w:pPr>
        <w:spacing w:after="40"/>
      </w:pPr>
    </w:p>
    <w:p>
      <w:pPr>
        <w:keepNext/>
        <w:spacing w:before="100" w:after="80"/>
        <w:jc w:val="center"/>
      </w:pPr>
      <w:r>
        <w:rPr>
          <w:rFonts w:ascii="Times New Roman" w:hAnsi="Times New Roman" w:eastAsia="Songti SC" w:cs="Times New Roman"/>
          <w:b/>
          <w:color w:val="000000"/>
          <w:sz w:val="18"/>
        </w:rPr>
        <w:t>图6-1 SCOS安全架构与网络信任区</w:t>
      </w:r>
    </w:p>
    <w:p>
      <w:pPr>
        <w:keepLines/>
        <w:spacing w:after="120"/>
        <w:jc w:val="center"/>
      </w:pPr>
      <w:r>
        <w:drawing>
          <wp:inline xmlns:a="http://schemas.openxmlformats.org/drawingml/2006/main" xmlns:pic="http://schemas.openxmlformats.org/drawingml/2006/picture">
            <wp:extent cx="5112000" cy="2840000"/>
            <wp:docPr id="1" name="Picture 1"/>
            <wp:cNvGraphicFramePr>
              <a:graphicFrameLocks noChangeAspect="1"/>
            </wp:cNvGraphicFramePr>
            <a:graphic>
              <a:graphicData uri="http://schemas.openxmlformats.org/drawingml/2006/picture">
                <pic:pic>
                  <pic:nvPicPr>
                    <pic:cNvPr id="0" name="图6-1_SCOS安全架构与网络信任区.png"/>
                    <pic:cNvPicPr/>
                  </pic:nvPicPr>
                  <pic:blipFill>
                    <a:blip r:embed="rId81"/>
                    <a:stretch>
                      <a:fillRect/>
                    </a:stretch>
                  </pic:blipFill>
                  <pic:spPr>
                    <a:xfrm>
                      <a:off x="0" y="0"/>
                      <a:ext cx="5112000" cy="2840000"/>
                    </a:xfrm>
                    <a:prstGeom prst="rect"/>
                  </pic:spPr>
                </pic:pic>
              </a:graphicData>
            </a:graphic>
          </wp:inline>
        </w:drawing>
      </w:r>
    </w:p>
    <w:p>
      <w:pPr>
        <w:pStyle w:val="6"/>
      </w:pPr>
      <w:r>
        <w:rPr>
          <w:rFonts w:ascii="Times New Roman" w:hAnsi="Times New Roman" w:eastAsia="STHeiti" w:cs="Times New Roman"/>
          <w:b/>
          <w:color w:val="000000"/>
          <w:sz w:val="22"/>
        </w:rPr>
        <w:t>6.1.1.2 身份认证与单点登录</w:t>
      </w:r>
    </w:p>
    <w:p>
      <w:pPr>
        <w:spacing w:line="324" w:lineRule="auto" w:after="80"/>
        <w:ind w:firstLine="420"/>
        <w:jc w:val="both"/>
      </w:pPr>
      <w:r>
        <w:rPr>
          <w:rFonts w:ascii="Times New Roman" w:hAnsi="Times New Roman" w:eastAsia="Songti SC" w:cs="Times New Roman"/>
          <w:color w:val="000000"/>
          <w:sz w:val="21"/>
        </w:rPr>
        <w:t>用户身份优先接入企业统一身份源并预留OIDC或企业SSO方式。会话在Java后端验证，浏览器不保存长期有效的敏感令牌；服务间使用独立服务身份，Python算法服务仅接受Java应用的内网调用。企业身份能力未就绪时，可使用受控本地账号作为过渡，但必须执行复杂度、锁定、到期和首次登录改密策略。</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身份类型</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认证方式</w:t>
            </w:r>
          </w:p>
        </w:tc>
        <w:tc>
          <w:tcPr>
            <w:tcW w:type="dxa" w:w="255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会话与生命周期</w:t>
            </w:r>
          </w:p>
        </w:tc>
        <w:tc>
          <w:tcPr>
            <w:tcW w:type="dxa" w:w="277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特殊控制</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业务用户</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企业SSO/OIDC优先</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短会话、空闲超时、统一注销</w:t>
            </w:r>
          </w:p>
        </w:tc>
        <w:tc>
          <w:tcPr>
            <w:tcW w:type="dxa" w:w="277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高风险操作按企业策略二次认证</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本地应急用户</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本地密码，仅限应急</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默认禁用、临时启用、到期自动停用</w:t>
            </w:r>
          </w:p>
        </w:tc>
        <w:tc>
          <w:tcPr>
            <w:tcW w:type="dxa" w:w="277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双人审批和全量审计</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系统接口</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客户端凭证、双向证书或签名令牌</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按系统独立、定期轮换</w:t>
            </w:r>
          </w:p>
        </w:tc>
        <w:tc>
          <w:tcPr>
            <w:tcW w:type="dxa" w:w="277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IP白名单和最小接口授权</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容器服务</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内网服务身份和随机密钥</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启动注入、不可写入镜像</w:t>
            </w:r>
          </w:p>
        </w:tc>
        <w:tc>
          <w:tcPr>
            <w:tcW w:type="dxa" w:w="277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Java到Python单向访问</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运维人员</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个人特权账号</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短时授权、操作完成回收</w:t>
            </w:r>
          </w:p>
        </w:tc>
        <w:tc>
          <w:tcPr>
            <w:tcW w:type="dxa" w:w="277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禁止共享账号，关键操作复核</w:t>
            </w:r>
          </w:p>
        </w:tc>
      </w:tr>
    </w:tbl>
    <w:p>
      <w:pPr>
        <w:spacing w:after="40"/>
      </w:pPr>
    </w:p>
    <w:p>
      <w:pPr>
        <w:pStyle w:val="6"/>
      </w:pPr>
      <w:r>
        <w:rPr>
          <w:rFonts w:ascii="Times New Roman" w:hAnsi="Times New Roman" w:eastAsia="STHeiti" w:cs="Times New Roman"/>
          <w:b/>
          <w:color w:val="000000"/>
          <w:sz w:val="22"/>
        </w:rPr>
        <w:t>6.1.1.3 授权与访问控制</w:t>
      </w:r>
    </w:p>
    <w:p>
      <w:pPr>
        <w:spacing w:line="324" w:lineRule="auto" w:after="80"/>
        <w:ind w:firstLine="420"/>
        <w:jc w:val="both"/>
      </w:pPr>
      <w:r>
        <w:rPr>
          <w:rFonts w:ascii="Times New Roman" w:hAnsi="Times New Roman" w:eastAsia="Songti SC" w:cs="Times New Roman"/>
          <w:color w:val="000000"/>
          <w:sz w:val="21"/>
        </w:rPr>
        <w:t>授权采用“角色权限＋数据范围＋字段级别＋对象状态”组合判断。前端菜单仅用于体验，后端每个API重新鉴权。方案编制、审批、发布、成本关账、参数发布和接口补数执行职责分离；临时授权设置原因、范围、开始结束时间和批准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47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控制层</w:t>
            </w:r>
          </w:p>
        </w:tc>
        <w:tc>
          <w:tcPr>
            <w:tcW w:type="dxa" w:w="311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控制对象</w:t>
            </w:r>
          </w:p>
        </w:tc>
        <w:tc>
          <w:tcPr>
            <w:tcW w:type="dxa" w:w="345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实施要求</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功能</w:t>
            </w:r>
          </w:p>
        </w:tc>
        <w:tc>
          <w:tcPr>
            <w:tcW w:type="dxa" w:w="311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菜单、页面、按钮、API和作业动作</w:t>
            </w:r>
          </w:p>
        </w:tc>
        <w:tc>
          <w:tcPr>
            <w:tcW w:type="dxa" w:w="345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角色授权、默认拒绝、后端校验</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数据</w:t>
            </w:r>
          </w:p>
        </w:tc>
        <w:tc>
          <w:tcPr>
            <w:tcW w:type="dxa" w:w="311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组织、工厂、仓库、产品、物料、供应商和期间</w:t>
            </w:r>
          </w:p>
        </w:tc>
        <w:tc>
          <w:tcPr>
            <w:tcW w:type="dxa" w:w="345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查询强制注入范围，导出同口径</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字段</w:t>
            </w:r>
          </w:p>
        </w:tc>
        <w:tc>
          <w:tcPr>
            <w:tcW w:type="dxa" w:w="311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报价、成本、利润、评分和个人信息</w:t>
            </w:r>
          </w:p>
        </w:tc>
        <w:tc>
          <w:tcPr>
            <w:tcW w:type="dxa" w:w="345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返回前移除或脱敏</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对象状态</w:t>
            </w:r>
          </w:p>
        </w:tc>
        <w:tc>
          <w:tcPr>
            <w:tcW w:type="dxa" w:w="311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草稿、审批、发布、执行、关账和归档对象</w:t>
            </w:r>
          </w:p>
        </w:tc>
        <w:tc>
          <w:tcPr>
            <w:tcW w:type="dxa" w:w="345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不同状态允许动作不同</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场景</w:t>
            </w:r>
          </w:p>
        </w:tc>
        <w:tc>
          <w:tcPr>
            <w:tcW w:type="dxa" w:w="311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正式、沙盘、测试和应急操作</w:t>
            </w:r>
          </w:p>
        </w:tc>
        <w:tc>
          <w:tcPr>
            <w:tcW w:type="dxa" w:w="345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正式发布只允许正式空间与生产角色</w:t>
            </w:r>
          </w:p>
        </w:tc>
      </w:tr>
    </w:tbl>
    <w:p>
      <w:pPr>
        <w:spacing w:after="40"/>
      </w:pPr>
    </w:p>
    <w:p>
      <w:pPr>
        <w:pStyle w:val="4"/>
      </w:pPr>
      <w:r>
        <w:rPr>
          <w:rFonts w:ascii="Times New Roman" w:hAnsi="Times New Roman" w:eastAsia="STHeiti" w:cs="Times New Roman"/>
          <w:b/>
          <w:color w:val="000000"/>
          <w:sz w:val="24"/>
        </w:rPr>
        <w:t>6.1.2 网络、应用与数据安全</w:t>
      </w:r>
    </w:p>
    <w:p>
      <w:pPr>
        <w:pStyle w:val="6"/>
      </w:pPr>
      <w:r>
        <w:rPr>
          <w:rFonts w:ascii="Times New Roman" w:hAnsi="Times New Roman" w:eastAsia="STHeiti" w:cs="Times New Roman"/>
          <w:b/>
          <w:color w:val="000000"/>
          <w:sz w:val="22"/>
        </w:rPr>
        <w:t>6.1.2.1 网络和边界安全</w:t>
      </w:r>
    </w:p>
    <w:p>
      <w:pPr>
        <w:spacing w:line="324" w:lineRule="auto" w:after="80"/>
        <w:ind w:firstLine="420"/>
        <w:jc w:val="both"/>
      </w:pPr>
      <w:r>
        <w:rPr>
          <w:rFonts w:ascii="Times New Roman" w:hAnsi="Times New Roman" w:eastAsia="Songti SC" w:cs="Times New Roman"/>
          <w:color w:val="000000"/>
          <w:sz w:val="21"/>
        </w:rPr>
        <w:t>应用服务器、数据库服务器和算法服务器部署在企业应用区或对应受控安全区，用户和外部系统统一经HTTPS反向代理或企业API网关进入。MySQL、Python算法接口、容器管理端口和监控管理端口不向用户区开放；数据库只允许Java应用和受控运维来源访问。运维入口使用企业堡垒机、VPN或同等级受控通道，禁止直接暴露公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访问路径</w:t>
            </w:r>
          </w:p>
        </w:tc>
        <w:tc>
          <w:tcPr>
            <w:tcW w:type="dxa" w:w="187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允许方向</w:t>
            </w:r>
          </w:p>
        </w:tc>
        <w:tc>
          <w:tcPr>
            <w:tcW w:type="dxa" w:w="19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建议端口/协议</w:t>
            </w:r>
          </w:p>
        </w:tc>
        <w:tc>
          <w:tcPr>
            <w:tcW w:type="dxa" w:w="368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边界控制</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用户→SCOS</w:t>
            </w:r>
          </w:p>
        </w:tc>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用户区到接入区</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HTTPS 443</w:t>
            </w:r>
          </w:p>
        </w:tc>
        <w:tc>
          <w:tcPr>
            <w:tcW w:type="dxa" w:w="368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SSO、TLS、限流和会话审计</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外部系统→SCOS</w:t>
            </w:r>
          </w:p>
        </w:tc>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集成区到API入口</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HTTPS 443</w:t>
            </w:r>
          </w:p>
        </w:tc>
        <w:tc>
          <w:tcPr>
            <w:tcW w:type="dxa" w:w="368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服务身份、白名单、签名/证书</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Java→Python</w:t>
            </w:r>
          </w:p>
        </w:tc>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应用服务器到算法服务器</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内网HTTP/HTTPS</w:t>
            </w:r>
          </w:p>
        </w:tc>
        <w:tc>
          <w:tcPr>
            <w:tcW w:type="dxa" w:w="368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网段隔离、服务身份、白名单、超时和限流</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Java→MySQL</w:t>
            </w:r>
          </w:p>
        </w:tc>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应用服务器到数据库服务器</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MySQL受控端口</w:t>
            </w:r>
          </w:p>
        </w:tc>
        <w:tc>
          <w:tcPr>
            <w:tcW w:type="dxa" w:w="368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专用账号、最小权限和连接加密条件</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运维→主机</w:t>
            </w:r>
          </w:p>
        </w:tc>
        <w:tc>
          <w:tcPr>
            <w:tcW w:type="dxa" w:w="187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堡垒机到各生产服务器</w:t>
            </w:r>
          </w:p>
        </w:tc>
        <w:tc>
          <w:tcPr>
            <w:tcW w:type="dxa" w:w="19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受控SSH/管理通道</w:t>
            </w:r>
          </w:p>
        </w:tc>
        <w:tc>
          <w:tcPr>
            <w:tcW w:type="dxa" w:w="368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个人账号、审批、命令审计</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服务器→备份介质</w:t>
            </w:r>
          </w:p>
        </w:tc>
        <w:tc>
          <w:tcPr>
            <w:tcW w:type="dxa" w:w="187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生产区到备份区</w:t>
            </w:r>
          </w:p>
        </w:tc>
        <w:tc>
          <w:tcPr>
            <w:tcW w:type="dxa" w:w="19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企业批准协议</w:t>
            </w:r>
          </w:p>
        </w:tc>
        <w:tc>
          <w:tcPr>
            <w:tcW w:type="dxa" w:w="368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加密、专用账号和写入白名单</w:t>
            </w:r>
          </w:p>
        </w:tc>
      </w:tr>
    </w:tbl>
    <w:p>
      <w:pPr>
        <w:spacing w:after="40"/>
      </w:pPr>
    </w:p>
    <w:p>
      <w:pPr>
        <w:pStyle w:val="6"/>
      </w:pPr>
      <w:r>
        <w:rPr>
          <w:rFonts w:ascii="Times New Roman" w:hAnsi="Times New Roman" w:eastAsia="STHeiti" w:cs="Times New Roman"/>
          <w:b/>
          <w:color w:val="000000"/>
          <w:sz w:val="22"/>
        </w:rPr>
        <w:t>6.1.2.2 应用和接口安全</w:t>
      </w:r>
    </w:p>
    <w:p>
      <w:pPr>
        <w:spacing w:line="324" w:lineRule="auto" w:after="80"/>
        <w:ind w:firstLine="420"/>
        <w:jc w:val="both"/>
      </w:pPr>
      <w:r>
        <w:rPr>
          <w:rFonts w:ascii="Times New Roman" w:hAnsi="Times New Roman" w:eastAsia="Songti SC" w:cs="Times New Roman"/>
          <w:color w:val="000000"/>
          <w:sz w:val="21"/>
        </w:rPr>
        <w:t>前后端遵循安全编码和输入不可信原则。Java服务执行类型、长度、枚举、范围、业务状态和文件白名单校验；数据库使用参数化访问；页面进行输出编码并配置安全响应头。写接口校验时间戳、幂等键和权限，上传文件限制类型、大小和保存位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威胁</w:t>
            </w:r>
          </w:p>
        </w:tc>
        <w:tc>
          <w:tcPr>
            <w:tcW w:type="dxa" w:w="396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控制要求</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验证方式</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注入与越权</w:t>
            </w:r>
          </w:p>
        </w:tc>
        <w:tc>
          <w:tcPr>
            <w:tcW w:type="dxa" w:w="39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参数化查询、对象级鉴权、字段白名单</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SAST/DAST与越权用例</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重放与重复提交</w:t>
            </w:r>
          </w:p>
        </w:tc>
        <w:tc>
          <w:tcPr>
            <w:tcW w:type="dxa" w:w="396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时间窗、nonce、幂等键和请求摘要</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重复与篡改请求测试</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恶意文件</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后缀与内容类型白名单、大小限制、随机文件名、扫描预留</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上传攻击用例</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接口滥用</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账号与接口配额、限流、熔断和异常行为告警</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压力与限流测试</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信息泄露</w:t>
            </w:r>
          </w:p>
        </w:tc>
        <w:tc>
          <w:tcPr>
            <w:tcW w:type="dxa" w:w="39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统一错误对象、不返回堆栈、日志脱敏</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错误场景和日志抽查</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依赖漏洞</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锁定依赖、制品扫描、补丁窗口和例外审批</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依赖清单与扫描报告</w:t>
            </w:r>
          </w:p>
        </w:tc>
      </w:tr>
    </w:tbl>
    <w:p>
      <w:pPr>
        <w:spacing w:after="40"/>
      </w:pPr>
    </w:p>
    <w:p>
      <w:pPr>
        <w:pStyle w:val="6"/>
      </w:pPr>
      <w:r>
        <w:rPr>
          <w:rFonts w:ascii="Times New Roman" w:hAnsi="Times New Roman" w:eastAsia="STHeiti" w:cs="Times New Roman"/>
          <w:b/>
          <w:color w:val="000000"/>
          <w:sz w:val="22"/>
        </w:rPr>
        <w:t>6.1.2.3 数据安全</w:t>
      </w:r>
    </w:p>
    <w:p>
      <w:pPr>
        <w:spacing w:line="324" w:lineRule="auto" w:after="80"/>
        <w:ind w:firstLine="420"/>
        <w:jc w:val="both"/>
      </w:pPr>
      <w:r>
        <w:rPr>
          <w:rFonts w:ascii="Times New Roman" w:hAnsi="Times New Roman" w:eastAsia="Songti SC" w:cs="Times New Roman"/>
          <w:color w:val="000000"/>
          <w:sz w:val="21"/>
        </w:rPr>
        <w:t>数据按公开、内部、敏感和高敏四级管理。供应商报价、采购成本、客户盈利和财务成本默认至少为敏感数据；认证密钥和口令属于高敏数据。分类级别决定查询、导出、共享、日志、备份和清理控制。数据删除必须遵循业务保留期和审计要求，不能破坏已发布方案及核算主链。</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24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级别</w:t>
            </w:r>
          </w:p>
        </w:tc>
        <w:tc>
          <w:tcPr>
            <w:tcW w:type="dxa" w:w="28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示例</w:t>
            </w:r>
          </w:p>
        </w:tc>
        <w:tc>
          <w:tcPr>
            <w:tcW w:type="dxa" w:w="272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访问与展示</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导出与留存</w:t>
            </w:r>
          </w:p>
        </w:tc>
      </w:tr>
      <w:tr>
        <w:trPr>
          <w:cantSplit/>
        </w:trPr>
        <w:tc>
          <w:tcPr>
            <w:tcW w:type="dxa" w:w="124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公开</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已批准对外发布的非敏感信息</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普通授权用户</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按发布制度</w:t>
            </w:r>
          </w:p>
        </w:tc>
      </w:tr>
      <w:tr>
        <w:trPr>
          <w:cantSplit/>
        </w:trPr>
        <w:tc>
          <w:tcPr>
            <w:tcW w:type="dxa" w:w="124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内部</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一般计划状态、公共参数和内部指标</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企业账号与组织范围</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记录导出人和用途</w:t>
            </w:r>
          </w:p>
        </w:tc>
      </w:tr>
      <w:tr>
        <w:trPr>
          <w:cantSplit/>
        </w:trPr>
        <w:tc>
          <w:tcPr>
            <w:tcW w:type="dxa" w:w="124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敏感</w:t>
            </w:r>
          </w:p>
        </w:tc>
        <w:tc>
          <w:tcPr>
            <w:tcW w:type="dxa" w:w="283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报价、合同条款、采购成本、客户盈利、批次成本</w:t>
            </w:r>
          </w:p>
        </w:tc>
        <w:tc>
          <w:tcPr>
            <w:tcW w:type="dxa" w:w="272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字段权限、最小范围、必要时脱敏</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水印、审批或专项审计</w:t>
            </w:r>
          </w:p>
        </w:tc>
      </w:tr>
      <w:tr>
        <w:trPr>
          <w:cantSplit/>
        </w:trPr>
        <w:tc>
          <w:tcPr>
            <w:tcW w:type="dxa" w:w="124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高敏</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密码、令牌、证书私钥、数据库口令</w:t>
            </w:r>
          </w:p>
        </w:tc>
        <w:tc>
          <w:tcPr>
            <w:tcW w:type="dxa" w:w="272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应用不展示，运维受控读取</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禁止普通导出；密钥轮换销毁</w:t>
            </w:r>
          </w:p>
        </w:tc>
      </w:tr>
    </w:tbl>
    <w:p>
      <w:pPr>
        <w:spacing w:after="40"/>
      </w:pPr>
    </w:p>
    <w:p>
      <w:pPr>
        <w:pStyle w:val="6"/>
      </w:pPr>
      <w:r>
        <w:rPr>
          <w:rFonts w:ascii="Times New Roman" w:hAnsi="Times New Roman" w:eastAsia="STHeiti" w:cs="Times New Roman"/>
          <w:b/>
          <w:color w:val="000000"/>
          <w:sz w:val="22"/>
        </w:rPr>
        <w:t>6.1.2.4 密钥、证书和敏感配置</w:t>
      </w:r>
    </w:p>
    <w:p>
      <w:pPr>
        <w:spacing w:line="324" w:lineRule="auto" w:after="80"/>
        <w:ind w:firstLine="420"/>
        <w:jc w:val="both"/>
      </w:pPr>
      <w:r>
        <w:rPr>
          <w:rFonts w:ascii="Times New Roman" w:hAnsi="Times New Roman" w:eastAsia="Songti SC" w:cs="Times New Roman"/>
          <w:color w:val="000000"/>
          <w:sz w:val="21"/>
        </w:rPr>
        <w:t>密钥、证书和口令不进入源码、镜像、普通配置文件或普通数据库字段。生产配置通过企业密钥管理能力、Docker Secret等受控机制或仅管理员可读的外部配置注入。轮换时支持新旧密钥短期并存，完成消费者切换后撤销旧密钥，并验证无遗留调用。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对象</w:t>
            </w:r>
          </w:p>
        </w:tc>
        <w:tc>
          <w:tcPr>
            <w:tcW w:type="dxa" w:w="198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责任人</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轮换/到期控制</w:t>
            </w:r>
          </w:p>
        </w:tc>
        <w:tc>
          <w:tcPr>
            <w:tcW w:type="dxa" w:w="255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审计</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TLS证书</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基础设施/安全</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到期前预警，证书链和域名校验</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签发、部署、撤销记录</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接口凭证</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接口管理员</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按企业周期或泄露事件立即轮换</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使用系统、权限和最后使用时间</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数据库口令</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DBA/运维</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应用与运维账号分开轮换</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变更审批和登录审计</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签名密钥</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安全/接口管理员</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双密钥过渡，密钥编号随请求</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签名失败和重放告警</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应急密钥</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指定保管人</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密封保管、启用后立即轮换</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双人启用和事后复盘</w:t>
            </w:r>
          </w:p>
        </w:tc>
      </w:tr>
    </w:tbl>
    <w:p>
      <w:pPr>
        <w:spacing w:after="40"/>
      </w:pPr>
    </w:p>
    <w:p>
      <w:pPr>
        <w:pStyle w:val="6"/>
      </w:pPr>
      <w:r>
        <w:rPr>
          <w:rFonts w:ascii="Times New Roman" w:hAnsi="Times New Roman" w:eastAsia="STHeiti" w:cs="Times New Roman"/>
          <w:b/>
          <w:color w:val="000000"/>
          <w:sz w:val="22"/>
        </w:rPr>
        <w:t>6.1.2.5 安全日志和安全事件</w:t>
      </w:r>
    </w:p>
    <w:p>
      <w:pPr>
        <w:spacing w:line="324" w:lineRule="auto" w:after="80"/>
        <w:ind w:firstLine="420"/>
        <w:jc w:val="both"/>
      </w:pPr>
      <w:r>
        <w:rPr>
          <w:rFonts w:ascii="Times New Roman" w:hAnsi="Times New Roman" w:eastAsia="Songti SC" w:cs="Times New Roman"/>
          <w:color w:val="000000"/>
          <w:sz w:val="21"/>
        </w:rPr>
        <w:t>安全日志覆盖认证、授权失败、特权操作、权限变更、敏感查询与导出、配置发布、密钥变更、异常流量和漏洞处置。日志包含用户或服务身份、时间、来源、资源、动作、结果和追踪号，正文中不记录密码、完整令牌和高敏业务数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47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事件级别</w:t>
            </w:r>
          </w:p>
        </w:tc>
        <w:tc>
          <w:tcPr>
            <w:tcW w:type="dxa" w:w="396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示例</w:t>
            </w:r>
          </w:p>
        </w:tc>
        <w:tc>
          <w:tcPr>
            <w:tcW w:type="dxa" w:w="260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响应要求</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S1重大</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疑似密钥泄露、持续入侵、敏感数据大规模外泄</w:t>
            </w:r>
          </w:p>
        </w:tc>
        <w:tc>
          <w:tcPr>
            <w:tcW w:type="dxa" w:w="260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立即隔离、升级安全负责人、保全证据和启动应急</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S2较大</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高权限账号异常、批量越权尝试、关键漏洞暴露</w:t>
            </w:r>
          </w:p>
        </w:tc>
        <w:tc>
          <w:tcPr>
            <w:tcW w:type="dxa" w:w="260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快速限制影响、修复验证和专项复盘</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S3一般</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多次认证失败、异常导出、低风险扫描告警</w:t>
            </w:r>
          </w:p>
        </w:tc>
        <w:tc>
          <w:tcPr>
            <w:tcW w:type="dxa" w:w="260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工单处置、趋势分析和规则优化</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信息</w:t>
            </w:r>
          </w:p>
        </w:tc>
        <w:tc>
          <w:tcPr>
            <w:tcW w:type="dxa" w:w="396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正常登录、权限查询和安全配置读取</w:t>
            </w:r>
          </w:p>
        </w:tc>
        <w:tc>
          <w:tcPr>
            <w:tcW w:type="dxa" w:w="260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按留存策略记录和抽查</w:t>
            </w:r>
          </w:p>
        </w:tc>
      </w:tr>
    </w:tbl>
    <w:p>
      <w:pPr>
        <w:spacing w:after="40"/>
      </w:pPr>
    </w:p>
    <w:p>
      <w:pPr>
        <w:pStyle w:val="3"/>
      </w:pPr>
      <w:r>
        <w:t>6.2 部署与基础设施架构</w:t>
      </w:r>
    </w:p>
    <w:p>
      <w:pPr>
        <w:pStyle w:val="4"/>
      </w:pPr>
      <w:r>
        <w:rPr>
          <w:rFonts w:ascii="Times New Roman" w:hAnsi="Times New Roman" w:eastAsia="STHeiti" w:cs="Times New Roman"/>
          <w:b/>
          <w:color w:val="000000"/>
          <w:sz w:val="24"/>
        </w:rPr>
        <w:t>6.2.1 环境与逻辑部署</w:t>
      </w:r>
    </w:p>
    <w:p>
      <w:pPr>
        <w:pStyle w:val="6"/>
      </w:pPr>
      <w:r>
        <w:rPr>
          <w:rFonts w:ascii="Times New Roman" w:hAnsi="Times New Roman" w:eastAsia="STHeiti" w:cs="Times New Roman"/>
          <w:b/>
          <w:color w:val="000000"/>
          <w:sz w:val="22"/>
        </w:rPr>
        <w:t>6.2.1.1 环境规划</w:t>
      </w:r>
    </w:p>
    <w:p>
      <w:pPr>
        <w:spacing w:line="324" w:lineRule="auto" w:after="80"/>
        <w:ind w:firstLine="420"/>
        <w:jc w:val="both"/>
      </w:pPr>
      <w:r>
        <w:rPr>
          <w:rFonts w:ascii="Times New Roman" w:hAnsi="Times New Roman" w:eastAsia="Songti SC" w:cs="Times New Roman"/>
          <w:color w:val="000000"/>
          <w:sz w:val="21"/>
        </w:rPr>
        <w:t>开发、测试、集成测试、预生产和生产环境相互隔离。预生产尽量与生产保持相同的应用、数据库和算法分层结构及数据规模特征，但不得使用未脱敏生产数据。本期不强制建设在线双机集群，采用服务器外备份、镜像和配置可重建方案；应用层可按并发容量部署多个无状态节点，算法层仍保持独立容器和单算法服务器边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47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环境</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用途</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数据</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发布控制</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开发</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代码调试、单元测试和模型开发</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合成或最小样本</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开发人员自主，禁止生产凭证</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测试</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功能、接口、模型、性能前置测试</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脱敏固定数据集</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测试版本和缺陷准入</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集成测试</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与SAP/MES/WMS等端到端联调</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联调账号和模拟/测试数据</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接口变更受控</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预生产</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发布演练、数据迁移和恢复验证</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脱敏且规模接近生产</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与生产同镜像，独立配置</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生产</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正式业务运行</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权威生产数据</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审批发布、最小账号和变更窗口</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恢复环境</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备份恢复和应急重建</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加密备份恢复副本</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启用前隔离验证</w:t>
            </w:r>
          </w:p>
        </w:tc>
      </w:tr>
    </w:tbl>
    <w:p>
      <w:pPr>
        <w:spacing w:after="40"/>
      </w:pPr>
    </w:p>
    <w:p>
      <w:pPr>
        <w:pStyle w:val="6"/>
      </w:pPr>
      <w:r>
        <w:rPr>
          <w:rFonts w:ascii="Times New Roman" w:hAnsi="Times New Roman" w:eastAsia="STHeiti" w:cs="Times New Roman"/>
          <w:b/>
          <w:color w:val="000000"/>
          <w:sz w:val="22"/>
        </w:rPr>
        <w:t>6.2.1.2 逻辑部署架构</w:t>
      </w:r>
    </w:p>
    <w:p>
      <w:pPr>
        <w:keepNext/>
        <w:spacing w:before="100" w:after="80"/>
        <w:jc w:val="center"/>
      </w:pPr>
      <w:r>
        <w:rPr>
          <w:rFonts w:ascii="Times New Roman" w:hAnsi="Times New Roman" w:eastAsia="Songti SC" w:cs="Times New Roman"/>
          <w:b/>
          <w:color w:val="000000"/>
          <w:sz w:val="18"/>
        </w:rPr>
        <w:t>图6-2 SCOS分层生产部署与算法容器架构</w:t>
      </w:r>
    </w:p>
    <w:p>
      <w:pPr>
        <w:keepLines/>
        <w:spacing w:after="120"/>
        <w:jc w:val="center"/>
      </w:pPr>
      <w:r>
        <w:drawing>
          <wp:inline xmlns:a="http://schemas.openxmlformats.org/drawingml/2006/main" xmlns:pic="http://schemas.openxmlformats.org/drawingml/2006/picture">
            <wp:extent cx="5112000" cy="2840000"/>
            <wp:docPr id="2" name="Picture 2"/>
            <wp:cNvGraphicFramePr>
              <a:graphicFrameLocks noChangeAspect="1"/>
            </wp:cNvGraphicFramePr>
            <a:graphic>
              <a:graphicData uri="http://schemas.openxmlformats.org/drawingml/2006/picture">
                <pic:pic>
                  <pic:nvPicPr>
                    <pic:cNvPr id="0" name="图6-2_SCOS分层生产部署与算法容器架构.png"/>
                    <pic:cNvPicPr/>
                  </pic:nvPicPr>
                  <pic:blipFill>
                    <a:blip r:embed="rId82"/>
                    <a:stretch>
                      <a:fillRect/>
                    </a:stretch>
                  </pic:blipFill>
                  <pic:spPr>
                    <a:xfrm>
                      <a:off x="0" y="0"/>
                      <a:ext cx="5112000" cy="2840000"/>
                    </a:xfrm>
                    <a:prstGeom prst="rect"/>
                  </pic:spPr>
                </pic:pic>
              </a:graphicData>
            </a:graphic>
          </wp:inline>
        </w:drawing>
      </w:r>
    </w:p>
    <w:p>
      <w:pPr>
        <w:spacing w:line="324" w:lineRule="auto" w:after="80"/>
        <w:ind w:firstLine="420"/>
        <w:jc w:val="both"/>
      </w:pPr>
      <w:r>
        <w:rPr>
          <w:rFonts w:ascii="Times New Roman" w:hAnsi="Times New Roman" w:eastAsia="Songti SC" w:cs="Times New Roman"/>
          <w:color w:val="000000"/>
          <w:sz w:val="21"/>
        </w:rPr>
        <w:t>生产环境按访问与应用层、数据层、算法层部署。应用服务器提供反向代理、前端静态资源、Java业务服务和后台任务，可从单节点起步并按并发需要增加无状态节点；数据库服务器承载MySQL和受控备份代理；算法服务器使用Docker编排多个彼此独立的算法容器。Java只能通过版本化HTTP接口调用算法容器，算法容器不得直接访问外部系统或MySQ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服务器/组件</w:t>
            </w:r>
          </w:p>
        </w:tc>
        <w:tc>
          <w:tcPr>
            <w:tcW w:type="dxa" w:w="294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主要职责</w:t>
            </w:r>
          </w:p>
        </w:tc>
        <w:tc>
          <w:tcPr>
            <w:tcW w:type="dxa" w:w="198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部署与持久化</w:t>
            </w:r>
          </w:p>
        </w:tc>
        <w:tc>
          <w:tcPr>
            <w:tcW w:type="dxa" w:w="243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6"/>
              </w:rPr>
              <w:t>健康检查与并发控制</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访问入口/反向代理</w:t>
            </w:r>
          </w:p>
        </w:tc>
        <w:tc>
          <w:tcPr>
            <w:tcW w:type="dxa" w:w="294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TLS终止、静态资源、路由、请求大小、基础限流和可选负载分发</w:t>
            </w:r>
          </w:p>
        </w:tc>
        <w:tc>
          <w:tcPr>
            <w:tcW w:type="dxa" w:w="1984"/>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应用服务器或企业接入区；证书与配置受控</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端口、证书、上游健康与请求率</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scos-java应用节点</w:t>
            </w:r>
          </w:p>
        </w:tc>
        <w:tc>
          <w:tcPr>
            <w:tcW w:type="dxa" w:w="294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REST API、领域事务、权限、工作流、运行和集成编排</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一台或多台应用服务器；无本地业务状态</w:t>
            </w:r>
          </w:p>
        </w:tc>
        <w:tc>
          <w:tcPr>
            <w:tcW w:type="dxa" w:w="243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应用健康、线程池、连接池、会话和内存上限</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job-worker</w:t>
            </w:r>
          </w:p>
        </w:tc>
        <w:tc>
          <w:tcPr>
            <w:tcW w:type="dxa" w:w="294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批处理、事件投递、重试、指标和监控任务</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应用服务器；状态写MySQL</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租约、防重入、最后成功时间和积压量</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MySQL 8.0</w:t>
            </w:r>
          </w:p>
        </w:tc>
        <w:tc>
          <w:tcPr>
            <w:tcW w:type="dxa" w:w="294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6"/>
              </w:rPr>
              <w:t>结构化主数据、业务事实、快照、结果和审计</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独立数据库服务器和受控数据卷</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连接、慢查询、磁盘、备份和恢复验证</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cockpit-model容器</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指标变化、健康度和沙盘汇总计算</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算法服务器；独立镜像、端口和资源配额</w:t>
            </w:r>
          </w:p>
        </w:tc>
        <w:tc>
          <w:tcPr>
            <w:tcW w:type="dxa" w:w="243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6"/>
              </w:rPr>
              <w:t>服务健康、任务队列、CPU/内存和超时</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inventory-model容器</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库存策略、逐日平衡和储罐约束</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算法服务器；独立镜像、端口和资源配额</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SCIP状态、并发上限、心跳和取消</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procurement-model容器</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采购TCO与供应商数量组合优化</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算法服务器；独立镜像、端口和资源配额</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SCIP状态、并发上限、心跳和取消</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requisition-model容器</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多周期要货与订单占用优化</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算法服务器；独立镜像、端口和资源配额</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SCIP状态、并发上限、心跳和取消</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cost-model容器</w:t>
            </w:r>
          </w:p>
        </w:tc>
        <w:tc>
          <w:tcPr>
            <w:tcW w:type="dxa" w:w="294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批次成本传导、费用池分摊和对账计算</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算法服务器；独立镜像、端口和资源配额</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6"/>
              </w:rPr>
              <w:t>运行阶段、并发上限、心跳和取消</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observability</w:t>
            </w:r>
          </w:p>
        </w:tc>
        <w:tc>
          <w:tcPr>
            <w:tcW w:type="dxa" w:w="294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日志采集、指标、健康检查和告警适配</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按企业监控平台或受控节点部署</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6"/>
              </w:rPr>
              <w:t>采集延迟、存储水位和告警通道</w:t>
            </w:r>
          </w:p>
        </w:tc>
      </w:tr>
    </w:tbl>
    <w:p>
      <w:pPr>
        <w:spacing w:after="40"/>
      </w:pPr>
    </w:p>
    <w:p>
      <w:pPr>
        <w:pStyle w:val="4"/>
      </w:pPr>
      <w:r>
        <w:rPr>
          <w:rFonts w:ascii="Times New Roman" w:hAnsi="Times New Roman" w:eastAsia="STHeiti" w:cs="Times New Roman"/>
          <w:b/>
          <w:color w:val="000000"/>
          <w:sz w:val="24"/>
        </w:rPr>
        <w:t>6.2.2 物理拓扑与资源规划</w:t>
      </w:r>
    </w:p>
    <w:p>
      <w:pPr>
        <w:spacing w:line="324" w:lineRule="auto" w:after="80"/>
        <w:ind w:firstLine="420"/>
        <w:jc w:val="both"/>
      </w:pPr>
      <w:r>
        <w:rPr>
          <w:rFonts w:ascii="Times New Roman" w:hAnsi="Times New Roman" w:eastAsia="Songti SC" w:cs="Times New Roman"/>
          <w:color w:val="000000"/>
          <w:sz w:val="21"/>
        </w:rPr>
        <w:t>物理拓扑至少包含应用服务器、数据库服务器和算法服务器，并配置服务器外备份介质。应用服务器可为单节点或多节点；数据库服务器和算法服务器分别隔离事务型存储与求解资源。外部访问只开放反向代理入口，数据库和算法服务不绑定用户网络地址；各服务器使用受控DNS、NTP、主机防护和运维通道。</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物理对象</w:t>
            </w:r>
          </w:p>
        </w:tc>
        <w:tc>
          <w:tcPr>
            <w:tcW w:type="dxa" w:w="283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部署内容</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网络要求</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存储要求</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应用服务器</w:t>
            </w:r>
          </w:p>
        </w:tc>
        <w:tc>
          <w:tcPr>
            <w:tcW w:type="dxa" w:w="283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反向代理、前端、Java应用和后台任务；可一台或多台</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应用区固定地址；仅入口对用户区开放</w:t>
            </w:r>
          </w:p>
        </w:tc>
        <w:tc>
          <w:tcPr>
            <w:tcW w:type="dxa" w:w="226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应用日志与临时文件可重建，不保存唯一业务事实</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数据库服务器</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MySQL 8.0与备份代理</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只允许应用节点和受控运维访问</w:t>
            </w:r>
          </w:p>
        </w:tc>
        <w:tc>
          <w:tcPr>
            <w:tcW w:type="dxa" w:w="226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SSD优先，数据/日志/备份暂存分区监控</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算法服务器</w:t>
            </w:r>
          </w:p>
        </w:tc>
        <w:tc>
          <w:tcPr>
            <w:tcW w:type="dxa" w:w="283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五个独立算法容器、PySCIPOpt和SCIP</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只允许应用节点按容器端口调用</w:t>
            </w:r>
          </w:p>
        </w:tc>
        <w:tc>
          <w:tcPr>
            <w:tcW w:type="dxa" w:w="226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CPU/内存按容器配额，模型证据受控保存</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企业API/接入区</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外部系统和用户统一入口（如企业已有）</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TLS、白名单和访问审计</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不保存业务主数据</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备份介质/备份服务器</w:t>
            </w:r>
          </w:p>
        </w:tc>
        <w:tc>
          <w:tcPr>
            <w:tcW w:type="dxa" w:w="283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数据库、文件、配置和制品备份</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生产服务器单向受控访问</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加密、保留策略和恢复抽检</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运维终端/堡垒机</w:t>
            </w:r>
          </w:p>
        </w:tc>
        <w:tc>
          <w:tcPr>
            <w:tcW w:type="dxa" w:w="283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受控运维入口</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个人账号、MFA/企业策略和命令审计</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禁止保存生产明文密钥</w:t>
            </w:r>
          </w:p>
        </w:tc>
      </w:tr>
    </w:tbl>
    <w:p>
      <w:pPr>
        <w:spacing w:after="40"/>
      </w:pPr>
    </w:p>
    <w:p>
      <w:pPr>
        <w:pStyle w:val="4"/>
      </w:pPr>
      <w:r>
        <w:rPr>
          <w:rFonts w:ascii="Times New Roman" w:hAnsi="Times New Roman" w:eastAsia="STHeiti" w:cs="Times New Roman"/>
          <w:b/>
          <w:color w:val="000000"/>
          <w:sz w:val="24"/>
        </w:rPr>
        <w:t>6.2.3 可用性与发布管理</w:t>
      </w:r>
    </w:p>
    <w:p>
      <w:pPr>
        <w:pStyle w:val="6"/>
      </w:pPr>
      <w:r>
        <w:rPr>
          <w:rFonts w:ascii="Times New Roman" w:hAnsi="Times New Roman" w:eastAsia="STHeiti" w:cs="Times New Roman"/>
          <w:b/>
          <w:color w:val="000000"/>
          <w:sz w:val="22"/>
        </w:rPr>
        <w:t>6.2.3.1 高可用设计</w:t>
      </w:r>
    </w:p>
    <w:p>
      <w:pPr>
        <w:spacing w:line="324" w:lineRule="auto" w:after="80"/>
        <w:ind w:firstLine="420"/>
        <w:jc w:val="both"/>
      </w:pPr>
      <w:r>
        <w:rPr>
          <w:rFonts w:ascii="Times New Roman" w:hAnsi="Times New Roman" w:eastAsia="Songti SC" w:cs="Times New Roman"/>
          <w:color w:val="000000"/>
          <w:sz w:val="21"/>
        </w:rPr>
        <w:t>本期不强制建设分布式集群，因此单节点应用、单数据库服务器或单算法服务器均存在相应节点级单点，不能宣称节点故障无中断。应用层可以通过增加无状态节点和可选负载入口提高并发与可用性；算法容器通过restart策略、健康检查、任务租约、幂等重试和资源保护实现服务级恢复；数据库和服务器级故障通过备份恢复、备用资源和受控重建处理。</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故障层次</w:t>
            </w:r>
          </w:p>
        </w:tc>
        <w:tc>
          <w:tcPr>
            <w:tcW w:type="dxa" w:w="232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检测</w:t>
            </w:r>
          </w:p>
        </w:tc>
        <w:tc>
          <w:tcPr>
            <w:tcW w:type="dxa" w:w="266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自动恢复</w:t>
            </w:r>
          </w:p>
        </w:tc>
        <w:tc>
          <w:tcPr>
            <w:tcW w:type="dxa" w:w="249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人工恢复/限制</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单容器进程</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健康检查、退出码和指标</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容器重启、幂等任务续跑</w:t>
            </w:r>
          </w:p>
        </w:tc>
        <w:tc>
          <w:tcPr>
            <w:tcW w:type="dxa" w:w="249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连续失败转人工</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算法任务</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心跳、时限和资源监控</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取消、重试或降级为最近可行方案</w:t>
            </w:r>
          </w:p>
        </w:tc>
        <w:tc>
          <w:tcPr>
            <w:tcW w:type="dxa" w:w="249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重试次数受限，不能伪造成功</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数据库连接</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连接池和SQL错误率</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短时重连、熔断非关键查询</w:t>
            </w:r>
          </w:p>
        </w:tc>
        <w:tc>
          <w:tcPr>
            <w:tcW w:type="dxa" w:w="2494"/>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数据库节点故障需运维恢复或切换备用资源</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磁盘容量</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多阈值告警和增长预测</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清理可重建缓存/过期日志</w:t>
            </w:r>
          </w:p>
        </w:tc>
        <w:tc>
          <w:tcPr>
            <w:tcW w:type="dxa" w:w="249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业务数据不得自动删除</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应用节点故障</w:t>
            </w:r>
          </w:p>
        </w:tc>
        <w:tc>
          <w:tcPr>
            <w:tcW w:type="dxa" w:w="232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主机不可达和外部探测</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多节点部署时由入口摘除故障节点</w:t>
            </w:r>
          </w:p>
        </w:tc>
        <w:tc>
          <w:tcPr>
            <w:tcW w:type="dxa" w:w="249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单节点时在备用资源重建</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数据库/算法节点故障</w:t>
            </w:r>
          </w:p>
        </w:tc>
        <w:tc>
          <w:tcPr>
            <w:tcW w:type="dxa" w:w="232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主机与服务健康探测</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本期不承诺自动集群切换</w:t>
            </w:r>
          </w:p>
        </w:tc>
        <w:tc>
          <w:tcPr>
            <w:tcW w:type="dxa" w:w="249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恢复数据库备份或重建算法容器</w:t>
            </w:r>
          </w:p>
        </w:tc>
      </w:tr>
    </w:tbl>
    <w:p>
      <w:pPr>
        <w:spacing w:after="40"/>
      </w:pPr>
    </w:p>
    <w:p>
      <w:pPr>
        <w:pStyle w:val="6"/>
      </w:pPr>
      <w:r>
        <w:rPr>
          <w:rFonts w:ascii="Times New Roman" w:hAnsi="Times New Roman" w:eastAsia="STHeiti" w:cs="Times New Roman"/>
          <w:b/>
          <w:color w:val="000000"/>
          <w:sz w:val="22"/>
        </w:rPr>
        <w:t>6.2.2.2 容量与资源规划</w:t>
      </w:r>
    </w:p>
    <w:p>
      <w:pPr>
        <w:spacing w:line="324" w:lineRule="auto" w:after="80"/>
        <w:ind w:firstLine="420"/>
        <w:jc w:val="both"/>
      </w:pPr>
      <w:r>
        <w:rPr>
          <w:rFonts w:ascii="Times New Roman" w:hAnsi="Times New Roman" w:eastAsia="Songti SC" w:cs="Times New Roman"/>
          <w:color w:val="000000"/>
          <w:sz w:val="21"/>
        </w:rPr>
        <w:t>容量依据在线并发、接口批次、历史数据、结果明细、模型规模和保留期分别估算应用、数据库和算法资源。下表为技术蓝图建议基线，不是最终采购承诺；详细设计阶段应使用真实样本压测并预留增长空间。算法服务器的CPU和内存优先保障SCIP求解，应用服务器按用户并发和后台任务配置，数据库服务器按热数据、索引和备份窗口配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资源对象</w:t>
            </w:r>
          </w:p>
        </w:tc>
        <w:tc>
          <w:tcPr>
            <w:tcW w:type="dxa" w:w="243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最低起步建议</w:t>
            </w:r>
          </w:p>
        </w:tc>
        <w:tc>
          <w:tcPr>
            <w:tcW w:type="dxa" w:w="289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生产建议基线</w:t>
            </w:r>
          </w:p>
        </w:tc>
        <w:tc>
          <w:tcPr>
            <w:tcW w:type="dxa" w:w="260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5"/>
              </w:rPr>
              <w:t>复核依据</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应用服务器</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8核、32 GB；单节点</w:t>
            </w:r>
          </w:p>
        </w:tc>
        <w:tc>
          <w:tcPr>
            <w:tcW w:type="dxa" w:w="289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5"/>
              </w:rPr>
              <w:t>每节点8—16核、32—64 GB；按需1—2节点</w:t>
            </w:r>
          </w:p>
        </w:tc>
        <w:tc>
          <w:tcPr>
            <w:tcW w:type="dxa" w:w="260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5"/>
              </w:rPr>
              <w:t>50个同时在线用户、30请求/秒峰值、后台任务</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数据库服务器</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8核、32 GB、1 TB SSD</w:t>
            </w:r>
          </w:p>
        </w:tc>
        <w:tc>
          <w:tcPr>
            <w:tcW w:type="dxa" w:w="289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5"/>
              </w:rPr>
              <w:t>16核、64 GB、2 TB及以上SSD及服务器外备份</w:t>
            </w:r>
          </w:p>
        </w:tc>
        <w:tc>
          <w:tcPr>
            <w:tcW w:type="dxa" w:w="260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热数据、索引、审计、备份与恢复窗口</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算法服务器</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16核、64 GB</w:t>
            </w:r>
          </w:p>
        </w:tc>
        <w:tc>
          <w:tcPr>
            <w:tcW w:type="dxa" w:w="28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24—32核、96—128 GB</w:t>
            </w:r>
          </w:p>
        </w:tc>
        <w:tc>
          <w:tcPr>
            <w:tcW w:type="dxa" w:w="260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5"/>
              </w:rPr>
              <w:t>模型规模、容器并发、求解时限和内存峰值</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网络</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千兆内网</w:t>
            </w:r>
          </w:p>
        </w:tc>
        <w:tc>
          <w:tcPr>
            <w:tcW w:type="dxa" w:w="28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稳定低延迟企业网络与受控网段</w:t>
            </w:r>
          </w:p>
        </w:tc>
        <w:tc>
          <w:tcPr>
            <w:tcW w:type="dxa" w:w="260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接口批量、算法载荷和备份窗口</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并发用户</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20个同时在线设计验证</w:t>
            </w:r>
          </w:p>
        </w:tc>
        <w:tc>
          <w:tcPr>
            <w:tcW w:type="dxa" w:w="28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50个同时在线设计基线</w:t>
            </w:r>
          </w:p>
        </w:tc>
        <w:tc>
          <w:tcPr>
            <w:tcW w:type="dxa" w:w="260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5"/>
              </w:rPr>
              <w:t>用户清单和操作峰值</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接口吞吐</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10请求/秒基线</w:t>
            </w:r>
          </w:p>
        </w:tc>
        <w:tc>
          <w:tcPr>
            <w:tcW w:type="dxa" w:w="28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30请求/秒基线，批量接口另测</w:t>
            </w:r>
          </w:p>
        </w:tc>
        <w:tc>
          <w:tcPr>
            <w:tcW w:type="dxa" w:w="260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5"/>
              </w:rPr>
              <w:t>对接频率、峰值批次和报文大小</w:t>
            </w:r>
          </w:p>
        </w:tc>
      </w:tr>
    </w:tbl>
    <w:p>
      <w:pPr>
        <w:spacing w:after="40"/>
      </w:pPr>
    </w:p>
    <w:p>
      <w:pPr>
        <w:pStyle w:val="6"/>
      </w:pPr>
      <w:r>
        <w:rPr>
          <w:rFonts w:ascii="Times New Roman" w:hAnsi="Times New Roman" w:eastAsia="STHeiti" w:cs="Times New Roman"/>
          <w:b/>
          <w:color w:val="000000"/>
          <w:sz w:val="22"/>
        </w:rPr>
        <w:t>6.2.2.3 优化求解资源设计</w:t>
      </w:r>
    </w:p>
    <w:p>
      <w:pPr>
        <w:spacing w:line="324" w:lineRule="auto" w:after="80"/>
        <w:ind w:firstLine="420"/>
        <w:jc w:val="both"/>
      </w:pPr>
      <w:r>
        <w:rPr>
          <w:rFonts w:ascii="Times New Roman" w:hAnsi="Times New Roman" w:eastAsia="Songti SC" w:cs="Times New Roman"/>
          <w:color w:val="000000"/>
          <w:sz w:val="21"/>
        </w:rPr>
        <w:t>SCIP运行在各专业算法引擎的独立Python容器中，这些容器可以共同部署在一台算法服务器上，不建设算法集群或分布式求解。每个容器具有独立端口、镜像版本、CPU/内存配额、健康检查和任务队列；重型优化任务在单容器内默认串行或单并发，轻量规则与统计任务可在资源允许时并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3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控制项</w:t>
            </w:r>
          </w:p>
        </w:tc>
        <w:tc>
          <w:tcPr>
            <w:tcW w:type="dxa" w:w="408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设计要求</w:t>
            </w:r>
          </w:p>
        </w:tc>
        <w:tc>
          <w:tcPr>
            <w:tcW w:type="dxa" w:w="243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异常处理</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并发</w:t>
            </w:r>
          </w:p>
        </w:tc>
        <w:tc>
          <w:tcPr>
            <w:tcW w:type="dxa" w:w="408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每个重型SCIP容器默认1个运行；不同容器能否并行由算法服务器压测确定</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超配请求按模块队列排队</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CPU/内存</w:t>
            </w:r>
          </w:p>
        </w:tc>
        <w:tc>
          <w:tcPr>
            <w:tcW w:type="dxa" w:w="408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每个算法容器设置上限并预留其他算法容器和系统资源</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接近阈值时拒绝新任务并告警</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时限</w:t>
            </w:r>
          </w:p>
        </w:tc>
        <w:tc>
          <w:tcPr>
            <w:tcW w:type="dxa" w:w="408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按模型配置软时限和硬时限</w:t>
            </w:r>
          </w:p>
        </w:tc>
        <w:tc>
          <w:tcPr>
            <w:tcW w:type="dxa" w:w="243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软时限接受合格可行解；硬时限终止并标记</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最优间隙</w:t>
            </w:r>
          </w:p>
        </w:tc>
        <w:tc>
          <w:tcPr>
            <w:tcW w:type="dxa" w:w="408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业务可接受阈值由模型卡定义</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记录最终间隙，不把非最优解表述为最优</w:t>
            </w:r>
          </w:p>
        </w:tc>
      </w:tr>
      <w:tr>
        <w:trPr>
          <w:cantSplit/>
        </w:trPr>
        <w:tc>
          <w:tcPr>
            <w:tcW w:type="dxa" w:w="153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队列</w:t>
            </w:r>
          </w:p>
        </w:tc>
        <w:tc>
          <w:tcPr>
            <w:tcW w:type="dxa" w:w="408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优先级、防饿死、取消和租约</w:t>
            </w:r>
          </w:p>
        </w:tc>
        <w:tc>
          <w:tcPr>
            <w:tcW w:type="dxa" w:w="243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超期任务转人工决定</w:t>
            </w:r>
          </w:p>
        </w:tc>
      </w:tr>
      <w:tr>
        <w:trPr>
          <w:cantSplit/>
        </w:trPr>
        <w:tc>
          <w:tcPr>
            <w:tcW w:type="dxa" w:w="153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开源依赖</w:t>
            </w:r>
          </w:p>
        </w:tc>
        <w:tc>
          <w:tcPr>
            <w:tcW w:type="dxa" w:w="4082"/>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固定SCIP/PySCIPOpt版本及制品摘要，保留许可清单</w:t>
            </w:r>
          </w:p>
        </w:tc>
        <w:tc>
          <w:tcPr>
            <w:tcW w:type="dxa" w:w="243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升级需回归验证和镜像回退</w:t>
            </w:r>
          </w:p>
        </w:tc>
      </w:tr>
    </w:tbl>
    <w:p>
      <w:pPr>
        <w:spacing w:after="40"/>
      </w:pPr>
    </w:p>
    <w:p>
      <w:pPr>
        <w:pStyle w:val="6"/>
      </w:pPr>
      <w:r>
        <w:rPr>
          <w:rFonts w:ascii="Times New Roman" w:hAnsi="Times New Roman" w:eastAsia="STHeiti" w:cs="Times New Roman"/>
          <w:b/>
          <w:color w:val="000000"/>
          <w:sz w:val="22"/>
        </w:rPr>
        <w:t>6.2.3.2 备份与容灾</w:t>
      </w:r>
    </w:p>
    <w:p>
      <w:pPr>
        <w:spacing w:line="324" w:lineRule="auto" w:after="80"/>
        <w:ind w:firstLine="420"/>
        <w:jc w:val="both"/>
      </w:pPr>
      <w:r>
        <w:rPr>
          <w:rFonts w:ascii="Times New Roman" w:hAnsi="Times New Roman" w:eastAsia="Songti SC" w:cs="Times New Roman"/>
          <w:color w:val="000000"/>
          <w:sz w:val="21"/>
        </w:rPr>
        <w:t>备份对象包括MySQL全量与增量/日志、附件与模型证据、配置、镜像清单、部署文件和密钥引用信息。备份至少复制到生产服务器之外，并定期执行恢复演练。RPO和RTO为项目建议基线，需结合企业备份设施和业务服务时间最终确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75"/>
        <w:gridCol w:w="2075"/>
        <w:gridCol w:w="2075"/>
        <w:gridCol w:w="2075"/>
      </w:tblGrid>
      <w:tr>
        <w:trPr>
          <w:tblHeader w:val="true"/>
          <w:cantSplit/>
        </w:trPr>
        <w:tc>
          <w:tcPr>
            <w:tcW w:type="dxa" w:w="175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对象</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建议频率</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建议保留</w:t>
            </w:r>
          </w:p>
        </w:tc>
        <w:tc>
          <w:tcPr>
            <w:tcW w:type="dxa" w:w="289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RPO/RTO设计基线</w:t>
            </w:r>
          </w:p>
        </w:tc>
      </w:tr>
      <w:tr>
        <w:trPr>
          <w:cantSplit/>
        </w:trPr>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MySQL</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每日全量＋持续或高频日志备份</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日/周/月分层，按企业制度</w:t>
            </w:r>
          </w:p>
        </w:tc>
        <w:tc>
          <w:tcPr>
            <w:tcW w:type="dxa" w:w="2891"/>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RPO不高于4小时；RTO不高于8小时</w:t>
            </w:r>
          </w:p>
        </w:tc>
      </w:tr>
      <w:tr>
        <w:trPr>
          <w:cantSplit/>
        </w:trPr>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附件与模型证据</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每日增量</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与业务主链一致</w:t>
            </w:r>
          </w:p>
        </w:tc>
        <w:tc>
          <w:tcPr>
            <w:tcW w:type="dxa" w:w="2891"/>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RPO不高于24小时；RTO不高于8小时</w:t>
            </w:r>
          </w:p>
        </w:tc>
      </w:tr>
      <w:tr>
        <w:trPr>
          <w:cantSplit/>
        </w:trPr>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配置与Compose文件</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每次变更即备份</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保留所有发布版本</w:t>
            </w:r>
          </w:p>
        </w:tc>
        <w:tc>
          <w:tcPr>
            <w:tcW w:type="dxa" w:w="28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可在2小时内恢复</w:t>
            </w:r>
          </w:p>
        </w:tc>
      </w:tr>
      <w:tr>
        <w:trPr>
          <w:cantSplit/>
        </w:trPr>
        <w:tc>
          <w:tcPr>
            <w:tcW w:type="dxa" w:w="175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容器镜像与依赖清单</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每次发布归档</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当前及至少两个稳定版本</w:t>
            </w:r>
          </w:p>
        </w:tc>
        <w:tc>
          <w:tcPr>
            <w:tcW w:type="dxa" w:w="289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支持快速回退或重建</w:t>
            </w:r>
          </w:p>
        </w:tc>
      </w:tr>
      <w:tr>
        <w:trPr>
          <w:cantSplit/>
        </w:trPr>
        <w:tc>
          <w:tcPr>
            <w:tcW w:type="dxa" w:w="175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审计与安全日志</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每日归档/按策略转储</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按企业安全制度</w:t>
            </w:r>
          </w:p>
        </w:tc>
        <w:tc>
          <w:tcPr>
            <w:tcW w:type="dxa" w:w="289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优先保证证据完整</w:t>
            </w:r>
          </w:p>
        </w:tc>
      </w:tr>
    </w:tbl>
    <w:p>
      <w:pPr>
        <w:spacing w:after="40"/>
      </w:pPr>
    </w:p>
    <w:p>
      <w:pPr>
        <w:spacing w:line="324" w:lineRule="auto" w:after="80"/>
        <w:ind w:firstLine="420"/>
        <w:jc w:val="both"/>
      </w:pPr>
      <w:r>
        <w:rPr>
          <w:rFonts w:ascii="Times New Roman" w:hAnsi="Times New Roman" w:eastAsia="Songti SC" w:cs="Times New Roman"/>
          <w:color w:val="000000"/>
          <w:sz w:val="21"/>
        </w:rPr>
        <w:t>恢复演练至少验证备份可读、校验和一致、数据库可启动、关键表记录数与对账一致、应用能够登录、模型能够使用指定快照运行、发布接口保持关闭直至业务批准。整机恢复完成后先以只读方式验证，再逐步开放写入和外部发布。</w:t>
      </w:r>
    </w:p>
    <w:p>
      <w:pPr>
        <w:pStyle w:val="6"/>
      </w:pPr>
      <w:r>
        <w:rPr>
          <w:rFonts w:ascii="Times New Roman" w:hAnsi="Times New Roman" w:eastAsia="STHeiti" w:cs="Times New Roman"/>
          <w:b/>
          <w:color w:val="000000"/>
          <w:sz w:val="22"/>
        </w:rPr>
        <w:t>6.2.3.3 发布与配置管理</w:t>
      </w:r>
    </w:p>
    <w:p>
      <w:pPr>
        <w:spacing w:line="324" w:lineRule="auto" w:after="80"/>
        <w:ind w:firstLine="420"/>
        <w:jc w:val="both"/>
      </w:pPr>
      <w:r>
        <w:rPr>
          <w:rFonts w:ascii="Times New Roman" w:hAnsi="Times New Roman" w:eastAsia="Songti SC" w:cs="Times New Roman"/>
          <w:color w:val="000000"/>
          <w:sz w:val="21"/>
        </w:rPr>
        <w:t>发布物包括前端、Java、Python镜像、数据库迁移、Compose文件、接口契约、模型/规则/参数版本和发布说明。制品构建后以摘要锁定，不在生产服务器现场修改镜像。环境配置与代码分离，数据库变更采用可审计迁移脚本并验证前后兼容和回退条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阶段</w:t>
            </w:r>
          </w:p>
        </w:tc>
        <w:tc>
          <w:tcPr>
            <w:tcW w:type="dxa" w:w="419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控制</w:t>
            </w:r>
          </w:p>
        </w:tc>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回退</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构建</w:t>
            </w:r>
          </w:p>
        </w:tc>
        <w:tc>
          <w:tcPr>
            <w:tcW w:type="dxa" w:w="419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固定依赖、自动测试、漏洞扫描、镜像摘要和SBOM</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失败不生成候选制品</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发布前</w:t>
            </w:r>
          </w:p>
        </w:tc>
        <w:tc>
          <w:tcPr>
            <w:tcW w:type="dxa" w:w="419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审批、备份、变更清单、维护窗口和回退演练</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未满足准入则延期</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部署</w:t>
            </w:r>
          </w:p>
        </w:tc>
        <w:tc>
          <w:tcPr>
            <w:tcW w:type="dxa" w:w="419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拉取固定摘要镜像、迁移数据库、启动健康检查</w:t>
            </w:r>
          </w:p>
        </w:tc>
        <w:tc>
          <w:tcPr>
            <w:tcW w:type="dxa" w:w="2268"/>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应用回退上一镜像；数据库按兼容方案处理</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验证</w:t>
            </w:r>
          </w:p>
        </w:tc>
        <w:tc>
          <w:tcPr>
            <w:tcW w:type="dxa" w:w="419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冒烟、接口、权限、模型和监控检查</w:t>
            </w:r>
          </w:p>
        </w:tc>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触发阈值立即停止放量</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观察</w:t>
            </w:r>
          </w:p>
        </w:tc>
        <w:tc>
          <w:tcPr>
            <w:tcW w:type="dxa" w:w="419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错误率、性能、队列、数据库和业务指标</w:t>
            </w:r>
          </w:p>
        </w:tc>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观察期内保留快速回退能力</w:t>
            </w:r>
          </w:p>
        </w:tc>
      </w:tr>
    </w:tbl>
    <w:p>
      <w:pPr>
        <w:spacing w:after="40"/>
      </w:pPr>
    </w:p>
    <w:p>
      <w:pPr>
        <w:pStyle w:val="3"/>
      </w:pPr>
      <w:r>
        <w:t>6.3 非功能需求设计</w:t>
      </w:r>
    </w:p>
    <w:p>
      <w:pPr>
        <w:pStyle w:val="4"/>
      </w:pPr>
      <w:r>
        <w:rPr>
          <w:rFonts w:ascii="Times New Roman" w:hAnsi="Times New Roman" w:eastAsia="STHeiti" w:cs="Times New Roman"/>
          <w:b/>
          <w:color w:val="000000"/>
          <w:sz w:val="24"/>
        </w:rPr>
        <w:t>6.3.1 性能与容量</w:t>
      </w:r>
    </w:p>
    <w:p>
      <w:pPr>
        <w:pStyle w:val="6"/>
      </w:pPr>
      <w:r>
        <w:rPr>
          <w:rFonts w:ascii="Times New Roman" w:hAnsi="Times New Roman" w:eastAsia="STHeiti" w:cs="Times New Roman"/>
          <w:b/>
          <w:color w:val="000000"/>
          <w:sz w:val="22"/>
        </w:rPr>
        <w:t>6.3.1.1 性能</w:t>
      </w:r>
    </w:p>
    <w:p>
      <w:pPr>
        <w:spacing w:line="324" w:lineRule="auto" w:after="80"/>
        <w:ind w:firstLine="420"/>
        <w:jc w:val="both"/>
      </w:pPr>
      <w:r>
        <w:rPr>
          <w:rFonts w:ascii="Times New Roman" w:hAnsi="Times New Roman" w:eastAsia="Songti SC" w:cs="Times New Roman"/>
          <w:color w:val="000000"/>
          <w:sz w:val="21"/>
        </w:rPr>
        <w:t>性能指标区分交互查询、复杂分析、批量接口和优化求解，不使用一个响应时间覆盖全部场景。下表为设计验收基线，需在第七章用接近生产的数据量和硬件复核；外部系统耗时单独记录，避免把外部等待错误归因于SCOS内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226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场景</w:t>
            </w:r>
          </w:p>
        </w:tc>
        <w:tc>
          <w:tcPr>
            <w:tcW w:type="dxa" w:w="215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设计基线（P95）</w:t>
            </w:r>
          </w:p>
        </w:tc>
        <w:tc>
          <w:tcPr>
            <w:tcW w:type="dxa" w:w="36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说明</w:t>
            </w:r>
          </w:p>
        </w:tc>
      </w:tr>
      <w:tr>
        <w:trPr>
          <w:cantSplit/>
        </w:trPr>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登录后首页/普通列表</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3秒内</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不含首次静态资源缓存；常用分页查询</w:t>
            </w:r>
          </w:p>
        </w:tc>
      </w:tr>
      <w:tr>
        <w:trPr>
          <w:cantSplit/>
        </w:trPr>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驾驶舱钻取/常用分析</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5秒内</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使用预计算指标和受控查询范围</w:t>
            </w:r>
          </w:p>
        </w:tc>
      </w:tr>
      <w:tr>
        <w:trPr>
          <w:cantSplit/>
        </w:trPr>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简单REST查询/提交</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2秒内</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不含异步模型运行和外部系统处理</w:t>
            </w:r>
          </w:p>
        </w:tc>
      </w:tr>
      <w:tr>
        <w:trPr>
          <w:cantSplit/>
        </w:trPr>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批量导入受理</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10秒内返回批次号</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后台异步处理，进度可查询</w:t>
            </w:r>
          </w:p>
        </w:tc>
      </w:tr>
      <w:tr>
        <w:trPr>
          <w:cantSplit/>
        </w:trPr>
        <w:tc>
          <w:tcPr>
            <w:tcW w:type="dxa" w:w="226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标准报表导出</w:t>
            </w:r>
          </w:p>
        </w:tc>
        <w:tc>
          <w:tcPr>
            <w:tcW w:type="dxa" w:w="215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60秒内生成或转异步</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超阈值使用异步任务</w:t>
            </w:r>
          </w:p>
        </w:tc>
      </w:tr>
      <w:tr>
        <w:trPr>
          <w:cantSplit/>
        </w:trPr>
        <w:tc>
          <w:tcPr>
            <w:tcW w:type="dxa" w:w="226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优化求解</w:t>
            </w:r>
          </w:p>
        </w:tc>
        <w:tc>
          <w:tcPr>
            <w:tcW w:type="dxa" w:w="215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按模型卡时限</w:t>
            </w:r>
          </w:p>
        </w:tc>
        <w:tc>
          <w:tcPr>
            <w:tcW w:type="dxa" w:w="3628"/>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记录可行性、最优间隙和终止原因，不承诺交互级时延</w:t>
            </w:r>
          </w:p>
        </w:tc>
      </w:tr>
    </w:tbl>
    <w:p>
      <w:pPr>
        <w:spacing w:after="40"/>
      </w:pPr>
    </w:p>
    <w:p>
      <w:pPr>
        <w:pStyle w:val="6"/>
      </w:pPr>
      <w:r>
        <w:rPr>
          <w:rFonts w:ascii="Times New Roman" w:hAnsi="Times New Roman" w:eastAsia="STHeiti" w:cs="Times New Roman"/>
          <w:b/>
          <w:color w:val="000000"/>
          <w:sz w:val="22"/>
        </w:rPr>
        <w:t>6.3.1.2 并发与容量</w:t>
      </w:r>
    </w:p>
    <w:p>
      <w:pPr>
        <w:spacing w:line="324" w:lineRule="auto" w:after="80"/>
        <w:ind w:firstLine="420"/>
        <w:jc w:val="both"/>
      </w:pPr>
      <w:r>
        <w:rPr>
          <w:rFonts w:ascii="Times New Roman" w:hAnsi="Times New Roman" w:eastAsia="Songti SC" w:cs="Times New Roman"/>
          <w:color w:val="000000"/>
          <w:sz w:val="21"/>
        </w:rPr>
        <w:t>容量基线以50个同时在线用户、30请求/秒短时API峰值、一个重型SCIP任务和若干轻量后台任务为初始设计目标。接口批量、模型规模和历史增长必须分场景压测。达到CPU、内存、连接池或磁盘阈值时，系统优先排队和降级非关键功能，不允许无界并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容量对象</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基线</w:t>
            </w:r>
          </w:p>
        </w:tc>
        <w:tc>
          <w:tcPr>
            <w:tcW w:type="dxa" w:w="385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保护机制</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HTTP请求</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30请求/秒短时峰值</w:t>
            </w:r>
          </w:p>
        </w:tc>
        <w:tc>
          <w:tcPr>
            <w:tcW w:type="dxa" w:w="385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限流、线程池、连接池和慢查询保护</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在线用户</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50同时在线</w:t>
            </w:r>
          </w:p>
        </w:tc>
        <w:tc>
          <w:tcPr>
            <w:tcW w:type="dxa" w:w="385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会话上限、分页和导出异步化</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SCIP重型运行</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默认1个</w:t>
            </w:r>
          </w:p>
        </w:tc>
        <w:tc>
          <w:tcPr>
            <w:tcW w:type="dxa" w:w="385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队列、优先级、资源上限和取消</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批处理</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按任务日历错峰</w:t>
            </w:r>
          </w:p>
        </w:tc>
        <w:tc>
          <w:tcPr>
            <w:tcW w:type="dxa" w:w="385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租约、防重入、依赖和补跑</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数据增长</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按月监控并保留至少30%容量余量</w:t>
            </w:r>
          </w:p>
        </w:tc>
        <w:tc>
          <w:tcPr>
            <w:tcW w:type="dxa" w:w="385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分区、归档、索引复核和容量预测</w:t>
            </w:r>
          </w:p>
        </w:tc>
      </w:tr>
    </w:tbl>
    <w:p>
      <w:pPr>
        <w:spacing w:after="40"/>
      </w:pPr>
    </w:p>
    <w:p>
      <w:pPr>
        <w:pStyle w:val="4"/>
      </w:pPr>
      <w:r>
        <w:rPr>
          <w:rFonts w:ascii="Times New Roman" w:hAnsi="Times New Roman" w:eastAsia="STHeiti" w:cs="Times New Roman"/>
          <w:b/>
          <w:color w:val="000000"/>
          <w:sz w:val="24"/>
        </w:rPr>
        <w:t>6.3.2 质量属性</w:t>
      </w:r>
    </w:p>
    <w:p>
      <w:pPr>
        <w:pStyle w:val="6"/>
      </w:pPr>
      <w:r>
        <w:rPr>
          <w:rFonts w:ascii="Times New Roman" w:hAnsi="Times New Roman" w:eastAsia="STHeiti" w:cs="Times New Roman"/>
          <w:b/>
          <w:color w:val="000000"/>
          <w:sz w:val="22"/>
        </w:rPr>
        <w:t>6.3.2.1 可用性与可靠性</w:t>
      </w:r>
    </w:p>
    <w:p>
      <w:pPr>
        <w:spacing w:line="324" w:lineRule="auto" w:after="80"/>
        <w:ind w:firstLine="420"/>
        <w:jc w:val="both"/>
      </w:pPr>
      <w:r>
        <w:rPr>
          <w:rFonts w:ascii="Times New Roman" w:hAnsi="Times New Roman" w:eastAsia="Songti SC" w:cs="Times New Roman"/>
          <w:color w:val="000000"/>
          <w:sz w:val="21"/>
        </w:rPr>
        <w:t>在不含计划维护且本期未强制建设自动故障转移集群的条件下，建议以月度99.5%应用可用率作为初始服务目标。该目标依赖应用、数据库、算法、网络、电源和备份能力；部署多个应用节点可以提升入口和Java服务可用性，但不自动消除数据库或算法服务器单点。重要写操作必须幂等，任务必须可重放，状态必须可恢复，失败必须可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可靠性机制</w:t>
            </w:r>
          </w:p>
        </w:tc>
        <w:tc>
          <w:tcPr>
            <w:tcW w:type="dxa" w:w="6350"/>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设计要求</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健康检查</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容器、应用、数据库、算法和关键外部依赖分层健康；就绪与存活分开。</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超时重试</w:t>
            </w:r>
          </w:p>
        </w:tc>
        <w:tc>
          <w:tcPr>
            <w:tcW w:type="dxa" w:w="6350"/>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分层超时；仅幂等操作自动重试；设置次数、退避和抖动。</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降级</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驾驶舱可显示最近成功数据并标注截止时间；模型不可用时不伪造新方案。</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一致性</w:t>
            </w:r>
          </w:p>
        </w:tc>
        <w:tc>
          <w:tcPr>
            <w:tcW w:type="dxa" w:w="6350"/>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本地事务保证聚合一致；跨系统使用事件、幂等、补偿和对账。</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恢复</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任务租约、运行状态、快照和结果分离，重启后识别未完成任务并人工/自动续处。</w:t>
            </w:r>
          </w:p>
        </w:tc>
      </w:tr>
    </w:tbl>
    <w:p>
      <w:pPr>
        <w:spacing w:after="40"/>
      </w:pPr>
    </w:p>
    <w:p>
      <w:pPr>
        <w:pStyle w:val="6"/>
      </w:pPr>
      <w:r>
        <w:rPr>
          <w:rFonts w:ascii="Times New Roman" w:hAnsi="Times New Roman" w:eastAsia="STHeiti" w:cs="Times New Roman"/>
          <w:b/>
          <w:color w:val="000000"/>
          <w:sz w:val="22"/>
        </w:rPr>
        <w:t>6.3.2.2 可扩展性</w:t>
      </w:r>
    </w:p>
    <w:p>
      <w:pPr>
        <w:spacing w:line="324" w:lineRule="auto" w:after="80"/>
        <w:ind w:firstLine="420"/>
        <w:jc w:val="both"/>
      </w:pPr>
      <w:r>
        <w:rPr>
          <w:rFonts w:ascii="Times New Roman" w:hAnsi="Times New Roman" w:eastAsia="Songti SC" w:cs="Times New Roman"/>
          <w:color w:val="000000"/>
          <w:sz w:val="21"/>
        </w:rPr>
        <w:t>扩展优先通过配置、稳定契约和模块包实现。新增工厂扩展组织、数据权限和参数；新增模型实现统一输入输出契约；新增指标、规则和流程按版本发布；新增外部系统通过适配器隔离。应用并发不足时可增加无状态Java节点；算法资源不足时优先扩容算法服务器或调整容器配额，是否演进为算法多节点须另行架构评审。</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扩展对象</w:t>
            </w:r>
          </w:p>
        </w:tc>
        <w:tc>
          <w:tcPr>
            <w:tcW w:type="dxa" w:w="368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扩展方式</w:t>
            </w:r>
          </w:p>
        </w:tc>
        <w:tc>
          <w:tcPr>
            <w:tcW w:type="dxa" w:w="266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需要回归的公共能力</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组织/工厂</w:t>
            </w:r>
          </w:p>
        </w:tc>
        <w:tc>
          <w:tcPr>
            <w:tcW w:type="dxa" w:w="368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新增组织层级、主数据映射、参数和权限范围</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快照、方案、指标、审计</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业务模块</w:t>
            </w:r>
          </w:p>
        </w:tc>
        <w:tc>
          <w:tcPr>
            <w:tcW w:type="dxa" w:w="368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新增Java领域模块和前端路由</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身份、版本、工作流、事件</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模型</w:t>
            </w:r>
          </w:p>
        </w:tc>
        <w:tc>
          <w:tcPr>
            <w:tcW w:type="dxa" w:w="368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新增Python模型包和模型卡</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运行、资源、解释、监控</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指标规则</w:t>
            </w:r>
          </w:p>
        </w:tc>
        <w:tc>
          <w:tcPr>
            <w:tcW w:type="dxa" w:w="368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配置化定义与版本发布</w:t>
            </w:r>
          </w:p>
        </w:tc>
        <w:tc>
          <w:tcPr>
            <w:tcW w:type="dxa" w:w="266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语义层、预警和驾驶舱</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数据源/接口</w:t>
            </w:r>
          </w:p>
        </w:tc>
        <w:tc>
          <w:tcPr>
            <w:tcW w:type="dxa" w:w="368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新增集成适配器和契约</w:t>
            </w:r>
          </w:p>
        </w:tc>
        <w:tc>
          <w:tcPr>
            <w:tcW w:type="dxa" w:w="266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幂等、质量、对账和安全</w:t>
            </w:r>
          </w:p>
        </w:tc>
      </w:tr>
    </w:tbl>
    <w:p>
      <w:pPr>
        <w:spacing w:after="40"/>
      </w:pPr>
    </w:p>
    <w:p>
      <w:pPr>
        <w:pStyle w:val="6"/>
      </w:pPr>
      <w:r>
        <w:rPr>
          <w:rFonts w:ascii="Times New Roman" w:hAnsi="Times New Roman" w:eastAsia="STHeiti" w:cs="Times New Roman"/>
          <w:b/>
          <w:color w:val="000000"/>
          <w:sz w:val="22"/>
        </w:rPr>
        <w:t>6.3.2.3 可维护性与可配置性</w:t>
      </w:r>
    </w:p>
    <w:p>
      <w:pPr>
        <w:spacing w:line="324" w:lineRule="auto" w:after="80"/>
        <w:ind w:firstLine="420"/>
        <w:jc w:val="both"/>
      </w:pPr>
      <w:r>
        <w:rPr>
          <w:rFonts w:ascii="Times New Roman" w:hAnsi="Times New Roman" w:eastAsia="Songti SC" w:cs="Times New Roman"/>
          <w:color w:val="000000"/>
          <w:sz w:val="21"/>
        </w:rPr>
        <w:t>可变业务内容尽量配置化，但配置必须具备类型、范围、依赖、版本、生效期、审批和回退，不能形成无治理的万能脚本。代码、模型、参数、规则、指标、流程和接口契约分别版本化，并通过运行主链组合。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可配置对象</w:t>
            </w:r>
          </w:p>
        </w:tc>
        <w:tc>
          <w:tcPr>
            <w:tcW w:type="dxa" w:w="357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配置能力</w:t>
            </w:r>
          </w:p>
        </w:tc>
        <w:tc>
          <w:tcPr>
            <w:tcW w:type="dxa" w:w="277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治理要求</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业务参数</w:t>
            </w:r>
          </w:p>
        </w:tc>
        <w:tc>
          <w:tcPr>
            <w:tcW w:type="dxa" w:w="357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组织/对象范围、默认值、上下限和生效期</w:t>
            </w:r>
          </w:p>
        </w:tc>
        <w:tc>
          <w:tcPr>
            <w:tcW w:type="dxa" w:w="277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双人复核或审批</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规则与阈值</w:t>
            </w:r>
          </w:p>
        </w:tc>
        <w:tc>
          <w:tcPr>
            <w:tcW w:type="dxa" w:w="357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条件、优先级、动作、抑制和升级</w:t>
            </w:r>
          </w:p>
        </w:tc>
        <w:tc>
          <w:tcPr>
            <w:tcW w:type="dxa" w:w="277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样本回放与版本发布</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指标</w:t>
            </w:r>
          </w:p>
        </w:tc>
        <w:tc>
          <w:tcPr>
            <w:tcW w:type="dxa" w:w="357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公式、维度、频率、下钻和权限</w:t>
            </w:r>
          </w:p>
        </w:tc>
        <w:tc>
          <w:tcPr>
            <w:tcW w:type="dxa" w:w="277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口径责任人与历史版本</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工作流</w:t>
            </w:r>
          </w:p>
        </w:tc>
        <w:tc>
          <w:tcPr>
            <w:tcW w:type="dxa" w:w="357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节点、角色、条件、会签、SLA和通知</w:t>
            </w:r>
          </w:p>
        </w:tc>
        <w:tc>
          <w:tcPr>
            <w:tcW w:type="dxa" w:w="277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进行中实例固定模板版本</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模型配置</w:t>
            </w:r>
          </w:p>
        </w:tc>
        <w:tc>
          <w:tcPr>
            <w:tcW w:type="dxa" w:w="357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时限、间隙、权重和场景参数</w:t>
            </w:r>
          </w:p>
        </w:tc>
        <w:tc>
          <w:tcPr>
            <w:tcW w:type="dxa" w:w="277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模型管理员权限与效果监控</w:t>
            </w:r>
          </w:p>
        </w:tc>
      </w:tr>
    </w:tbl>
    <w:p>
      <w:pPr>
        <w:spacing w:after="40"/>
      </w:pPr>
    </w:p>
    <w:p>
      <w:pPr>
        <w:pStyle w:val="6"/>
      </w:pPr>
      <w:r>
        <w:rPr>
          <w:rFonts w:ascii="Times New Roman" w:hAnsi="Times New Roman" w:eastAsia="STHeiti" w:cs="Times New Roman"/>
          <w:b/>
          <w:color w:val="000000"/>
          <w:sz w:val="22"/>
        </w:rPr>
        <w:t>6.3.2.4 兼容性与易用性</w:t>
      </w:r>
    </w:p>
    <w:p>
      <w:pPr>
        <w:spacing w:line="324" w:lineRule="auto" w:after="80"/>
        <w:ind w:firstLine="420"/>
        <w:jc w:val="both"/>
      </w:pPr>
      <w:r>
        <w:rPr>
          <w:rFonts w:ascii="Times New Roman" w:hAnsi="Times New Roman" w:eastAsia="Songti SC" w:cs="Times New Roman"/>
          <w:color w:val="000000"/>
          <w:sz w:val="21"/>
        </w:rPr>
        <w:t>前端采用Vue 3与TypeScript，支持企业批准的主流现代浏览器近期版本，优先适配1920×1080桌面分辨率并兼容常见1366×768办公环境。核心流程保证键盘可达、焦点可见、颜色不作为唯一状态表达、错误提示明确且可操作。移动端本期用于必要的查看和审批适配，不承诺完整专业建模操作。</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方面</w:t>
            </w:r>
          </w:p>
        </w:tc>
        <w:tc>
          <w:tcPr>
            <w:tcW w:type="dxa" w:w="6350"/>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要求</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浏览器</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企业批准的Chrome/Edge等Chromium浏览器近期稳定版；版本矩阵在上线前确认。</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分辨率</w:t>
            </w:r>
          </w:p>
        </w:tc>
        <w:tc>
          <w:tcPr>
            <w:tcW w:type="dxa" w:w="6350"/>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1920×1080优先；1366×768核心流程无功能丢失；大屏按驾驶舱设计适配。</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一致性</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相同对象、状态、按钮位置、错误和日期数量格式保持统一。</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可访问性</w:t>
            </w:r>
          </w:p>
        </w:tc>
        <w:tc>
          <w:tcPr>
            <w:tcW w:type="dxa" w:w="6350"/>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键盘、焦点、对比度、表单标签和替代文本按可行范围落实。</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错误恢复</w:t>
            </w:r>
          </w:p>
        </w:tc>
        <w:tc>
          <w:tcPr>
            <w:tcW w:type="dxa" w:w="6350"/>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错误说明原因、影响、可执行下一步和trace_id，不只显示“失败”。</w:t>
            </w:r>
          </w:p>
        </w:tc>
      </w:tr>
    </w:tbl>
    <w:p>
      <w:pPr>
        <w:spacing w:after="40"/>
      </w:pPr>
    </w:p>
    <w:p>
      <w:pPr>
        <w:pStyle w:val="6"/>
      </w:pPr>
      <w:r>
        <w:rPr>
          <w:rFonts w:ascii="Times New Roman" w:hAnsi="Times New Roman" w:eastAsia="STHeiti" w:cs="Times New Roman"/>
          <w:b/>
          <w:color w:val="000000"/>
          <w:sz w:val="22"/>
        </w:rPr>
        <w:t>6.3.2.5 可观测性</w:t>
      </w:r>
    </w:p>
    <w:p>
      <w:pPr>
        <w:keepNext/>
        <w:spacing w:before="100" w:after="80"/>
        <w:jc w:val="center"/>
      </w:pPr>
      <w:r>
        <w:rPr>
          <w:rFonts w:ascii="Times New Roman" w:hAnsi="Times New Roman" w:eastAsia="Songti SC" w:cs="Times New Roman"/>
          <w:b/>
          <w:color w:val="000000"/>
          <w:sz w:val="18"/>
        </w:rPr>
        <w:t>图6-3 统一可观测与运维闭环</w:t>
      </w:r>
    </w:p>
    <w:p>
      <w:pPr>
        <w:keepLines/>
        <w:spacing w:after="120"/>
        <w:jc w:val="center"/>
      </w:pPr>
      <w:r>
        <w:drawing>
          <wp:inline xmlns:a="http://schemas.openxmlformats.org/drawingml/2006/main" xmlns:pic="http://schemas.openxmlformats.org/drawingml/2006/picture">
            <wp:extent cx="5112000" cy="2840000"/>
            <wp:docPr id="3" name="Picture 3"/>
            <wp:cNvGraphicFramePr>
              <a:graphicFrameLocks noChangeAspect="1"/>
            </wp:cNvGraphicFramePr>
            <a:graphic>
              <a:graphicData uri="http://schemas.openxmlformats.org/drawingml/2006/picture">
                <pic:pic>
                  <pic:nvPicPr>
                    <pic:cNvPr id="0" name="图6-3_统一可观测与运维闭环.png"/>
                    <pic:cNvPicPr/>
                  </pic:nvPicPr>
                  <pic:blipFill>
                    <a:blip r:embed="rId83"/>
                    <a:stretch>
                      <a:fillRect/>
                    </a:stretch>
                  </pic:blipFill>
                  <pic:spPr>
                    <a:xfrm>
                      <a:off x="0" y="0"/>
                      <a:ext cx="5112000" cy="2840000"/>
                    </a:xfrm>
                    <a:prstGeom prst="rect"/>
                  </pic:spPr>
                </pic:pic>
              </a:graphicData>
            </a:graphic>
          </wp:inline>
        </w:drawing>
      </w:r>
    </w:p>
    <w:p>
      <w:pPr>
        <w:spacing w:line="324" w:lineRule="auto" w:after="80"/>
        <w:ind w:firstLine="420"/>
        <w:jc w:val="both"/>
      </w:pPr>
      <w:r>
        <w:rPr>
          <w:rFonts w:ascii="Times New Roman" w:hAnsi="Times New Roman" w:eastAsia="Songti SC" w:cs="Times New Roman"/>
          <w:color w:val="000000"/>
          <w:sz w:val="21"/>
        </w:rPr>
        <w:t>日志、指标和追踪通过trace_id、batch_id、snapshot_id、run_id和plan_version_id关联。监控既覆盖主机、容器、Java、Python和MySQL，也覆盖接口批次、数据质量、模型求解和业务闭环。仪表盘与告警使用同一指标来源，避免“页面正常但告警无证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47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观测层</w:t>
            </w:r>
          </w:p>
        </w:tc>
        <w:tc>
          <w:tcPr>
            <w:tcW w:type="dxa" w:w="402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关键指标</w:t>
            </w:r>
          </w:p>
        </w:tc>
        <w:tc>
          <w:tcPr>
            <w:tcW w:type="dxa" w:w="255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告警示例</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基础设施</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CPU、内存、磁盘、IO、网络、容器重启</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磁盘预测不足、内存逼近上限</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应用</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请求量、错误率、P95、线程池、连接池、JVM</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错误突增、线程池耗尽</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接口任务</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批次、积压、重试、最后成功、水位和对账差异</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接口中断、积压超过窗口</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数据</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质量得分、阻断数、陈旧度、映射缺失和对账差异</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快照门禁失败</w:t>
            </w:r>
          </w:p>
        </w:tc>
      </w:tr>
      <w:tr>
        <w:trPr>
          <w:cantSplit/>
        </w:trPr>
        <w:tc>
          <w:tcPr>
            <w:tcW w:type="dxa" w:w="147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模型</w:t>
            </w:r>
          </w:p>
        </w:tc>
        <w:tc>
          <w:tcPr>
            <w:tcW w:type="dxa" w:w="4025"/>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排队、时长、可行率、间隙、取消、资源峰值</w:t>
            </w:r>
          </w:p>
        </w:tc>
        <w:tc>
          <w:tcPr>
            <w:tcW w:type="dxa" w:w="255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连续无解或超时</w:t>
            </w:r>
          </w:p>
        </w:tc>
      </w:tr>
      <w:tr>
        <w:trPr>
          <w:cantSplit/>
        </w:trPr>
        <w:tc>
          <w:tcPr>
            <w:tcW w:type="dxa" w:w="147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业务</w:t>
            </w:r>
          </w:p>
        </w:tc>
        <w:tc>
          <w:tcPr>
            <w:tcW w:type="dxa" w:w="4025"/>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缺口、库存风险、到货达成、成本差异和预警处置</w:t>
            </w:r>
          </w:p>
        </w:tc>
        <w:tc>
          <w:tcPr>
            <w:tcW w:type="dxa" w:w="255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重大业务风险</w:t>
            </w:r>
          </w:p>
        </w:tc>
      </w:tr>
    </w:tbl>
    <w:p>
      <w:pPr>
        <w:spacing w:after="40"/>
      </w:pPr>
    </w:p>
    <w:p>
      <w:pPr>
        <w:pStyle w:val="6"/>
      </w:pPr>
      <w:r>
        <w:rPr>
          <w:rFonts w:ascii="Times New Roman" w:hAnsi="Times New Roman" w:eastAsia="STHeiti" w:cs="Times New Roman"/>
          <w:b/>
          <w:color w:val="000000"/>
          <w:sz w:val="22"/>
        </w:rPr>
        <w:t>6.3.2.6 可审计性与可追溯性</w:t>
      </w:r>
    </w:p>
    <w:p>
      <w:pPr>
        <w:spacing w:line="324" w:lineRule="auto" w:after="80"/>
        <w:ind w:firstLine="420"/>
        <w:jc w:val="both"/>
      </w:pPr>
      <w:r>
        <w:rPr>
          <w:rFonts w:ascii="Times New Roman" w:hAnsi="Times New Roman" w:eastAsia="Songti SC" w:cs="Times New Roman"/>
          <w:color w:val="000000"/>
          <w:sz w:val="21"/>
        </w:rPr>
        <w:t>任何正式结果必须从页面或接口追溯到方案版本、模型运行、快照、来源批次和外部业务键；任何人工调整必须追溯到前后值、原因、操作者和审批；任何发布必须追溯到审批实例、发布批次和外部回执。审计数据只追加，归档前执行完整性校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追溯问题</w:t>
            </w:r>
          </w:p>
        </w:tc>
        <w:tc>
          <w:tcPr>
            <w:tcW w:type="dxa" w:w="566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必须提供的证据</w:t>
            </w:r>
          </w:p>
        </w:tc>
      </w:tr>
      <w:tr>
        <w:trPr>
          <w:cantSplit/>
        </w:trPr>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为什么得到该结果</w:t>
            </w:r>
          </w:p>
        </w:tc>
        <w:tc>
          <w:tcPr>
            <w:tcW w:type="dxa" w:w="56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模型/规则版本、参数、约束、输入快照和解释</w:t>
            </w:r>
          </w:p>
        </w:tc>
      </w:tr>
      <w:tr>
        <w:trPr>
          <w:cantSplit/>
        </w:trPr>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谁改了什么</w:t>
            </w:r>
          </w:p>
        </w:tc>
        <w:tc>
          <w:tcPr>
            <w:tcW w:type="dxa" w:w="56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调整前后、原因码、说明、用户、时间和附件</w:t>
            </w:r>
          </w:p>
        </w:tc>
      </w:tr>
      <w:tr>
        <w:trPr>
          <w:cantSplit/>
        </w:trPr>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谁批准并发布</w:t>
            </w:r>
          </w:p>
        </w:tc>
        <w:tc>
          <w:tcPr>
            <w:tcW w:type="dxa" w:w="56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流程节点、意见、批准人、方案版本和发布批次</w:t>
            </w:r>
          </w:p>
        </w:tc>
      </w:tr>
      <w:tr>
        <w:trPr>
          <w:cantSplit/>
        </w:trPr>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外部是否执行</w:t>
            </w:r>
          </w:p>
        </w:tc>
        <w:tc>
          <w:tcPr>
            <w:tcW w:type="dxa" w:w="56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外部回执、执行数量/状态、对账和异常关闭</w:t>
            </w:r>
          </w:p>
        </w:tc>
      </w:tr>
      <w:tr>
        <w:trPr>
          <w:cantSplit/>
        </w:trPr>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系统当时运行状态</w:t>
            </w:r>
          </w:p>
        </w:tc>
        <w:tc>
          <w:tcPr>
            <w:tcW w:type="dxa" w:w="56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版本、镜像摘要、配置版本、日志和追踪</w:t>
            </w:r>
          </w:p>
        </w:tc>
      </w:tr>
    </w:tbl>
    <w:p>
      <w:pPr>
        <w:spacing w:after="40"/>
      </w:pPr>
    </w:p>
    <w:p>
      <w:pPr>
        <w:pStyle w:val="3"/>
      </w:pPr>
      <w:r>
        <w:t>6.4 运维与运营治理设计</w:t>
      </w:r>
    </w:p>
    <w:p>
      <w:pPr>
        <w:pStyle w:val="4"/>
      </w:pPr>
      <w:r>
        <w:rPr>
          <w:rFonts w:ascii="Times New Roman" w:hAnsi="Times New Roman" w:eastAsia="STHeiti" w:cs="Times New Roman"/>
          <w:b/>
          <w:color w:val="000000"/>
          <w:sz w:val="24"/>
        </w:rPr>
        <w:t>6.4.1 运行监控与事件管理</w:t>
      </w:r>
    </w:p>
    <w:p>
      <w:pPr>
        <w:pStyle w:val="6"/>
      </w:pPr>
      <w:r>
        <w:rPr>
          <w:rFonts w:ascii="Times New Roman" w:hAnsi="Times New Roman" w:eastAsia="STHeiti" w:cs="Times New Roman"/>
          <w:b/>
          <w:color w:val="000000"/>
          <w:sz w:val="22"/>
        </w:rPr>
        <w:t>6.4.1.1 运维组织与职责</w:t>
      </w:r>
    </w:p>
    <w:p>
      <w:pPr>
        <w:spacing w:line="324" w:lineRule="auto" w:after="80"/>
        <w:ind w:firstLine="420"/>
        <w:jc w:val="both"/>
      </w:pPr>
      <w:r>
        <w:rPr>
          <w:rFonts w:ascii="Times New Roman" w:hAnsi="Times New Roman" w:eastAsia="Songti SC" w:cs="Times New Roman"/>
          <w:color w:val="000000"/>
          <w:sz w:val="21"/>
        </w:rPr>
        <w:t>运维采用业务、应用、数据、模型、接口、数据库和基础设施分工协作。每类服务器和服务问题必须有主责与升级路径。生产权限按职责分离，跨专业处置通过统一事件或问题单保留证据。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角色</w:t>
            </w:r>
          </w:p>
        </w:tc>
        <w:tc>
          <w:tcPr>
            <w:tcW w:type="dxa" w:w="396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主要职责</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不应承担</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业务运营</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确认计划、处置业务预警、解释差异和验收结果</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修改生产数据库或系统密钥</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应用运维</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服务、配置、发布、日志、任务和故障协调</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替代业务审批</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数据管理员</w:t>
            </w:r>
          </w:p>
        </w:tc>
        <w:tc>
          <w:tcPr>
            <w:tcW w:type="dxa" w:w="39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映射、质量、补数、对账、血缘和归档</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无审批修正已发布事实</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模型管理员</w:t>
            </w:r>
          </w:p>
        </w:tc>
        <w:tc>
          <w:tcPr>
            <w:tcW w:type="dxa" w:w="396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模型/参数版本、回测、效果和运行诊断</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绕过硬约束发布方案</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接口管理员</w:t>
            </w:r>
          </w:p>
        </w:tc>
        <w:tc>
          <w:tcPr>
            <w:tcW w:type="dxa" w:w="3969"/>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契约、凭证、批次、重试、补偿和外部协调</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直接改写专业业务结果</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DBA/基础设施</w:t>
            </w:r>
          </w:p>
        </w:tc>
        <w:tc>
          <w:tcPr>
            <w:tcW w:type="dxa" w:w="3969"/>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MySQL、服务器、容器、存储、备份和恢复</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查看无授权敏感业务明细</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安全管理员</w:t>
            </w:r>
          </w:p>
        </w:tc>
        <w:tc>
          <w:tcPr>
            <w:tcW w:type="dxa" w:w="39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身份、权限、安全日志、漏洞和事件响应</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日常业务操作</w:t>
            </w:r>
          </w:p>
        </w:tc>
      </w:tr>
    </w:tbl>
    <w:p>
      <w:pPr>
        <w:spacing w:after="40"/>
      </w:pPr>
    </w:p>
    <w:p>
      <w:pPr>
        <w:pStyle w:val="6"/>
      </w:pPr>
      <w:r>
        <w:rPr>
          <w:rFonts w:ascii="Times New Roman" w:hAnsi="Times New Roman" w:eastAsia="STHeiti" w:cs="Times New Roman"/>
          <w:b/>
          <w:color w:val="000000"/>
          <w:sz w:val="22"/>
        </w:rPr>
        <w:t>6.4.1.2 监控体系</w:t>
      </w:r>
    </w:p>
    <w:p>
      <w:pPr>
        <w:spacing w:line="324" w:lineRule="auto" w:after="80"/>
        <w:ind w:firstLine="420"/>
        <w:jc w:val="both"/>
      </w:pPr>
      <w:r>
        <w:rPr>
          <w:rFonts w:ascii="Times New Roman" w:hAnsi="Times New Roman" w:eastAsia="Songti SC" w:cs="Times New Roman"/>
          <w:color w:val="000000"/>
          <w:sz w:val="21"/>
        </w:rPr>
        <w:t>监控按“基础设施—应用—接口与作业—数据—模型—业务”六层建设，并维护服务目录、责任人、阈值和仪表盘。每个告警应能够链接到相关运行、批次或对象；监控自身的采集延迟、存储和通知通道也要被监控。</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70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层次</w:t>
            </w:r>
          </w:p>
        </w:tc>
        <w:tc>
          <w:tcPr>
            <w:tcW w:type="dxa" w:w="238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负责人</w:t>
            </w:r>
          </w:p>
        </w:tc>
        <w:tc>
          <w:tcPr>
            <w:tcW w:type="dxa" w:w="3969"/>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日报/周报内容</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基础设施</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基础设施运维</w:t>
            </w:r>
          </w:p>
        </w:tc>
        <w:tc>
          <w:tcPr>
            <w:tcW w:type="dxa" w:w="39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资源峰值、容量趋势、重启和备份</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应用</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应用运维</w:t>
            </w:r>
          </w:p>
        </w:tc>
        <w:tc>
          <w:tcPr>
            <w:tcW w:type="dxa" w:w="396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可用率、响应、错误和发布影响</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接口与作业</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接口/应用运维</w:t>
            </w:r>
          </w:p>
        </w:tc>
        <w:tc>
          <w:tcPr>
            <w:tcW w:type="dxa" w:w="39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成功率、积压、补偿和SLA</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数据质量</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数据管理员</w:t>
            </w:r>
          </w:p>
        </w:tc>
        <w:tc>
          <w:tcPr>
            <w:tcW w:type="dxa" w:w="396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阻断、陈旧、映射和对账</w:t>
            </w:r>
          </w:p>
        </w:tc>
      </w:tr>
      <w:tr>
        <w:trPr>
          <w:cantSplit/>
        </w:trPr>
        <w:tc>
          <w:tcPr>
            <w:tcW w:type="dxa" w:w="170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模型</w:t>
            </w:r>
          </w:p>
        </w:tc>
        <w:tc>
          <w:tcPr>
            <w:tcW w:type="dxa" w:w="238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模型管理员</w:t>
            </w:r>
          </w:p>
        </w:tc>
        <w:tc>
          <w:tcPr>
            <w:tcW w:type="dxa" w:w="3969"/>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可行率、时长、间隙、采纳和偏差</w:t>
            </w:r>
          </w:p>
        </w:tc>
      </w:tr>
      <w:tr>
        <w:trPr>
          <w:cantSplit/>
        </w:trPr>
        <w:tc>
          <w:tcPr>
            <w:tcW w:type="dxa" w:w="170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业务</w:t>
            </w:r>
          </w:p>
        </w:tc>
        <w:tc>
          <w:tcPr>
            <w:tcW w:type="dxa" w:w="238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业务运营</w:t>
            </w:r>
          </w:p>
        </w:tc>
        <w:tc>
          <w:tcPr>
            <w:tcW w:type="dxa" w:w="3969"/>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重大风险、处置时长和收益指标</w:t>
            </w:r>
          </w:p>
        </w:tc>
      </w:tr>
    </w:tbl>
    <w:p>
      <w:pPr>
        <w:spacing w:after="40"/>
      </w:pPr>
    </w:p>
    <w:p>
      <w:pPr>
        <w:pStyle w:val="6"/>
      </w:pPr>
      <w:r>
        <w:rPr>
          <w:rFonts w:ascii="Times New Roman" w:hAnsi="Times New Roman" w:eastAsia="STHeiti" w:cs="Times New Roman"/>
          <w:b/>
          <w:color w:val="000000"/>
          <w:sz w:val="22"/>
        </w:rPr>
        <w:t>6.4.1.3 告警与事件管理</w:t>
      </w:r>
    </w:p>
    <w:p>
      <w:pPr>
        <w:spacing w:line="324" w:lineRule="auto" w:after="80"/>
        <w:ind w:firstLine="420"/>
        <w:jc w:val="both"/>
      </w:pPr>
      <w:r>
        <w:rPr>
          <w:rFonts w:ascii="Times New Roman" w:hAnsi="Times New Roman" w:eastAsia="Songti SC" w:cs="Times New Roman"/>
          <w:color w:val="000000"/>
          <w:sz w:val="21"/>
        </w:rPr>
        <w:t>告警首先进行去重、抑制和关联，再按P1、P2、P3和提示分级。P1/P2形成事件并记录响应、缓解、恢复和复盘；重复故障升级为问题管理，形成根因、永久措施、负责人和截止时间。维护窗口和已知故障可以抑制通知，但不得删除原始事件。</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3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级别</w:t>
            </w:r>
          </w:p>
        </w:tc>
        <w:tc>
          <w:tcPr>
            <w:tcW w:type="dxa" w:w="30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响应基线</w:t>
            </w:r>
          </w:p>
        </w:tc>
        <w:tc>
          <w:tcPr>
            <w:tcW w:type="dxa" w:w="36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升级和复盘</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P1</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15分钟内响应，立即组织处理</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超时升级负责人；必须专项复盘</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P2</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30分钟内响应，在约定恢复目标内处置</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超时升级；重复发生进入问题管理</w:t>
            </w:r>
          </w:p>
        </w:tc>
      </w:tr>
      <w:tr>
        <w:trPr>
          <w:cantSplit/>
        </w:trPr>
        <w:tc>
          <w:tcPr>
            <w:tcW w:type="dxa" w:w="13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P3</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4工作小时内响应</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纳入日常工单和周报</w:t>
            </w:r>
          </w:p>
        </w:tc>
      </w:tr>
      <w:tr>
        <w:trPr>
          <w:cantSplit/>
        </w:trPr>
        <w:tc>
          <w:tcPr>
            <w:tcW w:type="dxa" w:w="13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提示</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工作日汇总关注</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用于趋势与容量优化</w:t>
            </w:r>
          </w:p>
        </w:tc>
      </w:tr>
    </w:tbl>
    <w:p>
      <w:pPr>
        <w:spacing w:after="40"/>
      </w:pPr>
    </w:p>
    <w:p>
      <w:pPr>
        <w:pStyle w:val="4"/>
      </w:pPr>
      <w:r>
        <w:rPr>
          <w:rFonts w:ascii="Times New Roman" w:hAnsi="Times New Roman" w:eastAsia="STHeiti" w:cs="Times New Roman"/>
          <w:b/>
          <w:color w:val="000000"/>
          <w:sz w:val="24"/>
        </w:rPr>
        <w:t>6.4.2 作业、数据与模型运营</w:t>
      </w:r>
    </w:p>
    <w:p>
      <w:pPr>
        <w:pStyle w:val="6"/>
      </w:pPr>
      <w:r>
        <w:rPr>
          <w:rFonts w:ascii="Times New Roman" w:hAnsi="Times New Roman" w:eastAsia="STHeiti" w:cs="Times New Roman"/>
          <w:b/>
          <w:color w:val="000000"/>
          <w:sz w:val="22"/>
        </w:rPr>
        <w:t>6.4.2.1 作业与批处理运维</w:t>
      </w:r>
    </w:p>
    <w:p>
      <w:pPr>
        <w:spacing w:line="324" w:lineRule="auto" w:after="80"/>
        <w:ind w:firstLine="420"/>
        <w:jc w:val="both"/>
      </w:pPr>
      <w:r>
        <w:rPr>
          <w:rFonts w:ascii="Times New Roman" w:hAnsi="Times New Roman" w:eastAsia="Songti SC" w:cs="Times New Roman"/>
          <w:color w:val="000000"/>
          <w:sz w:val="21"/>
        </w:rPr>
        <w:t>任务日历维护依赖、计划窗口、数据截止时间、最大时长、负责人和补跑规则。每次执行获得租约和幂等键，防止重复并发。补跑使用新执行编号并引用原失败任务；跳过、强制成功和手工结束属于特权操作，必须说明业务影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587"/>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操作</w:t>
            </w:r>
          </w:p>
        </w:tc>
        <w:tc>
          <w:tcPr>
            <w:tcW w:type="dxa" w:w="340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前置检查</w:t>
            </w:r>
          </w:p>
        </w:tc>
        <w:tc>
          <w:tcPr>
            <w:tcW w:type="dxa" w:w="306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结果要求</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重跑</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失败原因已消除、幂等和影响范围确认</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新run_id，关联原任务</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补跑</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补数批次完成且质量通过</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仅重算受影响范围</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暂停/恢复</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确认上下游依赖和锁定对象</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保留进度与操作审计</w:t>
            </w:r>
          </w:p>
        </w:tc>
      </w:tr>
      <w:tr>
        <w:trPr>
          <w:cantSplit/>
        </w:trPr>
        <w:tc>
          <w:tcPr>
            <w:tcW w:type="dxa" w:w="1587"/>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跳过</w:t>
            </w:r>
          </w:p>
        </w:tc>
        <w:tc>
          <w:tcPr>
            <w:tcW w:type="dxa" w:w="340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业务负责人批准且存在替代数据/流程</w:t>
            </w:r>
          </w:p>
        </w:tc>
        <w:tc>
          <w:tcPr>
            <w:tcW w:type="dxa" w:w="306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明确缺失影响和后续补偿</w:t>
            </w:r>
          </w:p>
        </w:tc>
      </w:tr>
      <w:tr>
        <w:trPr>
          <w:cantSplit/>
        </w:trPr>
        <w:tc>
          <w:tcPr>
            <w:tcW w:type="dxa" w:w="1587"/>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人工接管</w:t>
            </w:r>
          </w:p>
        </w:tc>
        <w:tc>
          <w:tcPr>
            <w:tcW w:type="dxa" w:w="340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自动恢复无效或风险过高</w:t>
            </w:r>
          </w:p>
        </w:tc>
        <w:tc>
          <w:tcPr>
            <w:tcW w:type="dxa" w:w="306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记录决定、操作、证据和回验</w:t>
            </w:r>
          </w:p>
        </w:tc>
      </w:tr>
    </w:tbl>
    <w:p>
      <w:pPr>
        <w:spacing w:after="40"/>
      </w:pPr>
    </w:p>
    <w:p>
      <w:pPr>
        <w:pStyle w:val="6"/>
      </w:pPr>
      <w:r>
        <w:rPr>
          <w:rFonts w:ascii="Times New Roman" w:hAnsi="Times New Roman" w:eastAsia="STHeiti" w:cs="Times New Roman"/>
          <w:b/>
          <w:color w:val="000000"/>
          <w:sz w:val="22"/>
        </w:rPr>
        <w:t>6.4.2.2 数据运维</w:t>
      </w:r>
    </w:p>
    <w:p>
      <w:pPr>
        <w:spacing w:line="324" w:lineRule="auto" w:after="80"/>
        <w:ind w:firstLine="420"/>
        <w:jc w:val="both"/>
      </w:pPr>
      <w:r>
        <w:rPr>
          <w:rFonts w:ascii="Times New Roman" w:hAnsi="Times New Roman" w:eastAsia="Songti SC" w:cs="Times New Roman"/>
          <w:color w:val="000000"/>
          <w:sz w:val="21"/>
        </w:rPr>
        <w:t>补数和修数不直接更新已冻结快照或已发布方案。数据管理员创建修正批次，说明来源、对象、原因和影响，经质量校验后生成新事实版本；系统识别受影响快照、模型运行、指标和对账，业务决定是否重算或接受历史影响。</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150"/>
        <w:gridCol w:w="4150"/>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数据运维动作</w:t>
            </w:r>
          </w:p>
        </w:tc>
        <w:tc>
          <w:tcPr>
            <w:tcW w:type="dxa" w:w="6236"/>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控制要求</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补数</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新批次、来源证明、对象清单、质量校验和影响分析</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修数</w:t>
            </w:r>
          </w:p>
        </w:tc>
        <w:tc>
          <w:tcPr>
            <w:tcW w:type="dxa" w:w="6236"/>
            <w:vAlign w:val="center"/>
            <w:tcMar>
              <w:top w:w="90" w:type="dxa"/>
              <w:start w:w="100" w:type="dxa"/>
              <w:bottom w:w="90" w:type="dxa"/>
              <w:end w:w="100" w:type="dxa"/>
            </w:tcMar>
            <w:shd w:fill="F7F7F7"/>
          </w:tcPr>
          <w:p>
            <w:pPr>
              <w:spacing w:after="0"/>
              <w:jc w:val="left"/>
            </w:pPr>
            <w:r>
              <w:rPr>
                <w:rFonts w:ascii="Times New Roman" w:hAnsi="Times New Roman" w:eastAsia="Songti SC" w:cs="Times New Roman"/>
                <w:b w:val="0"/>
                <w:color w:val="000000"/>
                <w:sz w:val="18"/>
              </w:rPr>
              <w:t>保留原值和订正值，禁止删除历史；必要时业务审批</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重算</w:t>
            </w:r>
          </w:p>
        </w:tc>
        <w:tc>
          <w:tcPr>
            <w:tcW w:type="dxa" w:w="6236"/>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绑定新快照/规则/参数版本，结果生成新版本</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对账</w:t>
            </w:r>
          </w:p>
        </w:tc>
        <w:tc>
          <w:tcPr>
            <w:tcW w:type="dxa" w:w="6236"/>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差异责任、原因、修正和复核闭环</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归档/清理</w:t>
            </w:r>
          </w:p>
        </w:tc>
        <w:tc>
          <w:tcPr>
            <w:tcW w:type="dxa" w:w="6236"/>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引用检查、完整性校验、恢复抽检和审批</w:t>
            </w:r>
          </w:p>
        </w:tc>
      </w:tr>
    </w:tbl>
    <w:p>
      <w:pPr>
        <w:spacing w:after="40"/>
      </w:pPr>
    </w:p>
    <w:p>
      <w:pPr>
        <w:pStyle w:val="6"/>
      </w:pPr>
      <w:r>
        <w:rPr>
          <w:rFonts w:ascii="Times New Roman" w:hAnsi="Times New Roman" w:eastAsia="STHeiti" w:cs="Times New Roman"/>
          <w:b/>
          <w:color w:val="000000"/>
          <w:sz w:val="22"/>
        </w:rPr>
        <w:t>6.4.2.3 模型运营</w:t>
      </w:r>
    </w:p>
    <w:p>
      <w:pPr>
        <w:spacing w:line="324" w:lineRule="auto" w:after="80"/>
        <w:ind w:firstLine="420"/>
        <w:jc w:val="both"/>
      </w:pPr>
      <w:r>
        <w:rPr>
          <w:rFonts w:ascii="Times New Roman" w:hAnsi="Times New Roman" w:eastAsia="Songti SC" w:cs="Times New Roman"/>
          <w:color w:val="000000"/>
          <w:sz w:val="21"/>
        </w:rPr>
        <w:t>模型运营以“监控—诊断—回测—审批—发布—观察—复盘”闭环管理。模型管理员按周期复核求解成功率、最优间隙、人工计划调整、采纳率、计划实际偏差和收益；参数变化必须说明业务原因并使用历史样本回放，不能仅为提高单次指标而过拟合。</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98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运营活动</w:t>
            </w:r>
          </w:p>
        </w:tc>
        <w:tc>
          <w:tcPr>
            <w:tcW w:type="dxa" w:w="2041"/>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频率建议</w:t>
            </w:r>
          </w:p>
        </w:tc>
        <w:tc>
          <w:tcPr>
            <w:tcW w:type="dxa" w:w="4025"/>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输出</w:t>
            </w:r>
          </w:p>
        </w:tc>
      </w:tr>
      <w:tr>
        <w:trPr>
          <w:cantSplit/>
        </w:trPr>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运行健康复核</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日/周</w:t>
            </w:r>
          </w:p>
        </w:tc>
        <w:tc>
          <w:tcPr>
            <w:tcW w:type="dxa" w:w="402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失败、超时、无解和资源问题清单</w:t>
            </w:r>
          </w:p>
        </w:tc>
      </w:tr>
      <w:tr>
        <w:trPr>
          <w:cantSplit/>
        </w:trPr>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参数复核</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月度或业务变化触发</w:t>
            </w:r>
          </w:p>
        </w:tc>
        <w:tc>
          <w:tcPr>
            <w:tcW w:type="dxa" w:w="402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参数建议、回测和批准版本</w:t>
            </w:r>
          </w:p>
        </w:tc>
      </w:tr>
      <w:tr>
        <w:trPr>
          <w:cantSplit/>
        </w:trPr>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效果评价</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月度/季度</w:t>
            </w:r>
          </w:p>
        </w:tc>
        <w:tc>
          <w:tcPr>
            <w:tcW w:type="dxa" w:w="402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采纳、偏差、收益和业务反馈</w:t>
            </w:r>
          </w:p>
        </w:tc>
      </w:tr>
      <w:tr>
        <w:trPr>
          <w:cantSplit/>
        </w:trPr>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模型升级</w:t>
            </w:r>
          </w:p>
        </w:tc>
        <w:tc>
          <w:tcPr>
            <w:tcW w:type="dxa" w:w="2041"/>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按需求</w:t>
            </w:r>
          </w:p>
        </w:tc>
        <w:tc>
          <w:tcPr>
            <w:tcW w:type="dxa" w:w="4025"/>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模型卡、回归、镜像和回退方案</w:t>
            </w:r>
          </w:p>
        </w:tc>
      </w:tr>
      <w:tr>
        <w:trPr>
          <w:cantSplit/>
        </w:trPr>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停用与替代</w:t>
            </w:r>
          </w:p>
        </w:tc>
        <w:tc>
          <w:tcPr>
            <w:tcW w:type="dxa" w:w="2041"/>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风险或新版本触发</w:t>
            </w:r>
          </w:p>
        </w:tc>
        <w:tc>
          <w:tcPr>
            <w:tcW w:type="dxa" w:w="4025"/>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影响分析、替代模型和历史保留</w:t>
            </w:r>
          </w:p>
        </w:tc>
      </w:tr>
    </w:tbl>
    <w:p>
      <w:pPr>
        <w:spacing w:after="40"/>
      </w:pPr>
    </w:p>
    <w:p>
      <w:pPr>
        <w:pStyle w:val="6"/>
      </w:pPr>
      <w:r>
        <w:rPr>
          <w:rFonts w:ascii="Times New Roman" w:hAnsi="Times New Roman" w:eastAsia="STHeiti" w:cs="Times New Roman"/>
          <w:b/>
          <w:color w:val="000000"/>
          <w:sz w:val="22"/>
        </w:rPr>
        <w:t>6.4.2.4 变更、发布与回退</w:t>
      </w:r>
    </w:p>
    <w:p>
      <w:pPr>
        <w:spacing w:line="324" w:lineRule="auto" w:after="80"/>
        <w:ind w:firstLine="420"/>
        <w:jc w:val="both"/>
      </w:pPr>
      <w:r>
        <w:rPr>
          <w:rFonts w:ascii="Times New Roman" w:hAnsi="Times New Roman" w:eastAsia="Songti SC" w:cs="Times New Roman"/>
          <w:color w:val="000000"/>
          <w:sz w:val="21"/>
        </w:rPr>
        <w:t>需求、配置、模型、接口和数据库变更均经过登记、影响分析、测试、审批、发布、验证和关闭。紧急变更可以缩短流程但不能省略身份、备份、操作记录和事后复盘。回退条件在发布前定义，触发后停止继续放量并保护已产生的业务数据。</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81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变更类型</w:t>
            </w:r>
          </w:p>
        </w:tc>
        <w:tc>
          <w:tcPr>
            <w:tcW w:type="dxa" w:w="362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最低验证</w:t>
            </w:r>
          </w:p>
        </w:tc>
        <w:tc>
          <w:tcPr>
            <w:tcW w:type="dxa" w:w="2608"/>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回退重点</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应用代码</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单元、集成、回归、安全和冒烟</w:t>
            </w:r>
          </w:p>
        </w:tc>
        <w:tc>
          <w:tcPr>
            <w:tcW w:type="dxa" w:w="260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上一镜像、兼容配置</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模型/参数</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基准算例、历史回放、性能和解释</w:t>
            </w:r>
          </w:p>
        </w:tc>
        <w:tc>
          <w:tcPr>
            <w:tcW w:type="dxa" w:w="260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上一模型与参数组合</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数据库结构</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迁移演练、前后兼容、性能和备份恢复</w:t>
            </w:r>
          </w:p>
        </w:tc>
        <w:tc>
          <w:tcPr>
            <w:tcW w:type="dxa" w:w="260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向前修复或明确可逆脚本</w:t>
            </w:r>
          </w:p>
        </w:tc>
      </w:tr>
      <w:tr>
        <w:trPr>
          <w:cantSplit/>
        </w:trPr>
        <w:tc>
          <w:tcPr>
            <w:tcW w:type="dxa" w:w="181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接口契约</w:t>
            </w:r>
          </w:p>
        </w:tc>
        <w:tc>
          <w:tcPr>
            <w:tcW w:type="dxa" w:w="362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消费者兼容、幂等、异常和对账</w:t>
            </w:r>
          </w:p>
        </w:tc>
        <w:tc>
          <w:tcPr>
            <w:tcW w:type="dxa" w:w="2608"/>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双版本兼容期</w:t>
            </w:r>
          </w:p>
        </w:tc>
      </w:tr>
      <w:tr>
        <w:trPr>
          <w:cantSplit/>
        </w:trPr>
        <w:tc>
          <w:tcPr>
            <w:tcW w:type="dxa" w:w="181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配置/规则</w:t>
            </w:r>
          </w:p>
        </w:tc>
        <w:tc>
          <w:tcPr>
            <w:tcW w:type="dxa" w:w="362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范围、依赖、样本和生效期</w:t>
            </w:r>
          </w:p>
        </w:tc>
        <w:tc>
          <w:tcPr>
            <w:tcW w:type="dxa" w:w="2608"/>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恢复上一发布版本</w:t>
            </w:r>
          </w:p>
        </w:tc>
      </w:tr>
    </w:tbl>
    <w:p>
      <w:pPr>
        <w:spacing w:after="40"/>
      </w:pPr>
    </w:p>
    <w:p>
      <w:pPr>
        <w:pStyle w:val="6"/>
      </w:pPr>
      <w:r>
        <w:rPr>
          <w:rFonts w:ascii="Times New Roman" w:hAnsi="Times New Roman" w:eastAsia="STHeiti" w:cs="Times New Roman"/>
          <w:b/>
          <w:color w:val="000000"/>
          <w:sz w:val="22"/>
        </w:rPr>
        <w:t>6.4.2.5 服务等级与运维报表</w:t>
      </w:r>
    </w:p>
    <w:p>
      <w:pPr>
        <w:spacing w:line="324" w:lineRule="auto" w:after="80"/>
        <w:ind w:firstLine="420"/>
        <w:jc w:val="both"/>
      </w:pPr>
      <w:r>
        <w:rPr>
          <w:rFonts w:ascii="Times New Roman" w:hAnsi="Times New Roman" w:eastAsia="Songti SC" w:cs="Times New Roman"/>
          <w:color w:val="000000"/>
          <w:sz w:val="21"/>
        </w:rPr>
        <w:t>服务等级覆盖服务时间、可用性、事件响应、恢复、备份、接口、批处理、数据质量和模型运行。月度运维报告同时展示达成情况、重大事件、容量趋势、问题行动项和风险，不以关闭工单数量替代业务恢复质量。具体SLA需由项目与企业运维共同确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767"/>
        <w:gridCol w:w="2767"/>
        <w:gridCol w:w="2767"/>
      </w:tblGrid>
      <w:tr>
        <w:trPr>
          <w:tblHeader w:val="true"/>
          <w:cantSplit/>
        </w:trPr>
        <w:tc>
          <w:tcPr>
            <w:tcW w:type="dxa" w:w="198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指标</w:t>
            </w:r>
          </w:p>
        </w:tc>
        <w:tc>
          <w:tcPr>
            <w:tcW w:type="dxa" w:w="4082"/>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建议基线</w:t>
            </w:r>
          </w:p>
        </w:tc>
        <w:tc>
          <w:tcPr>
            <w:tcW w:type="dxa" w:w="1984"/>
            <w:vAlign w:val="center"/>
            <w:shd w:fill="BFBFBF"/>
            <w:tcMar>
              <w:top w:w="90" w:type="dxa"/>
              <w:start w:w="100" w:type="dxa"/>
              <w:bottom w:w="90" w:type="dxa"/>
              <w:end w:w="100" w:type="dxa"/>
            </w:tcMar>
          </w:tcPr>
          <w:p>
            <w:pPr>
              <w:spacing w:after="0"/>
              <w:jc w:val="center"/>
            </w:pPr>
            <w:r>
              <w:rPr>
                <w:rFonts w:ascii="Times New Roman" w:hAnsi="Times New Roman" w:eastAsia="Songti SC" w:cs="Times New Roman"/>
                <w:b/>
                <w:color w:val="000000"/>
                <w:sz w:val="18"/>
              </w:rPr>
              <w:t>报告频率</w:t>
            </w:r>
          </w:p>
        </w:tc>
      </w:tr>
      <w:tr>
        <w:trPr>
          <w:cantSplit/>
        </w:trPr>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应用可用率</w:t>
            </w:r>
          </w:p>
        </w:tc>
        <w:tc>
          <w:tcPr>
            <w:tcW w:type="dxa" w:w="408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月度99.5%，不含批准维护窗口</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月</w:t>
            </w:r>
          </w:p>
        </w:tc>
      </w:tr>
      <w:tr>
        <w:trPr>
          <w:cantSplit/>
        </w:trPr>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P1/P2响应</w:t>
            </w:r>
          </w:p>
        </w:tc>
        <w:tc>
          <w:tcPr>
            <w:tcW w:type="dxa" w:w="408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15/30分钟内响应</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事件/月</w:t>
            </w:r>
          </w:p>
        </w:tc>
      </w:tr>
      <w:tr>
        <w:trPr>
          <w:cantSplit/>
        </w:trPr>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备份成功率</w:t>
            </w:r>
          </w:p>
        </w:tc>
        <w:tc>
          <w:tcPr>
            <w:tcW w:type="dxa" w:w="408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100%，失败立即告警与补备</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日/月</w:t>
            </w:r>
          </w:p>
        </w:tc>
      </w:tr>
      <w:tr>
        <w:trPr>
          <w:cantSplit/>
        </w:trPr>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恢复演练</w:t>
            </w:r>
          </w:p>
        </w:tc>
        <w:tc>
          <w:tcPr>
            <w:tcW w:type="dxa" w:w="408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至少半年一次或按企业制度</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半年/次</w:t>
            </w:r>
          </w:p>
        </w:tc>
      </w:tr>
      <w:tr>
        <w:trPr>
          <w:cantSplit/>
        </w:trPr>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接口成功率</w:t>
            </w:r>
          </w:p>
        </w:tc>
        <w:tc>
          <w:tcPr>
            <w:tcW w:type="dxa" w:w="4082"/>
            <w:vAlign w:val="center"/>
            <w:tcMar>
              <w:top w:w="90" w:type="dxa"/>
              <w:start w:w="100" w:type="dxa"/>
              <w:bottom w:w="90" w:type="dxa"/>
              <w:end w:w="100" w:type="dxa"/>
            </w:tcMar>
          </w:tcPr>
          <w:p>
            <w:pPr>
              <w:spacing w:after="0"/>
              <w:jc w:val="left"/>
            </w:pPr>
            <w:r>
              <w:rPr>
                <w:rFonts w:ascii="Times New Roman" w:hAnsi="Times New Roman" w:eastAsia="Songti SC" w:cs="Times New Roman"/>
                <w:b w:val="0"/>
                <w:color w:val="000000"/>
                <w:sz w:val="18"/>
              </w:rPr>
              <w:t>按关键接口单独统计，目标不低于99.5%</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日/月</w:t>
            </w:r>
          </w:p>
        </w:tc>
      </w:tr>
      <w:tr>
        <w:trPr>
          <w:cantSplit/>
        </w:trPr>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模型运行成功率</w:t>
            </w:r>
          </w:p>
        </w:tc>
        <w:tc>
          <w:tcPr>
            <w:tcW w:type="dxa" w:w="4082"/>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按模型分类统计，目标由模型卡确认</w:t>
            </w:r>
          </w:p>
        </w:tc>
        <w:tc>
          <w:tcPr>
            <w:tcW w:type="dxa" w:w="1984"/>
            <w:vAlign w:val="center"/>
            <w:tcMar>
              <w:top w:w="90" w:type="dxa"/>
              <w:start w:w="100" w:type="dxa"/>
              <w:bottom w:w="90" w:type="dxa"/>
              <w:end w:w="100" w:type="dxa"/>
            </w:tcMar>
            <w:shd w:fill="F7F7F7"/>
          </w:tcPr>
          <w:p>
            <w:pPr>
              <w:spacing w:after="0"/>
              <w:jc w:val="center"/>
            </w:pPr>
            <w:r>
              <w:rPr>
                <w:rFonts w:ascii="Times New Roman" w:hAnsi="Times New Roman" w:eastAsia="Songti SC" w:cs="Times New Roman"/>
                <w:b w:val="0"/>
                <w:color w:val="000000"/>
                <w:sz w:val="18"/>
              </w:rPr>
              <w:t>周/月</w:t>
            </w:r>
          </w:p>
        </w:tc>
      </w:tr>
      <w:tr>
        <w:trPr>
          <w:cantSplit/>
        </w:trPr>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数据质量闭环</w:t>
            </w:r>
          </w:p>
        </w:tc>
        <w:tc>
          <w:tcPr>
            <w:tcW w:type="dxa" w:w="4082"/>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阻断问题全部有责任人和处置状态</w:t>
            </w:r>
          </w:p>
        </w:tc>
        <w:tc>
          <w:tcPr>
            <w:tcW w:type="dxa" w:w="1984"/>
            <w:vAlign w:val="center"/>
            <w:tcMar>
              <w:top w:w="90" w:type="dxa"/>
              <w:start w:w="100" w:type="dxa"/>
              <w:bottom w:w="90" w:type="dxa"/>
              <w:end w:w="100" w:type="dxa"/>
            </w:tcMar>
          </w:tcPr>
          <w:p>
            <w:pPr>
              <w:spacing w:after="0"/>
              <w:jc w:val="center"/>
            </w:pPr>
            <w:r>
              <w:rPr>
                <w:rFonts w:ascii="Times New Roman" w:hAnsi="Times New Roman" w:eastAsia="Songti SC" w:cs="Times New Roman"/>
                <w:b w:val="0"/>
                <w:color w:val="000000"/>
                <w:sz w:val="18"/>
              </w:rPr>
              <w:t>日/周</w:t>
            </w:r>
          </w:p>
        </w:tc>
      </w:tr>
    </w:tbl>
    <w:p>
      <w:pPr>
        <w:spacing w:after="40"/>
      </w:pPr>
    </w:p>
    <w:sectPr>
      <w:headerReference r:id="rId4" w:type="first"/>
      <w:footerReference r:id="rId6" w:type="first"/>
      <w:headerReference r:id="rId3" w:type="default"/>
      <w:footerReference r:id="rId5" w:type="default"/>
      <w:headerReference w:type="even" r:id="rId80"/>
      <w:pgSz w:w="11906" w:h="16838"/>
      <w:pgMar w:top="777" w:right="1803" w:bottom="1440" w:left="1803" w:header="255" w:footer="454"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Helvetica Neue Regular">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rPr>
        <w:rFonts w:ascii="Times New Roman" w:hAnsi="Times New Roman" w:eastAsia="Songti SC" w:cs="Times New Roman"/>
        <w:color w:val="000000"/>
        <w:sz w:val="18"/>
      </w:rPr>
      <w:t xml:space="preserve">第 </w:t>
    </w:r>
    <w:r>
      <w:rPr>
        <w:rFonts w:ascii="Times New Roman" w:hAnsi="Times New Roman" w:eastAsia="Songti SC" w:cs="Times New Roman"/>
        <w:color w:val="000000"/>
        <w:sz w:val="18"/>
      </w:rPr>
      <w:fldChar w:fldCharType="begin"/>
      <w:instrText xml:space="preserve"> PAGE </w:instrText>
      <w:fldChar w:fldCharType="separate"/>
      <w:t>1</w:t>
      <w:fldChar w:fldCharType="end"/>
    </w:r>
    <w:r>
      <w:rPr>
        <w:rFonts w:ascii="Times New Roman" w:hAnsi="Times New Roman" w:eastAsia="Songti SC" w:cs="Times New Roman"/>
        <w:color w:val="000000"/>
        <w:sz w:val="18"/>
      </w:rPr>
      <w:t xml:space="preserve"> 页  共 </w:t>
    </w:r>
    <w:r>
      <w:rPr>
        <w:rFonts w:ascii="Times New Roman" w:hAnsi="Times New Roman" w:eastAsia="Songti SC" w:cs="Times New Roman"/>
        <w:color w:val="000000"/>
        <w:sz w:val="18"/>
      </w:rPr>
      <w:fldChar w:fldCharType="begin"/>
      <w:instrText xml:space="preserve"> NUMPAGES </w:instrText>
      <w:fldChar w:fldCharType="separate"/>
      <w:t>1</w:t>
      <w:fldChar w:fldCharType="end"/>
    </w:r>
    <w:r>
      <w:rPr>
        <w:rFonts w:ascii="Times New Roman" w:hAnsi="Times New Roman" w:eastAsia="Songti SC" w:cs="Times New Roman"/>
        <w:color w:val="000000"/>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spacing w:after="0" w:before="0"/>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spacing w:after="0" w:before="0"/>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spacing w:after="0" w:before="0"/>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spacing w:after="0" w:before="0"/>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spacing w:after="0" w:before="0"/>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spacing w:after="0" w:before="0"/>
      <w:jc w:val="center"/>
      <w:rPr>
        <w:rFonts w:hint="default"/>
        <w:lang w:val="en-US"/>
      </w:rPr>
    </w:pPr>
    <w:r>
      <w:rPr>
        <w:rFonts w:hint="eastAsia"/>
        <w:sz w:val="24"/>
        <w:szCs w:val="28"/>
        <w:lang w:val="en-US" w:eastAsia="zh-CN"/>
      </w:rPr>
      <w:t>研发管理业务蓝图</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7A9D2"/>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BF0310"/>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75D4F"/>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BD69B9"/>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319BA"/>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2E3B"/>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C58C6"/>
    <w:rsid w:val="3EFE458D"/>
    <w:rsid w:val="3EFF668B"/>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5B9F"/>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BF96C"/>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E3FBC1"/>
    <w:rsid w:val="4EF23735"/>
    <w:rsid w:val="4EF902B0"/>
    <w:rsid w:val="4EFE032C"/>
    <w:rsid w:val="4F0F4779"/>
    <w:rsid w:val="4F174A8C"/>
    <w:rsid w:val="4F583D63"/>
    <w:rsid w:val="4F592503"/>
    <w:rsid w:val="4F6F8B0A"/>
    <w:rsid w:val="4F7BF45A"/>
    <w:rsid w:val="4F7F4E05"/>
    <w:rsid w:val="4F8DC100"/>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DAA665"/>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3FB6FA"/>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CF743D"/>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C73051"/>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4350"/>
    <w:rsid w:val="5EFB6493"/>
    <w:rsid w:val="5EFDF16C"/>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BD2A5"/>
    <w:rsid w:val="5FFCB86E"/>
    <w:rsid w:val="5FFCCFEF"/>
    <w:rsid w:val="5FFD6422"/>
    <w:rsid w:val="5FFE82FB"/>
    <w:rsid w:val="5FFF2132"/>
    <w:rsid w:val="5FFF2478"/>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770C5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781CA"/>
    <w:rsid w:val="6CEA1EDF"/>
    <w:rsid w:val="6CF5580F"/>
    <w:rsid w:val="6CFB0115"/>
    <w:rsid w:val="6CFC5A53"/>
    <w:rsid w:val="6D0A4613"/>
    <w:rsid w:val="6D0F7C1C"/>
    <w:rsid w:val="6D1B4804"/>
    <w:rsid w:val="6D21195D"/>
    <w:rsid w:val="6D285BB7"/>
    <w:rsid w:val="6D291C5E"/>
    <w:rsid w:val="6D376AB8"/>
    <w:rsid w:val="6D3C105A"/>
    <w:rsid w:val="6D3F3718"/>
    <w:rsid w:val="6D406899"/>
    <w:rsid w:val="6D4A2C62"/>
    <w:rsid w:val="6D66182D"/>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EF5ACC"/>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B17E6"/>
    <w:rsid w:val="749C0C4A"/>
    <w:rsid w:val="74AF3B68"/>
    <w:rsid w:val="74B22B0A"/>
    <w:rsid w:val="74B4020F"/>
    <w:rsid w:val="74D996C1"/>
    <w:rsid w:val="74E46B7B"/>
    <w:rsid w:val="74E66F97"/>
    <w:rsid w:val="74EF9BEE"/>
    <w:rsid w:val="74F47DEE"/>
    <w:rsid w:val="74F5C14B"/>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9BB09"/>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C208A"/>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6C22"/>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D7D65"/>
    <w:rsid w:val="7BBE3C27"/>
    <w:rsid w:val="7BBFC333"/>
    <w:rsid w:val="7BBFC387"/>
    <w:rsid w:val="7BBFCEEC"/>
    <w:rsid w:val="7BC8F17D"/>
    <w:rsid w:val="7BCE76B2"/>
    <w:rsid w:val="7BD66276"/>
    <w:rsid w:val="7BD754CD"/>
    <w:rsid w:val="7BD7816E"/>
    <w:rsid w:val="7BDA1655"/>
    <w:rsid w:val="7BDED489"/>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EE2025"/>
    <w:rsid w:val="7CF65414"/>
    <w:rsid w:val="7CFD9520"/>
    <w:rsid w:val="7CFE5CAF"/>
    <w:rsid w:val="7CFF60D8"/>
    <w:rsid w:val="7CFFBEEF"/>
    <w:rsid w:val="7CFFD058"/>
    <w:rsid w:val="7D07578C"/>
    <w:rsid w:val="7D0A5F6A"/>
    <w:rsid w:val="7D0C7F34"/>
    <w:rsid w:val="7D0E6E9F"/>
    <w:rsid w:val="7D1C7A4B"/>
    <w:rsid w:val="7D23702C"/>
    <w:rsid w:val="7D374D33"/>
    <w:rsid w:val="7D37782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1335"/>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0C11"/>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6D6954"/>
    <w:rsid w:val="7E785749"/>
    <w:rsid w:val="7E7EFF04"/>
    <w:rsid w:val="7E7FC91B"/>
    <w:rsid w:val="7E8169F8"/>
    <w:rsid w:val="7E926980"/>
    <w:rsid w:val="7E951C6A"/>
    <w:rsid w:val="7E97A8A7"/>
    <w:rsid w:val="7E9A9745"/>
    <w:rsid w:val="7EAC0D86"/>
    <w:rsid w:val="7EB18D0D"/>
    <w:rsid w:val="7EB70CC9"/>
    <w:rsid w:val="7EB70CDE"/>
    <w:rsid w:val="7EBB7375"/>
    <w:rsid w:val="7EBBE874"/>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DE39C"/>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28D"/>
    <w:rsid w:val="7F9FD9EC"/>
    <w:rsid w:val="7F9FF007"/>
    <w:rsid w:val="7FA288B2"/>
    <w:rsid w:val="7FA56CBA"/>
    <w:rsid w:val="7FAB1B6C"/>
    <w:rsid w:val="7FAB5503"/>
    <w:rsid w:val="7FADC52C"/>
    <w:rsid w:val="7FAE1F83"/>
    <w:rsid w:val="7FAF004A"/>
    <w:rsid w:val="7FAF3B77"/>
    <w:rsid w:val="7FAF67D1"/>
    <w:rsid w:val="7FAFA22C"/>
    <w:rsid w:val="7FB1B426"/>
    <w:rsid w:val="7FB31036"/>
    <w:rsid w:val="7FB71B95"/>
    <w:rsid w:val="7FB7359B"/>
    <w:rsid w:val="7FB796A0"/>
    <w:rsid w:val="7FB9453E"/>
    <w:rsid w:val="7FB96E7E"/>
    <w:rsid w:val="7FBA2458"/>
    <w:rsid w:val="7FBB28C8"/>
    <w:rsid w:val="7FBBE37D"/>
    <w:rsid w:val="7FBC51B1"/>
    <w:rsid w:val="7FBC6330"/>
    <w:rsid w:val="7FBC6DFA"/>
    <w:rsid w:val="7FBD0F25"/>
    <w:rsid w:val="7FBD6926"/>
    <w:rsid w:val="7FBDBCF1"/>
    <w:rsid w:val="7FBDFDA8"/>
    <w:rsid w:val="7FBF085D"/>
    <w:rsid w:val="7FBF85D0"/>
    <w:rsid w:val="7FBFF27E"/>
    <w:rsid w:val="7FC31497"/>
    <w:rsid w:val="7FCB4EC8"/>
    <w:rsid w:val="7FCB5E84"/>
    <w:rsid w:val="7FCD4F21"/>
    <w:rsid w:val="7FCFF9DD"/>
    <w:rsid w:val="7FD3B142"/>
    <w:rsid w:val="7FD5CD06"/>
    <w:rsid w:val="7FD689B3"/>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8B50"/>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B884"/>
    <w:rsid w:val="7FEFF883"/>
    <w:rsid w:val="7FF07158"/>
    <w:rsid w:val="7FF1DFCC"/>
    <w:rsid w:val="7FF33C62"/>
    <w:rsid w:val="7FF37B6D"/>
    <w:rsid w:val="7FF3B4DA"/>
    <w:rsid w:val="7FF51C4E"/>
    <w:rsid w:val="7FF56A5D"/>
    <w:rsid w:val="7FF58C17"/>
    <w:rsid w:val="7FF5B5BB"/>
    <w:rsid w:val="7FF5EAE8"/>
    <w:rsid w:val="7FF6901D"/>
    <w:rsid w:val="7FF7673A"/>
    <w:rsid w:val="7FF77DAF"/>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4B1"/>
    <w:rsid w:val="7FFF77FF"/>
    <w:rsid w:val="7FFF79EC"/>
    <w:rsid w:val="7FFF8F5A"/>
    <w:rsid w:val="7FFF9B82"/>
    <w:rsid w:val="7FFFE3FD"/>
    <w:rsid w:val="7FFFE541"/>
    <w:rsid w:val="7FFFF5D4"/>
    <w:rsid w:val="7FFFF703"/>
    <w:rsid w:val="83DF4BA6"/>
    <w:rsid w:val="85EF88A3"/>
    <w:rsid w:val="864B19B8"/>
    <w:rsid w:val="8677DBB2"/>
    <w:rsid w:val="87352C0B"/>
    <w:rsid w:val="87BE58AC"/>
    <w:rsid w:val="8AF7A7D1"/>
    <w:rsid w:val="8CF61D35"/>
    <w:rsid w:val="8EEEDA0D"/>
    <w:rsid w:val="8EFC1318"/>
    <w:rsid w:val="8F5B8CB4"/>
    <w:rsid w:val="8FAF319E"/>
    <w:rsid w:val="8FFFB737"/>
    <w:rsid w:val="92FD2B40"/>
    <w:rsid w:val="93FFE889"/>
    <w:rsid w:val="954E26E9"/>
    <w:rsid w:val="95BF23FC"/>
    <w:rsid w:val="95E57FE1"/>
    <w:rsid w:val="95FB80A8"/>
    <w:rsid w:val="96543735"/>
    <w:rsid w:val="96DE6EF5"/>
    <w:rsid w:val="977DA018"/>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BE818E"/>
    <w:rsid w:val="9FD40F55"/>
    <w:rsid w:val="9FD7214E"/>
    <w:rsid w:val="9FD7A23A"/>
    <w:rsid w:val="9FED48A6"/>
    <w:rsid w:val="9FFB9CA7"/>
    <w:rsid w:val="9FFBDE45"/>
    <w:rsid w:val="9FFE16FE"/>
    <w:rsid w:val="9FFF2B06"/>
    <w:rsid w:val="9FFFCF06"/>
    <w:rsid w:val="9FFFD77E"/>
    <w:rsid w:val="A1EF8BFD"/>
    <w:rsid w:val="A1FF023B"/>
    <w:rsid w:val="A31FF8B2"/>
    <w:rsid w:val="A35F3774"/>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EFF108D"/>
    <w:rsid w:val="BF1BE272"/>
    <w:rsid w:val="BF1F8E7C"/>
    <w:rsid w:val="BF2328A9"/>
    <w:rsid w:val="BF374F23"/>
    <w:rsid w:val="BF3B1846"/>
    <w:rsid w:val="BF3F92D4"/>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DBD8A"/>
    <w:rsid w:val="BFFE2535"/>
    <w:rsid w:val="BFFEEF0B"/>
    <w:rsid w:val="BFFF16C7"/>
    <w:rsid w:val="BFFF5AA0"/>
    <w:rsid w:val="BFFF66B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24DB"/>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7189F"/>
    <w:rsid w:val="DBB76AC0"/>
    <w:rsid w:val="DBBDCFE1"/>
    <w:rsid w:val="DBDEE984"/>
    <w:rsid w:val="DBDF4CAB"/>
    <w:rsid w:val="DBDF6C3C"/>
    <w:rsid w:val="DBEA4313"/>
    <w:rsid w:val="DBFC0F7C"/>
    <w:rsid w:val="DBFDB6CF"/>
    <w:rsid w:val="DBFDE603"/>
    <w:rsid w:val="DBFF193B"/>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499DE"/>
    <w:rsid w:val="DDFBC95C"/>
    <w:rsid w:val="DDFF6FA4"/>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BF709B"/>
    <w:rsid w:val="DFCD318B"/>
    <w:rsid w:val="DFCF5E34"/>
    <w:rsid w:val="DFD676CA"/>
    <w:rsid w:val="DFDDBDCC"/>
    <w:rsid w:val="DFDF40CB"/>
    <w:rsid w:val="DFED4BEC"/>
    <w:rsid w:val="DFF5E9FC"/>
    <w:rsid w:val="DFF73543"/>
    <w:rsid w:val="DFFBCAEE"/>
    <w:rsid w:val="DFFBF079"/>
    <w:rsid w:val="DFFC43DE"/>
    <w:rsid w:val="DFFD0973"/>
    <w:rsid w:val="DFFD3EEF"/>
    <w:rsid w:val="DFFD7474"/>
    <w:rsid w:val="DFFD7C84"/>
    <w:rsid w:val="DFFE571F"/>
    <w:rsid w:val="DFFE7417"/>
    <w:rsid w:val="DFFEB679"/>
    <w:rsid w:val="DFFF6FBB"/>
    <w:rsid w:val="DFFF95F8"/>
    <w:rsid w:val="DFFFAD9F"/>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BE04EF"/>
    <w:rsid w:val="EBD54A6B"/>
    <w:rsid w:val="EBDE2B25"/>
    <w:rsid w:val="EBEDCF1A"/>
    <w:rsid w:val="EBEF7733"/>
    <w:rsid w:val="EBF7114F"/>
    <w:rsid w:val="EBFD3F93"/>
    <w:rsid w:val="EBFF2342"/>
    <w:rsid w:val="EBFF9926"/>
    <w:rsid w:val="EC2FDCD0"/>
    <w:rsid w:val="EC3B4D1A"/>
    <w:rsid w:val="EC3F85E1"/>
    <w:rsid w:val="ECD8E8D3"/>
    <w:rsid w:val="ECFBE4CD"/>
    <w:rsid w:val="ED5FC1AE"/>
    <w:rsid w:val="ED75487F"/>
    <w:rsid w:val="ED77DA7F"/>
    <w:rsid w:val="ED7AE755"/>
    <w:rsid w:val="ED8FDAFE"/>
    <w:rsid w:val="EDBB208B"/>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D7F98"/>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05B5"/>
    <w:rsid w:val="EFED51D6"/>
    <w:rsid w:val="EFEDEC5D"/>
    <w:rsid w:val="EFEE1584"/>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2FF5469"/>
    <w:rsid w:val="F39BDCAB"/>
    <w:rsid w:val="F39F26CA"/>
    <w:rsid w:val="F39F6079"/>
    <w:rsid w:val="F3B5F21A"/>
    <w:rsid w:val="F3BE2AAF"/>
    <w:rsid w:val="F3DCF0ED"/>
    <w:rsid w:val="F3DF811A"/>
    <w:rsid w:val="F3E3E4BE"/>
    <w:rsid w:val="F3EB4E2B"/>
    <w:rsid w:val="F3EF5B10"/>
    <w:rsid w:val="F3F167E4"/>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EBC14"/>
    <w:rsid w:val="F5DFEF11"/>
    <w:rsid w:val="F5EB0C16"/>
    <w:rsid w:val="F5EB676B"/>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A69CC"/>
    <w:rsid w:val="F78FDD92"/>
    <w:rsid w:val="F79EC383"/>
    <w:rsid w:val="F79FA3F2"/>
    <w:rsid w:val="F7ADBA6B"/>
    <w:rsid w:val="F7AEA0C8"/>
    <w:rsid w:val="F7B695CC"/>
    <w:rsid w:val="F7B91025"/>
    <w:rsid w:val="F7B93460"/>
    <w:rsid w:val="F7BCE39F"/>
    <w:rsid w:val="F7BDFDC5"/>
    <w:rsid w:val="F7C70161"/>
    <w:rsid w:val="F7CBB2EB"/>
    <w:rsid w:val="F7CF4146"/>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D23AE"/>
    <w:rsid w:val="F7FE4E74"/>
    <w:rsid w:val="F7FF243C"/>
    <w:rsid w:val="F7FF7B64"/>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EA11A"/>
    <w:rsid w:val="FAFFC179"/>
    <w:rsid w:val="FB1BD6B4"/>
    <w:rsid w:val="FB2E0913"/>
    <w:rsid w:val="FB4537F8"/>
    <w:rsid w:val="FB5E947A"/>
    <w:rsid w:val="FB6FDB88"/>
    <w:rsid w:val="FB729E2A"/>
    <w:rsid w:val="FB7D4B94"/>
    <w:rsid w:val="FB9F81E0"/>
    <w:rsid w:val="FB9FED65"/>
    <w:rsid w:val="FBAFAB6E"/>
    <w:rsid w:val="FBB0619E"/>
    <w:rsid w:val="FBB26FA9"/>
    <w:rsid w:val="FBB9AB0D"/>
    <w:rsid w:val="FBB9F3C4"/>
    <w:rsid w:val="FBBB10BF"/>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6D8F5"/>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CE3F09"/>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EAAB2"/>
    <w:rsid w:val="FE7FFD49"/>
    <w:rsid w:val="FE9F7EB8"/>
    <w:rsid w:val="FEA35C32"/>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5357"/>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C1DD"/>
    <w:rsid w:val="FFDDCEBF"/>
    <w:rsid w:val="FFDE7AA0"/>
    <w:rsid w:val="FFDF6E0E"/>
    <w:rsid w:val="FFDFB31B"/>
    <w:rsid w:val="FFDFC932"/>
    <w:rsid w:val="FFE1A067"/>
    <w:rsid w:val="FFE2F0F3"/>
    <w:rsid w:val="FFE30D38"/>
    <w:rsid w:val="FFE6180F"/>
    <w:rsid w:val="FFE6A8D9"/>
    <w:rsid w:val="FFE75944"/>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67A2E"/>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72B7"/>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24" w:lineRule="auto" w:after="80"/>
      <w:jc w:val="both"/>
    </w:pPr>
    <w:rPr>
      <w:rFonts w:ascii="Times New Roman" w:hAnsi="Times New Roman" w:eastAsia="Songti SC" w:cs="Times New Roman"/>
      <w:color w:val="000000"/>
      <w:kern w:val="2"/>
      <w:sz w:val="21"/>
      <w:lang w:val="en-US" w:eastAsia="zh-CN" w:bidi="ar-SA"/>
    </w:rPr>
  </w:style>
  <w:style w:type="paragraph" w:styleId="2">
    <w:name w:val="heading 1"/>
    <w:basedOn w:val="1"/>
    <w:next w:val="1"/>
    <w:qFormat/>
    <w:uiPriority w:val="0"/>
    <w:pPr>
      <w:keepNext/>
      <w:keepLines/>
      <w:spacing w:before="360" w:beforeLines="50" w:after="200" w:afterLines="50" w:line="276" w:lineRule="auto"/>
      <w:outlineLvl w:val="0"/>
    </w:pPr>
    <w:rPr>
      <w:rFonts w:eastAsia="STHeiti" w:ascii="Times New Roman" w:hAnsi="Times New Roman"/>
      <w:b/>
      <w:color w:val="000000"/>
      <w:kern w:val="44"/>
      <w:sz w:val="32"/>
    </w:rPr>
  </w:style>
  <w:style w:type="paragraph" w:styleId="3">
    <w:name w:val="heading 2"/>
    <w:basedOn w:val="1"/>
    <w:next w:val="1"/>
    <w:link w:val="81"/>
    <w:qFormat/>
    <w:uiPriority w:val="99"/>
    <w:pPr>
      <w:keepNext/>
      <w:keepLines/>
      <w:spacing w:before="280" w:beforeLines="50" w:after="120" w:afterLines="50" w:line="276" w:lineRule="auto"/>
      <w:ind w:left="181" w:firstLine="170"/>
      <w:outlineLvl w:val="1"/>
    </w:pPr>
    <w:rPr>
      <w:rFonts w:eastAsia="STHeiti" w:ascii="Times New Roman" w:hAnsi="Times New Roman"/>
      <w:b/>
      <w:color w:val="000000"/>
      <w:sz w:val="28"/>
    </w:rPr>
  </w:style>
  <w:style w:type="paragraph" w:styleId="4">
    <w:name w:val="heading 3"/>
    <w:basedOn w:val="1"/>
    <w:next w:val="5"/>
    <w:link w:val="80"/>
    <w:qFormat/>
    <w:uiPriority w:val="0"/>
    <w:pPr>
      <w:keepNext/>
      <w:keepLines/>
      <w:spacing w:before="200" w:beforeLines="50" w:after="80" w:afterLines="50" w:line="276" w:lineRule="auto"/>
      <w:ind w:left="238" w:firstLine="79"/>
      <w:outlineLvl w:val="2"/>
    </w:pPr>
    <w:rPr>
      <w:rFonts w:ascii="Times New Roman" w:hAnsi="Times New Roman" w:eastAsia="STHeiti"/>
      <w:b/>
      <w:color w:val="000000"/>
      <w:sz w:val="24"/>
    </w:rPr>
  </w:style>
  <w:style w:type="paragraph" w:styleId="6">
    <w:name w:val="heading 4"/>
    <w:basedOn w:val="1"/>
    <w:next w:val="1"/>
    <w:qFormat/>
    <w:uiPriority w:val="0"/>
    <w:pPr>
      <w:keepNext/>
      <w:keepLines/>
      <w:spacing w:before="160" w:beforeLines="50" w:after="60" w:afterLines="50" w:line="276" w:lineRule="auto"/>
      <w:ind w:left="311" w:firstLine="97"/>
      <w:outlineLvl w:val="3"/>
    </w:pPr>
    <w:rPr>
      <w:rFonts w:ascii="Times New Roman" w:hAnsi="Times New Roman" w:eastAsia="STHeiti"/>
      <w:b/>
      <w:color w:val="000000"/>
      <w:sz w:val="22"/>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spacing w:after="240"/>
      <w:jc w:val="center"/>
    </w:pPr>
    <w:rPr>
      <w:rFonts w:ascii="Times New Roman" w:hAnsi="Times New Roman" w:eastAsia="STHeiti"/>
      <w:b/>
      <w:color w:val="000000"/>
      <w:kern w:val="0"/>
      <w:sz w:val="48"/>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9" Type="http://schemas.openxmlformats.org/officeDocument/2006/relationships/fontTable" Target="fontTable.xml"/><Relationship Id="rId78" Type="http://schemas.openxmlformats.org/officeDocument/2006/relationships/customXml" Target="../customXml/item2.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svg"/><Relationship Id="rId65" Type="http://schemas.openxmlformats.org/officeDocument/2006/relationships/image" Target="media/image58.png"/><Relationship Id="rId64" Type="http://schemas.openxmlformats.org/officeDocument/2006/relationships/image" Target="media/image57.svg"/><Relationship Id="rId63" Type="http://schemas.openxmlformats.org/officeDocument/2006/relationships/image" Target="media/image56.png"/><Relationship Id="rId62" Type="http://schemas.openxmlformats.org/officeDocument/2006/relationships/image" Target="media/image55.svg"/><Relationship Id="rId61" Type="http://schemas.openxmlformats.org/officeDocument/2006/relationships/image" Target="media/image54.png"/><Relationship Id="rId60" Type="http://schemas.openxmlformats.org/officeDocument/2006/relationships/image" Target="media/image53.sv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svg"/><Relationship Id="rId57" Type="http://schemas.openxmlformats.org/officeDocument/2006/relationships/image" Target="media/image50.png"/><Relationship Id="rId56" Type="http://schemas.openxmlformats.org/officeDocument/2006/relationships/image" Target="media/image49.svg"/><Relationship Id="rId55" Type="http://schemas.openxmlformats.org/officeDocument/2006/relationships/image" Target="media/image48.png"/><Relationship Id="rId54" Type="http://schemas.openxmlformats.org/officeDocument/2006/relationships/image" Target="media/image47.svg"/><Relationship Id="rId53" Type="http://schemas.openxmlformats.org/officeDocument/2006/relationships/image" Target="media/image46.png"/><Relationship Id="rId52" Type="http://schemas.openxmlformats.org/officeDocument/2006/relationships/image" Target="media/image45.svg"/><Relationship Id="rId51" Type="http://schemas.openxmlformats.org/officeDocument/2006/relationships/image" Target="media/image44.png"/><Relationship Id="rId50" Type="http://schemas.openxmlformats.org/officeDocument/2006/relationships/image" Target="media/image43.sv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svg"/><Relationship Id="rId47" Type="http://schemas.openxmlformats.org/officeDocument/2006/relationships/image" Target="media/image40.png"/><Relationship Id="rId46" Type="http://schemas.openxmlformats.org/officeDocument/2006/relationships/image" Target="media/image39.svg"/><Relationship Id="rId45" Type="http://schemas.openxmlformats.org/officeDocument/2006/relationships/image" Target="media/image38.png"/><Relationship Id="rId44" Type="http://schemas.openxmlformats.org/officeDocument/2006/relationships/image" Target="media/image37.svg"/><Relationship Id="rId43" Type="http://schemas.openxmlformats.org/officeDocument/2006/relationships/image" Target="media/image36.png"/><Relationship Id="rId42" Type="http://schemas.openxmlformats.org/officeDocument/2006/relationships/image" Target="media/image35.svg"/><Relationship Id="rId41" Type="http://schemas.openxmlformats.org/officeDocument/2006/relationships/image" Target="media/image34.png"/><Relationship Id="rId40" Type="http://schemas.openxmlformats.org/officeDocument/2006/relationships/image" Target="media/image33.svg"/><Relationship Id="rId4" Type="http://schemas.openxmlformats.org/officeDocument/2006/relationships/header" Target="header2.xml"/><Relationship Id="rId39" Type="http://schemas.openxmlformats.org/officeDocument/2006/relationships/image" Target="media/image32.png"/><Relationship Id="rId38" Type="http://schemas.openxmlformats.org/officeDocument/2006/relationships/image" Target="media/image31.svg"/><Relationship Id="rId37" Type="http://schemas.openxmlformats.org/officeDocument/2006/relationships/image" Target="media/image30.png"/><Relationship Id="rId36" Type="http://schemas.openxmlformats.org/officeDocument/2006/relationships/image" Target="media/image29.svg"/><Relationship Id="rId35" Type="http://schemas.openxmlformats.org/officeDocument/2006/relationships/image" Target="media/image28.png"/><Relationship Id="rId34" Type="http://schemas.openxmlformats.org/officeDocument/2006/relationships/image" Target="media/image27.svg"/><Relationship Id="rId33" Type="http://schemas.openxmlformats.org/officeDocument/2006/relationships/image" Target="media/image26.png"/><Relationship Id="rId32" Type="http://schemas.openxmlformats.org/officeDocument/2006/relationships/image" Target="media/image25.svg"/><Relationship Id="rId31" Type="http://schemas.openxmlformats.org/officeDocument/2006/relationships/image" Target="media/image24.png"/><Relationship Id="rId30" Type="http://schemas.openxmlformats.org/officeDocument/2006/relationships/image" Target="media/image23.sv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svg"/><Relationship Id="rId27" Type="http://schemas.openxmlformats.org/officeDocument/2006/relationships/image" Target="media/image20.png"/><Relationship Id="rId26" Type="http://schemas.openxmlformats.org/officeDocument/2006/relationships/image" Target="media/image19.svg"/><Relationship Id="rId25" Type="http://schemas.openxmlformats.org/officeDocument/2006/relationships/image" Target="media/image18.png"/><Relationship Id="rId24" Type="http://schemas.openxmlformats.org/officeDocument/2006/relationships/image" Target="media/image17.svg"/><Relationship Id="rId23" Type="http://schemas.openxmlformats.org/officeDocument/2006/relationships/image" Target="media/image16.png"/><Relationship Id="rId22" Type="http://schemas.openxmlformats.org/officeDocument/2006/relationships/image" Target="media/image15.sv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 Id="rId80" Type="http://schemas.openxmlformats.org/officeDocument/2006/relationships/header" Target="header3.xml"/><Relationship Id="rId81" Type="http://schemas.openxmlformats.org/officeDocument/2006/relationships/image" Target="media/image69.png"/><Relationship Id="rId82" Type="http://schemas.openxmlformats.org/officeDocument/2006/relationships/image" Target="media/image70.png"/><Relationship Id="rId83" Type="http://schemas.openxmlformats.org/officeDocument/2006/relationships/image" Target="media/image71.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190</Pages>
  <Words>636</Words>
  <Characters>965</Characters>
  <Lines>345</Lines>
  <Paragraphs>97</Paragraphs>
  <TotalTime>9</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2011-06-22T22:57:00Z</dcterms:created>
  <dc:creator>中控技术股份有限公司</dc:creator>
  <cp:lastModifiedBy>郭子豪</cp:lastModifiedBy>
  <dcterms:modified xsi:type="dcterms:W3CDTF">2026-09-30T13:29:27Z</dcterms:modified>
  <dc:subject>SCOS全局供应链优化与协同系统技术蓝图</dc:subject>
  <dc:title>06-安全、部署、运维与非功能设计</dc:title>
  <cp:keywords>SCOS,供应链优化,技术蓝图</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