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5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26D75E">
      <w:pPr>
        <w:tabs>
          <w:tab w:val="left" w:pos="5940"/>
        </w:tabs>
        <w:rPr>
          <w:rFonts w:hint="eastAsia"/>
          <w:sz w:val="52"/>
          <w:szCs w:val="52"/>
        </w:rPr>
      </w:pPr>
    </w:p>
    <w:p w14:paraId="6FE94BEE">
      <w:pPr>
        <w:tabs>
          <w:tab w:val="left" w:pos="5940"/>
        </w:tabs>
        <w:rPr>
          <w:rFonts w:ascii="Times" w:hAnsi="Times"/>
          <w:b/>
          <w:sz w:val="52"/>
          <w:szCs w:val="52"/>
        </w:rPr>
      </w:pPr>
    </w:p>
    <w:p w14:paraId="3EF4A857">
      <w:pPr>
        <w:pStyle w:val="29"/>
        <w:keepNext w:val="0"/>
        <w:widowControl/>
        <w:wordWrap/>
        <w:spacing w:line="360" w:lineRule="auto"/>
        <w:ind w:right="-334" w:rightChars="-139"/>
        <w:jc w:val="center"/>
        <w:rPr>
          <w:rFonts w:hint="eastAsia" w:ascii="黑体" w:eastAsia="黑体"/>
          <w:b w:val="0"/>
          <w:bCs/>
          <w:sz w:val="52"/>
          <w:szCs w:val="52"/>
          <w:lang w:val="en-US" w:eastAsia="zh-CN"/>
        </w:rPr>
      </w:pPr>
      <w:r>
        <w:rPr>
          <w:rFonts w:hint="eastAsia" w:ascii="Times" w:hAnsi="Times"/>
          <w:b/>
          <w:sz w:val="52"/>
          <w:szCs w:val="52"/>
        </w:rPr>
        <w:t>中粮生物科技太仓新建55万吨/年淀粉糖项目</w:t>
      </w:r>
      <w:r>
        <w:rPr>
          <w:rFonts w:hint="eastAsia" w:ascii="Times" w:hAnsi="Times"/>
          <w:b/>
          <w:sz w:val="52"/>
          <w:szCs w:val="52"/>
          <w:lang w:val="en-US" w:eastAsia="zh-CN"/>
        </w:rPr>
        <w:t>SCOS</w:t>
      </w:r>
      <w:r>
        <w:rPr>
          <w:rFonts w:hint="eastAsia" w:ascii="Times" w:hAnsi="Times"/>
          <w:b/>
          <w:sz w:val="52"/>
          <w:szCs w:val="52"/>
        </w:rPr>
        <w:t>全流程智能化系统</w:t>
      </w:r>
    </w:p>
    <w:p w14:paraId="1EE3B683">
      <w:pPr>
        <w:pStyle w:val="29"/>
        <w:keepNext w:val="0"/>
        <w:widowControl/>
        <w:wordWrap/>
        <w:spacing w:line="360" w:lineRule="auto"/>
        <w:ind w:right="-334" w:rightChars="-139"/>
        <w:jc w:val="center"/>
        <w:rPr>
          <w:rFonts w:hint="default" w:ascii="黑体" w:eastAsia="黑体"/>
          <w:b w:val="0"/>
          <w:bCs/>
          <w:sz w:val="52"/>
          <w:szCs w:val="52"/>
          <w:lang w:val="en-US"/>
        </w:rPr>
      </w:pPr>
      <w:r>
        <w:rPr>
          <w:rFonts w:hint="eastAsia" w:ascii="黑体" w:eastAsia="黑体"/>
          <w:b w:val="0"/>
          <w:bCs/>
          <w:sz w:val="52"/>
          <w:szCs w:val="52"/>
          <w:lang w:val="en-US" w:eastAsia="zh-CN"/>
        </w:rPr>
        <w:t>SCOS管理系统蓝图方案</w:t>
      </w:r>
    </w:p>
    <w:p w14:paraId="335B9AE4">
      <w:pPr>
        <w:spacing w:line="240" w:lineRule="atLeast"/>
        <w:rPr>
          <w:sz w:val="52"/>
          <w:szCs w:val="52"/>
        </w:rPr>
      </w:pPr>
    </w:p>
    <w:p w14:paraId="3D57CABF">
      <w:pPr>
        <w:pStyle w:val="26"/>
        <w:rPr>
          <w:sz w:val="52"/>
          <w:szCs w:val="52"/>
        </w:rPr>
      </w:pPr>
    </w:p>
    <w:p w14:paraId="292ECF40"/>
    <w:p w14:paraId="6C443D52">
      <w:pPr>
        <w:spacing w:line="240" w:lineRule="atLeast"/>
        <w:rPr>
          <w:sz w:val="52"/>
          <w:szCs w:val="52"/>
        </w:rPr>
      </w:pPr>
    </w:p>
    <w:p w14:paraId="79B2D05B">
      <w:pPr>
        <w:spacing w:line="240" w:lineRule="atLeast"/>
        <w:rPr>
          <w:sz w:val="52"/>
          <w:szCs w:val="52"/>
        </w:rPr>
      </w:pPr>
    </w:p>
    <w:p w14:paraId="56EFED29">
      <w:pPr>
        <w:spacing w:line="240" w:lineRule="atLeast"/>
        <w:jc w:val="center"/>
        <w:rPr>
          <w:rFonts w:ascii="宋体"/>
          <w:b/>
          <w:spacing w:val="20"/>
          <w:sz w:val="28"/>
        </w:rPr>
      </w:pPr>
      <w:r>
        <w:rPr>
          <w:rFonts w:hint="eastAsia" w:ascii="宋体"/>
          <w:b/>
          <w:spacing w:val="20"/>
          <w:sz w:val="28"/>
        </w:rPr>
        <w:t>中控</w:t>
      </w:r>
      <w:r>
        <w:rPr>
          <w:rFonts w:hint="eastAsia" w:ascii="宋体"/>
          <w:b/>
          <w:spacing w:val="20"/>
          <w:sz w:val="28"/>
          <w:lang w:val="en-US" w:eastAsia="zh-CN"/>
        </w:rPr>
        <w:t>技术股份</w:t>
      </w:r>
      <w:r>
        <w:rPr>
          <w:rFonts w:hint="eastAsia" w:ascii="宋体"/>
          <w:b/>
          <w:spacing w:val="20"/>
          <w:sz w:val="28"/>
        </w:rPr>
        <w:t>有限公司</w:t>
      </w:r>
    </w:p>
    <w:p w14:paraId="27522DC5">
      <w:pPr>
        <w:spacing w:line="240" w:lineRule="atLeast"/>
        <w:jc w:val="center"/>
        <w:rPr>
          <w:rFonts w:hint="eastAsia"/>
        </w:rPr>
      </w:pPr>
      <w:r>
        <w:rPr>
          <w:rFonts w:hint="eastAsia" w:ascii="楷体_GB2312" w:eastAsia="楷体_GB2312"/>
          <w:b/>
          <w:sz w:val="28"/>
          <w:szCs w:val="28"/>
          <w:lang w:eastAsia="zh-CN"/>
        </w:rPr>
        <w:t>二〇二六</w:t>
      </w:r>
      <w:r>
        <w:rPr>
          <w:rFonts w:hint="eastAsia" w:ascii="楷体_GB2312" w:eastAsia="楷体_GB2312"/>
          <w:b/>
          <w:sz w:val="28"/>
          <w:szCs w:val="28"/>
        </w:rPr>
        <w:t>年</w:t>
      </w:r>
      <w:r>
        <w:rPr>
          <w:rFonts w:hint="eastAsia" w:ascii="楷体_GB2312" w:eastAsia="楷体_GB2312"/>
          <w:b/>
          <w:sz w:val="28"/>
          <w:szCs w:val="28"/>
          <w:lang w:val="en-US" w:eastAsia="zh-CN"/>
        </w:rPr>
        <w:t>八</w:t>
      </w:r>
      <w:r>
        <w:rPr>
          <w:rFonts w:hint="eastAsia" w:ascii="楷体_GB2312" w:eastAsia="楷体_GB2312"/>
          <w:b/>
          <w:sz w:val="28"/>
          <w:szCs w:val="28"/>
        </w:rPr>
        <w:t>月</w:t>
      </w:r>
    </w:p>
    <w:p w14:paraId="5FDD9D2F">
      <w:pPr>
        <w:pStyle w:val="29"/>
        <w:wordWrap/>
        <w:spacing w:line="240" w:lineRule="atLeast"/>
      </w:pPr>
      <w:r>
        <w:rPr>
          <w:rFonts w:hint="eastAsia" w:ascii="Arial" w:hAnsi="Arial"/>
        </w:rPr>
        <w:t>原版</w:t>
      </w:r>
      <w:r>
        <w:rPr>
          <w:rFonts w:hint="eastAsia"/>
        </w:rPr>
        <w:t>状态</w:t>
      </w:r>
    </w:p>
    <w:p w14:paraId="201C02AD">
      <w:pPr>
        <w:spacing w:line="240" w:lineRule="atLeast"/>
        <w:ind w:left="-2"/>
      </w:pPr>
    </w:p>
    <w:p w14:paraId="25388080">
      <w:pPr>
        <w:spacing w:line="240" w:lineRule="atLeast"/>
        <w:ind w:left="-2"/>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2228"/>
        <w:gridCol w:w="1738"/>
        <w:gridCol w:w="1984"/>
      </w:tblGrid>
      <w:tr w14:paraId="0DFDED0B">
        <w:trPr>
          <w:trHeight w:val="338" w:hRule="atLeast"/>
          <w:jc w:val="center"/>
        </w:trPr>
        <w:tc>
          <w:tcPr>
            <w:tcW w:w="1983" w:type="dxa"/>
            <w:shd w:val="clear" w:color="auto" w:fill="C0C0C0"/>
            <w:noWrap w:val="0"/>
            <w:vAlign w:val="center"/>
          </w:tcPr>
          <w:p w14:paraId="4D694ED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版本：</w:t>
            </w:r>
          </w:p>
        </w:tc>
        <w:tc>
          <w:tcPr>
            <w:tcW w:w="2228" w:type="dxa"/>
            <w:shd w:val="clear" w:color="auto" w:fill="auto"/>
            <w:noWrap w:val="0"/>
            <w:vAlign w:val="center"/>
          </w:tcPr>
          <w:p w14:paraId="1A7B9F91">
            <w:pPr>
              <w:keepNext w:val="0"/>
              <w:keepLines w:val="0"/>
              <w:suppressLineNumbers w:val="0"/>
              <w:spacing w:before="0" w:beforeAutospacing="0" w:after="0" w:afterAutospacing="0" w:line="240" w:lineRule="atLeast"/>
              <w:ind w:left="-2" w:right="0"/>
              <w:jc w:val="both"/>
              <w:rPr>
                <w:rFonts w:hint="default" w:eastAsia="宋体" w:cs="Times New Roman"/>
                <w:szCs w:val="22"/>
                <w:lang w:val="en-US" w:eastAsia="zh-CN"/>
              </w:rPr>
            </w:pPr>
          </w:p>
        </w:tc>
        <w:tc>
          <w:tcPr>
            <w:tcW w:w="1738" w:type="dxa"/>
            <w:shd w:val="clear" w:color="auto" w:fill="C0C0C0"/>
            <w:noWrap w:val="0"/>
            <w:vAlign w:val="center"/>
          </w:tcPr>
          <w:p w14:paraId="724D0F8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核对：</w:t>
            </w:r>
          </w:p>
        </w:tc>
        <w:tc>
          <w:tcPr>
            <w:tcW w:w="1984" w:type="dxa"/>
            <w:noWrap w:val="0"/>
            <w:vAlign w:val="center"/>
          </w:tcPr>
          <w:p w14:paraId="181A877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 xml:space="preserve"> </w:t>
            </w:r>
          </w:p>
        </w:tc>
      </w:tr>
      <w:tr w14:paraId="11DB3F5D">
        <w:trPr>
          <w:cantSplit/>
          <w:trHeight w:val="338" w:hRule="atLeast"/>
          <w:jc w:val="center"/>
        </w:trPr>
        <w:tc>
          <w:tcPr>
            <w:tcW w:w="1983" w:type="dxa"/>
            <w:shd w:val="clear" w:color="auto" w:fill="C0C0C0"/>
            <w:noWrap w:val="0"/>
            <w:vAlign w:val="center"/>
          </w:tcPr>
          <w:p w14:paraId="055F5B55">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作者：</w:t>
            </w:r>
          </w:p>
        </w:tc>
        <w:tc>
          <w:tcPr>
            <w:tcW w:w="2228" w:type="dxa"/>
            <w:shd w:val="clear" w:color="auto" w:fill="auto"/>
            <w:noWrap w:val="0"/>
            <w:vAlign w:val="center"/>
          </w:tcPr>
          <w:p w14:paraId="54DFC61C">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738" w:type="dxa"/>
            <w:shd w:val="clear" w:color="auto" w:fill="C0C0C0"/>
            <w:noWrap w:val="0"/>
            <w:vAlign w:val="center"/>
          </w:tcPr>
          <w:p w14:paraId="2B2B369D">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审核：</w:t>
            </w:r>
          </w:p>
        </w:tc>
        <w:tc>
          <w:tcPr>
            <w:tcW w:w="1984" w:type="dxa"/>
            <w:noWrap w:val="0"/>
            <w:vAlign w:val="center"/>
          </w:tcPr>
          <w:p w14:paraId="7D905036">
            <w:pPr>
              <w:keepNext w:val="0"/>
              <w:keepLines w:val="0"/>
              <w:suppressLineNumbers w:val="0"/>
              <w:spacing w:before="0" w:beforeAutospacing="0" w:after="0" w:afterAutospacing="0" w:line="240" w:lineRule="atLeast"/>
              <w:ind w:left="0" w:leftChars="0" w:right="0" w:firstLine="0" w:firstLineChars="0"/>
              <w:jc w:val="center"/>
              <w:rPr>
                <w:rFonts w:hint="eastAsia" w:eastAsia="宋体" w:cs="Times New Roman"/>
                <w:szCs w:val="22"/>
                <w:lang w:val="en-US" w:eastAsia="zh-CN"/>
              </w:rPr>
            </w:pPr>
          </w:p>
        </w:tc>
      </w:tr>
    </w:tbl>
    <w:p w14:paraId="039CB369">
      <w:pPr>
        <w:pStyle w:val="29"/>
        <w:wordWrap/>
        <w:spacing w:line="240" w:lineRule="atLeast"/>
        <w:rPr>
          <w:rFonts w:ascii="Arial" w:hAnsi="Arial"/>
        </w:rPr>
      </w:pPr>
    </w:p>
    <w:p w14:paraId="2435573A">
      <w:pPr>
        <w:rPr>
          <w:rFonts w:ascii="Arial" w:hAnsi="Arial"/>
        </w:rPr>
      </w:pPr>
    </w:p>
    <w:p w14:paraId="74816B6C">
      <w:pPr>
        <w:rPr>
          <w:rFonts w:ascii="Arial" w:hAnsi="Arial"/>
        </w:rPr>
        <w:sectPr>
          <w:headerReference r:id="rId4" w:type="first"/>
          <w:footerReference r:id="rId6" w:type="first"/>
          <w:headerReference r:id="rId3" w:type="default"/>
          <w:footerReference r:id="rId5" w:type="default"/>
          <w:pgSz w:w="11906" w:h="16838"/>
          <w:pgMar w:top="776" w:right="1797" w:bottom="1440" w:left="1797" w:header="0"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23604C2E">
      <w:pPr>
        <w:rPr>
          <w:rFonts w:ascii="Arial" w:hAnsi="Arial"/>
        </w:rPr>
      </w:pPr>
    </w:p>
    <w:p w14:paraId="7D903A79">
      <w:pPr>
        <w:pStyle w:val="29"/>
        <w:wordWrap/>
        <w:spacing w:line="240" w:lineRule="atLeast"/>
      </w:pPr>
      <w:r>
        <w:rPr>
          <w:rFonts w:hint="eastAsia" w:ascii="Arial" w:hAnsi="Arial"/>
        </w:rPr>
        <w:t>修订历史</w:t>
      </w:r>
      <w:r>
        <w:rPr>
          <w:rFonts w:hint="eastAsia"/>
        </w:rPr>
        <w:t>记录</w:t>
      </w:r>
    </w:p>
    <w:p w14:paraId="316D87B7">
      <w:pPr>
        <w:spacing w:line="240" w:lineRule="atLeast"/>
        <w:ind w:left="-2"/>
        <w:rPr>
          <w:sz w:val="20"/>
        </w:rPr>
      </w:pPr>
    </w:p>
    <w:p w14:paraId="54126FAF">
      <w:pPr>
        <w:spacing w:line="240" w:lineRule="atLeast"/>
        <w:ind w:left="-2"/>
        <w:rPr>
          <w:sz w:val="20"/>
        </w:rPr>
      </w:pPr>
    </w:p>
    <w:tbl>
      <w:tblPr>
        <w:tblStyle w:val="31"/>
        <w:tblW w:w="8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3877"/>
        <w:gridCol w:w="1194"/>
        <w:gridCol w:w="1361"/>
        <w:gridCol w:w="1400"/>
      </w:tblGrid>
      <w:tr w14:paraId="183FF057">
        <w:trPr>
          <w:cantSplit/>
          <w:trHeight w:val="462" w:hRule="atLeast"/>
          <w:jc w:val="center"/>
        </w:trPr>
        <w:tc>
          <w:tcPr>
            <w:tcW w:w="873" w:type="dxa"/>
            <w:shd w:val="clear" w:color="auto" w:fill="B3B3B3"/>
            <w:noWrap w:val="0"/>
            <w:vAlign w:val="center"/>
          </w:tcPr>
          <w:p w14:paraId="72EEA907">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版本</w:t>
            </w:r>
          </w:p>
        </w:tc>
        <w:tc>
          <w:tcPr>
            <w:tcW w:w="3877" w:type="dxa"/>
            <w:shd w:val="clear" w:color="auto" w:fill="B3B3B3"/>
            <w:noWrap w:val="0"/>
            <w:vAlign w:val="center"/>
          </w:tcPr>
          <w:p w14:paraId="23E70A0B">
            <w:pPr>
              <w:keepNext w:val="0"/>
              <w:keepLines w:val="0"/>
              <w:suppressLineNumbers w:val="0"/>
              <w:spacing w:before="0" w:beforeAutospacing="0" w:after="0" w:afterAutospacing="0" w:line="240" w:lineRule="atLeast"/>
              <w:ind w:left="-2" w:right="0"/>
              <w:jc w:val="center"/>
              <w:rPr>
                <w:rFonts w:hint="eastAsia" w:eastAsia="宋体" w:cs="Times New Roman"/>
                <w:szCs w:val="22"/>
                <w:lang w:val="en-US" w:eastAsia="zh-CN"/>
              </w:rPr>
            </w:pPr>
            <w:r>
              <w:rPr>
                <w:rFonts w:hint="eastAsia" w:cs="Times New Roman"/>
                <w:szCs w:val="22"/>
              </w:rPr>
              <w:t>修改</w:t>
            </w:r>
            <w:r>
              <w:rPr>
                <w:rFonts w:hint="eastAsia" w:cs="Times New Roman"/>
                <w:szCs w:val="22"/>
                <w:lang w:val="en-US" w:eastAsia="zh-CN"/>
              </w:rPr>
              <w:t>内容</w:t>
            </w:r>
          </w:p>
        </w:tc>
        <w:tc>
          <w:tcPr>
            <w:tcW w:w="1194" w:type="dxa"/>
            <w:shd w:val="clear" w:color="auto" w:fill="B3B3B3"/>
            <w:noWrap w:val="0"/>
            <w:vAlign w:val="center"/>
          </w:tcPr>
          <w:p w14:paraId="03069AE5">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修改人</w:t>
            </w:r>
          </w:p>
        </w:tc>
        <w:tc>
          <w:tcPr>
            <w:tcW w:w="1361" w:type="dxa"/>
            <w:shd w:val="clear" w:color="auto" w:fill="B3B3B3"/>
            <w:noWrap w:val="0"/>
            <w:vAlign w:val="center"/>
          </w:tcPr>
          <w:p w14:paraId="3B979146">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审核人</w:t>
            </w:r>
          </w:p>
        </w:tc>
        <w:tc>
          <w:tcPr>
            <w:tcW w:w="1400" w:type="dxa"/>
            <w:shd w:val="clear" w:color="auto" w:fill="B3B3B3"/>
            <w:noWrap w:val="0"/>
            <w:vAlign w:val="center"/>
          </w:tcPr>
          <w:p w14:paraId="3DB8498F">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修改日期</w:t>
            </w:r>
          </w:p>
        </w:tc>
      </w:tr>
      <w:tr w14:paraId="10C868F9">
        <w:trPr>
          <w:cantSplit/>
          <w:trHeight w:val="465" w:hRule="atLeast"/>
          <w:jc w:val="center"/>
        </w:trPr>
        <w:tc>
          <w:tcPr>
            <w:tcW w:w="873" w:type="dxa"/>
            <w:noWrap w:val="0"/>
            <w:vAlign w:val="center"/>
          </w:tcPr>
          <w:p w14:paraId="67518C69">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1.0</w:t>
            </w:r>
          </w:p>
        </w:tc>
        <w:tc>
          <w:tcPr>
            <w:tcW w:w="3877" w:type="dxa"/>
            <w:noWrap w:val="0"/>
            <w:vAlign w:val="center"/>
          </w:tcPr>
          <w:p w14:paraId="134DEF1B">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初稿</w:t>
            </w:r>
          </w:p>
        </w:tc>
        <w:tc>
          <w:tcPr>
            <w:tcW w:w="1194" w:type="dxa"/>
            <w:noWrap w:val="0"/>
            <w:vAlign w:val="center"/>
          </w:tcPr>
          <w:p w14:paraId="1AD6D328">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361" w:type="dxa"/>
            <w:noWrap w:val="0"/>
            <w:vAlign w:val="center"/>
          </w:tcPr>
          <w:p w14:paraId="3BFD7950">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400" w:type="dxa"/>
            <w:noWrap w:val="0"/>
            <w:vAlign w:val="center"/>
          </w:tcPr>
          <w:p w14:paraId="0C1DB324">
            <w:pPr>
              <w:keepNext w:val="0"/>
              <w:keepLines w:val="0"/>
              <w:suppressLineNumbers w:val="0"/>
              <w:spacing w:before="0" w:beforeAutospacing="0" w:after="0" w:afterAutospacing="0" w:line="240" w:lineRule="atLeast"/>
              <w:ind w:left="-2" w:right="0"/>
              <w:jc w:val="center"/>
              <w:rPr>
                <w:rFonts w:hint="default" w:eastAsia="宋体" w:cs="Times New Roman"/>
                <w:color w:val="000000"/>
                <w:szCs w:val="22"/>
                <w:lang w:val="en-US" w:eastAsia="zh-CN"/>
              </w:rPr>
            </w:pPr>
          </w:p>
        </w:tc>
      </w:tr>
      <w:tr w14:paraId="4895CDDD">
        <w:trPr>
          <w:cantSplit/>
          <w:trHeight w:val="465" w:hRule="atLeast"/>
          <w:jc w:val="center"/>
        </w:trPr>
        <w:tc>
          <w:tcPr>
            <w:tcW w:w="873" w:type="dxa"/>
            <w:noWrap w:val="0"/>
            <w:vAlign w:val="center"/>
          </w:tcPr>
          <w:p w14:paraId="60ECACE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5604312F">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199369C9">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68B5CA08">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33CD2F34">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456F8C7B">
        <w:trPr>
          <w:cantSplit/>
          <w:trHeight w:val="465" w:hRule="atLeast"/>
          <w:jc w:val="center"/>
        </w:trPr>
        <w:tc>
          <w:tcPr>
            <w:tcW w:w="873" w:type="dxa"/>
            <w:noWrap w:val="0"/>
            <w:vAlign w:val="center"/>
          </w:tcPr>
          <w:p w14:paraId="34999012">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0126226D">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75F7BD36">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392A7CE5">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72BB6593">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7B5781C9">
        <w:trPr>
          <w:cantSplit/>
          <w:trHeight w:val="465" w:hRule="atLeast"/>
          <w:jc w:val="center"/>
        </w:trPr>
        <w:tc>
          <w:tcPr>
            <w:tcW w:w="873" w:type="dxa"/>
            <w:noWrap w:val="0"/>
            <w:vAlign w:val="center"/>
          </w:tcPr>
          <w:p w14:paraId="0DD069B2">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462A779A">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837A76E">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361" w:type="dxa"/>
            <w:noWrap w:val="0"/>
            <w:vAlign w:val="center"/>
          </w:tcPr>
          <w:p w14:paraId="733FB62F">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400" w:type="dxa"/>
            <w:noWrap w:val="0"/>
            <w:vAlign w:val="center"/>
          </w:tcPr>
          <w:p w14:paraId="3A385E06">
            <w:pPr>
              <w:keepNext w:val="0"/>
              <w:keepLines w:val="0"/>
              <w:suppressLineNumbers w:val="0"/>
              <w:spacing w:before="0" w:beforeAutospacing="0" w:after="0" w:afterAutospacing="0" w:line="240" w:lineRule="atLeast"/>
              <w:ind w:left="-2" w:leftChars="0" w:right="0"/>
              <w:jc w:val="center"/>
              <w:rPr>
                <w:rFonts w:hint="default" w:eastAsia="宋体" w:cs="Times New Roman"/>
                <w:szCs w:val="22"/>
                <w:lang w:val="en-US" w:eastAsia="zh-CN"/>
              </w:rPr>
            </w:pPr>
          </w:p>
        </w:tc>
      </w:tr>
      <w:tr w14:paraId="102AB0E7">
        <w:trPr>
          <w:cantSplit/>
          <w:trHeight w:val="465" w:hRule="atLeast"/>
          <w:jc w:val="center"/>
        </w:trPr>
        <w:tc>
          <w:tcPr>
            <w:tcW w:w="873" w:type="dxa"/>
            <w:noWrap w:val="0"/>
            <w:vAlign w:val="center"/>
          </w:tcPr>
          <w:p w14:paraId="4C73A1F6">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60794A8">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46ABEF70">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1A65135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8937FEC">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1DF7C252">
        <w:trPr>
          <w:cantSplit/>
          <w:trHeight w:val="465" w:hRule="atLeast"/>
          <w:jc w:val="center"/>
        </w:trPr>
        <w:tc>
          <w:tcPr>
            <w:tcW w:w="873" w:type="dxa"/>
            <w:noWrap w:val="0"/>
            <w:vAlign w:val="center"/>
          </w:tcPr>
          <w:p w14:paraId="6ABEAD74">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07C7B835">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A13322C">
            <w:pPr>
              <w:keepNext w:val="0"/>
              <w:keepLines w:val="0"/>
              <w:suppressLineNumbers w:val="0"/>
              <w:spacing w:before="0" w:beforeAutospacing="0" w:after="0" w:afterAutospacing="0" w:line="240" w:lineRule="atLeast"/>
              <w:ind w:left="-2" w:leftChars="0" w:right="0"/>
              <w:jc w:val="center"/>
              <w:rPr>
                <w:rFonts w:hint="eastAsia" w:eastAsia="宋体" w:cs="Times New Roman"/>
                <w:szCs w:val="22"/>
                <w:lang w:val="en-US" w:eastAsia="zh-CN"/>
              </w:rPr>
            </w:pPr>
          </w:p>
        </w:tc>
        <w:tc>
          <w:tcPr>
            <w:tcW w:w="1361" w:type="dxa"/>
            <w:noWrap w:val="0"/>
            <w:vAlign w:val="center"/>
          </w:tcPr>
          <w:p w14:paraId="40517E4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c>
          <w:tcPr>
            <w:tcW w:w="1400" w:type="dxa"/>
            <w:noWrap w:val="0"/>
            <w:vAlign w:val="center"/>
          </w:tcPr>
          <w:p w14:paraId="21A2F4E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r>
      <w:tr w14:paraId="48040BC3">
        <w:trPr>
          <w:cantSplit/>
          <w:trHeight w:val="465" w:hRule="atLeast"/>
          <w:jc w:val="center"/>
        </w:trPr>
        <w:tc>
          <w:tcPr>
            <w:tcW w:w="873" w:type="dxa"/>
            <w:noWrap w:val="0"/>
            <w:vAlign w:val="center"/>
          </w:tcPr>
          <w:p w14:paraId="306EDB2C">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78FB310">
            <w:pPr>
              <w:keepNext w:val="0"/>
              <w:keepLines w:val="0"/>
              <w:suppressLineNumbers w:val="0"/>
              <w:spacing w:before="0" w:beforeAutospacing="0" w:after="0" w:afterAutospacing="0" w:line="240" w:lineRule="atLeast"/>
              <w:ind w:left="-2" w:right="0"/>
              <w:jc w:val="center"/>
              <w:rPr>
                <w:rFonts w:hint="eastAsia" w:cs="Times New Roman"/>
                <w:szCs w:val="22"/>
                <w:lang w:val="en-US" w:eastAsia="zh-CN"/>
              </w:rPr>
            </w:pPr>
          </w:p>
        </w:tc>
        <w:tc>
          <w:tcPr>
            <w:tcW w:w="1194" w:type="dxa"/>
            <w:noWrap w:val="0"/>
            <w:vAlign w:val="center"/>
          </w:tcPr>
          <w:p w14:paraId="0A56E12B">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4464B16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924FF3E">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55660FEB">
        <w:trPr>
          <w:cantSplit/>
          <w:trHeight w:val="465" w:hRule="atLeast"/>
          <w:jc w:val="center"/>
        </w:trPr>
        <w:tc>
          <w:tcPr>
            <w:tcW w:w="873" w:type="dxa"/>
            <w:noWrap w:val="0"/>
            <w:vAlign w:val="center"/>
          </w:tcPr>
          <w:p w14:paraId="59BE1E11">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60CB9DA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194" w:type="dxa"/>
            <w:noWrap w:val="0"/>
            <w:vAlign w:val="center"/>
          </w:tcPr>
          <w:p w14:paraId="053F2E93">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6738A51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40AE8657">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bl>
    <w:p w14:paraId="0A272944">
      <w:pPr>
        <w:jc w:val="center"/>
        <w:rPr>
          <w:rFonts w:hint="eastAsia"/>
          <w:vertAlign w:val="baseline"/>
          <w:lang w:val="en-US" w:eastAsia="zh-Hans"/>
        </w:rPr>
      </w:pPr>
      <w:r>
        <w:rPr>
          <w:rFonts w:hint="eastAsia"/>
          <w:vertAlign w:val="baseline"/>
          <w:lang w:val="en-US" w:eastAsia="zh-Hans"/>
        </w:rPr>
        <w:br w:type="page"/>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1C839BE1">
        <w:trPr>
          <w:trHeight w:val="579" w:hRule="atLeast"/>
        </w:trPr>
        <w:tc>
          <w:tcPr>
            <w:tcW w:w="2839" w:type="dxa"/>
            <w:shd w:val="clear" w:color="auto" w:fill="D7D7D7"/>
            <w:noWrap w:val="0"/>
            <w:vAlign w:val="center"/>
          </w:tcPr>
          <w:p w14:paraId="7069A536">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部门</w:t>
            </w:r>
          </w:p>
        </w:tc>
        <w:tc>
          <w:tcPr>
            <w:tcW w:w="2840" w:type="dxa"/>
            <w:shd w:val="clear" w:color="auto" w:fill="D7D7D7"/>
            <w:noWrap w:val="0"/>
            <w:vAlign w:val="center"/>
          </w:tcPr>
          <w:p w14:paraId="16E07DDF">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业务主管审核</w:t>
            </w:r>
          </w:p>
        </w:tc>
        <w:tc>
          <w:tcPr>
            <w:tcW w:w="2840" w:type="dxa"/>
            <w:shd w:val="clear" w:color="auto" w:fill="D7D7D7"/>
            <w:noWrap w:val="0"/>
            <w:vAlign w:val="center"/>
          </w:tcPr>
          <w:p w14:paraId="1119CD2D">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负责人签字</w:t>
            </w:r>
          </w:p>
        </w:tc>
      </w:tr>
      <w:tr w14:paraId="6852A85A">
        <w:trPr>
          <w:trHeight w:val="579" w:hRule="atLeast"/>
        </w:trPr>
        <w:tc>
          <w:tcPr>
            <w:tcW w:w="2839" w:type="dxa"/>
            <w:noWrap w:val="0"/>
            <w:vAlign w:val="top"/>
          </w:tcPr>
          <w:p w14:paraId="47A86DC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499764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77C5F0">
            <w:pPr>
              <w:keepNext w:val="0"/>
              <w:keepLines w:val="0"/>
              <w:suppressLineNumbers w:val="0"/>
              <w:spacing w:before="0" w:beforeAutospacing="0" w:after="0" w:afterAutospacing="0"/>
              <w:ind w:left="0" w:right="0"/>
              <w:rPr>
                <w:rFonts w:hint="eastAsia" w:cs="Times New Roman"/>
                <w:szCs w:val="22"/>
                <w:vertAlign w:val="baseline"/>
              </w:rPr>
            </w:pPr>
          </w:p>
        </w:tc>
      </w:tr>
      <w:tr w14:paraId="732A6DDD">
        <w:trPr>
          <w:trHeight w:val="584" w:hRule="atLeast"/>
        </w:trPr>
        <w:tc>
          <w:tcPr>
            <w:tcW w:w="2839" w:type="dxa"/>
            <w:noWrap w:val="0"/>
            <w:vAlign w:val="top"/>
          </w:tcPr>
          <w:p w14:paraId="46718CC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FD8B3A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B06E6D9">
            <w:pPr>
              <w:keepNext w:val="0"/>
              <w:keepLines w:val="0"/>
              <w:suppressLineNumbers w:val="0"/>
              <w:spacing w:before="0" w:beforeAutospacing="0" w:after="0" w:afterAutospacing="0"/>
              <w:ind w:left="0" w:right="0"/>
              <w:rPr>
                <w:rFonts w:hint="eastAsia" w:cs="Times New Roman"/>
                <w:szCs w:val="22"/>
                <w:vertAlign w:val="baseline"/>
              </w:rPr>
            </w:pPr>
          </w:p>
        </w:tc>
      </w:tr>
      <w:tr w14:paraId="05871500">
        <w:trPr>
          <w:trHeight w:val="579" w:hRule="atLeast"/>
        </w:trPr>
        <w:tc>
          <w:tcPr>
            <w:tcW w:w="2839" w:type="dxa"/>
            <w:noWrap w:val="0"/>
            <w:vAlign w:val="top"/>
          </w:tcPr>
          <w:p w14:paraId="4937BA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761745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98E00C">
            <w:pPr>
              <w:keepNext w:val="0"/>
              <w:keepLines w:val="0"/>
              <w:suppressLineNumbers w:val="0"/>
              <w:spacing w:before="0" w:beforeAutospacing="0" w:after="0" w:afterAutospacing="0"/>
              <w:ind w:left="0" w:right="0"/>
              <w:rPr>
                <w:rFonts w:hint="eastAsia" w:cs="Times New Roman"/>
                <w:szCs w:val="22"/>
                <w:vertAlign w:val="baseline"/>
              </w:rPr>
            </w:pPr>
          </w:p>
        </w:tc>
      </w:tr>
      <w:tr w14:paraId="0663B790">
        <w:trPr>
          <w:trHeight w:val="579" w:hRule="atLeast"/>
        </w:trPr>
        <w:tc>
          <w:tcPr>
            <w:tcW w:w="2839" w:type="dxa"/>
            <w:noWrap w:val="0"/>
            <w:vAlign w:val="top"/>
          </w:tcPr>
          <w:p w14:paraId="1EBA1EE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F1EE4C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064059E">
            <w:pPr>
              <w:keepNext w:val="0"/>
              <w:keepLines w:val="0"/>
              <w:suppressLineNumbers w:val="0"/>
              <w:spacing w:before="0" w:beforeAutospacing="0" w:after="0" w:afterAutospacing="0"/>
              <w:ind w:left="0" w:right="0"/>
              <w:rPr>
                <w:rFonts w:hint="eastAsia" w:cs="Times New Roman"/>
                <w:szCs w:val="22"/>
                <w:vertAlign w:val="baseline"/>
              </w:rPr>
            </w:pPr>
          </w:p>
        </w:tc>
      </w:tr>
      <w:tr w14:paraId="31539239">
        <w:trPr>
          <w:trHeight w:val="579" w:hRule="atLeast"/>
        </w:trPr>
        <w:tc>
          <w:tcPr>
            <w:tcW w:w="2839" w:type="dxa"/>
            <w:noWrap w:val="0"/>
            <w:vAlign w:val="top"/>
          </w:tcPr>
          <w:p w14:paraId="73B6743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0501D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DAC8B99">
            <w:pPr>
              <w:keepNext w:val="0"/>
              <w:keepLines w:val="0"/>
              <w:suppressLineNumbers w:val="0"/>
              <w:spacing w:before="0" w:beforeAutospacing="0" w:after="0" w:afterAutospacing="0"/>
              <w:ind w:left="0" w:right="0"/>
              <w:rPr>
                <w:rFonts w:hint="eastAsia" w:cs="Times New Roman"/>
                <w:szCs w:val="22"/>
                <w:vertAlign w:val="baseline"/>
              </w:rPr>
            </w:pPr>
          </w:p>
        </w:tc>
      </w:tr>
      <w:tr w14:paraId="67219C7E">
        <w:trPr>
          <w:trHeight w:val="579" w:hRule="atLeast"/>
        </w:trPr>
        <w:tc>
          <w:tcPr>
            <w:tcW w:w="2839" w:type="dxa"/>
            <w:noWrap w:val="0"/>
            <w:vAlign w:val="top"/>
          </w:tcPr>
          <w:p w14:paraId="297C368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785067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866AE49">
            <w:pPr>
              <w:keepNext w:val="0"/>
              <w:keepLines w:val="0"/>
              <w:suppressLineNumbers w:val="0"/>
              <w:spacing w:before="0" w:beforeAutospacing="0" w:after="0" w:afterAutospacing="0"/>
              <w:ind w:left="0" w:right="0"/>
              <w:rPr>
                <w:rFonts w:hint="eastAsia" w:cs="Times New Roman"/>
                <w:szCs w:val="22"/>
                <w:vertAlign w:val="baseline"/>
              </w:rPr>
            </w:pPr>
          </w:p>
        </w:tc>
      </w:tr>
      <w:tr w14:paraId="71D963A9">
        <w:trPr>
          <w:trHeight w:val="579" w:hRule="atLeast"/>
        </w:trPr>
        <w:tc>
          <w:tcPr>
            <w:tcW w:w="2839" w:type="dxa"/>
            <w:noWrap w:val="0"/>
            <w:vAlign w:val="top"/>
          </w:tcPr>
          <w:p w14:paraId="5A70C6B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C318DE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EC391A">
            <w:pPr>
              <w:keepNext w:val="0"/>
              <w:keepLines w:val="0"/>
              <w:suppressLineNumbers w:val="0"/>
              <w:spacing w:before="0" w:beforeAutospacing="0" w:after="0" w:afterAutospacing="0"/>
              <w:ind w:left="0" w:right="0"/>
              <w:rPr>
                <w:rFonts w:hint="eastAsia" w:cs="Times New Roman"/>
                <w:szCs w:val="22"/>
                <w:vertAlign w:val="baseline"/>
              </w:rPr>
            </w:pPr>
          </w:p>
        </w:tc>
      </w:tr>
      <w:tr w14:paraId="083EDAD2">
        <w:trPr>
          <w:trHeight w:val="579" w:hRule="atLeast"/>
        </w:trPr>
        <w:tc>
          <w:tcPr>
            <w:tcW w:w="2839" w:type="dxa"/>
            <w:noWrap w:val="0"/>
            <w:vAlign w:val="top"/>
          </w:tcPr>
          <w:p w14:paraId="3A2EBD9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3A12D5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FD1BA9C">
            <w:pPr>
              <w:keepNext w:val="0"/>
              <w:keepLines w:val="0"/>
              <w:suppressLineNumbers w:val="0"/>
              <w:spacing w:before="0" w:beforeAutospacing="0" w:after="0" w:afterAutospacing="0"/>
              <w:ind w:left="0" w:right="0"/>
              <w:rPr>
                <w:rFonts w:hint="eastAsia" w:cs="Times New Roman"/>
                <w:szCs w:val="22"/>
                <w:vertAlign w:val="baseline"/>
              </w:rPr>
            </w:pPr>
          </w:p>
        </w:tc>
      </w:tr>
      <w:tr w14:paraId="08AB2A55">
        <w:trPr>
          <w:trHeight w:val="579" w:hRule="atLeast"/>
        </w:trPr>
        <w:tc>
          <w:tcPr>
            <w:tcW w:w="2839" w:type="dxa"/>
            <w:noWrap w:val="0"/>
            <w:vAlign w:val="top"/>
          </w:tcPr>
          <w:p w14:paraId="3685F2E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772450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DD58C0D">
            <w:pPr>
              <w:keepNext w:val="0"/>
              <w:keepLines w:val="0"/>
              <w:suppressLineNumbers w:val="0"/>
              <w:spacing w:before="0" w:beforeAutospacing="0" w:after="0" w:afterAutospacing="0"/>
              <w:ind w:left="0" w:right="0"/>
              <w:rPr>
                <w:rFonts w:hint="eastAsia" w:cs="Times New Roman"/>
                <w:szCs w:val="22"/>
                <w:vertAlign w:val="baseline"/>
              </w:rPr>
            </w:pPr>
          </w:p>
        </w:tc>
      </w:tr>
      <w:tr w14:paraId="21A7F209">
        <w:trPr>
          <w:trHeight w:val="579" w:hRule="atLeast"/>
        </w:trPr>
        <w:tc>
          <w:tcPr>
            <w:tcW w:w="2839" w:type="dxa"/>
            <w:noWrap w:val="0"/>
            <w:vAlign w:val="top"/>
          </w:tcPr>
          <w:p w14:paraId="7BAC46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8E01F3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D5767F5">
            <w:pPr>
              <w:keepNext w:val="0"/>
              <w:keepLines w:val="0"/>
              <w:suppressLineNumbers w:val="0"/>
              <w:spacing w:before="0" w:beforeAutospacing="0" w:after="0" w:afterAutospacing="0"/>
              <w:ind w:left="0" w:right="0"/>
              <w:rPr>
                <w:rFonts w:hint="eastAsia" w:cs="Times New Roman"/>
                <w:szCs w:val="22"/>
                <w:vertAlign w:val="baseline"/>
              </w:rPr>
            </w:pPr>
          </w:p>
        </w:tc>
      </w:tr>
      <w:tr w14:paraId="32B8D25C">
        <w:trPr>
          <w:trHeight w:val="579" w:hRule="atLeast"/>
        </w:trPr>
        <w:tc>
          <w:tcPr>
            <w:tcW w:w="2839" w:type="dxa"/>
            <w:noWrap w:val="0"/>
            <w:vAlign w:val="top"/>
          </w:tcPr>
          <w:p w14:paraId="13EC562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D9D3BD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9DA9A9E">
            <w:pPr>
              <w:keepNext w:val="0"/>
              <w:keepLines w:val="0"/>
              <w:suppressLineNumbers w:val="0"/>
              <w:spacing w:before="0" w:beforeAutospacing="0" w:after="0" w:afterAutospacing="0"/>
              <w:ind w:left="0" w:right="0"/>
              <w:rPr>
                <w:rFonts w:hint="eastAsia" w:cs="Times New Roman"/>
                <w:szCs w:val="22"/>
                <w:vertAlign w:val="baseline"/>
              </w:rPr>
            </w:pPr>
          </w:p>
        </w:tc>
      </w:tr>
      <w:tr w14:paraId="1D3088FD">
        <w:trPr>
          <w:trHeight w:val="579" w:hRule="atLeast"/>
        </w:trPr>
        <w:tc>
          <w:tcPr>
            <w:tcW w:w="2839" w:type="dxa"/>
            <w:noWrap w:val="0"/>
            <w:vAlign w:val="top"/>
          </w:tcPr>
          <w:p w14:paraId="1F0E548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9E49D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8A1AF5B">
            <w:pPr>
              <w:keepNext w:val="0"/>
              <w:keepLines w:val="0"/>
              <w:suppressLineNumbers w:val="0"/>
              <w:spacing w:before="0" w:beforeAutospacing="0" w:after="0" w:afterAutospacing="0"/>
              <w:ind w:left="0" w:right="0"/>
              <w:rPr>
                <w:rFonts w:hint="eastAsia" w:cs="Times New Roman"/>
                <w:szCs w:val="22"/>
                <w:vertAlign w:val="baseline"/>
              </w:rPr>
            </w:pPr>
          </w:p>
        </w:tc>
      </w:tr>
      <w:tr w14:paraId="30FEF97C">
        <w:trPr>
          <w:trHeight w:val="579" w:hRule="atLeast"/>
        </w:trPr>
        <w:tc>
          <w:tcPr>
            <w:tcW w:w="2839" w:type="dxa"/>
            <w:noWrap w:val="0"/>
            <w:vAlign w:val="top"/>
          </w:tcPr>
          <w:p w14:paraId="78562D1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8AE81D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C6075D3">
            <w:pPr>
              <w:keepNext w:val="0"/>
              <w:keepLines w:val="0"/>
              <w:suppressLineNumbers w:val="0"/>
              <w:spacing w:before="0" w:beforeAutospacing="0" w:after="0" w:afterAutospacing="0"/>
              <w:ind w:left="0" w:right="0"/>
              <w:rPr>
                <w:rFonts w:hint="eastAsia" w:cs="Times New Roman"/>
                <w:szCs w:val="22"/>
                <w:vertAlign w:val="baseline"/>
              </w:rPr>
            </w:pPr>
          </w:p>
        </w:tc>
      </w:tr>
      <w:tr w14:paraId="02C2C07B">
        <w:trPr>
          <w:trHeight w:val="579" w:hRule="atLeast"/>
        </w:trPr>
        <w:tc>
          <w:tcPr>
            <w:tcW w:w="2839" w:type="dxa"/>
            <w:noWrap w:val="0"/>
            <w:vAlign w:val="top"/>
          </w:tcPr>
          <w:p w14:paraId="552C0FF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1F320C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6ED1FA">
            <w:pPr>
              <w:keepNext w:val="0"/>
              <w:keepLines w:val="0"/>
              <w:suppressLineNumbers w:val="0"/>
              <w:spacing w:before="0" w:beforeAutospacing="0" w:after="0" w:afterAutospacing="0"/>
              <w:ind w:left="0" w:right="0"/>
              <w:rPr>
                <w:rFonts w:hint="eastAsia" w:cs="Times New Roman"/>
                <w:szCs w:val="22"/>
                <w:vertAlign w:val="baseline"/>
              </w:rPr>
            </w:pPr>
          </w:p>
        </w:tc>
      </w:tr>
      <w:tr w14:paraId="7BDE0E10">
        <w:trPr>
          <w:trHeight w:val="579" w:hRule="atLeast"/>
        </w:trPr>
        <w:tc>
          <w:tcPr>
            <w:tcW w:w="2839" w:type="dxa"/>
            <w:noWrap w:val="0"/>
            <w:vAlign w:val="top"/>
          </w:tcPr>
          <w:p w14:paraId="521A957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3C148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51BAEE">
            <w:pPr>
              <w:keepNext w:val="0"/>
              <w:keepLines w:val="0"/>
              <w:suppressLineNumbers w:val="0"/>
              <w:spacing w:before="0" w:beforeAutospacing="0" w:after="0" w:afterAutospacing="0"/>
              <w:ind w:left="0" w:right="0"/>
              <w:rPr>
                <w:rFonts w:hint="eastAsia" w:cs="Times New Roman"/>
                <w:szCs w:val="22"/>
                <w:vertAlign w:val="baseline"/>
              </w:rPr>
            </w:pPr>
          </w:p>
        </w:tc>
      </w:tr>
      <w:tr w14:paraId="1F428DD5">
        <w:trPr>
          <w:trHeight w:val="579" w:hRule="atLeast"/>
        </w:trPr>
        <w:tc>
          <w:tcPr>
            <w:tcW w:w="2839" w:type="dxa"/>
            <w:noWrap w:val="0"/>
            <w:vAlign w:val="top"/>
          </w:tcPr>
          <w:p w14:paraId="0F03E4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EDE00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FB812FD">
            <w:pPr>
              <w:keepNext w:val="0"/>
              <w:keepLines w:val="0"/>
              <w:suppressLineNumbers w:val="0"/>
              <w:spacing w:before="0" w:beforeAutospacing="0" w:after="0" w:afterAutospacing="0"/>
              <w:ind w:left="0" w:right="0"/>
              <w:rPr>
                <w:rFonts w:hint="eastAsia" w:cs="Times New Roman"/>
                <w:szCs w:val="22"/>
                <w:vertAlign w:val="baseline"/>
              </w:rPr>
            </w:pPr>
          </w:p>
        </w:tc>
      </w:tr>
      <w:tr w14:paraId="0B5A6AB2">
        <w:trPr>
          <w:trHeight w:val="579" w:hRule="atLeast"/>
        </w:trPr>
        <w:tc>
          <w:tcPr>
            <w:tcW w:w="2839" w:type="dxa"/>
            <w:noWrap w:val="0"/>
            <w:vAlign w:val="top"/>
          </w:tcPr>
          <w:p w14:paraId="1590FC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E68D44E">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ED61661">
            <w:pPr>
              <w:keepNext w:val="0"/>
              <w:keepLines w:val="0"/>
              <w:suppressLineNumbers w:val="0"/>
              <w:spacing w:before="0" w:beforeAutospacing="0" w:after="0" w:afterAutospacing="0"/>
              <w:ind w:left="0" w:right="0"/>
              <w:rPr>
                <w:rFonts w:hint="eastAsia" w:cs="Times New Roman"/>
                <w:szCs w:val="22"/>
                <w:vertAlign w:val="baseline"/>
              </w:rPr>
            </w:pPr>
          </w:p>
        </w:tc>
      </w:tr>
      <w:tr w14:paraId="0777FC25">
        <w:trPr>
          <w:trHeight w:val="579" w:hRule="atLeast"/>
        </w:trPr>
        <w:tc>
          <w:tcPr>
            <w:tcW w:w="2839" w:type="dxa"/>
            <w:noWrap w:val="0"/>
            <w:vAlign w:val="top"/>
          </w:tcPr>
          <w:p w14:paraId="75342CD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C37766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5D5FEE8">
            <w:pPr>
              <w:keepNext w:val="0"/>
              <w:keepLines w:val="0"/>
              <w:suppressLineNumbers w:val="0"/>
              <w:spacing w:before="0" w:beforeAutospacing="0" w:after="0" w:afterAutospacing="0"/>
              <w:ind w:left="0" w:right="0"/>
              <w:rPr>
                <w:rFonts w:hint="eastAsia" w:cs="Times New Roman"/>
                <w:szCs w:val="22"/>
                <w:vertAlign w:val="baseline"/>
              </w:rPr>
            </w:pPr>
          </w:p>
        </w:tc>
      </w:tr>
      <w:tr w14:paraId="24F8D681">
        <w:trPr>
          <w:trHeight w:val="579" w:hRule="atLeast"/>
        </w:trPr>
        <w:tc>
          <w:tcPr>
            <w:tcW w:w="2839" w:type="dxa"/>
            <w:noWrap w:val="0"/>
            <w:vAlign w:val="top"/>
          </w:tcPr>
          <w:p w14:paraId="73DB446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36FFE6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1C3C256">
            <w:pPr>
              <w:keepNext w:val="0"/>
              <w:keepLines w:val="0"/>
              <w:suppressLineNumbers w:val="0"/>
              <w:spacing w:before="0" w:beforeAutospacing="0" w:after="0" w:afterAutospacing="0"/>
              <w:ind w:left="0" w:right="0"/>
              <w:rPr>
                <w:rFonts w:hint="eastAsia" w:cs="Times New Roman"/>
                <w:szCs w:val="22"/>
                <w:vertAlign w:val="baseline"/>
              </w:rPr>
            </w:pPr>
          </w:p>
        </w:tc>
      </w:tr>
      <w:tr w14:paraId="6D466E4F">
        <w:trPr>
          <w:trHeight w:val="579" w:hRule="atLeast"/>
        </w:trPr>
        <w:tc>
          <w:tcPr>
            <w:tcW w:w="2839" w:type="dxa"/>
            <w:noWrap w:val="0"/>
            <w:vAlign w:val="top"/>
          </w:tcPr>
          <w:p w14:paraId="526D509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A6FDC7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4D967B">
            <w:pPr>
              <w:keepNext w:val="0"/>
              <w:keepLines w:val="0"/>
              <w:suppressLineNumbers w:val="0"/>
              <w:spacing w:before="0" w:beforeAutospacing="0" w:after="0" w:afterAutospacing="0"/>
              <w:ind w:left="0" w:right="0"/>
              <w:rPr>
                <w:rFonts w:hint="eastAsia" w:cs="Times New Roman"/>
                <w:szCs w:val="22"/>
                <w:vertAlign w:val="baseline"/>
              </w:rPr>
            </w:pPr>
          </w:p>
        </w:tc>
      </w:tr>
      <w:tr w14:paraId="7E4875B3">
        <w:trPr>
          <w:trHeight w:val="579" w:hRule="atLeast"/>
        </w:trPr>
        <w:tc>
          <w:tcPr>
            <w:tcW w:w="2839" w:type="dxa"/>
            <w:noWrap w:val="0"/>
            <w:vAlign w:val="top"/>
          </w:tcPr>
          <w:p w14:paraId="7A0278B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E3AF56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F563C46">
            <w:pPr>
              <w:keepNext w:val="0"/>
              <w:keepLines w:val="0"/>
              <w:suppressLineNumbers w:val="0"/>
              <w:spacing w:before="0" w:beforeAutospacing="0" w:after="0" w:afterAutospacing="0"/>
              <w:ind w:left="0" w:right="0"/>
              <w:rPr>
                <w:rFonts w:hint="eastAsia" w:cs="Times New Roman"/>
                <w:szCs w:val="22"/>
                <w:vertAlign w:val="baseline"/>
              </w:rPr>
            </w:pPr>
          </w:p>
        </w:tc>
      </w:tr>
      <w:tr w14:paraId="7F5E0161">
        <w:trPr>
          <w:trHeight w:val="579" w:hRule="atLeast"/>
        </w:trPr>
        <w:tc>
          <w:tcPr>
            <w:tcW w:w="2839" w:type="dxa"/>
            <w:noWrap w:val="0"/>
            <w:vAlign w:val="top"/>
          </w:tcPr>
          <w:p w14:paraId="1D198AB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D4207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4ECBC56">
            <w:pPr>
              <w:keepNext w:val="0"/>
              <w:keepLines w:val="0"/>
              <w:suppressLineNumbers w:val="0"/>
              <w:spacing w:before="0" w:beforeAutospacing="0" w:after="0" w:afterAutospacing="0"/>
              <w:ind w:left="0" w:right="0"/>
              <w:rPr>
                <w:rFonts w:hint="eastAsia" w:cs="Times New Roman"/>
                <w:szCs w:val="22"/>
                <w:vertAlign w:val="baseline"/>
              </w:rPr>
            </w:pPr>
          </w:p>
        </w:tc>
      </w:tr>
      <w:tr w14:paraId="594D6FE8">
        <w:trPr>
          <w:trHeight w:val="579" w:hRule="atLeast"/>
        </w:trPr>
        <w:tc>
          <w:tcPr>
            <w:tcW w:w="2839" w:type="dxa"/>
            <w:noWrap w:val="0"/>
            <w:vAlign w:val="top"/>
          </w:tcPr>
          <w:p w14:paraId="37D2432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64BA0D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D2BCD6">
            <w:pPr>
              <w:keepNext w:val="0"/>
              <w:keepLines w:val="0"/>
              <w:suppressLineNumbers w:val="0"/>
              <w:spacing w:before="0" w:beforeAutospacing="0" w:after="0" w:afterAutospacing="0"/>
              <w:ind w:left="0" w:right="0"/>
              <w:rPr>
                <w:rFonts w:hint="eastAsia" w:cs="Times New Roman"/>
                <w:szCs w:val="22"/>
                <w:vertAlign w:val="baseline"/>
              </w:rPr>
            </w:pPr>
          </w:p>
        </w:tc>
      </w:tr>
    </w:tbl>
    <w:p w14:paraId="755D37B7">
      <w:pPr>
        <w:spacing w:before="468" w:beforeLines="150" w:after="312" w:afterLines="100"/>
        <w:jc w:val="center"/>
        <w:rPr>
          <w:rFonts w:hint="eastAsia"/>
          <w:b/>
          <w:sz w:val="32"/>
        </w:rPr>
      </w:pPr>
      <w:r>
        <w:rPr>
          <w:rFonts w:hint="eastAsia"/>
          <w:b/>
          <w:sz w:val="32"/>
        </w:rPr>
        <w:br w:type="page"/>
      </w:r>
      <w:r>
        <w:rPr>
          <w:rFonts w:hint="eastAsia"/>
          <w:b/>
          <w:sz w:val="32"/>
        </w:rPr>
        <w:t>目  录</w:t>
      </w:r>
    </w:p>
    <w:p w14:paraId="0D6598EF">
      <w:pPr>
        <w:pStyle w:val="24"/>
        <w:tabs>
          <w:tab w:val="right" w:leader="dot" w:pos="8312"/>
        </w:tabs>
      </w:pPr>
      <w:bookmarkStart w:id="68" w:name="_GoBack"/>
      <w:bookmarkEnd w:id="68"/>
      <w:r>
        <w:rPr>
          <w:rFonts w:hint="eastAsia" w:ascii="宋体" w:hAnsi="宋体"/>
        </w:rPr>
        <w:fldChar w:fldCharType="begin"/>
      </w:r>
      <w:r>
        <w:rPr>
          <w:rFonts w:hint="eastAsia" w:ascii="宋体" w:hAnsi="宋体"/>
        </w:rPr>
        <w:instrText xml:space="preserve">TOC \o "1-3" \h  \u </w:instrText>
      </w:r>
      <w:r>
        <w:rPr>
          <w:rFonts w:hint="eastAsia" w:ascii="宋体" w:hAnsi="宋体"/>
        </w:rPr>
        <w:fldChar w:fldCharType="separate"/>
      </w:r>
      <w:r>
        <w:rPr>
          <w:rFonts w:hint="eastAsia" w:ascii="宋体" w:hAnsi="宋体"/>
        </w:rPr>
        <w:fldChar w:fldCharType="begin"/>
      </w:r>
      <w:r>
        <w:rPr>
          <w:rFonts w:hint="eastAsia" w:ascii="宋体" w:hAnsi="宋体"/>
        </w:rPr>
        <w:instrText xml:space="preserve"> HYPERLINK \l _Toc1841465809 </w:instrText>
      </w:r>
      <w:r>
        <w:rPr>
          <w:rFonts w:hint="eastAsia" w:ascii="宋体" w:hAnsi="宋体"/>
        </w:rPr>
        <w:fldChar w:fldCharType="separate"/>
      </w:r>
      <w:r>
        <w:rPr>
          <w:rFonts w:hint="eastAsia" w:ascii="黑体" w:hAnsi="黑体" w:eastAsia="黑体" w:cs="黑体"/>
          <w:bCs w:val="0"/>
          <w:lang w:val="en-US" w:eastAsia="zh-CN"/>
        </w:rPr>
        <w:t xml:space="preserve">一、 </w:t>
      </w:r>
      <w:r>
        <w:rPr>
          <w:rFonts w:hint="eastAsia" w:ascii="黑体" w:hAnsi="黑体" w:eastAsia="黑体" w:cs="黑体"/>
          <w:bCs w:val="0"/>
          <w:kern w:val="2"/>
          <w:lang w:val="en-US" w:eastAsia="zh-CN" w:bidi="ar-SA"/>
        </w:rPr>
        <w:t>前言</w:t>
      </w:r>
      <w:r>
        <w:tab/>
      </w:r>
      <w:r>
        <w:fldChar w:fldCharType="begin"/>
      </w:r>
      <w:r>
        <w:instrText xml:space="preserve"> PAGEREF _Toc1841465809 \h </w:instrText>
      </w:r>
      <w:r>
        <w:fldChar w:fldCharType="separate"/>
      </w:r>
      <w:r>
        <w:t>5</w:t>
      </w:r>
      <w:r>
        <w:fldChar w:fldCharType="end"/>
      </w:r>
      <w:r>
        <w:rPr>
          <w:rFonts w:hint="eastAsia" w:ascii="宋体" w:hAnsi="宋体"/>
        </w:rPr>
        <w:fldChar w:fldCharType="end"/>
      </w:r>
    </w:p>
    <w:p w14:paraId="0CE94B71">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_Toc2129014946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二、 SCOS业务蓝图交付物</w:t>
      </w:r>
      <w:r>
        <w:tab/>
      </w:r>
      <w:r>
        <w:fldChar w:fldCharType="begin"/>
      </w:r>
      <w:r>
        <w:instrText xml:space="preserve"> PAGEREF _Toc2129014946 \h </w:instrText>
      </w:r>
      <w:r>
        <w:fldChar w:fldCharType="separate"/>
      </w:r>
      <w:r>
        <w:t>6</w:t>
      </w:r>
      <w:r>
        <w:fldChar w:fldCharType="end"/>
      </w:r>
      <w:r>
        <w:rPr>
          <w:rFonts w:hint="eastAsia" w:ascii="宋体" w:hAnsi="宋体" w:eastAsia="宋体"/>
          <w:kern w:val="2"/>
          <w:lang w:val="en-US" w:eastAsia="zh-CN" w:bidi="ar-SA"/>
        </w:rPr>
        <w:fldChar w:fldCharType="end"/>
      </w:r>
    </w:p>
    <w:p w14:paraId="5C6292A6">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_Toc981671108 </w:instrText>
      </w:r>
      <w:r>
        <w:rPr>
          <w:rFonts w:hint="eastAsia" w:ascii="宋体" w:hAnsi="宋体" w:eastAsia="宋体"/>
          <w:kern w:val="2"/>
          <w:lang w:val="en-US" w:eastAsia="zh-CN" w:bidi="ar-SA"/>
        </w:rPr>
        <w:fldChar w:fldCharType="separate"/>
      </w:r>
      <w:r>
        <w:rPr>
          <w:rFonts w:hint="eastAsia" w:ascii="黑体" w:hAnsi="黑体" w:eastAsia="黑体" w:cs="黑体"/>
          <w:bCs w:val="0"/>
          <w:szCs w:val="30"/>
        </w:rPr>
        <w:t xml:space="preserve">2.1 </w:t>
      </w:r>
      <w:r>
        <w:rPr>
          <w:rFonts w:hint="eastAsia" w:ascii="黑体" w:hAnsi="黑体" w:eastAsia="黑体" w:cs="黑体"/>
          <w:bCs w:val="0"/>
          <w:szCs w:val="30"/>
          <w:lang w:val="en-US" w:eastAsia="zh-CN"/>
        </w:rPr>
        <w:t>SCOS业务流程总览</w:t>
      </w:r>
      <w:r>
        <w:tab/>
      </w:r>
      <w:r>
        <w:fldChar w:fldCharType="begin"/>
      </w:r>
      <w:r>
        <w:instrText xml:space="preserve"> PAGEREF _Toc981671108 \h </w:instrText>
      </w:r>
      <w:r>
        <w:fldChar w:fldCharType="separate"/>
      </w:r>
      <w:r>
        <w:t>6</w:t>
      </w:r>
      <w:r>
        <w:fldChar w:fldCharType="end"/>
      </w:r>
      <w:r>
        <w:rPr>
          <w:rFonts w:hint="eastAsia" w:ascii="宋体" w:hAnsi="宋体" w:eastAsia="宋体"/>
          <w:kern w:val="2"/>
          <w:lang w:val="en-US" w:eastAsia="zh-CN" w:bidi="ar-SA"/>
        </w:rPr>
        <w:fldChar w:fldCharType="end"/>
      </w:r>
    </w:p>
    <w:p w14:paraId="7483B2BC">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_Toc1976935902 </w:instrText>
      </w:r>
      <w:r>
        <w:rPr>
          <w:rFonts w:hint="eastAsia" w:ascii="宋体" w:hAnsi="宋体" w:eastAsia="宋体"/>
          <w:kern w:val="2"/>
          <w:lang w:val="en-US" w:eastAsia="zh-CN" w:bidi="ar-SA"/>
        </w:rPr>
        <w:fldChar w:fldCharType="separate"/>
      </w:r>
      <w:r>
        <w:rPr>
          <w:rFonts w:hint="eastAsia" w:ascii="黑体" w:hAnsi="黑体" w:eastAsia="黑体" w:cs="黑体"/>
          <w:bCs w:val="0"/>
        </w:rPr>
        <w:t xml:space="preserve">2.2 </w:t>
      </w:r>
      <w:r>
        <w:rPr>
          <w:rFonts w:hint="eastAsia" w:ascii="黑体" w:hAnsi="黑体" w:eastAsia="黑体" w:cs="黑体"/>
          <w:bCs w:val="0"/>
          <w:lang w:val="en-US" w:eastAsia="zh-CN"/>
        </w:rPr>
        <w:t>【核心部分-待后续优化】关键业务流程说明</w:t>
      </w:r>
      <w:r>
        <w:tab/>
      </w:r>
      <w:r>
        <w:fldChar w:fldCharType="begin"/>
      </w:r>
      <w:r>
        <w:instrText xml:space="preserve"> PAGEREF _Toc1976935902 \h </w:instrText>
      </w:r>
      <w:r>
        <w:fldChar w:fldCharType="separate"/>
      </w:r>
      <w:r>
        <w:t>8</w:t>
      </w:r>
      <w:r>
        <w:fldChar w:fldCharType="end"/>
      </w:r>
      <w:r>
        <w:rPr>
          <w:rFonts w:hint="eastAsia" w:ascii="宋体" w:hAnsi="宋体" w:eastAsia="宋体"/>
          <w:kern w:val="2"/>
          <w:lang w:val="en-US" w:eastAsia="zh-CN" w:bidi="ar-SA"/>
        </w:rPr>
        <w:fldChar w:fldCharType="end"/>
      </w:r>
    </w:p>
    <w:p w14:paraId="2CD02EBB">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_Toc494718530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rPr>
        <w:t xml:space="preserve">2.2.1 </w:t>
      </w:r>
      <w:r>
        <w:rPr>
          <w:rFonts w:hint="eastAsia" w:ascii="黑体" w:hAnsi="黑体" w:eastAsia="黑体" w:cs="黑体"/>
          <w:bCs w:val="0"/>
          <w:lang w:val="en-US" w:eastAsia="zh-CN"/>
        </w:rPr>
        <w:t>库存优化</w:t>
      </w:r>
      <w:r>
        <w:tab/>
      </w:r>
      <w:r>
        <w:fldChar w:fldCharType="begin"/>
      </w:r>
      <w:r>
        <w:instrText xml:space="preserve"> PAGEREF _Toc494718530 \h </w:instrText>
      </w:r>
      <w:r>
        <w:fldChar w:fldCharType="separate"/>
      </w:r>
      <w:r>
        <w:t>8</w:t>
      </w:r>
      <w:r>
        <w:fldChar w:fldCharType="end"/>
      </w:r>
      <w:r>
        <w:rPr>
          <w:rFonts w:hint="eastAsia" w:ascii="宋体" w:hAnsi="宋体" w:eastAsia="宋体"/>
          <w:kern w:val="2"/>
          <w:lang w:val="en-US" w:eastAsia="zh-CN" w:bidi="ar-SA"/>
        </w:rPr>
        <w:fldChar w:fldCharType="end"/>
      </w:r>
    </w:p>
    <w:p w14:paraId="771A9FD3">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_Toc1825136173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2.2.2 采购优化</w:t>
      </w:r>
      <w:r>
        <w:tab/>
      </w:r>
      <w:r>
        <w:fldChar w:fldCharType="begin"/>
      </w:r>
      <w:r>
        <w:instrText xml:space="preserve"> PAGEREF _Toc1825136173 \h </w:instrText>
      </w:r>
      <w:r>
        <w:fldChar w:fldCharType="separate"/>
      </w:r>
      <w:r>
        <w:t>18</w:t>
      </w:r>
      <w:r>
        <w:fldChar w:fldCharType="end"/>
      </w:r>
      <w:r>
        <w:rPr>
          <w:rFonts w:hint="eastAsia" w:ascii="宋体" w:hAnsi="宋体" w:eastAsia="宋体"/>
          <w:kern w:val="2"/>
          <w:lang w:val="en-US" w:eastAsia="zh-CN" w:bidi="ar-SA"/>
        </w:rPr>
        <w:fldChar w:fldCharType="end"/>
      </w:r>
    </w:p>
    <w:p w14:paraId="5D783D76">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_Toc407245863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2.2.3 要货计划</w:t>
      </w:r>
      <w:r>
        <w:tab/>
      </w:r>
      <w:r>
        <w:fldChar w:fldCharType="begin"/>
      </w:r>
      <w:r>
        <w:instrText xml:space="preserve"> PAGEREF _Toc407245863 \h </w:instrText>
      </w:r>
      <w:r>
        <w:fldChar w:fldCharType="separate"/>
      </w:r>
      <w:r>
        <w:t>25</w:t>
      </w:r>
      <w:r>
        <w:fldChar w:fldCharType="end"/>
      </w:r>
      <w:r>
        <w:rPr>
          <w:rFonts w:hint="eastAsia" w:ascii="宋体" w:hAnsi="宋体" w:eastAsia="宋体"/>
          <w:kern w:val="2"/>
          <w:lang w:val="en-US" w:eastAsia="zh-CN" w:bidi="ar-SA"/>
        </w:rPr>
        <w:fldChar w:fldCharType="end"/>
      </w:r>
    </w:p>
    <w:p w14:paraId="29A681FC">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_Toc550836452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2.2.4 驾驶舱</w:t>
      </w:r>
      <w:r>
        <w:tab/>
      </w:r>
      <w:r>
        <w:fldChar w:fldCharType="begin"/>
      </w:r>
      <w:r>
        <w:instrText xml:space="preserve"> PAGEREF _Toc550836452 \h </w:instrText>
      </w:r>
      <w:r>
        <w:fldChar w:fldCharType="separate"/>
      </w:r>
      <w:r>
        <w:t>35</w:t>
      </w:r>
      <w:r>
        <w:fldChar w:fldCharType="end"/>
      </w:r>
      <w:r>
        <w:rPr>
          <w:rFonts w:hint="eastAsia" w:ascii="宋体" w:hAnsi="宋体" w:eastAsia="宋体"/>
          <w:kern w:val="2"/>
          <w:lang w:val="en-US" w:eastAsia="zh-CN" w:bidi="ar-SA"/>
        </w:rPr>
        <w:fldChar w:fldCharType="end"/>
      </w:r>
    </w:p>
    <w:p w14:paraId="4172D680">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_Toc106246547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2.2.5 成本分摊</w:t>
      </w:r>
      <w:r>
        <w:tab/>
      </w:r>
      <w:r>
        <w:fldChar w:fldCharType="begin"/>
      </w:r>
      <w:r>
        <w:instrText xml:space="preserve"> PAGEREF _Toc106246547 \h </w:instrText>
      </w:r>
      <w:r>
        <w:fldChar w:fldCharType="separate"/>
      </w:r>
      <w:r>
        <w:t>48</w:t>
      </w:r>
      <w:r>
        <w:fldChar w:fldCharType="end"/>
      </w:r>
      <w:r>
        <w:rPr>
          <w:rFonts w:hint="eastAsia" w:ascii="宋体" w:hAnsi="宋体" w:eastAsia="宋体"/>
          <w:kern w:val="2"/>
          <w:lang w:val="en-US" w:eastAsia="zh-CN" w:bidi="ar-SA"/>
        </w:rPr>
        <w:fldChar w:fldCharType="end"/>
      </w:r>
    </w:p>
    <w:p w14:paraId="429A3F50">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_Toc1126804772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 xml:space="preserve">2.2.6 </w:t>
      </w:r>
      <w:r>
        <w:rPr>
          <w:rFonts w:hint="eastAsia" w:ascii="黑体" w:hAnsi="黑体" w:eastAsia="黑体" w:cs="黑体"/>
          <w:bCs w:val="0"/>
          <w:highlight w:val="none"/>
        </w:rPr>
        <w:t>系统边界与分工</w:t>
      </w:r>
      <w:r>
        <w:tab/>
      </w:r>
      <w:r>
        <w:fldChar w:fldCharType="begin"/>
      </w:r>
      <w:r>
        <w:instrText xml:space="preserve"> PAGEREF _Toc1126804772 \h </w:instrText>
      </w:r>
      <w:r>
        <w:fldChar w:fldCharType="separate"/>
      </w:r>
      <w:r>
        <w:t>62</w:t>
      </w:r>
      <w:r>
        <w:fldChar w:fldCharType="end"/>
      </w:r>
      <w:r>
        <w:rPr>
          <w:rFonts w:hint="eastAsia" w:ascii="宋体" w:hAnsi="宋体" w:eastAsia="宋体"/>
          <w:kern w:val="2"/>
          <w:lang w:val="en-US" w:eastAsia="zh-CN" w:bidi="ar-SA"/>
        </w:rPr>
        <w:fldChar w:fldCharType="end"/>
      </w:r>
    </w:p>
    <w:p w14:paraId="3DDD9A6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_Toc1697003758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2.3 功能架构</w:t>
      </w:r>
      <w:r>
        <w:tab/>
      </w:r>
      <w:r>
        <w:fldChar w:fldCharType="begin"/>
      </w:r>
      <w:r>
        <w:instrText xml:space="preserve"> PAGEREF _Toc1697003758 \h </w:instrText>
      </w:r>
      <w:r>
        <w:fldChar w:fldCharType="separate"/>
      </w:r>
      <w:r>
        <w:t>64</w:t>
      </w:r>
      <w:r>
        <w:fldChar w:fldCharType="end"/>
      </w:r>
      <w:r>
        <w:rPr>
          <w:rFonts w:hint="eastAsia" w:ascii="宋体" w:hAnsi="宋体" w:eastAsia="宋体"/>
          <w:kern w:val="2"/>
          <w:lang w:val="en-US" w:eastAsia="zh-CN" w:bidi="ar-SA"/>
        </w:rPr>
        <w:fldChar w:fldCharType="end"/>
      </w:r>
    </w:p>
    <w:p w14:paraId="6978566B">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_Toc811844899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2.4 SCOS角色权限矩阵</w:t>
      </w:r>
      <w:r>
        <w:tab/>
      </w:r>
      <w:r>
        <w:fldChar w:fldCharType="begin"/>
      </w:r>
      <w:r>
        <w:instrText xml:space="preserve"> PAGEREF _Toc811844899 \h </w:instrText>
      </w:r>
      <w:r>
        <w:fldChar w:fldCharType="separate"/>
      </w:r>
      <w:r>
        <w:t>65</w:t>
      </w:r>
      <w:r>
        <w:fldChar w:fldCharType="end"/>
      </w:r>
      <w:r>
        <w:rPr>
          <w:rFonts w:hint="eastAsia" w:ascii="宋体" w:hAnsi="宋体" w:eastAsia="宋体"/>
          <w:kern w:val="2"/>
          <w:lang w:val="en-US" w:eastAsia="zh-CN" w:bidi="ar-SA"/>
        </w:rPr>
        <w:fldChar w:fldCharType="end"/>
      </w:r>
    </w:p>
    <w:p w14:paraId="2683C2B8">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_Toc1713608102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2.4.1 角色定义</w:t>
      </w:r>
      <w:r>
        <w:tab/>
      </w:r>
      <w:r>
        <w:fldChar w:fldCharType="begin"/>
      </w:r>
      <w:r>
        <w:instrText xml:space="preserve"> PAGEREF _Toc1713608102 \h </w:instrText>
      </w:r>
      <w:r>
        <w:fldChar w:fldCharType="separate"/>
      </w:r>
      <w:r>
        <w:t>65</w:t>
      </w:r>
      <w:r>
        <w:fldChar w:fldCharType="end"/>
      </w:r>
      <w:r>
        <w:rPr>
          <w:rFonts w:hint="eastAsia" w:ascii="宋体" w:hAnsi="宋体" w:eastAsia="宋体"/>
          <w:kern w:val="2"/>
          <w:lang w:val="en-US" w:eastAsia="zh-CN" w:bidi="ar-SA"/>
        </w:rPr>
        <w:fldChar w:fldCharType="end"/>
      </w:r>
    </w:p>
    <w:p w14:paraId="0795C5B7">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_Toc708180397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2.4.2 权限矩阵</w:t>
      </w:r>
      <w:r>
        <w:tab/>
      </w:r>
      <w:r>
        <w:fldChar w:fldCharType="begin"/>
      </w:r>
      <w:r>
        <w:instrText xml:space="preserve"> PAGEREF _Toc708180397 \h </w:instrText>
      </w:r>
      <w:r>
        <w:fldChar w:fldCharType="separate"/>
      </w:r>
      <w:r>
        <w:t>66</w:t>
      </w:r>
      <w:r>
        <w:fldChar w:fldCharType="end"/>
      </w:r>
      <w:r>
        <w:rPr>
          <w:rFonts w:hint="eastAsia" w:ascii="宋体" w:hAnsi="宋体" w:eastAsia="宋体"/>
          <w:kern w:val="2"/>
          <w:lang w:val="en-US" w:eastAsia="zh-CN" w:bidi="ar-SA"/>
        </w:rPr>
        <w:fldChar w:fldCharType="end"/>
      </w:r>
    </w:p>
    <w:p w14:paraId="766D707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_Toc1033560705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2.5 </w:t>
      </w:r>
      <w:r>
        <w:rPr>
          <w:rFonts w:hint="eastAsia" w:ascii="黑体" w:hAnsi="黑体" w:eastAsia="黑体" w:cs="黑体"/>
          <w:lang w:val="en-US" w:eastAsia="zh-CN"/>
        </w:rPr>
        <w:t>SCOS业务规则清单</w:t>
      </w:r>
      <w:r>
        <w:tab/>
      </w:r>
      <w:r>
        <w:fldChar w:fldCharType="begin"/>
      </w:r>
      <w:r>
        <w:instrText xml:space="preserve"> PAGEREF _Toc1033560705 \h </w:instrText>
      </w:r>
      <w:r>
        <w:fldChar w:fldCharType="separate"/>
      </w:r>
      <w:r>
        <w:t>69</w:t>
      </w:r>
      <w:r>
        <w:fldChar w:fldCharType="end"/>
      </w:r>
      <w:r>
        <w:rPr>
          <w:rFonts w:hint="eastAsia" w:ascii="宋体" w:hAnsi="宋体" w:eastAsia="宋体"/>
          <w:kern w:val="2"/>
          <w:lang w:val="en-US" w:eastAsia="zh-CN" w:bidi="ar-SA"/>
        </w:rPr>
        <w:fldChar w:fldCharType="end"/>
      </w:r>
    </w:p>
    <w:p w14:paraId="7DE4BA7D">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_Toc59548352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三、 </w:t>
      </w:r>
      <w:r>
        <w:rPr>
          <w:rFonts w:hint="eastAsia" w:ascii="黑体" w:hAnsi="黑体" w:eastAsia="黑体" w:cs="黑体"/>
          <w:lang w:eastAsia="zh-CN"/>
        </w:rPr>
        <w:t>【</w:t>
      </w:r>
      <w:r>
        <w:rPr>
          <w:rFonts w:hint="eastAsia" w:ascii="黑体" w:hAnsi="黑体" w:eastAsia="黑体" w:cs="黑体"/>
          <w:lang w:val="en-US" w:eastAsia="zh-CN"/>
        </w:rPr>
        <w:t>待后续优化</w:t>
      </w:r>
      <w:r>
        <w:rPr>
          <w:rFonts w:hint="eastAsia" w:ascii="黑体" w:hAnsi="黑体" w:eastAsia="黑体" w:cs="黑体"/>
          <w:lang w:eastAsia="zh-CN"/>
        </w:rPr>
        <w:t>】</w:t>
      </w:r>
      <w:r>
        <w:rPr>
          <w:rFonts w:hint="eastAsia" w:ascii="黑体" w:hAnsi="黑体" w:eastAsia="黑体" w:cs="黑体"/>
        </w:rPr>
        <w:t>SCOS智能化应用场景说明书</w:t>
      </w:r>
      <w:r>
        <w:tab/>
      </w:r>
      <w:r>
        <w:fldChar w:fldCharType="begin"/>
      </w:r>
      <w:r>
        <w:instrText xml:space="preserve"> PAGEREF _Toc59548352 \h </w:instrText>
      </w:r>
      <w:r>
        <w:fldChar w:fldCharType="separate"/>
      </w:r>
      <w:r>
        <w:t>113</w:t>
      </w:r>
      <w:r>
        <w:fldChar w:fldCharType="end"/>
      </w:r>
      <w:r>
        <w:rPr>
          <w:rFonts w:hint="eastAsia" w:ascii="宋体" w:hAnsi="宋体" w:eastAsia="宋体"/>
          <w:kern w:val="2"/>
          <w:lang w:val="en-US" w:eastAsia="zh-CN" w:bidi="ar-SA"/>
        </w:rPr>
        <w:fldChar w:fldCharType="end"/>
      </w:r>
    </w:p>
    <w:p w14:paraId="4361A714">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_Toc101772562 </w:instrText>
      </w:r>
      <w:r>
        <w:rPr>
          <w:rFonts w:hint="eastAsia" w:ascii="宋体" w:hAnsi="宋体" w:eastAsia="宋体"/>
          <w:kern w:val="2"/>
          <w:lang w:val="en-US" w:eastAsia="zh-CN" w:bidi="ar-SA"/>
        </w:rPr>
        <w:fldChar w:fldCharType="separate"/>
      </w:r>
      <w:r>
        <w:rPr>
          <w:rFonts w:hint="eastAsia" w:ascii="黑体" w:hAnsi="黑体" w:eastAsia="黑体" w:cs="黑体"/>
        </w:rPr>
        <w:t>3.1 智能化场景总体说明</w:t>
      </w:r>
      <w:r>
        <w:tab/>
      </w:r>
      <w:r>
        <w:fldChar w:fldCharType="begin"/>
      </w:r>
      <w:r>
        <w:instrText xml:space="preserve"> PAGEREF _Toc101772562 \h </w:instrText>
      </w:r>
      <w:r>
        <w:fldChar w:fldCharType="separate"/>
      </w:r>
      <w:r>
        <w:t>113</w:t>
      </w:r>
      <w:r>
        <w:fldChar w:fldCharType="end"/>
      </w:r>
      <w:r>
        <w:rPr>
          <w:rFonts w:hint="eastAsia" w:ascii="宋体" w:hAnsi="宋体" w:eastAsia="宋体"/>
          <w:kern w:val="2"/>
          <w:lang w:val="en-US" w:eastAsia="zh-CN" w:bidi="ar-SA"/>
        </w:rPr>
        <w:fldChar w:fldCharType="end"/>
      </w:r>
    </w:p>
    <w:p w14:paraId="53CE1D76">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_Toc1094466522 </w:instrText>
      </w:r>
      <w:r>
        <w:rPr>
          <w:rFonts w:hint="eastAsia" w:ascii="宋体" w:hAnsi="宋体" w:eastAsia="宋体"/>
          <w:kern w:val="2"/>
          <w:lang w:val="en-US" w:eastAsia="zh-CN" w:bidi="ar-SA"/>
        </w:rPr>
        <w:fldChar w:fldCharType="separate"/>
      </w:r>
      <w:r>
        <w:rPr>
          <w:rFonts w:hint="eastAsia" w:ascii="黑体" w:hAnsi="黑体" w:eastAsia="黑体" w:cs="黑体"/>
        </w:rPr>
        <w:t>3.2 供应链驾驶舱态势监测与预警联动</w:t>
      </w:r>
      <w:r>
        <w:rPr>
          <w:rFonts w:hint="eastAsia" w:ascii="黑体" w:hAnsi="黑体" w:eastAsia="黑体" w:cs="黑体"/>
          <w:lang w:val="en-US" w:eastAsia="zh-CN"/>
        </w:rPr>
        <w:t>（F-ZLTC-SCOS-AIZNT-001）</w:t>
      </w:r>
      <w:r>
        <w:tab/>
      </w:r>
      <w:r>
        <w:fldChar w:fldCharType="begin"/>
      </w:r>
      <w:r>
        <w:instrText xml:space="preserve"> PAGEREF _Toc1094466522 \h </w:instrText>
      </w:r>
      <w:r>
        <w:fldChar w:fldCharType="separate"/>
      </w:r>
      <w:r>
        <w:t>114</w:t>
      </w:r>
      <w:r>
        <w:fldChar w:fldCharType="end"/>
      </w:r>
      <w:r>
        <w:rPr>
          <w:rFonts w:hint="eastAsia" w:ascii="宋体" w:hAnsi="宋体" w:eastAsia="宋体"/>
          <w:kern w:val="2"/>
          <w:lang w:val="en-US" w:eastAsia="zh-CN" w:bidi="ar-SA"/>
        </w:rPr>
        <w:fldChar w:fldCharType="end"/>
      </w:r>
    </w:p>
    <w:p w14:paraId="1E537FE6">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_Toc1501398699 </w:instrText>
      </w:r>
      <w:r>
        <w:rPr>
          <w:rFonts w:hint="eastAsia" w:ascii="宋体" w:hAnsi="宋体" w:eastAsia="宋体"/>
          <w:kern w:val="2"/>
          <w:lang w:val="en-US" w:eastAsia="zh-CN" w:bidi="ar-SA"/>
        </w:rPr>
        <w:fldChar w:fldCharType="separate"/>
      </w:r>
      <w:r>
        <w:rPr>
          <w:rFonts w:hint="eastAsia" w:ascii="黑体" w:hAnsi="黑体" w:eastAsia="黑体" w:cs="黑体"/>
        </w:rPr>
        <w:t>3.3 供应链沙盘推演</w:t>
      </w:r>
      <w:r>
        <w:rPr>
          <w:rFonts w:hint="eastAsia" w:ascii="黑体" w:hAnsi="黑体" w:eastAsia="黑体" w:cs="黑体"/>
          <w:lang w:val="en-US" w:eastAsia="zh-CN"/>
        </w:rPr>
        <w:t>（F-ZLTC-SCOS-AIZNT-002）</w:t>
      </w:r>
      <w:r>
        <w:tab/>
      </w:r>
      <w:r>
        <w:fldChar w:fldCharType="begin"/>
      </w:r>
      <w:r>
        <w:instrText xml:space="preserve"> PAGEREF _Toc1501398699 \h </w:instrText>
      </w:r>
      <w:r>
        <w:fldChar w:fldCharType="separate"/>
      </w:r>
      <w:r>
        <w:t>115</w:t>
      </w:r>
      <w:r>
        <w:fldChar w:fldCharType="end"/>
      </w:r>
      <w:r>
        <w:rPr>
          <w:rFonts w:hint="eastAsia" w:ascii="宋体" w:hAnsi="宋体" w:eastAsia="宋体"/>
          <w:kern w:val="2"/>
          <w:lang w:val="en-US" w:eastAsia="zh-CN" w:bidi="ar-SA"/>
        </w:rPr>
        <w:fldChar w:fldCharType="end"/>
      </w:r>
    </w:p>
    <w:p w14:paraId="5585295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_Toc1075081843 </w:instrText>
      </w:r>
      <w:r>
        <w:rPr>
          <w:rFonts w:hint="eastAsia" w:ascii="宋体" w:hAnsi="宋体" w:eastAsia="宋体"/>
          <w:kern w:val="2"/>
          <w:lang w:val="en-US" w:eastAsia="zh-CN" w:bidi="ar-SA"/>
        </w:rPr>
        <w:fldChar w:fldCharType="separate"/>
      </w:r>
      <w:r>
        <w:rPr>
          <w:rFonts w:hint="eastAsia" w:ascii="黑体" w:hAnsi="黑体" w:eastAsia="黑体" w:cs="黑体"/>
        </w:rPr>
        <w:t>3.4 成品库存优化与生产补货协同</w:t>
      </w:r>
      <w:r>
        <w:rPr>
          <w:rFonts w:hint="eastAsia" w:ascii="黑体" w:hAnsi="黑体" w:eastAsia="黑体" w:cs="黑体"/>
          <w:lang w:val="en-US" w:eastAsia="zh-CN"/>
        </w:rPr>
        <w:t>（F-ZLTC-SCOS-AIZNT-00</w:t>
      </w:r>
      <w:r>
        <w:rPr>
          <w:rFonts w:hint="eastAsia" w:ascii="黑体" w:hAnsi="黑体" w:cs="黑体"/>
          <w:lang w:val="en-US" w:eastAsia="zh-CN"/>
        </w:rPr>
        <w:t>3</w:t>
      </w:r>
      <w:r>
        <w:rPr>
          <w:rFonts w:hint="eastAsia" w:ascii="黑体" w:hAnsi="黑体" w:eastAsia="黑体" w:cs="黑体"/>
          <w:lang w:val="en-US" w:eastAsia="zh-CN"/>
        </w:rPr>
        <w:t>）</w:t>
      </w:r>
      <w:r>
        <w:tab/>
      </w:r>
      <w:r>
        <w:fldChar w:fldCharType="begin"/>
      </w:r>
      <w:r>
        <w:instrText xml:space="preserve"> PAGEREF _Toc1075081843 \h </w:instrText>
      </w:r>
      <w:r>
        <w:fldChar w:fldCharType="separate"/>
      </w:r>
      <w:r>
        <w:t>116</w:t>
      </w:r>
      <w:r>
        <w:fldChar w:fldCharType="end"/>
      </w:r>
      <w:r>
        <w:rPr>
          <w:rFonts w:hint="eastAsia" w:ascii="宋体" w:hAnsi="宋体" w:eastAsia="宋体"/>
          <w:kern w:val="2"/>
          <w:lang w:val="en-US" w:eastAsia="zh-CN" w:bidi="ar-SA"/>
        </w:rPr>
        <w:fldChar w:fldCharType="end"/>
      </w:r>
    </w:p>
    <w:p w14:paraId="7B79223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_Toc2120613090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3.5 </w:t>
      </w:r>
      <w:r>
        <w:rPr>
          <w:rFonts w:hint="eastAsia" w:ascii="黑体" w:hAnsi="黑体" w:eastAsia="黑体" w:cs="黑体"/>
          <w:lang w:eastAsia="zh-CN"/>
        </w:rPr>
        <w:t>【</w:t>
      </w:r>
      <w:r>
        <w:rPr>
          <w:rFonts w:hint="eastAsia" w:ascii="黑体" w:hAnsi="黑体" w:eastAsia="黑体" w:cs="黑体"/>
          <w:lang w:val="en-US" w:eastAsia="zh-CN"/>
        </w:rPr>
        <w:t>待合并</w:t>
      </w:r>
      <w:r>
        <w:rPr>
          <w:rFonts w:hint="eastAsia" w:ascii="黑体" w:hAnsi="黑体" w:eastAsia="黑体" w:cs="黑体"/>
          <w:lang w:eastAsia="zh-CN"/>
        </w:rPr>
        <w:t>】</w:t>
      </w:r>
      <w:r>
        <w:rPr>
          <w:rFonts w:hint="eastAsia" w:ascii="黑体" w:hAnsi="黑体" w:eastAsia="黑体" w:cs="黑体"/>
        </w:rPr>
        <w:t>精益生产排程与异常重排</w:t>
      </w:r>
      <w:r>
        <w:tab/>
      </w:r>
      <w:r>
        <w:fldChar w:fldCharType="begin"/>
      </w:r>
      <w:r>
        <w:instrText xml:space="preserve"> PAGEREF _Toc2120613090 \h </w:instrText>
      </w:r>
      <w:r>
        <w:fldChar w:fldCharType="separate"/>
      </w:r>
      <w:r>
        <w:t>117</w:t>
      </w:r>
      <w:r>
        <w:fldChar w:fldCharType="end"/>
      </w:r>
      <w:r>
        <w:rPr>
          <w:rFonts w:hint="eastAsia" w:ascii="宋体" w:hAnsi="宋体" w:eastAsia="宋体"/>
          <w:kern w:val="2"/>
          <w:lang w:val="en-US" w:eastAsia="zh-CN" w:bidi="ar-SA"/>
        </w:rPr>
        <w:fldChar w:fldCharType="end"/>
      </w:r>
    </w:p>
    <w:p w14:paraId="6BE91F29">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_Toc1505598018 </w:instrText>
      </w:r>
      <w:r>
        <w:rPr>
          <w:rFonts w:hint="eastAsia" w:ascii="宋体" w:hAnsi="宋体" w:eastAsia="宋体"/>
          <w:kern w:val="2"/>
          <w:lang w:val="en-US" w:eastAsia="zh-CN" w:bidi="ar-SA"/>
        </w:rPr>
        <w:fldChar w:fldCharType="separate"/>
      </w:r>
      <w:r>
        <w:rPr>
          <w:rFonts w:hint="eastAsia" w:ascii="黑体" w:hAnsi="黑体" w:eastAsia="黑体" w:cs="黑体"/>
        </w:rPr>
        <w:t>3.6 原料采购决策优化</w:t>
      </w:r>
      <w:r>
        <w:rPr>
          <w:rFonts w:hint="eastAsia" w:ascii="黑体" w:hAnsi="黑体" w:eastAsia="黑体" w:cs="黑体"/>
          <w:lang w:val="en-US" w:eastAsia="zh-CN"/>
        </w:rPr>
        <w:t>（F-ZLTC-SCOS-AIZNT-005）</w:t>
      </w:r>
      <w:r>
        <w:tab/>
      </w:r>
      <w:r>
        <w:fldChar w:fldCharType="begin"/>
      </w:r>
      <w:r>
        <w:instrText xml:space="preserve"> PAGEREF _Toc1505598018 \h </w:instrText>
      </w:r>
      <w:r>
        <w:fldChar w:fldCharType="separate"/>
      </w:r>
      <w:r>
        <w:t>117</w:t>
      </w:r>
      <w:r>
        <w:fldChar w:fldCharType="end"/>
      </w:r>
      <w:r>
        <w:rPr>
          <w:rFonts w:hint="eastAsia" w:ascii="宋体" w:hAnsi="宋体" w:eastAsia="宋体"/>
          <w:kern w:val="2"/>
          <w:lang w:val="en-US" w:eastAsia="zh-CN" w:bidi="ar-SA"/>
        </w:rPr>
        <w:fldChar w:fldCharType="end"/>
      </w:r>
    </w:p>
    <w:p w14:paraId="2B1827C5">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_Toc786075925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 xml:space="preserve">3.7 </w:t>
      </w:r>
      <w:r>
        <w:rPr>
          <w:rFonts w:hint="eastAsia" w:ascii="黑体" w:hAnsi="黑体" w:eastAsia="黑体" w:cs="黑体"/>
        </w:rPr>
        <w:t>原辅包要货决策优化（F-ZLTC-SCOS-AIZNT-00</w:t>
      </w:r>
      <w:r>
        <w:rPr>
          <w:rFonts w:hint="eastAsia" w:ascii="黑体" w:hAnsi="黑体" w:eastAsia="黑体" w:cs="黑体"/>
          <w:lang w:val="en-US" w:eastAsia="zh-CN"/>
        </w:rPr>
        <w:t>6</w:t>
      </w:r>
      <w:r>
        <w:rPr>
          <w:rFonts w:hint="eastAsia" w:ascii="黑体" w:hAnsi="黑体" w:eastAsia="黑体" w:cs="黑体"/>
        </w:rPr>
        <w:t>）</w:t>
      </w:r>
      <w:r>
        <w:tab/>
      </w:r>
      <w:r>
        <w:fldChar w:fldCharType="begin"/>
      </w:r>
      <w:r>
        <w:instrText xml:space="preserve"> PAGEREF _Toc786075925 \h </w:instrText>
      </w:r>
      <w:r>
        <w:fldChar w:fldCharType="separate"/>
      </w:r>
      <w:r>
        <w:t>118</w:t>
      </w:r>
      <w:r>
        <w:fldChar w:fldCharType="end"/>
      </w:r>
      <w:r>
        <w:rPr>
          <w:rFonts w:hint="eastAsia" w:ascii="宋体" w:hAnsi="宋体" w:eastAsia="宋体"/>
          <w:kern w:val="2"/>
          <w:lang w:val="en-US" w:eastAsia="zh-CN" w:bidi="ar-SA"/>
        </w:rPr>
        <w:fldChar w:fldCharType="end"/>
      </w:r>
    </w:p>
    <w:p w14:paraId="75ADF41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_Toc258675131 </w:instrText>
      </w:r>
      <w:r>
        <w:rPr>
          <w:rFonts w:hint="eastAsia" w:ascii="宋体" w:hAnsi="宋体" w:eastAsia="宋体"/>
          <w:kern w:val="2"/>
          <w:lang w:val="en-US" w:eastAsia="zh-CN" w:bidi="ar-SA"/>
        </w:rPr>
        <w:fldChar w:fldCharType="separate"/>
      </w:r>
      <w:r>
        <w:rPr>
          <w:rFonts w:hint="eastAsia" w:ascii="黑体" w:hAnsi="黑体" w:eastAsia="黑体" w:cs="黑体"/>
        </w:rPr>
        <w:t>3.8 成本统计、分摊与多维盈利分析</w:t>
      </w:r>
      <w:r>
        <w:rPr>
          <w:rFonts w:hint="eastAsia" w:ascii="黑体" w:hAnsi="黑体" w:eastAsia="黑体" w:cs="黑体"/>
          <w:lang w:val="en-US" w:eastAsia="zh-CN"/>
        </w:rPr>
        <w:t>（F-ZLTC-SCOS-AIZNT-00</w:t>
      </w:r>
      <w:r>
        <w:rPr>
          <w:rFonts w:hint="eastAsia" w:ascii="黑体" w:hAnsi="黑体" w:cs="黑体"/>
          <w:lang w:val="en-US" w:eastAsia="zh-CN"/>
        </w:rPr>
        <w:t>7</w:t>
      </w:r>
      <w:r>
        <w:rPr>
          <w:rFonts w:hint="eastAsia" w:ascii="黑体" w:hAnsi="黑体" w:eastAsia="黑体" w:cs="黑体"/>
          <w:lang w:val="en-US" w:eastAsia="zh-CN"/>
        </w:rPr>
        <w:t>）</w:t>
      </w:r>
      <w:r>
        <w:tab/>
      </w:r>
      <w:r>
        <w:fldChar w:fldCharType="begin"/>
      </w:r>
      <w:r>
        <w:instrText xml:space="preserve"> PAGEREF _Toc258675131 \h </w:instrText>
      </w:r>
      <w:r>
        <w:fldChar w:fldCharType="separate"/>
      </w:r>
      <w:r>
        <w:t>119</w:t>
      </w:r>
      <w:r>
        <w:fldChar w:fldCharType="end"/>
      </w:r>
      <w:r>
        <w:rPr>
          <w:rFonts w:hint="eastAsia" w:ascii="宋体" w:hAnsi="宋体" w:eastAsia="宋体"/>
          <w:kern w:val="2"/>
          <w:lang w:val="en-US" w:eastAsia="zh-CN" w:bidi="ar-SA"/>
        </w:rPr>
        <w:fldChar w:fldCharType="end"/>
      </w:r>
    </w:p>
    <w:p w14:paraId="177FD1C6">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_Toc1046025189 </w:instrText>
      </w:r>
      <w:r>
        <w:rPr>
          <w:rFonts w:hint="eastAsia" w:ascii="宋体" w:hAnsi="宋体" w:eastAsia="宋体"/>
          <w:kern w:val="2"/>
          <w:lang w:val="en-US" w:eastAsia="zh-CN" w:bidi="ar-SA"/>
        </w:rPr>
        <w:fldChar w:fldCharType="separate"/>
      </w:r>
      <w:r>
        <w:rPr>
          <w:rFonts w:hint="eastAsia" w:ascii="黑体" w:hAnsi="黑体" w:eastAsia="黑体" w:cs="黑体"/>
        </w:rPr>
        <w:t>3.9 供应链全程追溯与质量协同</w:t>
      </w:r>
      <w:r>
        <w:rPr>
          <w:rFonts w:hint="eastAsia" w:ascii="黑体" w:hAnsi="黑体" w:eastAsia="黑体" w:cs="黑体"/>
          <w:lang w:val="en-US" w:eastAsia="zh-CN"/>
        </w:rPr>
        <w:t>（F-ZLTC-SCOS-AIZNT-00</w:t>
      </w:r>
      <w:r>
        <w:rPr>
          <w:rFonts w:hint="eastAsia" w:ascii="黑体" w:hAnsi="黑体" w:cs="黑体"/>
          <w:lang w:val="en-US" w:eastAsia="zh-CN"/>
        </w:rPr>
        <w:t>8</w:t>
      </w:r>
      <w:r>
        <w:rPr>
          <w:rFonts w:hint="eastAsia" w:ascii="黑体" w:hAnsi="黑体" w:eastAsia="黑体" w:cs="黑体"/>
          <w:lang w:val="en-US" w:eastAsia="zh-CN"/>
        </w:rPr>
        <w:t>）</w:t>
      </w:r>
      <w:r>
        <w:tab/>
      </w:r>
      <w:r>
        <w:fldChar w:fldCharType="begin"/>
      </w:r>
      <w:r>
        <w:instrText xml:space="preserve"> PAGEREF _Toc1046025189 \h </w:instrText>
      </w:r>
      <w:r>
        <w:fldChar w:fldCharType="separate"/>
      </w:r>
      <w:r>
        <w:t>120</w:t>
      </w:r>
      <w:r>
        <w:fldChar w:fldCharType="end"/>
      </w:r>
      <w:r>
        <w:rPr>
          <w:rFonts w:hint="eastAsia" w:ascii="宋体" w:hAnsi="宋体" w:eastAsia="宋体"/>
          <w:kern w:val="2"/>
          <w:lang w:val="en-US" w:eastAsia="zh-CN" w:bidi="ar-SA"/>
        </w:rPr>
        <w:fldChar w:fldCharType="end"/>
      </w:r>
    </w:p>
    <w:p w14:paraId="593AD9C7">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_Toc1244217181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四、 </w:t>
      </w:r>
      <w:r>
        <w:rPr>
          <w:rFonts w:hint="eastAsia" w:ascii="黑体" w:hAnsi="黑体" w:eastAsia="黑体" w:cs="黑体"/>
          <w:lang w:eastAsia="zh-CN"/>
        </w:rPr>
        <w:t>【</w:t>
      </w:r>
      <w:r>
        <w:rPr>
          <w:rFonts w:hint="eastAsia" w:ascii="黑体" w:hAnsi="黑体" w:eastAsia="黑体" w:cs="黑体"/>
          <w:lang w:val="en-US" w:eastAsia="zh-CN"/>
        </w:rPr>
        <w:t>待后续优化</w:t>
      </w:r>
      <w:r>
        <w:rPr>
          <w:rFonts w:hint="eastAsia" w:ascii="黑体" w:hAnsi="黑体" w:eastAsia="黑体" w:cs="黑体"/>
          <w:lang w:eastAsia="zh-CN"/>
        </w:rPr>
        <w:t>】</w:t>
      </w:r>
      <w:r>
        <w:rPr>
          <w:rFonts w:hint="eastAsia" w:ascii="黑体" w:hAnsi="黑体" w:eastAsia="黑体" w:cs="黑体"/>
        </w:rPr>
        <w:t>SCOS技术蓝图交付物</w:t>
      </w:r>
      <w:r>
        <w:tab/>
      </w:r>
      <w:r>
        <w:fldChar w:fldCharType="begin"/>
      </w:r>
      <w:r>
        <w:instrText xml:space="preserve"> PAGEREF _Toc1244217181 \h </w:instrText>
      </w:r>
      <w:r>
        <w:fldChar w:fldCharType="separate"/>
      </w:r>
      <w:r>
        <w:t>120</w:t>
      </w:r>
      <w:r>
        <w:fldChar w:fldCharType="end"/>
      </w:r>
      <w:r>
        <w:rPr>
          <w:rFonts w:hint="eastAsia" w:ascii="宋体" w:hAnsi="宋体" w:eastAsia="宋体"/>
          <w:kern w:val="2"/>
          <w:lang w:val="en-US" w:eastAsia="zh-CN" w:bidi="ar-SA"/>
        </w:rPr>
        <w:fldChar w:fldCharType="end"/>
      </w:r>
    </w:p>
    <w:p w14:paraId="6CD005F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_Toc1509890228 </w:instrText>
      </w:r>
      <w:r>
        <w:rPr>
          <w:rFonts w:hint="eastAsia" w:ascii="宋体" w:hAnsi="宋体" w:eastAsia="宋体"/>
          <w:kern w:val="2"/>
          <w:lang w:val="en-US" w:eastAsia="zh-CN" w:bidi="ar-SA"/>
        </w:rPr>
        <w:fldChar w:fldCharType="separate"/>
      </w:r>
      <w:r>
        <w:rPr>
          <w:rFonts w:hint="eastAsia" w:ascii="黑体" w:hAnsi="黑体" w:eastAsia="黑体" w:cs="黑体"/>
          <w:bCs w:val="0"/>
        </w:rPr>
        <w:t xml:space="preserve">4.1 </w:t>
      </w:r>
      <w:r>
        <w:rPr>
          <w:rFonts w:hint="eastAsia" w:ascii="黑体" w:hAnsi="黑体" w:eastAsia="黑体" w:cs="黑体"/>
          <w:bCs w:val="0"/>
          <w:lang w:val="en-US" w:eastAsia="zh-CN"/>
        </w:rPr>
        <w:t>SCOS</w:t>
      </w:r>
      <w:r>
        <w:rPr>
          <w:rFonts w:hint="eastAsia" w:ascii="黑体" w:hAnsi="黑体" w:eastAsia="黑体" w:cs="黑体"/>
          <w:bCs w:val="0"/>
        </w:rPr>
        <w:t>数据流架构图</w:t>
      </w:r>
      <w:r>
        <w:tab/>
      </w:r>
      <w:r>
        <w:fldChar w:fldCharType="begin"/>
      </w:r>
      <w:r>
        <w:instrText xml:space="preserve"> PAGEREF _Toc1509890228 \h </w:instrText>
      </w:r>
      <w:r>
        <w:fldChar w:fldCharType="separate"/>
      </w:r>
      <w:r>
        <w:t>120</w:t>
      </w:r>
      <w:r>
        <w:fldChar w:fldCharType="end"/>
      </w:r>
      <w:r>
        <w:rPr>
          <w:rFonts w:hint="eastAsia" w:ascii="宋体" w:hAnsi="宋体" w:eastAsia="宋体"/>
          <w:kern w:val="2"/>
          <w:lang w:val="en-US" w:eastAsia="zh-CN" w:bidi="ar-SA"/>
        </w:rPr>
        <w:fldChar w:fldCharType="end"/>
      </w:r>
    </w:p>
    <w:p w14:paraId="00CA57D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_Toc2058289044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4.2 </w:t>
      </w:r>
      <w:r>
        <w:rPr>
          <w:rFonts w:hint="eastAsia" w:ascii="黑体" w:hAnsi="黑体" w:eastAsia="黑体" w:cs="黑体"/>
          <w:lang w:val="en-US" w:eastAsia="zh-CN"/>
        </w:rPr>
        <w:t>SCOS</w:t>
      </w:r>
      <w:r>
        <w:rPr>
          <w:rFonts w:hint="eastAsia" w:ascii="黑体" w:hAnsi="黑体" w:eastAsia="黑体" w:cs="黑体"/>
        </w:rPr>
        <w:t>数据实体与字段映射表</w:t>
      </w:r>
      <w:r>
        <w:tab/>
      </w:r>
      <w:r>
        <w:fldChar w:fldCharType="begin"/>
      </w:r>
      <w:r>
        <w:instrText xml:space="preserve"> PAGEREF _Toc2058289044 \h </w:instrText>
      </w:r>
      <w:r>
        <w:fldChar w:fldCharType="separate"/>
      </w:r>
      <w:r>
        <w:t>123</w:t>
      </w:r>
      <w:r>
        <w:fldChar w:fldCharType="end"/>
      </w:r>
      <w:r>
        <w:rPr>
          <w:rFonts w:hint="eastAsia" w:ascii="宋体" w:hAnsi="宋体" w:eastAsia="宋体"/>
          <w:kern w:val="2"/>
          <w:lang w:val="en-US" w:eastAsia="zh-CN" w:bidi="ar-SA"/>
        </w:rPr>
        <w:fldChar w:fldCharType="end"/>
      </w:r>
    </w:p>
    <w:p w14:paraId="269E4656">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_Toc1997376632 </w:instrText>
      </w:r>
      <w:r>
        <w:rPr>
          <w:rFonts w:hint="eastAsia" w:ascii="宋体" w:hAnsi="宋体" w:eastAsia="宋体"/>
          <w:kern w:val="2"/>
          <w:lang w:val="en-US" w:eastAsia="zh-CN" w:bidi="ar-SA"/>
        </w:rPr>
        <w:fldChar w:fldCharType="separate"/>
      </w:r>
      <w:r>
        <w:rPr>
          <w:rFonts w:hint="eastAsia" w:ascii="黑体" w:hAnsi="黑体" w:eastAsia="黑体" w:cs="黑体"/>
        </w:rPr>
        <w:t>4.2.1 库存优化</w:t>
      </w:r>
      <w:r>
        <w:tab/>
      </w:r>
      <w:r>
        <w:fldChar w:fldCharType="begin"/>
      </w:r>
      <w:r>
        <w:instrText xml:space="preserve"> PAGEREF _Toc1997376632 \h </w:instrText>
      </w:r>
      <w:r>
        <w:fldChar w:fldCharType="separate"/>
      </w:r>
      <w:r>
        <w:t>123</w:t>
      </w:r>
      <w:r>
        <w:fldChar w:fldCharType="end"/>
      </w:r>
      <w:r>
        <w:rPr>
          <w:rFonts w:hint="eastAsia" w:ascii="宋体" w:hAnsi="宋体" w:eastAsia="宋体"/>
          <w:kern w:val="2"/>
          <w:lang w:val="en-US" w:eastAsia="zh-CN" w:bidi="ar-SA"/>
        </w:rPr>
        <w:fldChar w:fldCharType="end"/>
      </w:r>
    </w:p>
    <w:p w14:paraId="1D526B5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_Toc444684120 </w:instrText>
      </w:r>
      <w:r>
        <w:rPr>
          <w:rFonts w:hint="eastAsia" w:ascii="宋体" w:hAnsi="宋体" w:eastAsia="宋体"/>
          <w:kern w:val="2"/>
          <w:lang w:val="en-US" w:eastAsia="zh-CN" w:bidi="ar-SA"/>
        </w:rPr>
        <w:fldChar w:fldCharType="separate"/>
      </w:r>
      <w:r>
        <w:rPr>
          <w:rFonts w:hint="eastAsia" w:ascii="黑体" w:hAnsi="黑体" w:eastAsia="黑体" w:cs="黑体"/>
        </w:rPr>
        <w:t>4.2.2 采购优化</w:t>
      </w:r>
      <w:r>
        <w:tab/>
      </w:r>
      <w:r>
        <w:fldChar w:fldCharType="begin"/>
      </w:r>
      <w:r>
        <w:instrText xml:space="preserve"> PAGEREF _Toc444684120 \h </w:instrText>
      </w:r>
      <w:r>
        <w:fldChar w:fldCharType="separate"/>
      </w:r>
      <w:r>
        <w:t>132</w:t>
      </w:r>
      <w:r>
        <w:fldChar w:fldCharType="end"/>
      </w:r>
      <w:r>
        <w:rPr>
          <w:rFonts w:hint="eastAsia" w:ascii="宋体" w:hAnsi="宋体" w:eastAsia="宋体"/>
          <w:kern w:val="2"/>
          <w:lang w:val="en-US" w:eastAsia="zh-CN" w:bidi="ar-SA"/>
        </w:rPr>
        <w:fldChar w:fldCharType="end"/>
      </w:r>
    </w:p>
    <w:p w14:paraId="2C64803B">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_Toc562913280 </w:instrText>
      </w:r>
      <w:r>
        <w:rPr>
          <w:rFonts w:hint="eastAsia" w:ascii="宋体" w:hAnsi="宋体" w:eastAsia="宋体"/>
          <w:kern w:val="2"/>
          <w:lang w:val="en-US" w:eastAsia="zh-CN" w:bidi="ar-SA"/>
        </w:rPr>
        <w:fldChar w:fldCharType="separate"/>
      </w:r>
      <w:r>
        <w:rPr>
          <w:rFonts w:hint="eastAsia" w:ascii="黑体" w:hAnsi="黑体" w:eastAsia="黑体" w:cs="黑体"/>
        </w:rPr>
        <w:t>4.2.3 要货计划</w:t>
      </w:r>
      <w:r>
        <w:tab/>
      </w:r>
      <w:r>
        <w:fldChar w:fldCharType="begin"/>
      </w:r>
      <w:r>
        <w:instrText xml:space="preserve"> PAGEREF _Toc562913280 \h </w:instrText>
      </w:r>
      <w:r>
        <w:fldChar w:fldCharType="separate"/>
      </w:r>
      <w:r>
        <w:t>140</w:t>
      </w:r>
      <w:r>
        <w:fldChar w:fldCharType="end"/>
      </w:r>
      <w:r>
        <w:rPr>
          <w:rFonts w:hint="eastAsia" w:ascii="宋体" w:hAnsi="宋体" w:eastAsia="宋体"/>
          <w:kern w:val="2"/>
          <w:lang w:val="en-US" w:eastAsia="zh-CN" w:bidi="ar-SA"/>
        </w:rPr>
        <w:fldChar w:fldCharType="end"/>
      </w:r>
    </w:p>
    <w:p w14:paraId="7669CF5F">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_Toc1218031925 </w:instrText>
      </w:r>
      <w:r>
        <w:rPr>
          <w:rFonts w:hint="eastAsia" w:ascii="宋体" w:hAnsi="宋体" w:eastAsia="宋体"/>
          <w:kern w:val="2"/>
          <w:lang w:val="en-US" w:eastAsia="zh-CN" w:bidi="ar-SA"/>
        </w:rPr>
        <w:fldChar w:fldCharType="separate"/>
      </w:r>
      <w:r>
        <w:rPr>
          <w:rFonts w:hint="eastAsia" w:ascii="黑体" w:hAnsi="黑体" w:eastAsia="黑体" w:cs="黑体"/>
        </w:rPr>
        <w:t>4.2.4 成本分摊</w:t>
      </w:r>
      <w:r>
        <w:tab/>
      </w:r>
      <w:r>
        <w:fldChar w:fldCharType="begin"/>
      </w:r>
      <w:r>
        <w:instrText xml:space="preserve"> PAGEREF _Toc1218031925 \h </w:instrText>
      </w:r>
      <w:r>
        <w:fldChar w:fldCharType="separate"/>
      </w:r>
      <w:r>
        <w:t>151</w:t>
      </w:r>
      <w:r>
        <w:fldChar w:fldCharType="end"/>
      </w:r>
      <w:r>
        <w:rPr>
          <w:rFonts w:hint="eastAsia" w:ascii="宋体" w:hAnsi="宋体" w:eastAsia="宋体"/>
          <w:kern w:val="2"/>
          <w:lang w:val="en-US" w:eastAsia="zh-CN" w:bidi="ar-SA"/>
        </w:rPr>
        <w:fldChar w:fldCharType="end"/>
      </w:r>
    </w:p>
    <w:p w14:paraId="26A54E0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_Toc1648440271 </w:instrText>
      </w:r>
      <w:r>
        <w:rPr>
          <w:rFonts w:hint="eastAsia" w:ascii="宋体" w:hAnsi="宋体" w:eastAsia="宋体"/>
          <w:kern w:val="2"/>
          <w:lang w:val="en-US" w:eastAsia="zh-CN" w:bidi="ar-SA"/>
        </w:rPr>
        <w:fldChar w:fldCharType="separate"/>
      </w:r>
      <w:r>
        <w:rPr>
          <w:rFonts w:hint="eastAsia" w:ascii="黑体" w:hAnsi="黑体" w:eastAsia="黑体" w:cs="黑体"/>
        </w:rPr>
        <w:t>4.2.5 供应链驾驶舱</w:t>
      </w:r>
      <w:r>
        <w:tab/>
      </w:r>
      <w:r>
        <w:fldChar w:fldCharType="begin"/>
      </w:r>
      <w:r>
        <w:instrText xml:space="preserve"> PAGEREF _Toc1648440271 \h </w:instrText>
      </w:r>
      <w:r>
        <w:fldChar w:fldCharType="separate"/>
      </w:r>
      <w:r>
        <w:t>165</w:t>
      </w:r>
      <w:r>
        <w:fldChar w:fldCharType="end"/>
      </w:r>
      <w:r>
        <w:rPr>
          <w:rFonts w:hint="eastAsia" w:ascii="宋体" w:hAnsi="宋体" w:eastAsia="宋体"/>
          <w:kern w:val="2"/>
          <w:lang w:val="en-US" w:eastAsia="zh-CN" w:bidi="ar-SA"/>
        </w:rPr>
        <w:fldChar w:fldCharType="end"/>
      </w:r>
    </w:p>
    <w:p w14:paraId="40371937">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_Toc649104750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4.3 </w:t>
      </w:r>
      <w:r>
        <w:rPr>
          <w:rFonts w:hint="eastAsia" w:ascii="黑体" w:hAnsi="黑体" w:eastAsia="黑体" w:cs="黑体"/>
          <w:lang w:eastAsia="zh-CN"/>
        </w:rPr>
        <w:t>【</w:t>
      </w:r>
      <w:r>
        <w:rPr>
          <w:rFonts w:hint="eastAsia" w:ascii="黑体" w:hAnsi="黑体" w:eastAsia="黑体" w:cs="黑体"/>
          <w:lang w:val="en-US" w:eastAsia="zh-CN"/>
        </w:rPr>
        <w:t>待讨论</w:t>
      </w:r>
      <w:r>
        <w:rPr>
          <w:rFonts w:hint="eastAsia" w:ascii="黑体" w:hAnsi="黑体" w:eastAsia="黑体" w:cs="黑体"/>
          <w:lang w:eastAsia="zh-CN"/>
        </w:rPr>
        <w:t>】</w:t>
      </w:r>
      <w:r>
        <w:rPr>
          <w:rFonts w:hint="eastAsia" w:ascii="黑体" w:hAnsi="黑体" w:eastAsia="黑体" w:cs="黑体"/>
        </w:rPr>
        <w:t>SCOS模型与计算服务</w:t>
      </w:r>
      <w:r>
        <w:tab/>
      </w:r>
      <w:r>
        <w:fldChar w:fldCharType="begin"/>
      </w:r>
      <w:r>
        <w:instrText xml:space="preserve"> PAGEREF _Toc649104750 \h </w:instrText>
      </w:r>
      <w:r>
        <w:fldChar w:fldCharType="separate"/>
      </w:r>
      <w:r>
        <w:t>176</w:t>
      </w:r>
      <w:r>
        <w:fldChar w:fldCharType="end"/>
      </w:r>
      <w:r>
        <w:rPr>
          <w:rFonts w:hint="eastAsia" w:ascii="宋体" w:hAnsi="宋体" w:eastAsia="宋体"/>
          <w:kern w:val="2"/>
          <w:lang w:val="en-US" w:eastAsia="zh-CN" w:bidi="ar-SA"/>
        </w:rPr>
        <w:fldChar w:fldCharType="end"/>
      </w:r>
    </w:p>
    <w:p w14:paraId="7CA7C9C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_Toc286606490 </w:instrText>
      </w:r>
      <w:r>
        <w:rPr>
          <w:rFonts w:hint="eastAsia" w:ascii="宋体" w:hAnsi="宋体" w:eastAsia="宋体"/>
          <w:kern w:val="2"/>
          <w:lang w:val="en-US" w:eastAsia="zh-CN" w:bidi="ar-SA"/>
        </w:rPr>
        <w:fldChar w:fldCharType="separate"/>
      </w:r>
      <w:r>
        <w:rPr>
          <w:rFonts w:hint="eastAsia" w:ascii="黑体" w:hAnsi="黑体" w:eastAsia="黑体" w:cs="黑体"/>
        </w:rPr>
        <w:t>4.3.1 模型运行与降级机制</w:t>
      </w:r>
      <w:r>
        <w:tab/>
      </w:r>
      <w:r>
        <w:fldChar w:fldCharType="begin"/>
      </w:r>
      <w:r>
        <w:instrText xml:space="preserve"> PAGEREF _Toc286606490 \h </w:instrText>
      </w:r>
      <w:r>
        <w:fldChar w:fldCharType="separate"/>
      </w:r>
      <w:r>
        <w:t>177</w:t>
      </w:r>
      <w:r>
        <w:fldChar w:fldCharType="end"/>
      </w:r>
      <w:r>
        <w:rPr>
          <w:rFonts w:hint="eastAsia" w:ascii="宋体" w:hAnsi="宋体" w:eastAsia="宋体"/>
          <w:kern w:val="2"/>
          <w:lang w:val="en-US" w:eastAsia="zh-CN" w:bidi="ar-SA"/>
        </w:rPr>
        <w:fldChar w:fldCharType="end"/>
      </w:r>
    </w:p>
    <w:p w14:paraId="4A8E866C">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_Toc189457209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4.4 </w:t>
      </w:r>
      <w:r>
        <w:rPr>
          <w:rFonts w:hint="eastAsia" w:ascii="黑体" w:hAnsi="黑体" w:eastAsia="黑体" w:cs="黑体"/>
          <w:lang w:eastAsia="zh-CN"/>
        </w:rPr>
        <w:t>【</w:t>
      </w:r>
      <w:r>
        <w:rPr>
          <w:rFonts w:hint="eastAsia" w:ascii="黑体" w:hAnsi="黑体" w:eastAsia="黑体" w:cs="黑体"/>
          <w:lang w:val="en-US" w:eastAsia="zh-CN"/>
        </w:rPr>
        <w:t>待讨论</w:t>
      </w:r>
      <w:r>
        <w:rPr>
          <w:rFonts w:hint="eastAsia" w:ascii="黑体" w:hAnsi="黑体" w:eastAsia="黑体" w:cs="黑体"/>
          <w:lang w:eastAsia="zh-CN"/>
        </w:rPr>
        <w:t>】</w:t>
      </w:r>
      <w:r>
        <w:rPr>
          <w:rFonts w:hint="eastAsia" w:ascii="黑体" w:hAnsi="黑体" w:eastAsia="黑体" w:cs="黑体"/>
        </w:rPr>
        <w:t>数据发布、版本与审计规范</w:t>
      </w:r>
      <w:r>
        <w:tab/>
      </w:r>
      <w:r>
        <w:fldChar w:fldCharType="begin"/>
      </w:r>
      <w:r>
        <w:instrText xml:space="preserve"> PAGEREF _Toc189457209 \h </w:instrText>
      </w:r>
      <w:r>
        <w:fldChar w:fldCharType="separate"/>
      </w:r>
      <w:r>
        <w:t>177</w:t>
      </w:r>
      <w:r>
        <w:fldChar w:fldCharType="end"/>
      </w:r>
      <w:r>
        <w:rPr>
          <w:rFonts w:hint="eastAsia" w:ascii="宋体" w:hAnsi="宋体" w:eastAsia="宋体"/>
          <w:kern w:val="2"/>
          <w:lang w:val="en-US" w:eastAsia="zh-CN" w:bidi="ar-SA"/>
        </w:rPr>
        <w:fldChar w:fldCharType="end"/>
      </w:r>
    </w:p>
    <w:p w14:paraId="7A6021C6">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_Toc1636546809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4.5 </w:t>
      </w:r>
      <w:r>
        <w:rPr>
          <w:rFonts w:hint="eastAsia" w:ascii="黑体" w:hAnsi="黑体" w:eastAsia="黑体" w:cs="黑体"/>
          <w:lang w:eastAsia="zh-CN"/>
        </w:rPr>
        <w:t>【</w:t>
      </w:r>
      <w:r>
        <w:rPr>
          <w:rFonts w:hint="eastAsia" w:ascii="黑体" w:hAnsi="黑体" w:eastAsia="黑体" w:cs="黑体"/>
          <w:lang w:val="en-US" w:eastAsia="zh-CN"/>
        </w:rPr>
        <w:t>待讨论</w:t>
      </w:r>
      <w:r>
        <w:rPr>
          <w:rFonts w:hint="eastAsia" w:ascii="黑体" w:hAnsi="黑体" w:eastAsia="黑体" w:cs="黑体"/>
          <w:lang w:eastAsia="zh-CN"/>
        </w:rPr>
        <w:t>】</w:t>
      </w:r>
      <w:r>
        <w:rPr>
          <w:rFonts w:hint="eastAsia" w:ascii="黑体" w:hAnsi="黑体" w:eastAsia="黑体" w:cs="黑体"/>
        </w:rPr>
        <w:t>安全、运维与非功能要求</w:t>
      </w:r>
      <w:r>
        <w:tab/>
      </w:r>
      <w:r>
        <w:fldChar w:fldCharType="begin"/>
      </w:r>
      <w:r>
        <w:instrText xml:space="preserve"> PAGEREF _Toc1636546809 \h </w:instrText>
      </w:r>
      <w:r>
        <w:fldChar w:fldCharType="separate"/>
      </w:r>
      <w:r>
        <w:t>178</w:t>
      </w:r>
      <w:r>
        <w:fldChar w:fldCharType="end"/>
      </w:r>
      <w:r>
        <w:rPr>
          <w:rFonts w:hint="eastAsia" w:ascii="宋体" w:hAnsi="宋体" w:eastAsia="宋体"/>
          <w:kern w:val="2"/>
          <w:lang w:val="en-US" w:eastAsia="zh-CN" w:bidi="ar-SA"/>
        </w:rPr>
        <w:fldChar w:fldCharType="end"/>
      </w:r>
    </w:p>
    <w:p w14:paraId="3FEBA69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_Toc471668087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4.6 </w:t>
      </w:r>
      <w:r>
        <w:rPr>
          <w:rFonts w:hint="eastAsia" w:ascii="黑体" w:hAnsi="黑体" w:eastAsia="黑体" w:cs="黑体"/>
          <w:lang w:eastAsia="zh-CN"/>
        </w:rPr>
        <w:t>【</w:t>
      </w:r>
      <w:r>
        <w:rPr>
          <w:rFonts w:hint="eastAsia" w:ascii="黑体" w:hAnsi="黑体" w:eastAsia="黑体" w:cs="黑体"/>
          <w:lang w:val="en-US" w:eastAsia="zh-CN"/>
        </w:rPr>
        <w:t>待讨论</w:t>
      </w:r>
      <w:r>
        <w:rPr>
          <w:rFonts w:hint="eastAsia" w:ascii="黑体" w:hAnsi="黑体" w:eastAsia="黑体" w:cs="黑体"/>
          <w:lang w:eastAsia="zh-CN"/>
        </w:rPr>
        <w:t>】</w:t>
      </w:r>
      <w:r>
        <w:rPr>
          <w:rFonts w:hint="eastAsia" w:ascii="黑体" w:hAnsi="黑体" w:eastAsia="黑体" w:cs="黑体"/>
        </w:rPr>
        <w:t>技术蓝图待确认项</w:t>
      </w:r>
      <w:r>
        <w:tab/>
      </w:r>
      <w:r>
        <w:fldChar w:fldCharType="begin"/>
      </w:r>
      <w:r>
        <w:instrText xml:space="preserve"> PAGEREF _Toc471668087 \h </w:instrText>
      </w:r>
      <w:r>
        <w:fldChar w:fldCharType="separate"/>
      </w:r>
      <w:r>
        <w:t>178</w:t>
      </w:r>
      <w:r>
        <w:fldChar w:fldCharType="end"/>
      </w:r>
      <w:r>
        <w:rPr>
          <w:rFonts w:hint="eastAsia" w:ascii="宋体" w:hAnsi="宋体" w:eastAsia="宋体"/>
          <w:kern w:val="2"/>
          <w:lang w:val="en-US" w:eastAsia="zh-CN" w:bidi="ar-SA"/>
        </w:rPr>
        <w:fldChar w:fldCharType="end"/>
      </w:r>
    </w:p>
    <w:p w14:paraId="3E3E3CE8">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_Toc963397132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五、 </w:t>
      </w:r>
      <w:r>
        <w:rPr>
          <w:rFonts w:hint="eastAsia" w:ascii="黑体" w:hAnsi="黑体" w:eastAsia="黑体" w:cs="黑体"/>
          <w:lang w:eastAsia="zh-CN"/>
        </w:rPr>
        <w:t>【</w:t>
      </w:r>
      <w:r>
        <w:rPr>
          <w:rFonts w:hint="eastAsia" w:ascii="黑体" w:hAnsi="黑体" w:eastAsia="黑体" w:cs="黑体"/>
          <w:lang w:val="en-US" w:eastAsia="zh-CN"/>
        </w:rPr>
        <w:t>待优化</w:t>
      </w:r>
      <w:r>
        <w:rPr>
          <w:rFonts w:hint="eastAsia" w:ascii="黑体" w:hAnsi="黑体" w:eastAsia="黑体" w:cs="黑体"/>
          <w:lang w:eastAsia="zh-CN"/>
        </w:rPr>
        <w:t>】</w:t>
      </w:r>
      <w:r>
        <w:rPr>
          <w:rFonts w:hint="eastAsia" w:ascii="黑体" w:hAnsi="黑体" w:eastAsia="黑体" w:cs="黑体"/>
        </w:rPr>
        <w:t>SCOS集成接口规范</w:t>
      </w:r>
      <w:r>
        <w:tab/>
      </w:r>
      <w:r>
        <w:fldChar w:fldCharType="begin"/>
      </w:r>
      <w:r>
        <w:instrText xml:space="preserve"> PAGEREF _Toc963397132 \h </w:instrText>
      </w:r>
      <w:r>
        <w:fldChar w:fldCharType="separate"/>
      </w:r>
      <w:r>
        <w:t>180</w:t>
      </w:r>
      <w:r>
        <w:fldChar w:fldCharType="end"/>
      </w:r>
      <w:r>
        <w:rPr>
          <w:rFonts w:hint="eastAsia" w:ascii="宋体" w:hAnsi="宋体" w:eastAsia="宋体"/>
          <w:kern w:val="2"/>
          <w:lang w:val="en-US" w:eastAsia="zh-CN" w:bidi="ar-SA"/>
        </w:rPr>
        <w:fldChar w:fldCharType="end"/>
      </w:r>
    </w:p>
    <w:p w14:paraId="11AE26C2">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_Toc1936382791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六、 </w:t>
      </w:r>
      <w:r>
        <w:rPr>
          <w:rFonts w:hint="eastAsia" w:ascii="黑体" w:hAnsi="黑体" w:eastAsia="黑体" w:cs="黑体"/>
          <w:lang w:eastAsia="zh-CN"/>
        </w:rPr>
        <w:t>【</w:t>
      </w:r>
      <w:r>
        <w:rPr>
          <w:rFonts w:hint="eastAsia" w:ascii="黑体" w:hAnsi="黑体" w:eastAsia="黑体" w:cs="黑体"/>
          <w:lang w:val="en-US" w:eastAsia="zh-CN"/>
        </w:rPr>
        <w:t>待优化</w:t>
      </w:r>
      <w:r>
        <w:rPr>
          <w:rFonts w:hint="eastAsia" w:ascii="黑体" w:hAnsi="黑体" w:eastAsia="黑体" w:cs="黑体"/>
          <w:lang w:eastAsia="zh-CN"/>
        </w:rPr>
        <w:t>】</w:t>
      </w:r>
      <w:r>
        <w:rPr>
          <w:rFonts w:hint="eastAsia" w:ascii="黑体" w:hAnsi="黑体" w:eastAsia="黑体" w:cs="黑体"/>
        </w:rPr>
        <w:t>SCOS业务场景-智能化覆盖率映射表</w:t>
      </w:r>
      <w:r>
        <w:tab/>
      </w:r>
      <w:r>
        <w:fldChar w:fldCharType="begin"/>
      </w:r>
      <w:r>
        <w:instrText xml:space="preserve"> PAGEREF _Toc1936382791 \h </w:instrText>
      </w:r>
      <w:r>
        <w:fldChar w:fldCharType="separate"/>
      </w:r>
      <w:r>
        <w:t>183</w:t>
      </w:r>
      <w:r>
        <w:fldChar w:fldCharType="end"/>
      </w:r>
      <w:r>
        <w:rPr>
          <w:rFonts w:hint="eastAsia" w:ascii="宋体" w:hAnsi="宋体" w:eastAsia="宋体"/>
          <w:kern w:val="2"/>
          <w:lang w:val="en-US" w:eastAsia="zh-CN" w:bidi="ar-SA"/>
        </w:rPr>
        <w:fldChar w:fldCharType="end"/>
      </w:r>
    </w:p>
    <w:p w14:paraId="745BE224">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_Toc1818381699 </w:instrText>
      </w:r>
      <w:r>
        <w:rPr>
          <w:rFonts w:hint="eastAsia" w:ascii="宋体" w:hAnsi="宋体" w:eastAsia="宋体"/>
          <w:kern w:val="2"/>
          <w:lang w:val="en-US" w:eastAsia="zh-CN" w:bidi="ar-SA"/>
        </w:rPr>
        <w:fldChar w:fldCharType="separate"/>
      </w:r>
      <w:r>
        <w:rPr>
          <w:rFonts w:hint="eastAsia" w:ascii="黑体" w:hAnsi="黑体" w:eastAsia="黑体" w:cs="黑体"/>
        </w:rPr>
        <w:t>6.1 智能化场景清单</w:t>
      </w:r>
      <w:r>
        <w:tab/>
      </w:r>
      <w:r>
        <w:fldChar w:fldCharType="begin"/>
      </w:r>
      <w:r>
        <w:instrText xml:space="preserve"> PAGEREF _Toc1818381699 \h </w:instrText>
      </w:r>
      <w:r>
        <w:fldChar w:fldCharType="separate"/>
      </w:r>
      <w:r>
        <w:t>183</w:t>
      </w:r>
      <w:r>
        <w:fldChar w:fldCharType="end"/>
      </w:r>
      <w:r>
        <w:rPr>
          <w:rFonts w:hint="eastAsia" w:ascii="宋体" w:hAnsi="宋体" w:eastAsia="宋体"/>
          <w:kern w:val="2"/>
          <w:lang w:val="en-US" w:eastAsia="zh-CN" w:bidi="ar-SA"/>
        </w:rPr>
        <w:fldChar w:fldCharType="end"/>
      </w:r>
    </w:p>
    <w:p w14:paraId="4B5DAE72">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_Toc701434636 </w:instrText>
      </w:r>
      <w:r>
        <w:rPr>
          <w:rFonts w:hint="eastAsia" w:ascii="宋体" w:hAnsi="宋体" w:eastAsia="宋体"/>
          <w:kern w:val="2"/>
          <w:lang w:val="en-US" w:eastAsia="zh-CN" w:bidi="ar-SA"/>
        </w:rPr>
        <w:fldChar w:fldCharType="separate"/>
      </w:r>
      <w:r>
        <w:rPr>
          <w:rFonts w:hint="eastAsia" w:ascii="黑体" w:hAnsi="黑体" w:eastAsia="黑体" w:cs="黑体"/>
        </w:rPr>
        <w:t>6.2 场景验收指标</w:t>
      </w:r>
      <w:r>
        <w:tab/>
      </w:r>
      <w:r>
        <w:fldChar w:fldCharType="begin"/>
      </w:r>
      <w:r>
        <w:instrText xml:space="preserve"> PAGEREF _Toc701434636 \h </w:instrText>
      </w:r>
      <w:r>
        <w:fldChar w:fldCharType="separate"/>
      </w:r>
      <w:r>
        <w:t>183</w:t>
      </w:r>
      <w:r>
        <w:fldChar w:fldCharType="end"/>
      </w:r>
      <w:r>
        <w:rPr>
          <w:rFonts w:hint="eastAsia" w:ascii="宋体" w:hAnsi="宋体" w:eastAsia="宋体"/>
          <w:kern w:val="2"/>
          <w:lang w:val="en-US" w:eastAsia="zh-CN" w:bidi="ar-SA"/>
        </w:rPr>
        <w:fldChar w:fldCharType="end"/>
      </w:r>
    </w:p>
    <w:p w14:paraId="336D4F34">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_Toc1474188869 </w:instrText>
      </w:r>
      <w:r>
        <w:rPr>
          <w:rFonts w:hint="eastAsia" w:ascii="宋体" w:hAnsi="宋体" w:eastAsia="宋体"/>
          <w:kern w:val="2"/>
          <w:lang w:val="en-US" w:eastAsia="zh-CN" w:bidi="ar-SA"/>
        </w:rPr>
        <w:fldChar w:fldCharType="separate"/>
      </w:r>
      <w:r>
        <w:rPr>
          <w:rFonts w:hint="eastAsia" w:ascii="黑体" w:hAnsi="黑体" w:eastAsia="黑体" w:cs="黑体"/>
        </w:rPr>
        <w:t>6.3 智能化场景覆盖率</w:t>
      </w:r>
      <w:r>
        <w:tab/>
      </w:r>
      <w:r>
        <w:fldChar w:fldCharType="begin"/>
      </w:r>
      <w:r>
        <w:instrText xml:space="preserve"> PAGEREF _Toc1474188869 \h </w:instrText>
      </w:r>
      <w:r>
        <w:fldChar w:fldCharType="separate"/>
      </w:r>
      <w:r>
        <w:t>185</w:t>
      </w:r>
      <w:r>
        <w:fldChar w:fldCharType="end"/>
      </w:r>
      <w:r>
        <w:rPr>
          <w:rFonts w:hint="eastAsia" w:ascii="宋体" w:hAnsi="宋体" w:eastAsia="宋体"/>
          <w:kern w:val="2"/>
          <w:lang w:val="en-US" w:eastAsia="zh-CN" w:bidi="ar-SA"/>
        </w:rPr>
        <w:fldChar w:fldCharType="end"/>
      </w:r>
    </w:p>
    <w:p w14:paraId="17CF3F3B">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_Toc1173485844 </w:instrText>
      </w:r>
      <w:r>
        <w:rPr>
          <w:rFonts w:hint="eastAsia" w:ascii="宋体" w:hAnsi="宋体" w:eastAsia="宋体"/>
          <w:kern w:val="2"/>
          <w:lang w:val="en-US" w:eastAsia="zh-CN" w:bidi="ar-SA"/>
        </w:rPr>
        <w:fldChar w:fldCharType="separate"/>
      </w:r>
      <w:r>
        <w:rPr>
          <w:rFonts w:hint="eastAsia" w:ascii="黑体" w:hAnsi="黑体" w:eastAsia="黑体" w:cs="黑体"/>
        </w:rPr>
        <w:t>七、 SCOS非功能性需求响应表</w:t>
      </w:r>
      <w:r>
        <w:tab/>
      </w:r>
      <w:r>
        <w:fldChar w:fldCharType="begin"/>
      </w:r>
      <w:r>
        <w:instrText xml:space="preserve"> PAGEREF _Toc1173485844 \h </w:instrText>
      </w:r>
      <w:r>
        <w:fldChar w:fldCharType="separate"/>
      </w:r>
      <w:r>
        <w:t>186</w:t>
      </w:r>
      <w:r>
        <w:fldChar w:fldCharType="end"/>
      </w:r>
      <w:r>
        <w:rPr>
          <w:rFonts w:hint="eastAsia" w:ascii="宋体" w:hAnsi="宋体" w:eastAsia="宋体"/>
          <w:kern w:val="2"/>
          <w:lang w:val="en-US" w:eastAsia="zh-CN" w:bidi="ar-SA"/>
        </w:rPr>
        <w:fldChar w:fldCharType="end"/>
      </w:r>
    </w:p>
    <w:p w14:paraId="3E9CB7E0">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_Toc286766060 </w:instrText>
      </w:r>
      <w:r>
        <w:rPr>
          <w:rFonts w:hint="eastAsia" w:ascii="宋体" w:hAnsi="宋体" w:eastAsia="宋体"/>
          <w:kern w:val="2"/>
          <w:lang w:val="en-US" w:eastAsia="zh-CN" w:bidi="ar-SA"/>
        </w:rPr>
        <w:fldChar w:fldCharType="separate"/>
      </w:r>
      <w:r>
        <w:rPr>
          <w:rFonts w:hint="eastAsia" w:ascii="黑体" w:hAnsi="黑体" w:eastAsia="黑体" w:cs="黑体"/>
        </w:rPr>
        <w:t>八、 SCOS蓝图交付物清单</w:t>
      </w:r>
      <w:r>
        <w:tab/>
      </w:r>
      <w:r>
        <w:fldChar w:fldCharType="begin"/>
      </w:r>
      <w:r>
        <w:instrText xml:space="preserve"> PAGEREF _Toc286766060 \h </w:instrText>
      </w:r>
      <w:r>
        <w:fldChar w:fldCharType="separate"/>
      </w:r>
      <w:r>
        <w:t>187</w:t>
      </w:r>
      <w:r>
        <w:fldChar w:fldCharType="end"/>
      </w:r>
      <w:r>
        <w:rPr>
          <w:rFonts w:hint="eastAsia" w:ascii="宋体" w:hAnsi="宋体" w:eastAsia="宋体"/>
          <w:kern w:val="2"/>
          <w:lang w:val="en-US" w:eastAsia="zh-CN" w:bidi="ar-SA"/>
        </w:rPr>
        <w:fldChar w:fldCharType="end"/>
      </w:r>
    </w:p>
    <w:p w14:paraId="403CAE5F">
      <w:pPr>
        <w:tabs>
          <w:tab w:val="right" w:leader="dot" w:pos="8312"/>
        </w:tabs>
        <w:rPr>
          <w:rFonts w:hint="eastAsia" w:ascii="宋体" w:hAnsi="宋体" w:eastAsia="宋体"/>
          <w:kern w:val="2"/>
          <w:lang w:val="en-US" w:eastAsia="zh-CN" w:bidi="ar-SA"/>
        </w:rPr>
      </w:pPr>
      <w:r>
        <w:rPr>
          <w:rFonts w:hint="eastAsia" w:ascii="宋体" w:hAnsi="宋体" w:eastAsia="宋体"/>
          <w:kern w:val="2"/>
          <w:lang w:val="en-US" w:eastAsia="zh-CN" w:bidi="ar-SA"/>
        </w:rPr>
        <w:fldChar w:fldCharType="end"/>
      </w:r>
      <w:bookmarkStart w:id="0" w:name="_Toc94928789"/>
    </w:p>
    <w:p w14:paraId="20D5C76F">
      <w:pPr>
        <w:pStyle w:val="2"/>
        <w:bidi w:val="0"/>
        <w:rPr>
          <w:rFonts w:hint="eastAsia" w:ascii="黑体" w:hAnsi="黑体" w:eastAsia="黑体" w:cs="黑体"/>
          <w:b/>
          <w:bCs w:val="0"/>
          <w:lang w:val="en-US" w:eastAsia="zh-CN"/>
        </w:rPr>
      </w:pPr>
      <w:r>
        <w:rPr>
          <w:rFonts w:hint="eastAsia" w:ascii="宋体" w:hAnsi="宋体" w:eastAsia="宋体"/>
          <w:kern w:val="2"/>
          <w:lang w:val="en-US" w:eastAsia="zh-CN" w:bidi="ar-SA"/>
        </w:rPr>
        <w:br w:type="page"/>
      </w:r>
      <w:bookmarkStart w:id="1" w:name="_Toc1841465809"/>
      <w:r>
        <w:rPr>
          <w:rFonts w:hint="eastAsia" w:ascii="黑体" w:hAnsi="黑体" w:eastAsia="黑体" w:cs="黑体"/>
          <w:b/>
          <w:bCs w:val="0"/>
          <w:kern w:val="2"/>
          <w:lang w:val="en-US" w:eastAsia="zh-CN" w:bidi="ar-SA"/>
        </w:rPr>
        <w:t>前言</w:t>
      </w:r>
      <w:bookmarkEnd w:id="1"/>
    </w:p>
    <w:p w14:paraId="283119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heme="minorEastAsia" w:hAnsiTheme="minorEastAsia" w:eastAsiaTheme="minorEastAsia" w:cstheme="minorEastAsia"/>
          <w:color w:val="000000"/>
          <w:kern w:val="2"/>
          <w:sz w:val="24"/>
          <w:szCs w:val="24"/>
          <w:highlight w:val="none"/>
          <w:lang w:val="en-US" w:eastAsia="zh-CN" w:bidi="ar-SA"/>
        </w:rPr>
      </w:pPr>
      <w:r>
        <w:rPr>
          <w:rFonts w:hint="eastAsia" w:asciiTheme="minorEastAsia" w:hAnsiTheme="minorEastAsia" w:eastAsiaTheme="minorEastAsia" w:cstheme="minorEastAsia"/>
          <w:color w:val="000000"/>
          <w:kern w:val="2"/>
          <w:sz w:val="24"/>
          <w:szCs w:val="24"/>
          <w:highlight w:val="none"/>
          <w:lang w:val="en-US" w:eastAsia="zh-CN" w:bidi="ar-SA"/>
        </w:rPr>
        <w:t>本蓝图适用于中粮生物科技太仓项目供应链运营中心及全局供应链优化协同全流程，覆盖采购决策优化、精益生产排程、安全库存管控、储运协同调度、统计与成本核算、供应链全程追溯及全局运营驾驶舱等核心业务场景的智能化优化管理；系统初始使用范围为供应链计划员、生产调度员、采购专员、成本核算员、仓管员、物流调度员等5-6个核心岗位的日常运营操作，同步支撑销售、品控、仓储、质量、生产、财务、采购、管理层等跨部门协同角色的决策分析与数据查阅。</w:t>
      </w:r>
    </w:p>
    <w:p w14:paraId="4BEBAB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p>
    <w:bookmarkEnd w:id="0"/>
    <w:p w14:paraId="1248A598">
      <w:pPr>
        <w:pStyle w:val="2"/>
        <w:bidi w:val="0"/>
        <w:rPr>
          <w:rFonts w:hint="eastAsia" w:ascii="黑体" w:hAnsi="黑体" w:eastAsia="黑体" w:cs="黑体"/>
          <w:b/>
          <w:bCs w:val="0"/>
          <w:lang w:val="en-US" w:eastAsia="zh-CN"/>
        </w:rPr>
      </w:pPr>
      <w:bookmarkStart w:id="2" w:name="_Toc924792419"/>
      <w:bookmarkStart w:id="3" w:name="_Toc2129014946"/>
      <w:r>
        <w:rPr>
          <w:rFonts w:hint="eastAsia" w:ascii="黑体" w:hAnsi="黑体" w:eastAsia="黑体" w:cs="黑体"/>
          <w:b/>
          <w:bCs w:val="0"/>
          <w:lang w:val="en-US" w:eastAsia="zh-CN"/>
        </w:rPr>
        <w:t>SCOS业务蓝图交付物</w:t>
      </w:r>
      <w:bookmarkEnd w:id="2"/>
      <w:bookmarkEnd w:id="3"/>
    </w:p>
    <w:p w14:paraId="027BC767">
      <w:pPr>
        <w:pStyle w:val="3"/>
        <w:bidi w:val="0"/>
        <w:rPr>
          <w:rFonts w:hint="eastAsia" w:ascii="黑体" w:hAnsi="黑体" w:eastAsia="黑体" w:cs="黑体"/>
          <w:b/>
          <w:bCs w:val="0"/>
          <w:sz w:val="30"/>
          <w:szCs w:val="30"/>
        </w:rPr>
      </w:pPr>
      <w:bookmarkStart w:id="4" w:name="_Toc1647032794"/>
      <w:bookmarkStart w:id="5" w:name="_Toc981671108"/>
      <w:bookmarkStart w:id="6" w:name="_PLM业务流程总览"/>
      <w:bookmarkStart w:id="7" w:name="_SCOS业务流程总览"/>
      <w:r>
        <w:rPr>
          <w:rFonts w:hint="eastAsia" w:ascii="黑体" w:hAnsi="黑体" w:eastAsia="黑体" w:cs="黑体"/>
          <w:b/>
          <w:bCs w:val="0"/>
          <w:sz w:val="30"/>
          <w:szCs w:val="30"/>
          <w:lang w:val="en-US" w:eastAsia="zh-CN"/>
        </w:rPr>
        <w:t>SCOS业务流程总览</w:t>
      </w:r>
      <w:bookmarkEnd w:id="4"/>
      <w:bookmarkEnd w:id="5"/>
    </w:p>
    <w:bookmarkEnd w:id="6"/>
    <w:bookmarkEnd w:id="7"/>
    <w:p w14:paraId="685C6D9F">
      <w:pPr>
        <w:pStyle w:val="5"/>
        <w:jc w:val="both"/>
        <w:rPr>
          <w:rFonts w:hint="eastAsia" w:eastAsia="宋体"/>
          <w:lang w:eastAsia="zh-CN"/>
        </w:rPr>
      </w:pPr>
      <w:r>
        <w:rPr>
          <w:rFonts w:hint="eastAsia" w:eastAsia="宋体"/>
          <w:lang w:eastAsia="zh-CN"/>
        </w:rPr>
        <w:drawing>
          <wp:inline distT="0" distB="0" distL="114300" distR="114300">
            <wp:extent cx="2654300" cy="9217660"/>
            <wp:effectExtent l="0" t="0" r="12700" b="2540"/>
            <wp:docPr id="8" name="图片 8" descr="业务总图_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业务总图_v1.0"/>
                    <pic:cNvPicPr>
                      <a:picLocks noChangeAspect="1"/>
                    </pic:cNvPicPr>
                  </pic:nvPicPr>
                  <pic:blipFill>
                    <a:blip r:embed="rId10"/>
                    <a:stretch>
                      <a:fillRect/>
                    </a:stretch>
                  </pic:blipFill>
                  <pic:spPr>
                    <a:xfrm>
                      <a:off x="0" y="0"/>
                      <a:ext cx="2654300" cy="9217660"/>
                    </a:xfrm>
                    <a:prstGeom prst="rect">
                      <a:avLst/>
                    </a:prstGeom>
                  </pic:spPr>
                </pic:pic>
              </a:graphicData>
            </a:graphic>
          </wp:inline>
        </w:drawing>
      </w:r>
    </w:p>
    <w:p w14:paraId="5D768F47">
      <w:pPr>
        <w:pStyle w:val="3"/>
        <w:bidi w:val="0"/>
        <w:rPr>
          <w:rFonts w:hint="eastAsia" w:ascii="黑体" w:hAnsi="黑体" w:eastAsia="黑体" w:cs="黑体"/>
          <w:b/>
          <w:bCs w:val="0"/>
        </w:rPr>
      </w:pPr>
      <w:bookmarkStart w:id="8" w:name="_Toc1976935902"/>
      <w:bookmarkStart w:id="9" w:name="_【核心部分-待后续优化】关键业务流程说明"/>
      <w:bookmarkStart w:id="10" w:name="_关键业务流程说明"/>
      <w:r>
        <w:rPr>
          <w:rFonts w:hint="eastAsia" w:ascii="黑体" w:hAnsi="黑体" w:eastAsia="黑体" w:cs="黑体"/>
          <w:b/>
          <w:bCs w:val="0"/>
          <w:lang w:val="en-US" w:eastAsia="zh-CN"/>
        </w:rPr>
        <w:t>【</w:t>
      </w:r>
      <w:r>
        <w:rPr>
          <w:rFonts w:hint="eastAsia" w:ascii="黑体" w:hAnsi="黑体" w:eastAsia="黑体" w:cs="黑体"/>
          <w:b/>
          <w:bCs w:val="0"/>
          <w:color w:val="FF0000"/>
          <w:lang w:val="en-US" w:eastAsia="zh-CN"/>
        </w:rPr>
        <w:t>核心部分-待后续优化</w:t>
      </w:r>
      <w:r>
        <w:rPr>
          <w:rFonts w:hint="eastAsia" w:ascii="黑体" w:hAnsi="黑体" w:eastAsia="黑体" w:cs="黑体"/>
          <w:b/>
          <w:bCs w:val="0"/>
          <w:lang w:val="en-US" w:eastAsia="zh-CN"/>
        </w:rPr>
        <w:t>】关键业务流程说明</w:t>
      </w:r>
      <w:bookmarkEnd w:id="8"/>
    </w:p>
    <w:bookmarkEnd w:id="9"/>
    <w:p w14:paraId="399DBE68">
      <w:pPr>
        <w:pStyle w:val="4"/>
        <w:bidi w:val="0"/>
        <w:ind w:left="161" w:leftChars="0" w:firstLineChars="0"/>
        <w:rPr>
          <w:rFonts w:hint="eastAsia" w:ascii="黑体" w:hAnsi="黑体" w:eastAsia="黑体" w:cs="黑体"/>
          <w:b/>
          <w:bCs w:val="0"/>
          <w:lang w:val="en-US"/>
        </w:rPr>
      </w:pPr>
      <w:bookmarkStart w:id="11" w:name="_Toc494718530"/>
      <w:r>
        <w:rPr>
          <w:rFonts w:hint="eastAsia" w:ascii="黑体" w:hAnsi="黑体" w:eastAsia="黑体" w:cs="黑体"/>
          <w:b/>
          <w:bCs w:val="0"/>
          <w:lang w:val="en-US" w:eastAsia="zh-CN"/>
        </w:rPr>
        <w:t>库存优化</w:t>
      </w:r>
      <w:bookmarkEnd w:id="11"/>
    </w:p>
    <w:bookmarkEnd w:id="10"/>
    <w:p w14:paraId="2F67130D">
      <w:pPr>
        <w:pStyle w:val="6"/>
        <w:bidi w:val="0"/>
        <w:rPr>
          <w:rFonts w:hint="eastAsia" w:ascii="黑体" w:hAnsi="黑体" w:eastAsia="黑体" w:cs="黑体"/>
          <w:b/>
          <w:bCs w:val="0"/>
          <w:lang w:eastAsia="zh-CN"/>
        </w:rPr>
      </w:pPr>
      <w:r>
        <w:rPr>
          <w:rFonts w:hint="eastAsia" w:ascii="黑体" w:hAnsi="黑体" w:eastAsia="黑体" w:cs="黑体"/>
          <w:b/>
          <w:bCs w:val="0"/>
          <w:lang w:val="en-US" w:eastAsia="zh-CN"/>
        </w:rPr>
        <w:t>月度成品库存策略制定流程</w:t>
      </w:r>
    </w:p>
    <w:p w14:paraId="508AB8C6">
      <w:pPr>
        <w:numPr>
          <w:ilvl w:val="0"/>
          <w:numId w:val="0"/>
        </w:numPr>
        <w:jc w:val="center"/>
        <w:rPr>
          <w:rFonts w:hint="eastAsia" w:eastAsia="宋体"/>
          <w:lang w:eastAsia="zh-CN"/>
        </w:rPr>
      </w:pPr>
      <w:r>
        <w:rPr>
          <w:rFonts w:hint="eastAsia" w:eastAsia="宋体"/>
          <w:lang w:eastAsia="zh-CN"/>
        </w:rPr>
        <w:drawing>
          <wp:inline distT="0" distB="0" distL="114300" distR="114300">
            <wp:extent cx="5260975" cy="2154555"/>
            <wp:effectExtent l="0" t="0" r="22225" b="4445"/>
            <wp:docPr id="19" name="图片 19" descr="业务蓝图_月度成品库存策略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业务蓝图_月度成品库存策略制定流程_优化"/>
                    <pic:cNvPicPr>
                      <a:picLocks noChangeAspect="1"/>
                    </pic:cNvPicPr>
                  </pic:nvPicPr>
                  <pic:blipFill>
                    <a:blip r:embed="rId11"/>
                    <a:stretch>
                      <a:fillRect/>
                    </a:stretch>
                  </pic:blipFill>
                  <pic:spPr>
                    <a:xfrm>
                      <a:off x="0" y="0"/>
                      <a:ext cx="5260975" cy="2154555"/>
                    </a:xfrm>
                    <a:prstGeom prst="rect">
                      <a:avLst/>
                    </a:prstGeom>
                  </pic:spPr>
                </pic:pic>
              </a:graphicData>
            </a:graphic>
          </wp:inline>
        </w:drawing>
      </w:r>
    </w:p>
    <w:tbl>
      <w:tblPr>
        <w:tblStyle w:val="31"/>
        <w:tblW w:w="5793" w:type="pct"/>
        <w:tblInd w:w="-7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30"/>
        <w:gridCol w:w="1285"/>
        <w:gridCol w:w="873"/>
        <w:gridCol w:w="1709"/>
        <w:gridCol w:w="2000"/>
        <w:gridCol w:w="1515"/>
        <w:gridCol w:w="1683"/>
      </w:tblGrid>
      <w:tr w14:paraId="2B8FA8E6">
        <w:trPr>
          <w:tblHeader/>
        </w:trPr>
        <w:tc>
          <w:tcPr>
            <w:tcW w:w="5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976C33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3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CDF5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CC20F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19B5B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E9C3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5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65C71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3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C059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E515F11">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75B6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18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6944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50F5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D808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每月25日进入下月成品库存策略和月度总生产补充计划制定周期</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C6A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13E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3E410BF">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D8EB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898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形成下月需求与库存策略计算范围</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9D74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869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输入：下月不同成品出货计划、已明确销售订单、当前库存、计划生产入库和待发运信息；</w:t>
            </w:r>
          </w:p>
          <w:p w14:paraId="09316A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输出：不同成品日度计划需求和策略计算范围（覆盖哪些成品以及计划展望期）</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7BD4C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对月度预计出货总量进行日度分解；已有明确出货计划或销售订单的日期优先使用出货或订单量，其余数量分摊至未有明确订单或出货的日期，生成日度需求计划</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627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数据缺失或状态异常时，暂不进入正式计算并提示库存计划员处理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D38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P-ZLTC-SCOS-KCYH-001-10-001</w:t>
            </w:r>
          </w:p>
        </w:tc>
      </w:tr>
      <w:tr w14:paraId="6D365E96">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9271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0DCC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EE50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10F3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输入：日度需求计划、历史出库波动、生产补充周期、服务水平、成品—储罐映射及有效容量</w:t>
            </w:r>
          </w:p>
          <w:p w14:paraId="45D438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输出：安全库存、再订货点、目标库存、下月总补充量及建议入库节奏</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58F8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按成品运行动态 (R,s,S) 模型，计算“存多少、何时补、补多少”。目标库存和总补充量需经有效储罐容量、最大库存天数等约束校验</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A9B2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目标库存超过成品有效容量时，按当前可执行容量给出结果并标记服务水平风险</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4018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P-ZLTC-SCOS-KCYH-001-20-001</w:t>
            </w:r>
          </w:p>
        </w:tc>
      </w:tr>
      <w:tr w14:paraId="14B464DF">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794A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5677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6888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69F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输入：月度库存策略、总生产补充计划、计算依据及风险提示；</w:t>
            </w:r>
          </w:p>
          <w:p w14:paraId="454B98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输出：拟定成品库存策略</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CD4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复核服务水平、生产补充周期、容量约束和月度补充总量。可对候选服务水平或补充周期进行辅助情景比较，比较结果不直接修改正式策略</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90F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参数或业务条件需要修改时，可返回20重新计算</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A7C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P-ZLTC-SCOS-KCYH-001-30-001</w:t>
            </w:r>
          </w:p>
        </w:tc>
      </w:tr>
      <w:tr w14:paraId="799A5BC1">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8A85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E13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BE7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1879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输入：拟定库存策略；</w:t>
            </w:r>
          </w:p>
          <w:p w14:paraId="013E2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958C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系统校验必要参数和生产补充量，由库存计划员确认提交</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0EF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F94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P-ZLTC-SCOS-KCYH-001-40-001</w:t>
            </w:r>
          </w:p>
        </w:tc>
      </w:tr>
      <w:tr w14:paraId="7C8838F4">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7BE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BB90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B92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6FC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输入：拟定库存策略和总生产补充计划；</w:t>
            </w:r>
          </w:p>
          <w:p w14:paraId="381C01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174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审核服务水平、库存风险、容量约束和生产补充计划的合理性</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E41A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N：退回30补充或修改；Y：进入60</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F709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P-ZLTC-SCOS-KCYH-001-50-001</w:t>
            </w:r>
          </w:p>
        </w:tc>
      </w:tr>
      <w:tr w14:paraId="751CA895">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690B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7E6F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发布月度库存策略与总生产补充计划</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80E7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C792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输入：审批通过的策略；</w:t>
            </w:r>
          </w:p>
          <w:p w14:paraId="396779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输出：已发布的安全库存、再订货点、目标库存、月度总生产补充计划及版本</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EB0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策略发布后在月内作为周度库存计划和日度库存监控基准，并保存数据快照、模型参数、人工调整和审批轨迹</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F1E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89D2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P-ZLTC-SCOS-KCYH-001-60-001</w:t>
            </w:r>
          </w:p>
        </w:tc>
      </w:tr>
      <w:tr w14:paraId="3E810BDE">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648F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7367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进入周度计划分解</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98AF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FCC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输入：已发布的月度总生产补充量及建议入库节奏；</w:t>
            </w:r>
          </w:p>
          <w:p w14:paraId="3E3547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输出：周度计划分解基准</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A4AD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将月度总补充量作为总量控制口径，进入后续周度生产补充计划制定。月度流程不直接确定每周、每日的生产数量</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B75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月度策略或总量未发布时，不得作为正式周计划基准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2BA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P-ZLTC-SCOS-KCYH-001-70-001</w:t>
            </w:r>
          </w:p>
        </w:tc>
      </w:tr>
      <w:tr w14:paraId="29A1F40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2FC6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284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775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97A2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输出：已发布月度成品库存策略及总生产补充计划</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6E17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月度库存策略制定完成</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1F1B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C10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3E9B94">
      <w:pPr>
        <w:numPr>
          <w:ilvl w:val="0"/>
          <w:numId w:val="0"/>
        </w:numPr>
        <w:jc w:val="center"/>
        <w:rPr>
          <w:rFonts w:hint="default"/>
          <w:lang w:val="en-US" w:eastAsia="zh-CN"/>
        </w:rPr>
      </w:pPr>
    </w:p>
    <w:p w14:paraId="1CABE0CE">
      <w:pPr>
        <w:pStyle w:val="6"/>
        <w:bidi w:val="0"/>
        <w:outlineLvl w:val="3"/>
        <w:rPr>
          <w:rFonts w:hint="eastAsia" w:ascii="黑体" w:hAnsi="黑体" w:eastAsia="黑体" w:cs="黑体"/>
          <w:b/>
          <w:bCs/>
          <w:lang w:val="en-US" w:eastAsia="zh-CN"/>
        </w:rPr>
      </w:pPr>
      <w:r>
        <w:rPr>
          <w:rFonts w:hint="eastAsia" w:ascii="黑体" w:hAnsi="黑体" w:eastAsia="黑体" w:cs="黑体"/>
          <w:b/>
          <w:bCs/>
          <w:lang w:val="en-US" w:eastAsia="zh-CN"/>
        </w:rPr>
        <w:t>周度生产补充计划制定流程</w:t>
      </w:r>
    </w:p>
    <w:p w14:paraId="0D43BAD1">
      <w:pPr>
        <w:jc w:val="center"/>
        <w:rPr>
          <w:rFonts w:hint="default"/>
          <w:lang w:val="en-US" w:eastAsia="zh-CN"/>
        </w:rPr>
      </w:pPr>
      <w:r>
        <w:rPr>
          <w:rFonts w:hint="default"/>
          <w:lang w:val="en-US" w:eastAsia="zh-CN"/>
        </w:rPr>
        <w:drawing>
          <wp:inline distT="0" distB="0" distL="114300" distR="114300">
            <wp:extent cx="5257800" cy="1507490"/>
            <wp:effectExtent l="0" t="0" r="0" b="16510"/>
            <wp:docPr id="20" name="图片 20" descr="业务蓝图_周度生产补充计划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业务蓝图_周度生产补充计划制定流程_优化"/>
                    <pic:cNvPicPr>
                      <a:picLocks noChangeAspect="1"/>
                    </pic:cNvPicPr>
                  </pic:nvPicPr>
                  <pic:blipFill>
                    <a:blip r:embed="rId12"/>
                    <a:stretch>
                      <a:fillRect/>
                    </a:stretch>
                  </pic:blipFill>
                  <pic:spPr>
                    <a:xfrm>
                      <a:off x="0" y="0"/>
                      <a:ext cx="5257800" cy="1507490"/>
                    </a:xfrm>
                    <a:prstGeom prst="rect">
                      <a:avLst/>
                    </a:prstGeom>
                  </pic:spPr>
                </pic:pic>
              </a:graphicData>
            </a:graphic>
          </wp:inline>
        </w:drawing>
      </w:r>
    </w:p>
    <w:tbl>
      <w:tblPr>
        <w:tblStyle w:val="31"/>
        <w:tblW w:w="5878" w:type="pct"/>
        <w:tblInd w:w="-63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1327"/>
        <w:gridCol w:w="884"/>
        <w:gridCol w:w="1552"/>
        <w:gridCol w:w="2146"/>
        <w:gridCol w:w="1635"/>
        <w:gridCol w:w="1880"/>
      </w:tblGrid>
      <w:tr w14:paraId="6234CA63">
        <w:trPr>
          <w:tblHeader/>
        </w:trPr>
        <w:tc>
          <w:tcPr>
            <w:tcW w:w="3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00E526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2C39C0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2CCA8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1534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7BEE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53A8B7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1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07413D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D1A0C9B">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3AF4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63B0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A183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73E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22A7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每周五进入周度生产补充计划制定周期，一次性面向未来4周进行计算。每周均按“周六至下周五”定义，其中第1周为本次计算日次日（周六）至下周五</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A8A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BD8A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C947A70">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499A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57AE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汇集周计划输入数据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091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516A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输入：已发布月度总补充计划、月度剩余待生产量、未来4周日度需求计划、当前可用库存、已有生产排程、计划入库及储罐容量；</w:t>
            </w:r>
          </w:p>
          <w:p w14:paraId="741FC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输出：未来4周生产补充计算数据集</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766E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通过统一数据服务层提供本次计算所需的最新业务数据。月度剩余待生产量需扣除已完工量和已排程未完工量，并统一数据时点与版本</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B0360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数据缺失、过期或状态冲突时，暂不生成正式建议并提示人工核实</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347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P-ZLTC-SCOS-KCYH-002-10-001</w:t>
            </w:r>
          </w:p>
        </w:tc>
      </w:tr>
      <w:tr w14:paraId="14A00C24">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005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594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生成未来4周日度生产补充量</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012A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8D1A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输入：未来4周生产补充计算数据集、当月已发布库存策略；</w:t>
            </w:r>
          </w:p>
          <w:p w14:paraId="55AC6B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输出：不同成品未来4周日度生产补充量</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27F6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每周五一次性向后计算4周，按日结合日度需求计划、可用库存、已有计划入库和月度库存策略生成日度生产补充量；周界严格采用周六至下周五。</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1478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某日无需新增补充时，日度生产补充量可为0；受库存容量或月度剩余量限制时，输出可执行数量并标记风险</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38E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P-ZLTC-SCOS-KCYH-002-20-001</w:t>
            </w:r>
          </w:p>
        </w:tc>
      </w:tr>
      <w:tr w14:paraId="1FFA3BFE">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F83A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23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EAC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F5D6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输入：不同成品未来4周日度生产补充量；</w:t>
            </w:r>
          </w:p>
          <w:p w14:paraId="5B8514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输出：不同成品未来4周周度生产补充建议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5E0F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对每个“周六至下周五”周期内的日度生产补充量进行加和，分别得到第1周至第4周的周度生产补充建议，并保留周度结果与日度明细的对应关系</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C2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日度结果缺失或周期归属异常时，不生成对应周的正式汇总结果并提示校验</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ACA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P-ZLTC-SCOS-KCYH-002-30-001</w:t>
            </w:r>
          </w:p>
        </w:tc>
      </w:tr>
      <w:tr w14:paraId="3189217E">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6EF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AC85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C47E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180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输入：不同成品未来4周周度生产补充建议、日度明细、月度剩余量及库存/容量风险；</w:t>
            </w:r>
          </w:p>
          <w:p w14:paraId="588143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输出：拟定4周周度生产补充建议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FD23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复核4周周度总量、各周分配、日度构成、月度剩余量、已有排程和储罐容量，确认建议是否具备提交生产计划员承接的条件</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5F1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业务条件或建议数量需要修改时，可返回20重新计算日度生产补充量</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E9EB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P-ZLTC-SCOS-KCYH-002-40-001</w:t>
            </w:r>
          </w:p>
        </w:tc>
      </w:tr>
      <w:tr w14:paraId="4A10E056">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012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3F4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B072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903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输入：拟定4周周度生产补充建议；输出：库存侧确认结论</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855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系统校验4周汇总结果与日度明细一致性，由库存计划员确认提交生产计划员</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84E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N：返回40调整；Y：进入60。</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1BE1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P-ZLTC-SCOS-KCYH-002-50-001</w:t>
            </w:r>
          </w:p>
        </w:tc>
      </w:tr>
      <w:tr w14:paraId="33F84FD4">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8D02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FB7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确认生产排程承接安排</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DE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61B8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输入：库存侧已确认的4周周度生产补充建议及日度明细；输出：生产排程承接意见</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D005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结合产能、设备、原料、工艺和已确认生产任务，确认周度生产补充建议能否纳入生产排程，并明确相关排程约束</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5B4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无法承接时，应明确受影响周次、可承接数量及约束原因</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512C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P-ZLTC-SCOS-KCYH-002-60-001</w:t>
            </w:r>
          </w:p>
        </w:tc>
      </w:tr>
      <w:tr w14:paraId="6DCEF1E0">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3F9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3A60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确认纳入生产排程</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A5A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8EBC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输入：4周周度生产补充建议和生产排程承接意见；</w:t>
            </w:r>
          </w:p>
          <w:p w14:paraId="7F7AB0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输出：纳入生产排程的确认结论</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69F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判断并确认周度生产补充建议是否纳入生产排程</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536B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N：返回60协调承接安排；Y：进入80</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2DFA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P-ZLTC-SCOS-KCYH-002-70-001</w:t>
            </w:r>
          </w:p>
        </w:tc>
      </w:tr>
      <w:tr w14:paraId="05B4360D">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268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5E0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锁定第1周生产补充量</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81B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C29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输入：已确认纳入生产排程的4周周度生产补充建议；</w:t>
            </w:r>
          </w:p>
          <w:p w14:paraId="29EADB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输出：锁定第1周的周度生产补充量</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8A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对第1周（本次计算日次日周六至下周五）的生产补充量进行锁定。锁定后不可修改；第2周至第4周保留为后续滚动评审建议，不作为本次锁定范围</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3C83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锁定失败时不进入发布，并保留待锁定状态及失败原因</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FAE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P-ZLTC-SCOS-KCYH-002-80-001</w:t>
            </w:r>
          </w:p>
        </w:tc>
      </w:tr>
      <w:tr w14:paraId="1FE23F02">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91FD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ED40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发布周度生产补货计划</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C59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1A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输入：锁定第1周的周度生产补充量、排程确认结论；</w:t>
            </w:r>
          </w:p>
          <w:p w14:paraId="4CDED40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输出：已发布的锁定第1周的周度生产补充计划及版本</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DFE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发布锁定第1周的周度生产补货计划，作为生产排程执行与日度滚动校验的正式基准，同时保留评审、排程确认轨迹</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0299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发布或下发失败时保留待发布状态，已锁定的第1周生产补充量不得修改</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1554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P-ZLTC-SCOS-KCYH-002-90-001</w:t>
            </w:r>
          </w:p>
        </w:tc>
      </w:tr>
      <w:tr w14:paraId="18263530">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19E6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B53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2F6D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6B6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输出：已发布且第1周生产补充量已锁定的周度生产补充计划</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38C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本周周度生产补充计划制定完成；下一周五重新向后滚动生成未来4周日度生产补充量和周度建议</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20396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66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41F2BFD">
      <w:pPr>
        <w:jc w:val="center"/>
        <w:rPr>
          <w:rFonts w:hint="default"/>
          <w:lang w:val="en-US" w:eastAsia="zh-CN"/>
        </w:rPr>
      </w:pPr>
    </w:p>
    <w:p w14:paraId="2849FE2A">
      <w:pPr>
        <w:rPr>
          <w:rFonts w:hint="default"/>
          <w:lang w:val="en-US" w:eastAsia="zh-CN"/>
        </w:rPr>
      </w:pPr>
    </w:p>
    <w:p w14:paraId="29758A93">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日度库存水位监控与滚动校验流程</w:t>
      </w:r>
    </w:p>
    <w:p w14:paraId="0BE91700">
      <w:pPr>
        <w:jc w:val="center"/>
        <w:rPr>
          <w:rFonts w:hint="eastAsia"/>
          <w:lang w:val="en-US" w:eastAsia="zh-CN"/>
        </w:rPr>
      </w:pPr>
      <w:r>
        <w:rPr>
          <w:rFonts w:hint="eastAsia"/>
          <w:lang w:val="en-US" w:eastAsia="zh-CN"/>
        </w:rPr>
        <w:drawing>
          <wp:inline distT="0" distB="0" distL="114300" distR="114300">
            <wp:extent cx="5257800" cy="1507490"/>
            <wp:effectExtent l="0" t="0" r="0" b="16510"/>
            <wp:docPr id="21" name="图片 21" descr="业务蓝图_日度库存水位监控与滚动校验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业务蓝图_日度库存水位监控与滚动校验流程_优化"/>
                    <pic:cNvPicPr>
                      <a:picLocks noChangeAspect="1"/>
                    </pic:cNvPicPr>
                  </pic:nvPicPr>
                  <pic:blipFill>
                    <a:blip r:embed="rId13"/>
                    <a:stretch>
                      <a:fillRect/>
                    </a:stretch>
                  </pic:blipFill>
                  <pic:spPr>
                    <a:xfrm>
                      <a:off x="0" y="0"/>
                      <a:ext cx="5257800" cy="1507490"/>
                    </a:xfrm>
                    <a:prstGeom prst="rect">
                      <a:avLst/>
                    </a:prstGeom>
                  </pic:spPr>
                </pic:pic>
              </a:graphicData>
            </a:graphic>
          </wp:inline>
        </w:drawing>
      </w:r>
    </w:p>
    <w:tbl>
      <w:tblPr>
        <w:tblStyle w:val="31"/>
        <w:tblW w:w="5828" w:type="pct"/>
        <w:tblInd w:w="-38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49"/>
        <w:gridCol w:w="975"/>
        <w:gridCol w:w="1079"/>
        <w:gridCol w:w="1720"/>
        <w:gridCol w:w="2376"/>
        <w:gridCol w:w="1576"/>
        <w:gridCol w:w="1380"/>
      </w:tblGrid>
      <w:tr w14:paraId="09ACE112">
        <w:trPr>
          <w:tblHeader/>
        </w:trPr>
        <w:tc>
          <w:tcPr>
            <w:tcW w:w="51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56CE3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A4E10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2EB12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01F7F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DE7897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FF4ECF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8FDF1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DCDAA0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524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452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F96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D01C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F61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系统每日定时运行；成品库存、订单、生产排程、计划入库或储罐可用状态发生关键变化时也可触发。</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51D4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C2B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72FF3A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01B3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0CF5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汇集日度库存、需求、4周补充建议与排程状态</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2364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3B6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输入：已发布且第1周已锁定的周度生产补货计划、第2至第4周生产补货建议、SAP/WMS成品库存及出库状态、日度需求计划、生产排程及计划入库量、QMS/LIMS质检状态和储罐可用状态；</w:t>
            </w:r>
          </w:p>
          <w:p w14:paraId="48EE2C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输出：未来4周日度库存监控数据集</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C43D4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通过统一数据服务层统一获取库存、需求、4周生产补货建议和生产排程状态。成品可用库存需扣除已分配、冻结和质量异常库存；计划生产量仅在预计生产完成、质检放行并形成可用库存的日期计入；</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B614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数据缺失、过期或状态冲突时标记数据风险，提示人工核实，不自动改变已锁定或未锁定的生产补货建议</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6CF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P-ZLTC-SCOS-KCYH-003-10-001</w:t>
            </w:r>
          </w:p>
        </w:tc>
      </w:tr>
      <w:tr w14:paraId="2A3547D1">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8C7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819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滚动测算未来4周日度库存水位</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6CB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F1C3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输入：未来4周日度库存监控数据集、当月已发布库存策略；</w:t>
            </w:r>
          </w:p>
          <w:p w14:paraId="0E0AE9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输出：未来4周日度库存轨迹</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5A48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按日更新实际可用库存、需求计划和预计可用的计划生产入库，形成覆盖第1周锁定期及第2至第4周非锁定期的库存轨迹。</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2533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数据不足以形成可靠测算时，输出数据风险和受影响日期，不生成误导性的库存结论</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AE32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P-ZLTC-SCOS-KCYH-003-20-001</w:t>
            </w:r>
          </w:p>
        </w:tc>
      </w:tr>
      <w:tr w14:paraId="540432AA">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4EB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485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判断是否存在库存风险</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080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69D3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输入：未来4周日度库存轨迹和已发布库存策略阈值；</w:t>
            </w:r>
          </w:p>
          <w:p w14:paraId="551E8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输出：库存风险判断</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065C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判断未来4周内是否存在击穿安全库存的风险以及是否有计划生产入库超过成品对应储罐的有效剩余容量的风险</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344E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N：记录正常状态后进入结束；Y：进入40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C32D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P-ZLTC-SCOS-KCYH-003-30-001</w:t>
            </w:r>
          </w:p>
        </w:tc>
      </w:tr>
      <w:tr w14:paraId="79F7A7AF">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607C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CA52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判断风险是否位于锁定期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304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AF5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输入：库存风险日期、第1周锁定期起止日期；</w:t>
            </w:r>
          </w:p>
          <w:p w14:paraId="2A73C8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输出：风险所属期间</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1002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依据周度流程确定的期间判断风险是否发生在第1周锁定期内。第1周为周六至下周五；第2至第4周为锁定期外</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1B1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Y：锁定期内，进入50；N：锁定期外三周，进入70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42B2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P-ZLTC-SCOS-KCYH-003-40-001</w:t>
            </w:r>
          </w:p>
        </w:tc>
      </w:tr>
      <w:tr w14:paraId="3826A4ED">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4AE1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FCAE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生成锁定期库存预警</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7BE0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F3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输入：锁定期库存轨迹、风险日期、数量缺口和容量风险；</w:t>
            </w:r>
          </w:p>
          <w:p w14:paraId="09A7E4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输出：锁定期库存预警</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F8F6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对第1周锁定期内的库存风险生成预警，说明风险成品、日期、数量及原因。本节点只生成库存预警，不生成或修改锁定期内的生产补货建议</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17D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即使风险持续或扩大，也不得通过日度监控直接修改第1周锁定生产补充量</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39A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P-ZLTC-SCOS-KCYH-003-50-001</w:t>
            </w:r>
          </w:p>
        </w:tc>
      </w:tr>
      <w:tr w14:paraId="6935A818">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7828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C5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记录库存预警并保持第1周锁定量不变</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074B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7432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输入：锁定期库存预警、已锁定第1周生产补充量；</w:t>
            </w:r>
          </w:p>
          <w:p w14:paraId="1B78D3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输出：库存预警记录、锁定状态确认</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6632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保存库存预警、风险依据和处理状态，并确认第1周生产补充量继续保持锁定且不可修改</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C6EE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预警状态不解除锁定；如需处置，由相关业务人员在线下进行协调，本流程中不改变锁定计划；完成后结束</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06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P-ZLTC-SCOS-KCYH-003-60-001</w:t>
            </w:r>
          </w:p>
        </w:tc>
      </w:tr>
      <w:tr w14:paraId="6C38ED79">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801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397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生成库存预警并调整第2至第4周生产补货建议</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409A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0DE5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输入：锁定期外三周库存轨迹、风险日期、数量缺口、原生产补货建议及已有计划生产入库；</w:t>
            </w:r>
          </w:p>
          <w:p w14:paraId="5EA49B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输出：第2至第4周库存预警和调整后的生产补货建议</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A1B8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对第2至第4周发生的库存风险生成预警，同时调整对应日期和周次的生产补货建议。调整计算必须扣除已有计划生产入库，并保持第1周锁定生产补充量不变</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67219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调整后可能存在仍无法消除的风险，会给出预警</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111E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P-ZLTC-SCOS-KCYH-003-70-001</w:t>
            </w:r>
          </w:p>
        </w:tc>
      </w:tr>
      <w:tr w14:paraId="785F27ED">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6A69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807F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复核并提交生产补货调整建议</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83D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3A6B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输入：第2至第4周库存预警、原建议与调整后建议、库存及容量风险；</w:t>
            </w:r>
          </w:p>
          <w:p w14:paraId="46338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输出：库存侧复核意见和待生产端确认的调整建议</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629A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库存计划员复核调整原因、受影响周次、建议数量及风险，确认后提交生产端协同。系统保留调整前后差异和复核记录</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B5B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数据或建议不合理时，返回源数据核实并重新测算；未通过库存侧复核时不提交生产端</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CED5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P-ZLTC-SCOS-KCYH-003-80-001</w:t>
            </w:r>
          </w:p>
        </w:tc>
      </w:tr>
      <w:tr w14:paraId="04697FC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EA9C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3D2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判断是否调整生产计划</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943A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99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输入：经库存侧复核的第2至第4周生产补货调整建议、当前生产排程及约束；</w:t>
            </w:r>
          </w:p>
          <w:p w14:paraId="71F97B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输出：生产计划调整结论</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F97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生产计划员结合产能、设备、原料、工艺和既有排程，判断是否调整锁定期外三周的生产计划。库存优化模块不直接改写生产计划</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D35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N：记录不调整原因并保留调整建议后进入结束；Y：进入100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448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P-ZLTC-SCOS-KCYH-003-90-001</w:t>
            </w:r>
          </w:p>
        </w:tc>
      </w:tr>
      <w:tr w14:paraId="5C1CE648">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C44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2C78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反馈补货调整建议并进入生产排程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3C9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生产计划员、生产排程模块</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BC4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输入：确认采纳的第2至第4周生产补货调整建议；</w:t>
            </w:r>
          </w:p>
          <w:p w14:paraId="4FABD4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输出：生产排程调整任务、计划生产数量和预计可用入库日期</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ED17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将确认采纳的调整建议交给生产排程处理，并将排程反馈用于下一轮日度库存水位测算。第1周锁定生产补充量仍保持不变</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D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排程无法满足建议日期或数量时，更新未消除的库存风险并继续协同。完成后结束</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B4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P-ZLTC-SCOS-KCYH-003-100-001</w:t>
            </w:r>
          </w:p>
        </w:tc>
      </w:tr>
      <w:tr w14:paraId="62F84390">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15AA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3E16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5C82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C74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输出：日度库存监控结果、库存预警、第1周锁定状态、第2至第4周补货建议调整及生产协同记录</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9DF9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本轮日度库存水位监控与滚动校验完成。无风险、锁定期只预警以及锁定期外调整三类结果均汇入本节点，相关预警和处理状态同步至供应链驾驶舱</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4A6F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未关闭风险进入后续日度监控</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971D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DF48D6F">
      <w:pPr>
        <w:jc w:val="both"/>
        <w:rPr>
          <w:rFonts w:hint="default"/>
          <w:lang w:val="en-US" w:eastAsia="zh-CN"/>
        </w:rPr>
      </w:pPr>
    </w:p>
    <w:p w14:paraId="090F7A77">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库存策略异常调整流程</w:t>
      </w:r>
    </w:p>
    <w:p w14:paraId="31D13FCD">
      <w:pPr>
        <w:jc w:val="center"/>
        <w:rPr>
          <w:rFonts w:hint="default"/>
          <w:lang w:val="en-US" w:eastAsia="zh-CN"/>
        </w:rPr>
      </w:pPr>
      <w:r>
        <w:rPr>
          <w:rFonts w:hint="default"/>
          <w:lang w:val="en-US" w:eastAsia="zh-CN"/>
        </w:rPr>
        <w:drawing>
          <wp:inline distT="0" distB="0" distL="114300" distR="114300">
            <wp:extent cx="5269865" cy="1703705"/>
            <wp:effectExtent l="0" t="0" r="13335" b="23495"/>
            <wp:docPr id="31" name="图片 31" descr="业务蓝图_库存策略异常调整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业务蓝图_库存策略异常调整流程_优化"/>
                    <pic:cNvPicPr>
                      <a:picLocks noChangeAspect="1"/>
                    </pic:cNvPicPr>
                  </pic:nvPicPr>
                  <pic:blipFill>
                    <a:blip r:embed="rId14"/>
                    <a:stretch>
                      <a:fillRect/>
                    </a:stretch>
                  </pic:blipFill>
                  <pic:spPr>
                    <a:xfrm>
                      <a:off x="0" y="0"/>
                      <a:ext cx="5269865" cy="1703705"/>
                    </a:xfrm>
                    <a:prstGeom prst="rect">
                      <a:avLst/>
                    </a:prstGeom>
                  </pic:spPr>
                </pic:pic>
              </a:graphicData>
            </a:graphic>
          </wp:inline>
        </w:drawing>
      </w:r>
    </w:p>
    <w:tbl>
      <w:tblPr>
        <w:tblStyle w:val="31"/>
        <w:tblW w:w="5906" w:type="pct"/>
        <w:tblInd w:w="-73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21"/>
        <w:gridCol w:w="1297"/>
        <w:gridCol w:w="1042"/>
        <w:gridCol w:w="1794"/>
        <w:gridCol w:w="2509"/>
        <w:gridCol w:w="1261"/>
        <w:gridCol w:w="1467"/>
      </w:tblGrid>
      <w:tr w14:paraId="5A4FA3BE">
        <w:trPr>
          <w:tblHeader/>
        </w:trPr>
        <w:tc>
          <w:tcPr>
            <w:tcW w:w="4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121187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49DB00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DBAAE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8D1815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A795C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D36CC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E240FF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AFA1FE8">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3A5E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314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F9C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7AB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D9C9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需求计划重大变化、大客户订单变化、产线长期停机、储罐检修/不可用或生产补充周期明显延长时触发</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899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84A1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555AA24">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93E6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6C55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提供重大变化信息</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A960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上游业务系统、统一数据服务层</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A2B2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输入：需求、产能、储罐容量或生产补充周期变化；</w:t>
            </w:r>
          </w:p>
          <w:p w14:paraId="4372D6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输出：重大变化事件</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7A2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上游系统通过标准服务或业务事件提供变化信息。库存优化只评估对已发布成品库存策略的影响，不替代上游业务处理</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4F64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事件数据不完整时标记待核实，不自动改变正式策略。</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50E0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P-ZLTC-SCOS-KCYH-004-10-001</w:t>
            </w:r>
          </w:p>
        </w:tc>
      </w:tr>
      <w:tr w14:paraId="62436110">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43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1007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识别策略影响</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1C07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279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输入：重大变化事件、当前库存策略和未来库存轨迹；</w:t>
            </w:r>
          </w:p>
          <w:p w14:paraId="60C4DD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输出：影响范围、风险和异常调整提示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4039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识别受影响的成品、时间范围、服务水平、库存和容量风险，判断现行安全库存、再订货点和目标库存是否可能失效</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211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无法量化影响时，输出定性风险并提示人工复核</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9A8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P-ZLTC-SCOS-KCYH-004-20-001</w:t>
            </w:r>
          </w:p>
        </w:tc>
      </w:tr>
      <w:tr w14:paraId="66F86192">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DCE8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97EF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判断是否需要重新计算</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DA7A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DAE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输入：影响范围和风险；</w:t>
            </w:r>
          </w:p>
          <w:p w14:paraId="0A1B87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输出：重新计算结论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98EB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核实业务变化是否足以在月中改变已发布库存策略。普通库存波动只进入日度监控，不进入策略重算</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FE7A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N：保留当前策略并持续监控；Y：进入40</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7F33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P-ZLTC-SCOS-KCYH-004-30-001</w:t>
            </w:r>
          </w:p>
        </w:tc>
      </w:tr>
      <w:tr w14:paraId="18AF9D45">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7240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CA14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生成调整后库存策略</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553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2C1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输入：经确认的变化条件、当前策略和模型参数；</w:t>
            </w:r>
          </w:p>
          <w:p w14:paraId="6DCFBC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输出：调整后的安全库存、再订货点、目标库存、补充建议及调整前后差异</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4BE2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仅对受影响成品和时间范围重新计算，比较服务水平、库存水平、容量和可选成本变化</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D5C0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新策略受容量限制或仍无法满足目标服务水平时，明确标记不可完全消除的风险。</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6D6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P-ZLTC-SCOS-KCYH-004-40-001</w:t>
            </w:r>
          </w:p>
        </w:tc>
      </w:tr>
      <w:tr w14:paraId="6CF67BD9">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846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C343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评审库存策略异常调整方案</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93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32CE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输入：调整前后差异、参数和风险；</w:t>
            </w:r>
          </w:p>
          <w:p w14:paraId="5C19F9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输出：拟定策略调整方案</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1ED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确认调整原因、生效时间、受影响成品、参数变化和对生产补充计划的影响</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8633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依据不足时返回10补充或保留当前策略</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58E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P-ZLTC-SCOS-KCYH-004-50-001</w:t>
            </w:r>
          </w:p>
        </w:tc>
      </w:tr>
      <w:tr w14:paraId="67E7101E">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88D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7631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审批策略异常调整</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0F26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14B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输入：拟定策略调整方案；</w:t>
            </w:r>
          </w:p>
          <w:p w14:paraId="61D4B8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D041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审批月中改变库存策略的必要性、影响和生效范围</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5EC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N：退回50补充说明；Y：进入70</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1E9E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P-ZLTC-SCOS-KCYH-004-60-001</w:t>
            </w:r>
          </w:p>
        </w:tc>
      </w:tr>
      <w:tr w14:paraId="6C0AA6A1">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E3D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304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发布库存策略新版本</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20C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ECD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输入：审批通过的调整方案；</w:t>
            </w:r>
          </w:p>
          <w:p w14:paraId="7FB648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输出：库存策略新版本、调整记录及相关生产补充影响</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046B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发布新版本并保留原策略、输入数据、参数、计算结果、人工意见和审批轨迹。将受影响的生产补充信息交给生产排程处理</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592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发布失败时保留待发布状态，原有效版本继续生效</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6920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P-ZLTC-SCOS-KCYH-004-70-001</w:t>
            </w:r>
          </w:p>
        </w:tc>
      </w:tr>
      <w:tr w14:paraId="37D6A44D">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9801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1C3A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A965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210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输出：新版本或保留原策略的处理结论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3F1E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本次库存策略异常调整完成</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EB14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93C3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BBD244">
      <w:pPr>
        <w:jc w:val="center"/>
        <w:rPr>
          <w:rFonts w:hint="default"/>
          <w:lang w:val="en-US" w:eastAsia="zh-CN"/>
        </w:rPr>
      </w:pPr>
    </w:p>
    <w:p w14:paraId="04CD1B4F">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库存健康度评价与策略改进流程</w:t>
      </w:r>
    </w:p>
    <w:p w14:paraId="5233AC86">
      <w:pPr>
        <w:jc w:val="both"/>
        <w:rPr>
          <w:rFonts w:hint="default"/>
          <w:lang w:val="en-US" w:eastAsia="zh-CN"/>
        </w:rPr>
      </w:pPr>
      <w:r>
        <w:rPr>
          <w:rFonts w:hint="default"/>
          <w:lang w:val="en-US" w:eastAsia="zh-CN"/>
        </w:rPr>
        <w:drawing>
          <wp:inline distT="0" distB="0" distL="114300" distR="114300">
            <wp:extent cx="5269865" cy="1703705"/>
            <wp:effectExtent l="0" t="0" r="13335" b="23495"/>
            <wp:docPr id="33" name="图片 33" descr="业务蓝图_库存健康度评价与策略改进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业务蓝图_库存健康度评价与策略改进流程_优化"/>
                    <pic:cNvPicPr>
                      <a:picLocks noChangeAspect="1"/>
                    </pic:cNvPicPr>
                  </pic:nvPicPr>
                  <pic:blipFill>
                    <a:blip r:embed="rId15"/>
                    <a:stretch>
                      <a:fillRect/>
                    </a:stretch>
                  </pic:blipFill>
                  <pic:spPr>
                    <a:xfrm>
                      <a:off x="0" y="0"/>
                      <a:ext cx="5269865" cy="1703705"/>
                    </a:xfrm>
                    <a:prstGeom prst="rect">
                      <a:avLst/>
                    </a:prstGeom>
                  </pic:spPr>
                </pic:pic>
              </a:graphicData>
            </a:graphic>
          </wp:inline>
        </w:drawing>
      </w:r>
    </w:p>
    <w:tbl>
      <w:tblPr>
        <w:tblStyle w:val="31"/>
        <w:tblW w:w="6240" w:type="pct"/>
        <w:tblInd w:w="-95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4"/>
        <w:gridCol w:w="1066"/>
        <w:gridCol w:w="1225"/>
        <w:gridCol w:w="1891"/>
        <w:gridCol w:w="2436"/>
        <w:gridCol w:w="1685"/>
        <w:gridCol w:w="1636"/>
      </w:tblGrid>
      <w:tr w14:paraId="00959EA9">
        <w:trPr>
          <w:tblHeader/>
        </w:trPr>
        <w:tc>
          <w:tcPr>
            <w:tcW w:w="4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BF1A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1C31F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F43A4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6AE9E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F42C0C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AC0EBB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CB4BF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EA623B6">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834F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46DE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8CD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D4F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614D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系统按月或按管理周期发起库存健康度和策略有效性评价</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29C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B2AE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72BBDA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BE79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3A6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提供策略与实际库存执行数据</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DE0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94B8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输入：已发布库存策略、实际出入库、</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订单满足</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、缺货、生产补充、</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库龄</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及库存占用数据；</w:t>
            </w:r>
          </w:p>
          <w:p w14:paraId="24C84D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输出：库存绩效分析数据集</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8820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通过统一数据服务层汇总已发布的策略目标和对应周期的实际执行结果</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8BB0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数据不完整时标记本期评价口径和不可评价指标</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5AEE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P-ZLTC-SCOS-KCYH-005-10-001</w:t>
            </w:r>
          </w:p>
        </w:tc>
      </w:tr>
      <w:tr w14:paraId="1B4282BF">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E7C8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3E9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生成库存健康度评价</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47BD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DF7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输入：库存绩效分析数据集；</w:t>
            </w:r>
          </w:p>
          <w:p w14:paraId="643CFA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输出：库存健康度报告和策略有效性分析</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A93B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统计成品库存周转率、订单满足率、服务水平达成情况、缺货、滞销、呆滞和临期库存，并对比目标服务水平与实际达成率</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DC4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口径或数据周期不可比时，不输出误导性趋势结论</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EE74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P-ZLTC-SCOS-KCYH-005-20-001</w:t>
            </w:r>
          </w:p>
        </w:tc>
      </w:tr>
      <w:tr w14:paraId="6956C0FA">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75CB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FEB7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复核库存健康度与策略有效性</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99E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7893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输入：库存健康度报告、目标与实际差异；</w:t>
            </w:r>
          </w:p>
          <w:p w14:paraId="32A28C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输出：复核结论</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3B87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核实差异是否由库存参数、需求变化、生产补充执行、质量冻结或容量限制导致，区分策略问题与执行问题</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F48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数据异常时返回源系统核实；执行问题转相应业务流程处理</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720A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P-ZLTC-SCOS-KCYH-005-30-001</w:t>
            </w:r>
          </w:p>
        </w:tc>
      </w:tr>
      <w:tr w14:paraId="00A5B05B">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7609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AA1B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判断是否需要改进策略</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509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2AD5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输入：复核结论；</w:t>
            </w:r>
          </w:p>
          <w:p w14:paraId="15F37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输出：策略改进判断</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56B0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判断是否需要调整服务水平、安全系数、生产补充周期、复核周期或成本参数</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39D0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N：无参数改进建议，进入70发布评价结论；Y：进入50</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B64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P-ZLTC-SCOS-KCYH-005-40-001</w:t>
            </w:r>
          </w:p>
        </w:tc>
      </w:tr>
      <w:tr w14:paraId="5C9926A4">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03F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2411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形成库存策略改进建议</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EEEC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72DD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输入：策略问题和影响分析；</w:t>
            </w:r>
          </w:p>
          <w:p w14:paraId="334854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输出：参数或策略改进建议</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FEEB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说明建议调整的对象、参数、原因、预期影响和建议生效周期。系统分析结果作为参考，不自动改写正式库存策略</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775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无法确定建议参数时，只形成待进一步验证的问题清单</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ED61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P-ZLTC-SCOS-KCYH-005-50-001</w:t>
            </w:r>
          </w:p>
        </w:tc>
      </w:tr>
      <w:tr w14:paraId="38DB10A2">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C713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380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判断是否纳入策略调整</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F718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3532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输入：库存策略改进建议；</w:t>
            </w:r>
          </w:p>
          <w:p w14:paraId="6D023A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输出：改进处理意见</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FD0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确认建议是否在下一月度策略制定中吸收，或因风险重大进入库存策略异常调整流程</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7C0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N：保留改进建议待后续复核；Y：形成策略调整任务</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C24E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P-ZLTC-SCOS-KCYH-005-60-001</w:t>
            </w:r>
          </w:p>
        </w:tc>
      </w:tr>
      <w:tr w14:paraId="03253D00">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1988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2C0C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发布库存健康度报告与改进结论</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9EE1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5B16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输入：健康度评价、复核意见和改进处理意见；</w:t>
            </w:r>
          </w:p>
          <w:p w14:paraId="09721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输出：已发布库存健康度报告、改进结论和待跟踪任务</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B944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发布本期评价结果并向供应链驾驶舱提供成品库存健康度指标。已确认的改进建议进入后续月度策略制定或异常调整</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68A4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0570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P-ZLTC-SCOS-KCYH-005-70-001</w:t>
            </w:r>
          </w:p>
        </w:tc>
      </w:tr>
      <w:tr w14:paraId="13954CE2">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042B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8A6F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8B19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73C9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输出：库存健康度报告及策略改进闭环记录</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8F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本期库存策略效果评价完成</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E80B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4DC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6D3664">
      <w:pPr>
        <w:jc w:val="both"/>
        <w:rPr>
          <w:rFonts w:hint="default"/>
          <w:lang w:val="en-US" w:eastAsia="zh-CN"/>
        </w:rPr>
      </w:pPr>
    </w:p>
    <w:p w14:paraId="7EF7630B">
      <w:pPr>
        <w:pStyle w:val="4"/>
        <w:bidi w:val="0"/>
        <w:ind w:left="161" w:leftChars="0" w:firstLineChars="0"/>
        <w:rPr>
          <w:rFonts w:hint="eastAsia" w:ascii="黑体" w:hAnsi="黑体" w:eastAsia="黑体" w:cs="黑体"/>
          <w:b/>
          <w:bCs w:val="0"/>
          <w:lang w:val="en-US" w:eastAsia="zh-CN"/>
        </w:rPr>
      </w:pPr>
      <w:bookmarkStart w:id="12" w:name="_Toc1825136173"/>
      <w:r>
        <w:rPr>
          <w:rFonts w:hint="eastAsia" w:ascii="黑体" w:hAnsi="黑体" w:eastAsia="黑体" w:cs="黑体"/>
          <w:b/>
          <w:bCs w:val="0"/>
          <w:lang w:val="en-US" w:eastAsia="zh-CN"/>
        </w:rPr>
        <w:t>采购优化</w:t>
      </w:r>
      <w:bookmarkEnd w:id="12"/>
    </w:p>
    <w:p w14:paraId="143EDFA0">
      <w:pPr>
        <w:pStyle w:val="6"/>
        <w:bidi w:val="0"/>
        <w:rPr>
          <w:rFonts w:hint="eastAsia" w:ascii="黑体" w:hAnsi="黑体" w:eastAsia="黑体" w:cs="黑体"/>
          <w:b/>
          <w:bCs w:val="0"/>
          <w:lang w:val="en-US" w:eastAsia="zh-CN"/>
        </w:rPr>
      </w:pPr>
      <w:r>
        <w:rPr>
          <w:rFonts w:hint="eastAsia" w:ascii="黑体" w:hAnsi="黑体" w:eastAsia="黑体" w:cs="黑体"/>
          <w:b/>
          <w:bCs w:val="0"/>
          <w:lang w:val="en-US" w:eastAsia="zh-CN"/>
        </w:rPr>
        <w:t>月度采购方案制定流程</w:t>
      </w:r>
    </w:p>
    <w:p w14:paraId="5395FF4B">
      <w:pPr>
        <w:rPr>
          <w:rFonts w:hint="eastAsia" w:eastAsia="宋体"/>
          <w:lang w:val="en-US" w:eastAsia="zh-CN"/>
        </w:rPr>
      </w:pPr>
      <w:r>
        <w:rPr>
          <w:rFonts w:hint="eastAsia" w:eastAsia="宋体"/>
          <w:lang w:val="en-US" w:eastAsia="zh-CN"/>
        </w:rPr>
        <w:drawing>
          <wp:inline distT="0" distB="0" distL="114300" distR="114300">
            <wp:extent cx="5730240" cy="1722120"/>
            <wp:effectExtent l="0" t="0" r="10160" b="5080"/>
            <wp:docPr id="9" name="图片 9" descr="业务蓝图_月度采购方案制定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业务蓝图_月度采购方案制定流程_优化-1"/>
                    <pic:cNvPicPr>
                      <a:picLocks noChangeAspect="1"/>
                    </pic:cNvPicPr>
                  </pic:nvPicPr>
                  <pic:blipFill>
                    <a:blip r:embed="rId16"/>
                    <a:stretch>
                      <a:fillRect/>
                    </a:stretch>
                  </pic:blipFill>
                  <pic:spPr>
                    <a:xfrm>
                      <a:off x="0" y="0"/>
                      <a:ext cx="5730240" cy="1722120"/>
                    </a:xfrm>
                    <a:prstGeom prst="rect">
                      <a:avLst/>
                    </a:prstGeom>
                  </pic:spPr>
                </pic:pic>
              </a:graphicData>
            </a:graphic>
          </wp:inline>
        </w:drawing>
      </w:r>
    </w:p>
    <w:tbl>
      <w:tblPr>
        <w:tblStyle w:val="31"/>
        <w:tblW w:w="5866" w:type="pct"/>
        <w:tblInd w:w="-644"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991"/>
        <w:gridCol w:w="1017"/>
        <w:gridCol w:w="915"/>
        <w:gridCol w:w="1402"/>
        <w:gridCol w:w="1965"/>
        <w:gridCol w:w="1718"/>
        <w:gridCol w:w="2214"/>
      </w:tblGrid>
      <w:tr w14:paraId="0F0599D6">
        <w:trPr>
          <w:tblHeader/>
        </w:trPr>
        <w:tc>
          <w:tcPr>
            <w:tcW w:w="484" w:type="pct"/>
            <w:tcBorders>
              <w:tl2br w:val="nil"/>
              <w:tr2bl w:val="nil"/>
            </w:tcBorders>
            <w:shd w:val="clear" w:color="auto" w:fill="auto"/>
            <w:tcMar>
              <w:top w:w="100" w:type="dxa"/>
              <w:left w:w="200" w:type="dxa"/>
              <w:bottom w:w="100" w:type="dxa"/>
              <w:right w:w="200" w:type="dxa"/>
            </w:tcMar>
            <w:vAlign w:val="top"/>
          </w:tcPr>
          <w:p w14:paraId="46C1FAA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7" w:type="pct"/>
            <w:tcBorders>
              <w:tl2br w:val="nil"/>
              <w:tr2bl w:val="nil"/>
            </w:tcBorders>
            <w:shd w:val="clear" w:color="auto" w:fill="auto"/>
            <w:tcMar>
              <w:top w:w="100" w:type="dxa"/>
              <w:left w:w="200" w:type="dxa"/>
              <w:bottom w:w="100" w:type="dxa"/>
              <w:right w:w="200" w:type="dxa"/>
            </w:tcMar>
            <w:vAlign w:val="top"/>
          </w:tcPr>
          <w:p w14:paraId="299785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47" w:type="pct"/>
            <w:tcBorders>
              <w:tl2br w:val="nil"/>
              <w:tr2bl w:val="nil"/>
            </w:tcBorders>
            <w:shd w:val="clear" w:color="auto" w:fill="auto"/>
            <w:tcMar>
              <w:top w:w="100" w:type="dxa"/>
              <w:left w:w="200" w:type="dxa"/>
              <w:bottom w:w="100" w:type="dxa"/>
              <w:right w:w="200" w:type="dxa"/>
            </w:tcMar>
            <w:vAlign w:val="top"/>
          </w:tcPr>
          <w:p w14:paraId="6DA7A4D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85" w:type="pct"/>
            <w:tcBorders>
              <w:tl2br w:val="nil"/>
              <w:tr2bl w:val="nil"/>
            </w:tcBorders>
            <w:shd w:val="clear" w:color="auto" w:fill="auto"/>
            <w:tcMar>
              <w:top w:w="100" w:type="dxa"/>
              <w:left w:w="200" w:type="dxa"/>
              <w:bottom w:w="100" w:type="dxa"/>
              <w:right w:w="200" w:type="dxa"/>
            </w:tcMar>
            <w:vAlign w:val="top"/>
          </w:tcPr>
          <w:p w14:paraId="60C8B80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1" w:type="pct"/>
            <w:tcBorders>
              <w:tl2br w:val="nil"/>
              <w:tr2bl w:val="nil"/>
            </w:tcBorders>
            <w:shd w:val="clear" w:color="auto" w:fill="auto"/>
            <w:tcMar>
              <w:top w:w="100" w:type="dxa"/>
              <w:left w:w="200" w:type="dxa"/>
              <w:bottom w:w="100" w:type="dxa"/>
              <w:right w:w="200" w:type="dxa"/>
            </w:tcMar>
            <w:vAlign w:val="top"/>
          </w:tcPr>
          <w:p w14:paraId="43BB2FF5">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l2br w:val="nil"/>
              <w:tr2bl w:val="nil"/>
            </w:tcBorders>
            <w:shd w:val="clear" w:color="auto" w:fill="auto"/>
            <w:tcMar>
              <w:top w:w="100" w:type="dxa"/>
              <w:left w:w="200" w:type="dxa"/>
              <w:bottom w:w="100" w:type="dxa"/>
              <w:right w:w="200" w:type="dxa"/>
            </w:tcMar>
            <w:vAlign w:val="top"/>
          </w:tcPr>
          <w:p w14:paraId="6078D3AB">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82" w:type="pct"/>
            <w:tcBorders>
              <w:tl2br w:val="nil"/>
              <w:tr2bl w:val="nil"/>
            </w:tcBorders>
            <w:shd w:val="clear" w:color="auto" w:fill="auto"/>
            <w:tcMar>
              <w:top w:w="100" w:type="dxa"/>
              <w:left w:w="200" w:type="dxa"/>
              <w:bottom w:w="100" w:type="dxa"/>
              <w:right w:w="200" w:type="dxa"/>
            </w:tcMar>
            <w:vAlign w:val="top"/>
          </w:tcPr>
          <w:p w14:paraId="7FA460A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E48177">
        <w:tc>
          <w:tcPr>
            <w:tcW w:w="484" w:type="pct"/>
            <w:tcBorders>
              <w:tl2br w:val="nil"/>
              <w:tr2bl w:val="nil"/>
            </w:tcBorders>
            <w:shd w:val="clear" w:color="auto" w:fill="auto"/>
            <w:tcMar>
              <w:top w:w="100" w:type="dxa"/>
              <w:left w:w="200" w:type="dxa"/>
              <w:bottom w:w="100" w:type="dxa"/>
              <w:right w:w="200" w:type="dxa"/>
            </w:tcMar>
            <w:vAlign w:val="top"/>
          </w:tcPr>
          <w:p w14:paraId="4FB5622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7" w:type="pct"/>
            <w:tcBorders>
              <w:tl2br w:val="nil"/>
              <w:tr2bl w:val="nil"/>
            </w:tcBorders>
            <w:shd w:val="clear" w:color="auto" w:fill="auto"/>
            <w:tcMar>
              <w:top w:w="100" w:type="dxa"/>
              <w:left w:w="200" w:type="dxa"/>
              <w:bottom w:w="100" w:type="dxa"/>
              <w:right w:w="200" w:type="dxa"/>
            </w:tcMar>
            <w:vAlign w:val="top"/>
          </w:tcPr>
          <w:p w14:paraId="472F85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7" w:type="pct"/>
            <w:tcBorders>
              <w:tl2br w:val="nil"/>
              <w:tr2bl w:val="nil"/>
            </w:tcBorders>
            <w:shd w:val="clear" w:color="auto" w:fill="auto"/>
            <w:tcMar>
              <w:top w:w="100" w:type="dxa"/>
              <w:left w:w="200" w:type="dxa"/>
              <w:bottom w:w="100" w:type="dxa"/>
              <w:right w:w="200" w:type="dxa"/>
            </w:tcMar>
            <w:vAlign w:val="top"/>
          </w:tcPr>
          <w:p w14:paraId="5B2D0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40D78F3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1" w:type="pct"/>
            <w:tcBorders>
              <w:tl2br w:val="nil"/>
              <w:tr2bl w:val="nil"/>
            </w:tcBorders>
            <w:shd w:val="clear" w:color="auto" w:fill="auto"/>
            <w:tcMar>
              <w:top w:w="100" w:type="dxa"/>
              <w:left w:w="200" w:type="dxa"/>
              <w:bottom w:w="100" w:type="dxa"/>
              <w:right w:w="200" w:type="dxa"/>
            </w:tcMar>
            <w:vAlign w:val="top"/>
          </w:tcPr>
          <w:p w14:paraId="3F792B5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系统到达月度采购方案编制周期</w:t>
            </w:r>
          </w:p>
        </w:tc>
        <w:tc>
          <w:tcPr>
            <w:tcW w:w="840" w:type="pct"/>
            <w:tcBorders>
              <w:tl2br w:val="nil"/>
              <w:tr2bl w:val="nil"/>
            </w:tcBorders>
            <w:shd w:val="clear" w:color="auto" w:fill="auto"/>
            <w:tcMar>
              <w:top w:w="100" w:type="dxa"/>
              <w:left w:w="200" w:type="dxa"/>
              <w:bottom w:w="100" w:type="dxa"/>
              <w:right w:w="200" w:type="dxa"/>
            </w:tcMar>
            <w:vAlign w:val="top"/>
          </w:tcPr>
          <w:p w14:paraId="1C3E955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0F39E3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8B72F71">
        <w:tc>
          <w:tcPr>
            <w:tcW w:w="484" w:type="pct"/>
            <w:tcBorders>
              <w:tl2br w:val="nil"/>
              <w:tr2bl w:val="nil"/>
            </w:tcBorders>
            <w:shd w:val="clear" w:color="auto" w:fill="auto"/>
            <w:tcMar>
              <w:top w:w="100" w:type="dxa"/>
              <w:left w:w="200" w:type="dxa"/>
              <w:bottom w:w="100" w:type="dxa"/>
              <w:right w:w="200" w:type="dxa"/>
            </w:tcMar>
            <w:vAlign w:val="top"/>
          </w:tcPr>
          <w:p w14:paraId="61BAC3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7" w:type="pct"/>
            <w:tcBorders>
              <w:tl2br w:val="nil"/>
              <w:tr2bl w:val="nil"/>
            </w:tcBorders>
            <w:shd w:val="clear" w:color="auto" w:fill="auto"/>
            <w:tcMar>
              <w:top w:w="100" w:type="dxa"/>
              <w:left w:w="200" w:type="dxa"/>
              <w:bottom w:w="100" w:type="dxa"/>
              <w:right w:w="200" w:type="dxa"/>
            </w:tcMar>
            <w:vAlign w:val="top"/>
          </w:tcPr>
          <w:p w14:paraId="1E20B36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形成待采购需求</w:t>
            </w:r>
          </w:p>
        </w:tc>
        <w:tc>
          <w:tcPr>
            <w:tcW w:w="447" w:type="pct"/>
            <w:tcBorders>
              <w:tl2br w:val="nil"/>
              <w:tr2bl w:val="nil"/>
            </w:tcBorders>
            <w:shd w:val="clear" w:color="auto" w:fill="auto"/>
            <w:tcMar>
              <w:top w:w="100" w:type="dxa"/>
              <w:left w:w="200" w:type="dxa"/>
              <w:bottom w:w="100" w:type="dxa"/>
              <w:right w:w="200" w:type="dxa"/>
            </w:tcMar>
            <w:vAlign w:val="top"/>
          </w:tcPr>
          <w:p w14:paraId="32736A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5D28DB0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输入：已发布原材料需求计划、未完成采购订单；输出：</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分物料</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、分期待采购需求及要求到货日期</w:t>
            </w:r>
          </w:p>
        </w:tc>
        <w:tc>
          <w:tcPr>
            <w:tcW w:w="961" w:type="pct"/>
            <w:tcBorders>
              <w:tl2br w:val="nil"/>
              <w:tr2bl w:val="nil"/>
            </w:tcBorders>
            <w:shd w:val="clear" w:color="auto" w:fill="auto"/>
            <w:tcMar>
              <w:top w:w="100" w:type="dxa"/>
              <w:left w:w="200" w:type="dxa"/>
              <w:bottom w:w="100" w:type="dxa"/>
              <w:right w:w="200" w:type="dxa"/>
            </w:tcMar>
            <w:vAlign w:val="top"/>
          </w:tcPr>
          <w:p w14:paraId="1A933A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系统按需求日期扣减可按时到货的有效采购承诺，形成采购范围。该节点保留是因为其输出是采购方案的正式业务依据</w:t>
            </w:r>
          </w:p>
        </w:tc>
        <w:tc>
          <w:tcPr>
            <w:tcW w:w="840" w:type="pct"/>
            <w:tcBorders>
              <w:tl2br w:val="nil"/>
              <w:tr2bl w:val="nil"/>
            </w:tcBorders>
            <w:shd w:val="clear" w:color="auto" w:fill="auto"/>
            <w:tcMar>
              <w:top w:w="100" w:type="dxa"/>
              <w:left w:w="200" w:type="dxa"/>
              <w:bottom w:w="100" w:type="dxa"/>
              <w:right w:w="200" w:type="dxa"/>
            </w:tcMar>
            <w:vAlign w:val="top"/>
          </w:tcPr>
          <w:p w14:paraId="401A2D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数据异常时提示采购计划员处理；待采购需求为0时相应物料不进入后续优化</w:t>
            </w:r>
          </w:p>
        </w:tc>
        <w:tc>
          <w:tcPr>
            <w:tcW w:w="1082" w:type="pct"/>
            <w:tcBorders>
              <w:tl2br w:val="nil"/>
              <w:tr2bl w:val="nil"/>
            </w:tcBorders>
            <w:shd w:val="clear" w:color="auto" w:fill="auto"/>
            <w:tcMar>
              <w:top w:w="100" w:type="dxa"/>
              <w:left w:w="200" w:type="dxa"/>
              <w:bottom w:w="100" w:type="dxa"/>
              <w:right w:w="200" w:type="dxa"/>
            </w:tcMar>
            <w:vAlign w:val="top"/>
          </w:tcPr>
          <w:p w14:paraId="339451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P-ZLTC-SCOS-CGYH-001-10-001</w:t>
            </w:r>
          </w:p>
        </w:tc>
      </w:tr>
      <w:tr w14:paraId="6E4DD247">
        <w:tc>
          <w:tcPr>
            <w:tcW w:w="484" w:type="pct"/>
            <w:tcBorders>
              <w:tl2br w:val="nil"/>
              <w:tr2bl w:val="nil"/>
            </w:tcBorders>
            <w:shd w:val="clear" w:color="auto" w:fill="auto"/>
            <w:tcMar>
              <w:top w:w="100" w:type="dxa"/>
              <w:left w:w="200" w:type="dxa"/>
              <w:bottom w:w="100" w:type="dxa"/>
              <w:right w:w="200" w:type="dxa"/>
            </w:tcMar>
            <w:vAlign w:val="top"/>
          </w:tcPr>
          <w:p w14:paraId="04879E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7" w:type="pct"/>
            <w:tcBorders>
              <w:tl2br w:val="nil"/>
              <w:tr2bl w:val="nil"/>
            </w:tcBorders>
            <w:shd w:val="clear" w:color="auto" w:fill="auto"/>
            <w:tcMar>
              <w:top w:w="100" w:type="dxa"/>
              <w:left w:w="200" w:type="dxa"/>
              <w:bottom w:w="100" w:type="dxa"/>
              <w:right w:w="200" w:type="dxa"/>
            </w:tcMar>
            <w:vAlign w:val="top"/>
          </w:tcPr>
          <w:p w14:paraId="71DD9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生成月度采购建议</w:t>
            </w:r>
          </w:p>
        </w:tc>
        <w:tc>
          <w:tcPr>
            <w:tcW w:w="447" w:type="pct"/>
            <w:tcBorders>
              <w:tl2br w:val="nil"/>
              <w:tr2bl w:val="nil"/>
            </w:tcBorders>
            <w:shd w:val="clear" w:color="auto" w:fill="auto"/>
            <w:tcMar>
              <w:top w:w="100" w:type="dxa"/>
              <w:left w:w="200" w:type="dxa"/>
              <w:bottom w:w="100" w:type="dxa"/>
              <w:right w:w="200" w:type="dxa"/>
            </w:tcMar>
            <w:vAlign w:val="top"/>
          </w:tcPr>
          <w:p w14:paraId="76030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1C888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供应商报价及供货能力</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、运费、账期、</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资金成本率</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和期货价格；</w:t>
            </w:r>
          </w:p>
          <w:p w14:paraId="1A3664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输出：推荐方案、备选方案及锁价建议</w:t>
            </w:r>
          </w:p>
        </w:tc>
        <w:tc>
          <w:tcPr>
            <w:tcW w:w="961" w:type="pct"/>
            <w:tcBorders>
              <w:tl2br w:val="nil"/>
              <w:tr2bl w:val="nil"/>
            </w:tcBorders>
            <w:shd w:val="clear" w:color="auto" w:fill="auto"/>
            <w:tcMar>
              <w:top w:w="100" w:type="dxa"/>
              <w:left w:w="200" w:type="dxa"/>
              <w:bottom w:w="100" w:type="dxa"/>
              <w:right w:w="200" w:type="dxa"/>
            </w:tcMar>
            <w:vAlign w:val="top"/>
          </w:tcPr>
          <w:p w14:paraId="75F57A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按综合成本较低原则生成供应商推荐数量、建议到货日期、可调整范围及合同/锁价建议；</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供应商评价供人工参考</w:t>
            </w:r>
          </w:p>
        </w:tc>
        <w:tc>
          <w:tcPr>
            <w:tcW w:w="840" w:type="pct"/>
            <w:tcBorders>
              <w:tl2br w:val="nil"/>
              <w:tr2bl w:val="nil"/>
            </w:tcBorders>
            <w:shd w:val="clear" w:color="auto" w:fill="auto"/>
            <w:tcMar>
              <w:top w:w="100" w:type="dxa"/>
              <w:left w:w="200" w:type="dxa"/>
              <w:bottom w:w="100" w:type="dxa"/>
              <w:right w:w="200" w:type="dxa"/>
            </w:tcMar>
            <w:vAlign w:val="top"/>
          </w:tcPr>
          <w:p w14:paraId="68EAA1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供货能力不足或到货时间不可达时输出缺口和原因</w:t>
            </w:r>
          </w:p>
        </w:tc>
        <w:tc>
          <w:tcPr>
            <w:tcW w:w="1082" w:type="pct"/>
            <w:tcBorders>
              <w:tl2br w:val="nil"/>
              <w:tr2bl w:val="nil"/>
            </w:tcBorders>
            <w:shd w:val="clear" w:color="auto" w:fill="auto"/>
            <w:tcMar>
              <w:top w:w="100" w:type="dxa"/>
              <w:left w:w="200" w:type="dxa"/>
              <w:bottom w:w="100" w:type="dxa"/>
              <w:right w:w="200" w:type="dxa"/>
            </w:tcMar>
            <w:vAlign w:val="top"/>
          </w:tcPr>
          <w:p w14:paraId="045E52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P-ZLTC-SCOS-CGYH-001-20-001</w:t>
            </w:r>
          </w:p>
        </w:tc>
      </w:tr>
      <w:tr w14:paraId="2FE2851A">
        <w:tc>
          <w:tcPr>
            <w:tcW w:w="484" w:type="pct"/>
            <w:tcBorders>
              <w:tl2br w:val="nil"/>
              <w:tr2bl w:val="nil"/>
            </w:tcBorders>
            <w:shd w:val="clear" w:color="auto" w:fill="auto"/>
            <w:tcMar>
              <w:top w:w="100" w:type="dxa"/>
              <w:left w:w="200" w:type="dxa"/>
              <w:bottom w:w="100" w:type="dxa"/>
              <w:right w:w="200" w:type="dxa"/>
            </w:tcMar>
            <w:vAlign w:val="top"/>
          </w:tcPr>
          <w:p w14:paraId="503451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7" w:type="pct"/>
            <w:tcBorders>
              <w:tl2br w:val="nil"/>
              <w:tr2bl w:val="nil"/>
            </w:tcBorders>
            <w:shd w:val="clear" w:color="auto" w:fill="auto"/>
            <w:tcMar>
              <w:top w:w="100" w:type="dxa"/>
              <w:left w:w="200" w:type="dxa"/>
              <w:bottom w:w="100" w:type="dxa"/>
              <w:right w:w="200" w:type="dxa"/>
            </w:tcMar>
            <w:vAlign w:val="top"/>
          </w:tcPr>
          <w:p w14:paraId="4C497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评审并调整采购方案</w:t>
            </w:r>
          </w:p>
        </w:tc>
        <w:tc>
          <w:tcPr>
            <w:tcW w:w="447" w:type="pct"/>
            <w:tcBorders>
              <w:tl2br w:val="nil"/>
              <w:tr2bl w:val="nil"/>
            </w:tcBorders>
            <w:shd w:val="clear" w:color="auto" w:fill="auto"/>
            <w:tcMar>
              <w:top w:w="100" w:type="dxa"/>
              <w:left w:w="200" w:type="dxa"/>
              <w:bottom w:w="100" w:type="dxa"/>
              <w:right w:w="200" w:type="dxa"/>
            </w:tcMar>
            <w:vAlign w:val="top"/>
          </w:tcPr>
          <w:p w14:paraId="7DCFF5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85" w:type="pct"/>
            <w:tcBorders>
              <w:tl2br w:val="nil"/>
              <w:tr2bl w:val="nil"/>
            </w:tcBorders>
            <w:shd w:val="clear" w:color="auto" w:fill="auto"/>
            <w:tcMar>
              <w:top w:w="100" w:type="dxa"/>
              <w:left w:w="200" w:type="dxa"/>
              <w:bottom w:w="100" w:type="dxa"/>
              <w:right w:w="200" w:type="dxa"/>
            </w:tcMar>
            <w:vAlign w:val="top"/>
          </w:tcPr>
          <w:p w14:paraId="45F6A73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输入：待采购需求、推荐/备选方案、供应商评价及锁价建议；</w:t>
            </w:r>
          </w:p>
          <w:p w14:paraId="1EBC03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6777C5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比较方案并调整供应商及采购数量，填写最终采购数量并确认合同/锁价策略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66D99F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可修改采购条件后返回20重新生成建议</w:t>
            </w:r>
          </w:p>
        </w:tc>
        <w:tc>
          <w:tcPr>
            <w:tcW w:w="1082" w:type="pct"/>
            <w:tcBorders>
              <w:tl2br w:val="nil"/>
              <w:tr2bl w:val="nil"/>
            </w:tcBorders>
            <w:shd w:val="clear" w:color="auto" w:fill="auto"/>
            <w:tcMar>
              <w:top w:w="100" w:type="dxa"/>
              <w:left w:w="200" w:type="dxa"/>
              <w:bottom w:w="100" w:type="dxa"/>
              <w:right w:w="200" w:type="dxa"/>
            </w:tcMar>
            <w:vAlign w:val="top"/>
          </w:tcPr>
          <w:p w14:paraId="026F329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P-ZLTC-SCOS-CGYH-001-30-001</w:t>
            </w:r>
          </w:p>
        </w:tc>
      </w:tr>
      <w:tr w14:paraId="44633D19">
        <w:tc>
          <w:tcPr>
            <w:tcW w:w="484" w:type="pct"/>
            <w:tcBorders>
              <w:tl2br w:val="nil"/>
              <w:tr2bl w:val="nil"/>
            </w:tcBorders>
            <w:shd w:val="clear" w:color="auto" w:fill="auto"/>
            <w:tcMar>
              <w:top w:w="100" w:type="dxa"/>
              <w:left w:w="200" w:type="dxa"/>
              <w:bottom w:w="100" w:type="dxa"/>
              <w:right w:w="200" w:type="dxa"/>
            </w:tcMar>
            <w:vAlign w:val="top"/>
          </w:tcPr>
          <w:p w14:paraId="20C3F6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7" w:type="pct"/>
            <w:tcBorders>
              <w:tl2br w:val="nil"/>
              <w:tr2bl w:val="nil"/>
            </w:tcBorders>
            <w:shd w:val="clear" w:color="auto" w:fill="auto"/>
            <w:tcMar>
              <w:top w:w="100" w:type="dxa"/>
              <w:left w:w="200" w:type="dxa"/>
              <w:bottom w:w="100" w:type="dxa"/>
              <w:right w:w="200" w:type="dxa"/>
            </w:tcMar>
            <w:vAlign w:val="top"/>
          </w:tcPr>
          <w:p w14:paraId="72C2CF9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1DC8B5C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F8644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输入：拟定方案；</w:t>
            </w:r>
          </w:p>
          <w:p w14:paraId="58A5CD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61" w:type="pct"/>
            <w:tcBorders>
              <w:tl2br w:val="nil"/>
              <w:tr2bl w:val="nil"/>
            </w:tcBorders>
            <w:shd w:val="clear" w:color="auto" w:fill="auto"/>
            <w:tcMar>
              <w:top w:w="100" w:type="dxa"/>
              <w:left w:w="200" w:type="dxa"/>
              <w:bottom w:w="100" w:type="dxa"/>
              <w:right w:w="200" w:type="dxa"/>
            </w:tcMar>
            <w:vAlign w:val="top"/>
          </w:tcPr>
          <w:p w14:paraId="21261C7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系统校验单一供应商数量不超过最大可供量、采购数量合计不低于待采购需求及必要字段完整性，由采购计划员确认提交</w:t>
            </w:r>
          </w:p>
        </w:tc>
        <w:tc>
          <w:tcPr>
            <w:tcW w:w="840" w:type="pct"/>
            <w:tcBorders>
              <w:tl2br w:val="nil"/>
              <w:tr2bl w:val="nil"/>
            </w:tcBorders>
            <w:shd w:val="clear" w:color="auto" w:fill="auto"/>
            <w:tcMar>
              <w:top w:w="100" w:type="dxa"/>
              <w:left w:w="200" w:type="dxa"/>
              <w:bottom w:w="100" w:type="dxa"/>
              <w:right w:w="200" w:type="dxa"/>
            </w:tcMar>
            <w:vAlign w:val="top"/>
          </w:tcPr>
          <w:p w14:paraId="26F05C4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1082" w:type="pct"/>
            <w:tcBorders>
              <w:tl2br w:val="nil"/>
              <w:tr2bl w:val="nil"/>
            </w:tcBorders>
            <w:shd w:val="clear" w:color="auto" w:fill="auto"/>
            <w:tcMar>
              <w:top w:w="100" w:type="dxa"/>
              <w:left w:w="200" w:type="dxa"/>
              <w:bottom w:w="100" w:type="dxa"/>
              <w:right w:w="200" w:type="dxa"/>
            </w:tcMar>
            <w:vAlign w:val="top"/>
          </w:tcPr>
          <w:p w14:paraId="6EF9D9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P-ZLTC-SCOS-CGYH-001-40-001</w:t>
            </w:r>
          </w:p>
        </w:tc>
      </w:tr>
      <w:tr w14:paraId="07EADABC">
        <w:tc>
          <w:tcPr>
            <w:tcW w:w="484" w:type="pct"/>
            <w:tcBorders>
              <w:tl2br w:val="nil"/>
              <w:tr2bl w:val="nil"/>
            </w:tcBorders>
            <w:shd w:val="clear" w:color="auto" w:fill="auto"/>
            <w:tcMar>
              <w:top w:w="100" w:type="dxa"/>
              <w:left w:w="200" w:type="dxa"/>
              <w:bottom w:w="100" w:type="dxa"/>
              <w:right w:w="200" w:type="dxa"/>
            </w:tcMar>
            <w:vAlign w:val="top"/>
          </w:tcPr>
          <w:p w14:paraId="4C1BFD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7" w:type="pct"/>
            <w:tcBorders>
              <w:tl2br w:val="nil"/>
              <w:tr2bl w:val="nil"/>
            </w:tcBorders>
            <w:shd w:val="clear" w:color="auto" w:fill="auto"/>
            <w:tcMar>
              <w:top w:w="100" w:type="dxa"/>
              <w:left w:w="200" w:type="dxa"/>
              <w:bottom w:w="100" w:type="dxa"/>
              <w:right w:w="200" w:type="dxa"/>
            </w:tcMar>
            <w:vAlign w:val="top"/>
          </w:tcPr>
          <w:p w14:paraId="61872D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审批月度采购方案</w:t>
            </w:r>
          </w:p>
        </w:tc>
        <w:tc>
          <w:tcPr>
            <w:tcW w:w="447" w:type="pct"/>
            <w:tcBorders>
              <w:tl2br w:val="nil"/>
              <w:tr2bl w:val="nil"/>
            </w:tcBorders>
            <w:shd w:val="clear" w:color="auto" w:fill="auto"/>
            <w:tcMar>
              <w:top w:w="100" w:type="dxa"/>
              <w:left w:w="200" w:type="dxa"/>
              <w:bottom w:w="100" w:type="dxa"/>
              <w:right w:w="200" w:type="dxa"/>
            </w:tcMar>
            <w:vAlign w:val="top"/>
          </w:tcPr>
          <w:p w14:paraId="3AED3D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685" w:type="pct"/>
            <w:tcBorders>
              <w:tl2br w:val="nil"/>
              <w:tr2bl w:val="nil"/>
            </w:tcBorders>
            <w:shd w:val="clear" w:color="auto" w:fill="auto"/>
            <w:tcMar>
              <w:top w:w="100" w:type="dxa"/>
              <w:left w:w="200" w:type="dxa"/>
              <w:bottom w:w="100" w:type="dxa"/>
              <w:right w:w="200" w:type="dxa"/>
            </w:tcMar>
            <w:vAlign w:val="top"/>
          </w:tcPr>
          <w:p w14:paraId="2B2BFF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输入：月度采购总量、供应商分配、综合成本及锁价策略；</w:t>
            </w:r>
          </w:p>
          <w:p w14:paraId="189BFB1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1" w:type="pct"/>
            <w:tcBorders>
              <w:tl2br w:val="nil"/>
              <w:tr2bl w:val="nil"/>
            </w:tcBorders>
            <w:shd w:val="clear" w:color="auto" w:fill="auto"/>
            <w:tcMar>
              <w:top w:w="100" w:type="dxa"/>
              <w:left w:w="200" w:type="dxa"/>
              <w:bottom w:w="100" w:type="dxa"/>
              <w:right w:w="200" w:type="dxa"/>
            </w:tcMar>
            <w:vAlign w:val="top"/>
          </w:tcPr>
          <w:p w14:paraId="45051C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审核需求依据、供应商选择、数量分配、成本及合同/锁价策略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08BB9D7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N：退回30修改；Y：进入60</w:t>
            </w:r>
          </w:p>
        </w:tc>
        <w:tc>
          <w:tcPr>
            <w:tcW w:w="1082" w:type="pct"/>
            <w:tcBorders>
              <w:tl2br w:val="nil"/>
              <w:tr2bl w:val="nil"/>
            </w:tcBorders>
            <w:shd w:val="clear" w:color="auto" w:fill="auto"/>
            <w:tcMar>
              <w:top w:w="100" w:type="dxa"/>
              <w:left w:w="200" w:type="dxa"/>
              <w:bottom w:w="100" w:type="dxa"/>
              <w:right w:w="200" w:type="dxa"/>
            </w:tcMar>
            <w:vAlign w:val="top"/>
          </w:tcPr>
          <w:p w14:paraId="6FFE529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P-ZLTC-SCOS-CGYH-001-50-001</w:t>
            </w:r>
          </w:p>
        </w:tc>
      </w:tr>
      <w:tr w14:paraId="435C798C">
        <w:tc>
          <w:tcPr>
            <w:tcW w:w="484" w:type="pct"/>
            <w:tcBorders>
              <w:tl2br w:val="nil"/>
              <w:tr2bl w:val="nil"/>
            </w:tcBorders>
            <w:shd w:val="clear" w:color="auto" w:fill="auto"/>
            <w:tcMar>
              <w:top w:w="100" w:type="dxa"/>
              <w:left w:w="200" w:type="dxa"/>
              <w:bottom w:w="100" w:type="dxa"/>
              <w:right w:w="200" w:type="dxa"/>
            </w:tcMar>
            <w:vAlign w:val="top"/>
          </w:tcPr>
          <w:p w14:paraId="3191C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7" w:type="pct"/>
            <w:tcBorders>
              <w:tl2br w:val="nil"/>
              <w:tr2bl w:val="nil"/>
            </w:tcBorders>
            <w:shd w:val="clear" w:color="auto" w:fill="auto"/>
            <w:tcMar>
              <w:top w:w="100" w:type="dxa"/>
              <w:left w:w="200" w:type="dxa"/>
              <w:bottom w:w="100" w:type="dxa"/>
              <w:right w:w="200" w:type="dxa"/>
            </w:tcMar>
            <w:vAlign w:val="top"/>
          </w:tcPr>
          <w:p w14:paraId="37465B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发布已确认采购方案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76CFF4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D68826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输入：审批通过方案；</w:t>
            </w:r>
          </w:p>
          <w:p w14:paraId="5DCCC99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输出：已确认月度采购方案及版本</w:t>
            </w:r>
          </w:p>
        </w:tc>
        <w:tc>
          <w:tcPr>
            <w:tcW w:w="961" w:type="pct"/>
            <w:tcBorders>
              <w:tl2br w:val="nil"/>
              <w:tr2bl w:val="nil"/>
            </w:tcBorders>
            <w:shd w:val="clear" w:color="auto" w:fill="auto"/>
            <w:tcMar>
              <w:top w:w="100" w:type="dxa"/>
              <w:left w:w="200" w:type="dxa"/>
              <w:bottom w:w="100" w:type="dxa"/>
              <w:right w:w="200" w:type="dxa"/>
            </w:tcMar>
            <w:vAlign w:val="top"/>
          </w:tcPr>
          <w:p w14:paraId="6300181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发布方案并保存推荐值、人工调整值、审批意见、输入数据和计算参数</w:t>
            </w:r>
          </w:p>
        </w:tc>
        <w:tc>
          <w:tcPr>
            <w:tcW w:w="840" w:type="pct"/>
            <w:tcBorders>
              <w:tl2br w:val="nil"/>
              <w:tr2bl w:val="nil"/>
            </w:tcBorders>
            <w:shd w:val="clear" w:color="auto" w:fill="auto"/>
            <w:tcMar>
              <w:top w:w="100" w:type="dxa"/>
              <w:left w:w="200" w:type="dxa"/>
              <w:bottom w:w="100" w:type="dxa"/>
              <w:right w:w="200" w:type="dxa"/>
            </w:tcMar>
            <w:vAlign w:val="top"/>
          </w:tcPr>
          <w:p w14:paraId="27E9D4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82" w:type="pct"/>
            <w:tcBorders>
              <w:tl2br w:val="nil"/>
              <w:tr2bl w:val="nil"/>
            </w:tcBorders>
            <w:shd w:val="clear" w:color="auto" w:fill="auto"/>
            <w:tcMar>
              <w:top w:w="100" w:type="dxa"/>
              <w:left w:w="200" w:type="dxa"/>
              <w:bottom w:w="100" w:type="dxa"/>
              <w:right w:w="200" w:type="dxa"/>
            </w:tcMar>
            <w:vAlign w:val="top"/>
          </w:tcPr>
          <w:p w14:paraId="0D3CC2B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P-ZLTC-SCOS-CGYH-001-60-001</w:t>
            </w:r>
          </w:p>
        </w:tc>
      </w:tr>
      <w:tr w14:paraId="6D950AC4">
        <w:tc>
          <w:tcPr>
            <w:tcW w:w="484" w:type="pct"/>
            <w:tcBorders>
              <w:tl2br w:val="nil"/>
              <w:tr2bl w:val="nil"/>
            </w:tcBorders>
            <w:shd w:val="clear" w:color="auto" w:fill="auto"/>
            <w:tcMar>
              <w:top w:w="100" w:type="dxa"/>
              <w:left w:w="200" w:type="dxa"/>
              <w:bottom w:w="100" w:type="dxa"/>
              <w:right w:w="200" w:type="dxa"/>
            </w:tcMar>
            <w:vAlign w:val="top"/>
          </w:tcPr>
          <w:p w14:paraId="468880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7" w:type="pct"/>
            <w:tcBorders>
              <w:tl2br w:val="nil"/>
              <w:tr2bl w:val="nil"/>
            </w:tcBorders>
            <w:shd w:val="clear" w:color="auto" w:fill="auto"/>
            <w:tcMar>
              <w:top w:w="100" w:type="dxa"/>
              <w:left w:w="200" w:type="dxa"/>
              <w:bottom w:w="100" w:type="dxa"/>
              <w:right w:w="200" w:type="dxa"/>
            </w:tcMar>
            <w:vAlign w:val="top"/>
          </w:tcPr>
          <w:p w14:paraId="3C499A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进入采购执行</w:t>
            </w:r>
          </w:p>
        </w:tc>
        <w:tc>
          <w:tcPr>
            <w:tcW w:w="447" w:type="pct"/>
            <w:tcBorders>
              <w:tl2br w:val="nil"/>
              <w:tr2bl w:val="nil"/>
            </w:tcBorders>
            <w:shd w:val="clear" w:color="auto" w:fill="auto"/>
            <w:tcMar>
              <w:top w:w="100" w:type="dxa"/>
              <w:left w:w="200" w:type="dxa"/>
              <w:bottom w:w="100" w:type="dxa"/>
              <w:right w:w="200" w:type="dxa"/>
            </w:tcMar>
            <w:vAlign w:val="top"/>
          </w:tcPr>
          <w:p w14:paraId="32E10F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采购计划员、E采/SAP</w:t>
            </w:r>
          </w:p>
        </w:tc>
        <w:tc>
          <w:tcPr>
            <w:tcW w:w="685" w:type="pct"/>
            <w:tcBorders>
              <w:tl2br w:val="nil"/>
              <w:tr2bl w:val="nil"/>
            </w:tcBorders>
            <w:shd w:val="clear" w:color="auto" w:fill="auto"/>
            <w:tcMar>
              <w:top w:w="100" w:type="dxa"/>
              <w:left w:w="200" w:type="dxa"/>
              <w:bottom w:w="100" w:type="dxa"/>
              <w:right w:w="200" w:type="dxa"/>
            </w:tcMar>
            <w:vAlign w:val="top"/>
          </w:tcPr>
          <w:p w14:paraId="14FD6D9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w:t>
            </w:r>
          </w:p>
          <w:p w14:paraId="269DCB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输出：采购执行依据</w:t>
            </w:r>
          </w:p>
        </w:tc>
        <w:tc>
          <w:tcPr>
            <w:tcW w:w="961" w:type="pct"/>
            <w:tcBorders>
              <w:tl2br w:val="nil"/>
              <w:tr2bl w:val="nil"/>
            </w:tcBorders>
            <w:shd w:val="clear" w:color="auto" w:fill="auto"/>
            <w:tcMar>
              <w:top w:w="100" w:type="dxa"/>
              <w:left w:w="200" w:type="dxa"/>
              <w:bottom w:w="100" w:type="dxa"/>
              <w:right w:w="200" w:type="dxa"/>
            </w:tcMar>
            <w:vAlign w:val="top"/>
          </w:tcPr>
          <w:p w14:paraId="0ADEC5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向E采/SAP提供已确认的供应商、采购数量、采购时点和建议到货安排。正式合同、采购订单及具体执行安排由业务人员和执行系统承接</w:t>
            </w:r>
          </w:p>
        </w:tc>
        <w:tc>
          <w:tcPr>
            <w:tcW w:w="840" w:type="pct"/>
            <w:tcBorders>
              <w:tl2br w:val="nil"/>
              <w:tr2bl w:val="nil"/>
            </w:tcBorders>
            <w:shd w:val="clear" w:color="auto" w:fill="auto"/>
            <w:tcMar>
              <w:top w:w="100" w:type="dxa"/>
              <w:left w:w="200" w:type="dxa"/>
              <w:bottom w:w="100" w:type="dxa"/>
              <w:right w:w="200" w:type="dxa"/>
            </w:tcMar>
            <w:vAlign w:val="top"/>
          </w:tcPr>
          <w:p w14:paraId="6359F1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接口失败时保留待下发状态并支持重推</w:t>
            </w:r>
          </w:p>
        </w:tc>
        <w:tc>
          <w:tcPr>
            <w:tcW w:w="1082" w:type="pct"/>
            <w:tcBorders>
              <w:tl2br w:val="nil"/>
              <w:tr2bl w:val="nil"/>
            </w:tcBorders>
            <w:shd w:val="clear" w:color="auto" w:fill="auto"/>
            <w:tcMar>
              <w:top w:w="100" w:type="dxa"/>
              <w:left w:w="200" w:type="dxa"/>
              <w:bottom w:w="100" w:type="dxa"/>
              <w:right w:w="200" w:type="dxa"/>
            </w:tcMar>
            <w:vAlign w:val="top"/>
          </w:tcPr>
          <w:p w14:paraId="425367D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P-ZLTC-SCOS-CGYH-001-70-001</w:t>
            </w:r>
          </w:p>
        </w:tc>
      </w:tr>
      <w:tr w14:paraId="4C34F5C9">
        <w:tc>
          <w:tcPr>
            <w:tcW w:w="484" w:type="pct"/>
            <w:tcBorders>
              <w:tl2br w:val="nil"/>
              <w:tr2bl w:val="nil"/>
            </w:tcBorders>
            <w:shd w:val="clear" w:color="auto" w:fill="auto"/>
            <w:tcMar>
              <w:top w:w="100" w:type="dxa"/>
              <w:left w:w="200" w:type="dxa"/>
              <w:bottom w:w="100" w:type="dxa"/>
              <w:right w:w="200" w:type="dxa"/>
            </w:tcMar>
            <w:vAlign w:val="top"/>
          </w:tcPr>
          <w:p w14:paraId="1E0539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7" w:type="pct"/>
            <w:tcBorders>
              <w:tl2br w:val="nil"/>
              <w:tr2bl w:val="nil"/>
            </w:tcBorders>
            <w:shd w:val="clear" w:color="auto" w:fill="auto"/>
            <w:tcMar>
              <w:top w:w="100" w:type="dxa"/>
              <w:left w:w="200" w:type="dxa"/>
              <w:bottom w:w="100" w:type="dxa"/>
              <w:right w:w="200" w:type="dxa"/>
            </w:tcMar>
            <w:vAlign w:val="top"/>
          </w:tcPr>
          <w:p w14:paraId="7D93F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7" w:type="pct"/>
            <w:tcBorders>
              <w:tl2br w:val="nil"/>
              <w:tr2bl w:val="nil"/>
            </w:tcBorders>
            <w:shd w:val="clear" w:color="auto" w:fill="auto"/>
            <w:tcMar>
              <w:top w:w="100" w:type="dxa"/>
              <w:left w:w="200" w:type="dxa"/>
              <w:bottom w:w="100" w:type="dxa"/>
              <w:right w:w="200" w:type="dxa"/>
            </w:tcMar>
            <w:vAlign w:val="top"/>
          </w:tcPr>
          <w:p w14:paraId="5A891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2C3648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162101B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月度采购方案制定完成</w:t>
            </w:r>
          </w:p>
        </w:tc>
        <w:tc>
          <w:tcPr>
            <w:tcW w:w="840" w:type="pct"/>
            <w:tcBorders>
              <w:tl2br w:val="nil"/>
              <w:tr2bl w:val="nil"/>
            </w:tcBorders>
            <w:shd w:val="clear" w:color="auto" w:fill="auto"/>
            <w:tcMar>
              <w:top w:w="100" w:type="dxa"/>
              <w:left w:w="200" w:type="dxa"/>
              <w:bottom w:w="100" w:type="dxa"/>
              <w:right w:w="200" w:type="dxa"/>
            </w:tcMar>
            <w:vAlign w:val="top"/>
          </w:tcPr>
          <w:p w14:paraId="5B22A3C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41CBAA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75BAF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F44DDC0">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供应商评价与准入预警流程</w:t>
      </w:r>
    </w:p>
    <w:p w14:paraId="5627E89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0" name="图片 10" descr="业务蓝图_供应商评价与准入预警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业务蓝图_供应商评价与准入预警流程_优化-1"/>
                    <pic:cNvPicPr>
                      <a:picLocks noChangeAspect="1"/>
                    </pic:cNvPicPr>
                  </pic:nvPicPr>
                  <pic:blipFill>
                    <a:blip r:embed="rId17"/>
                    <a:stretch>
                      <a:fillRect/>
                    </a:stretch>
                  </pic:blipFill>
                  <pic:spPr>
                    <a:xfrm>
                      <a:off x="0" y="0"/>
                      <a:ext cx="5253990" cy="1613535"/>
                    </a:xfrm>
                    <a:prstGeom prst="rect">
                      <a:avLst/>
                    </a:prstGeom>
                  </pic:spPr>
                </pic:pic>
              </a:graphicData>
            </a:graphic>
          </wp:inline>
        </w:drawing>
      </w:r>
    </w:p>
    <w:tbl>
      <w:tblPr>
        <w:tblStyle w:val="31"/>
        <w:tblW w:w="5880" w:type="pct"/>
        <w:tblInd w:w="-708"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855"/>
        <w:gridCol w:w="945"/>
        <w:gridCol w:w="1021"/>
        <w:gridCol w:w="1555"/>
        <w:gridCol w:w="1982"/>
        <w:gridCol w:w="1812"/>
        <w:gridCol w:w="2076"/>
      </w:tblGrid>
      <w:tr w14:paraId="491DAAA6">
        <w:trPr>
          <w:tblHeader/>
        </w:trPr>
        <w:tc>
          <w:tcPr>
            <w:tcW w:w="417" w:type="pct"/>
            <w:tcBorders>
              <w:tl2br w:val="nil"/>
              <w:tr2bl w:val="nil"/>
            </w:tcBorders>
            <w:shd w:val="clear" w:color="auto" w:fill="auto"/>
            <w:tcMar>
              <w:top w:w="100" w:type="dxa"/>
              <w:left w:w="200" w:type="dxa"/>
              <w:bottom w:w="100" w:type="dxa"/>
              <w:right w:w="200" w:type="dxa"/>
            </w:tcMar>
            <w:vAlign w:val="top"/>
          </w:tcPr>
          <w:p w14:paraId="555443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61" w:type="pct"/>
            <w:tcBorders>
              <w:tl2br w:val="nil"/>
              <w:tr2bl w:val="nil"/>
            </w:tcBorders>
            <w:shd w:val="clear" w:color="auto" w:fill="auto"/>
            <w:tcMar>
              <w:top w:w="100" w:type="dxa"/>
              <w:left w:w="200" w:type="dxa"/>
              <w:bottom w:w="100" w:type="dxa"/>
              <w:right w:w="200" w:type="dxa"/>
            </w:tcMar>
            <w:vAlign w:val="top"/>
          </w:tcPr>
          <w:p w14:paraId="08CEEF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98" w:type="pct"/>
            <w:tcBorders>
              <w:tl2br w:val="nil"/>
              <w:tr2bl w:val="nil"/>
            </w:tcBorders>
            <w:shd w:val="clear" w:color="auto" w:fill="auto"/>
            <w:tcMar>
              <w:top w:w="100" w:type="dxa"/>
              <w:left w:w="200" w:type="dxa"/>
              <w:bottom w:w="100" w:type="dxa"/>
              <w:right w:w="200" w:type="dxa"/>
            </w:tcMar>
            <w:vAlign w:val="top"/>
          </w:tcPr>
          <w:p w14:paraId="11A8FB7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8" w:type="pct"/>
            <w:tcBorders>
              <w:tl2br w:val="nil"/>
              <w:tr2bl w:val="nil"/>
            </w:tcBorders>
            <w:shd w:val="clear" w:color="auto" w:fill="auto"/>
            <w:tcMar>
              <w:top w:w="100" w:type="dxa"/>
              <w:left w:w="200" w:type="dxa"/>
              <w:bottom w:w="100" w:type="dxa"/>
              <w:right w:w="200" w:type="dxa"/>
            </w:tcMar>
            <w:vAlign w:val="top"/>
          </w:tcPr>
          <w:p w14:paraId="6415CE6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l2br w:val="nil"/>
              <w:tr2bl w:val="nil"/>
            </w:tcBorders>
            <w:shd w:val="clear" w:color="auto" w:fill="auto"/>
            <w:tcMar>
              <w:top w:w="100" w:type="dxa"/>
              <w:left w:w="200" w:type="dxa"/>
              <w:bottom w:w="100" w:type="dxa"/>
              <w:right w:w="200" w:type="dxa"/>
            </w:tcMar>
            <w:vAlign w:val="top"/>
          </w:tcPr>
          <w:p w14:paraId="68D829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84" w:type="pct"/>
            <w:tcBorders>
              <w:tl2br w:val="nil"/>
              <w:tr2bl w:val="nil"/>
            </w:tcBorders>
            <w:shd w:val="clear" w:color="auto" w:fill="auto"/>
            <w:tcMar>
              <w:top w:w="100" w:type="dxa"/>
              <w:left w:w="200" w:type="dxa"/>
              <w:bottom w:w="100" w:type="dxa"/>
              <w:right w:w="200" w:type="dxa"/>
            </w:tcMar>
            <w:vAlign w:val="top"/>
          </w:tcPr>
          <w:p w14:paraId="1C6F23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13" w:type="pct"/>
            <w:tcBorders>
              <w:tl2br w:val="nil"/>
              <w:tr2bl w:val="nil"/>
            </w:tcBorders>
            <w:shd w:val="clear" w:color="auto" w:fill="auto"/>
            <w:tcMar>
              <w:top w:w="100" w:type="dxa"/>
              <w:left w:w="200" w:type="dxa"/>
              <w:bottom w:w="100" w:type="dxa"/>
              <w:right w:w="200" w:type="dxa"/>
            </w:tcMar>
            <w:vAlign w:val="top"/>
          </w:tcPr>
          <w:p w14:paraId="30F1333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79D9597">
        <w:tc>
          <w:tcPr>
            <w:tcW w:w="417" w:type="pct"/>
            <w:tcBorders>
              <w:tl2br w:val="nil"/>
              <w:tr2bl w:val="nil"/>
            </w:tcBorders>
            <w:shd w:val="clear" w:color="auto" w:fill="auto"/>
            <w:tcMar>
              <w:top w:w="100" w:type="dxa"/>
              <w:left w:w="200" w:type="dxa"/>
              <w:bottom w:w="100" w:type="dxa"/>
              <w:right w:w="200" w:type="dxa"/>
            </w:tcMar>
            <w:vAlign w:val="top"/>
          </w:tcPr>
          <w:p w14:paraId="6C5419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1" w:type="pct"/>
            <w:tcBorders>
              <w:tl2br w:val="nil"/>
              <w:tr2bl w:val="nil"/>
            </w:tcBorders>
            <w:shd w:val="clear" w:color="auto" w:fill="auto"/>
            <w:tcMar>
              <w:top w:w="100" w:type="dxa"/>
              <w:left w:w="200" w:type="dxa"/>
              <w:bottom w:w="100" w:type="dxa"/>
              <w:right w:w="200" w:type="dxa"/>
            </w:tcMar>
            <w:vAlign w:val="top"/>
          </w:tcPr>
          <w:p w14:paraId="52D32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8" w:type="pct"/>
            <w:tcBorders>
              <w:tl2br w:val="nil"/>
              <w:tr2bl w:val="nil"/>
            </w:tcBorders>
            <w:shd w:val="clear" w:color="auto" w:fill="auto"/>
            <w:tcMar>
              <w:top w:w="100" w:type="dxa"/>
              <w:left w:w="200" w:type="dxa"/>
              <w:bottom w:w="100" w:type="dxa"/>
              <w:right w:w="200" w:type="dxa"/>
            </w:tcMar>
            <w:vAlign w:val="top"/>
          </w:tcPr>
          <w:p w14:paraId="62A8BB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9D90C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7" w:type="pct"/>
            <w:tcBorders>
              <w:tl2br w:val="nil"/>
              <w:tr2bl w:val="nil"/>
            </w:tcBorders>
            <w:shd w:val="clear" w:color="auto" w:fill="auto"/>
            <w:tcMar>
              <w:top w:w="100" w:type="dxa"/>
              <w:left w:w="200" w:type="dxa"/>
              <w:bottom w:w="100" w:type="dxa"/>
              <w:right w:w="200" w:type="dxa"/>
            </w:tcMar>
            <w:vAlign w:val="top"/>
          </w:tcPr>
          <w:p w14:paraId="5999F7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系统按评价周期运行，或在采购订单执行、质量结果及供应商资质发生变化时触发</w:t>
            </w:r>
          </w:p>
        </w:tc>
        <w:tc>
          <w:tcPr>
            <w:tcW w:w="884" w:type="pct"/>
            <w:tcBorders>
              <w:tl2br w:val="nil"/>
              <w:tr2bl w:val="nil"/>
            </w:tcBorders>
            <w:shd w:val="clear" w:color="auto" w:fill="auto"/>
            <w:tcMar>
              <w:top w:w="100" w:type="dxa"/>
              <w:left w:w="200" w:type="dxa"/>
              <w:bottom w:w="100" w:type="dxa"/>
              <w:right w:w="200" w:type="dxa"/>
            </w:tcMar>
            <w:vAlign w:val="top"/>
          </w:tcPr>
          <w:p w14:paraId="38D3EF4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32253B0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7980B6">
        <w:tc>
          <w:tcPr>
            <w:tcW w:w="417" w:type="pct"/>
            <w:tcBorders>
              <w:tl2br w:val="nil"/>
              <w:tr2bl w:val="nil"/>
            </w:tcBorders>
            <w:shd w:val="clear" w:color="auto" w:fill="auto"/>
            <w:tcMar>
              <w:top w:w="100" w:type="dxa"/>
              <w:left w:w="200" w:type="dxa"/>
              <w:bottom w:w="100" w:type="dxa"/>
              <w:right w:w="200" w:type="dxa"/>
            </w:tcMar>
            <w:vAlign w:val="top"/>
          </w:tcPr>
          <w:p w14:paraId="7BBEF33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1" w:type="pct"/>
            <w:tcBorders>
              <w:tl2br w:val="nil"/>
              <w:tr2bl w:val="nil"/>
            </w:tcBorders>
            <w:shd w:val="clear" w:color="auto" w:fill="auto"/>
            <w:tcMar>
              <w:top w:w="100" w:type="dxa"/>
              <w:left w:w="200" w:type="dxa"/>
              <w:bottom w:w="100" w:type="dxa"/>
              <w:right w:w="200" w:type="dxa"/>
            </w:tcMar>
            <w:vAlign w:val="top"/>
          </w:tcPr>
          <w:p w14:paraId="669B33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提供供应商评价与资质数据</w:t>
            </w:r>
          </w:p>
        </w:tc>
        <w:tc>
          <w:tcPr>
            <w:tcW w:w="498" w:type="pct"/>
            <w:tcBorders>
              <w:tl2br w:val="nil"/>
              <w:tr2bl w:val="nil"/>
            </w:tcBorders>
            <w:shd w:val="clear" w:color="auto" w:fill="auto"/>
            <w:tcMar>
              <w:top w:w="100" w:type="dxa"/>
              <w:left w:w="200" w:type="dxa"/>
              <w:bottom w:w="100" w:type="dxa"/>
              <w:right w:w="200" w:type="dxa"/>
            </w:tcMar>
            <w:vAlign w:val="top"/>
          </w:tcPr>
          <w:p w14:paraId="202B9E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8" w:type="pct"/>
            <w:tcBorders>
              <w:tl2br w:val="nil"/>
              <w:tr2bl w:val="nil"/>
            </w:tcBorders>
            <w:shd w:val="clear" w:color="auto" w:fill="auto"/>
            <w:tcMar>
              <w:top w:w="100" w:type="dxa"/>
              <w:left w:w="200" w:type="dxa"/>
              <w:bottom w:w="100" w:type="dxa"/>
              <w:right w:w="200" w:type="dxa"/>
            </w:tcMar>
            <w:vAlign w:val="top"/>
          </w:tcPr>
          <w:p w14:paraId="585633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输入：供应商主数据、交易价格、</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准时交付率</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、质量合格率、财务与风险信息、资质证照及有效期；</w:t>
            </w:r>
          </w:p>
          <w:p w14:paraId="50A1CB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输出：供应商评价数据集</w:t>
            </w:r>
          </w:p>
        </w:tc>
        <w:tc>
          <w:tcPr>
            <w:tcW w:w="967" w:type="pct"/>
            <w:tcBorders>
              <w:tl2br w:val="nil"/>
              <w:tr2bl w:val="nil"/>
            </w:tcBorders>
            <w:shd w:val="clear" w:color="auto" w:fill="auto"/>
            <w:tcMar>
              <w:top w:w="100" w:type="dxa"/>
              <w:left w:w="200" w:type="dxa"/>
              <w:bottom w:w="100" w:type="dxa"/>
              <w:right w:w="200" w:type="dxa"/>
            </w:tcMar>
            <w:vAlign w:val="top"/>
          </w:tcPr>
          <w:p w14:paraId="1B8AA4E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通过统一数据服务层汇集供应商评价所需数据，SCOS不替代供应商主数据和资质源系统</w:t>
            </w:r>
          </w:p>
        </w:tc>
        <w:tc>
          <w:tcPr>
            <w:tcW w:w="884" w:type="pct"/>
            <w:tcBorders>
              <w:tl2br w:val="nil"/>
              <w:tr2bl w:val="nil"/>
            </w:tcBorders>
            <w:shd w:val="clear" w:color="auto" w:fill="auto"/>
            <w:tcMar>
              <w:top w:w="100" w:type="dxa"/>
              <w:left w:w="200" w:type="dxa"/>
              <w:bottom w:w="100" w:type="dxa"/>
              <w:right w:w="200" w:type="dxa"/>
            </w:tcMar>
            <w:vAlign w:val="top"/>
          </w:tcPr>
          <w:p w14:paraId="790949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数据缺失或接口异常时保留最近有效数据并标记数据时间</w:t>
            </w:r>
          </w:p>
        </w:tc>
        <w:tc>
          <w:tcPr>
            <w:tcW w:w="1013" w:type="pct"/>
            <w:tcBorders>
              <w:tl2br w:val="nil"/>
              <w:tr2bl w:val="nil"/>
            </w:tcBorders>
            <w:shd w:val="clear" w:color="auto" w:fill="auto"/>
            <w:tcMar>
              <w:top w:w="100" w:type="dxa"/>
              <w:left w:w="200" w:type="dxa"/>
              <w:bottom w:w="100" w:type="dxa"/>
              <w:right w:w="200" w:type="dxa"/>
            </w:tcMar>
            <w:vAlign w:val="top"/>
          </w:tcPr>
          <w:p w14:paraId="5A1B571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P-ZLTC-SCOS-CGYH-002-10-001</w:t>
            </w:r>
          </w:p>
        </w:tc>
      </w:tr>
      <w:tr w14:paraId="17AE0F1B">
        <w:tc>
          <w:tcPr>
            <w:tcW w:w="417" w:type="pct"/>
            <w:tcBorders>
              <w:tl2br w:val="nil"/>
              <w:tr2bl w:val="nil"/>
            </w:tcBorders>
            <w:shd w:val="clear" w:color="auto" w:fill="auto"/>
            <w:tcMar>
              <w:top w:w="100" w:type="dxa"/>
              <w:left w:w="200" w:type="dxa"/>
              <w:bottom w:w="100" w:type="dxa"/>
              <w:right w:w="200" w:type="dxa"/>
            </w:tcMar>
            <w:vAlign w:val="top"/>
          </w:tcPr>
          <w:p w14:paraId="38C7AB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1" w:type="pct"/>
            <w:tcBorders>
              <w:tl2br w:val="nil"/>
              <w:tr2bl w:val="nil"/>
            </w:tcBorders>
            <w:shd w:val="clear" w:color="auto" w:fill="auto"/>
            <w:tcMar>
              <w:top w:w="100" w:type="dxa"/>
              <w:left w:w="200" w:type="dxa"/>
              <w:bottom w:w="100" w:type="dxa"/>
              <w:right w:w="200" w:type="dxa"/>
            </w:tcMar>
            <w:vAlign w:val="top"/>
          </w:tcPr>
          <w:p w14:paraId="788AB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生成供应商画像与预警</w:t>
            </w:r>
          </w:p>
        </w:tc>
        <w:tc>
          <w:tcPr>
            <w:tcW w:w="498" w:type="pct"/>
            <w:tcBorders>
              <w:tl2br w:val="nil"/>
              <w:tr2bl w:val="nil"/>
            </w:tcBorders>
            <w:shd w:val="clear" w:color="auto" w:fill="auto"/>
            <w:tcMar>
              <w:top w:w="100" w:type="dxa"/>
              <w:left w:w="200" w:type="dxa"/>
              <w:bottom w:w="100" w:type="dxa"/>
              <w:right w:w="200" w:type="dxa"/>
            </w:tcMar>
            <w:vAlign w:val="top"/>
          </w:tcPr>
          <w:p w14:paraId="5C4A3FB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5BCFD8A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输入：供应商评价数据集；</w:t>
            </w:r>
          </w:p>
          <w:p w14:paraId="6E9CD96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输出：供应商画像、绩效评分、资质及风险预警</w:t>
            </w:r>
          </w:p>
        </w:tc>
        <w:tc>
          <w:tcPr>
            <w:tcW w:w="967" w:type="pct"/>
            <w:tcBorders>
              <w:tl2br w:val="nil"/>
              <w:tr2bl w:val="nil"/>
            </w:tcBorders>
            <w:shd w:val="clear" w:color="auto" w:fill="auto"/>
            <w:tcMar>
              <w:top w:w="100" w:type="dxa"/>
              <w:left w:w="200" w:type="dxa"/>
              <w:bottom w:w="100" w:type="dxa"/>
              <w:right w:w="200" w:type="dxa"/>
            </w:tcMar>
            <w:vAlign w:val="top"/>
          </w:tcPr>
          <w:p w14:paraId="112DB9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更新历史价格、交付、质量、财务和风险指标，形成供应商评价结果；对资质即将到期、已失效或风险异常进行预警</w:t>
            </w:r>
          </w:p>
        </w:tc>
        <w:tc>
          <w:tcPr>
            <w:tcW w:w="884" w:type="pct"/>
            <w:tcBorders>
              <w:tl2br w:val="nil"/>
              <w:tr2bl w:val="nil"/>
            </w:tcBorders>
            <w:shd w:val="clear" w:color="auto" w:fill="auto"/>
            <w:tcMar>
              <w:top w:w="100" w:type="dxa"/>
              <w:left w:w="200" w:type="dxa"/>
              <w:bottom w:w="100" w:type="dxa"/>
              <w:right w:w="200" w:type="dxa"/>
            </w:tcMar>
            <w:vAlign w:val="top"/>
          </w:tcPr>
          <w:p w14:paraId="5DA7C9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评分所需数据不足时标记“待补充”，不得给出误导性完整评分</w:t>
            </w:r>
          </w:p>
        </w:tc>
        <w:tc>
          <w:tcPr>
            <w:tcW w:w="1013" w:type="pct"/>
            <w:tcBorders>
              <w:tl2br w:val="nil"/>
              <w:tr2bl w:val="nil"/>
            </w:tcBorders>
            <w:shd w:val="clear" w:color="auto" w:fill="auto"/>
            <w:tcMar>
              <w:top w:w="100" w:type="dxa"/>
              <w:left w:w="200" w:type="dxa"/>
              <w:bottom w:w="100" w:type="dxa"/>
              <w:right w:w="200" w:type="dxa"/>
            </w:tcMar>
            <w:vAlign w:val="top"/>
          </w:tcPr>
          <w:p w14:paraId="6A292A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P-ZLTC-SCOS-CGYH-002-20-001</w:t>
            </w:r>
          </w:p>
        </w:tc>
      </w:tr>
      <w:tr w14:paraId="550386A2">
        <w:tc>
          <w:tcPr>
            <w:tcW w:w="417" w:type="pct"/>
            <w:tcBorders>
              <w:tl2br w:val="nil"/>
              <w:tr2bl w:val="nil"/>
            </w:tcBorders>
            <w:shd w:val="clear" w:color="auto" w:fill="auto"/>
            <w:tcMar>
              <w:top w:w="100" w:type="dxa"/>
              <w:left w:w="200" w:type="dxa"/>
              <w:bottom w:w="100" w:type="dxa"/>
              <w:right w:w="200" w:type="dxa"/>
            </w:tcMar>
            <w:vAlign w:val="top"/>
          </w:tcPr>
          <w:p w14:paraId="482402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1" w:type="pct"/>
            <w:tcBorders>
              <w:tl2br w:val="nil"/>
              <w:tr2bl w:val="nil"/>
            </w:tcBorders>
            <w:shd w:val="clear" w:color="auto" w:fill="auto"/>
            <w:tcMar>
              <w:top w:w="100" w:type="dxa"/>
              <w:left w:w="200" w:type="dxa"/>
              <w:bottom w:w="100" w:type="dxa"/>
              <w:right w:w="200" w:type="dxa"/>
            </w:tcMar>
            <w:vAlign w:val="top"/>
          </w:tcPr>
          <w:p w14:paraId="7A4A73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判断是否存在异常或预警</w:t>
            </w:r>
          </w:p>
        </w:tc>
        <w:tc>
          <w:tcPr>
            <w:tcW w:w="498" w:type="pct"/>
            <w:tcBorders>
              <w:tl2br w:val="nil"/>
              <w:tr2bl w:val="nil"/>
            </w:tcBorders>
            <w:shd w:val="clear" w:color="auto" w:fill="auto"/>
            <w:tcMar>
              <w:top w:w="100" w:type="dxa"/>
              <w:left w:w="200" w:type="dxa"/>
              <w:bottom w:w="100" w:type="dxa"/>
              <w:right w:w="200" w:type="dxa"/>
            </w:tcMar>
            <w:vAlign w:val="top"/>
          </w:tcPr>
          <w:p w14:paraId="0460CFE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7366AF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输入：评价结果、资质及风险预警；</w:t>
            </w:r>
          </w:p>
          <w:p w14:paraId="1F47E1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输出：判断结论</w:t>
            </w:r>
          </w:p>
        </w:tc>
        <w:tc>
          <w:tcPr>
            <w:tcW w:w="967" w:type="pct"/>
            <w:tcBorders>
              <w:tl2br w:val="nil"/>
              <w:tr2bl w:val="nil"/>
            </w:tcBorders>
            <w:shd w:val="clear" w:color="auto" w:fill="auto"/>
            <w:tcMar>
              <w:top w:w="100" w:type="dxa"/>
              <w:left w:w="200" w:type="dxa"/>
              <w:bottom w:w="100" w:type="dxa"/>
              <w:right w:w="200" w:type="dxa"/>
            </w:tcMar>
            <w:vAlign w:val="top"/>
          </w:tcPr>
          <w:p w14:paraId="2FD65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判断是否存在资质到期、绩效明显下降、质量或交付异常、财务或外部风险</w:t>
            </w:r>
          </w:p>
        </w:tc>
        <w:tc>
          <w:tcPr>
            <w:tcW w:w="884" w:type="pct"/>
            <w:tcBorders>
              <w:tl2br w:val="nil"/>
              <w:tr2bl w:val="nil"/>
            </w:tcBorders>
            <w:shd w:val="clear" w:color="auto" w:fill="auto"/>
            <w:tcMar>
              <w:top w:w="100" w:type="dxa"/>
              <w:left w:w="200" w:type="dxa"/>
              <w:bottom w:w="100" w:type="dxa"/>
              <w:right w:w="200" w:type="dxa"/>
            </w:tcMar>
            <w:vAlign w:val="top"/>
          </w:tcPr>
          <w:p w14:paraId="5018A1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N：直接进入70发布正常评价结果；Y：进入40</w:t>
            </w:r>
          </w:p>
        </w:tc>
        <w:tc>
          <w:tcPr>
            <w:tcW w:w="1013" w:type="pct"/>
            <w:tcBorders>
              <w:tl2br w:val="nil"/>
              <w:tr2bl w:val="nil"/>
            </w:tcBorders>
            <w:shd w:val="clear" w:color="auto" w:fill="auto"/>
            <w:tcMar>
              <w:top w:w="100" w:type="dxa"/>
              <w:left w:w="200" w:type="dxa"/>
              <w:bottom w:w="100" w:type="dxa"/>
              <w:right w:w="200" w:type="dxa"/>
            </w:tcMar>
            <w:vAlign w:val="top"/>
          </w:tcPr>
          <w:p w14:paraId="4BB9E0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P-ZLTC-SCOS-CGYH-002-30-001</w:t>
            </w:r>
          </w:p>
        </w:tc>
      </w:tr>
      <w:tr w14:paraId="0D8B8673">
        <w:tc>
          <w:tcPr>
            <w:tcW w:w="417" w:type="pct"/>
            <w:tcBorders>
              <w:tl2br w:val="nil"/>
              <w:tr2bl w:val="nil"/>
            </w:tcBorders>
            <w:shd w:val="clear" w:color="auto" w:fill="auto"/>
            <w:tcMar>
              <w:top w:w="100" w:type="dxa"/>
              <w:left w:w="200" w:type="dxa"/>
              <w:bottom w:w="100" w:type="dxa"/>
              <w:right w:w="200" w:type="dxa"/>
            </w:tcMar>
            <w:vAlign w:val="top"/>
          </w:tcPr>
          <w:p w14:paraId="46104D0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1" w:type="pct"/>
            <w:tcBorders>
              <w:tl2br w:val="nil"/>
              <w:tr2bl w:val="nil"/>
            </w:tcBorders>
            <w:shd w:val="clear" w:color="auto" w:fill="auto"/>
            <w:tcMar>
              <w:top w:w="100" w:type="dxa"/>
              <w:left w:w="200" w:type="dxa"/>
              <w:bottom w:w="100" w:type="dxa"/>
              <w:right w:w="200" w:type="dxa"/>
            </w:tcMar>
            <w:vAlign w:val="top"/>
          </w:tcPr>
          <w:p w14:paraId="253AC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复核评价结果</w:t>
            </w:r>
          </w:p>
        </w:tc>
        <w:tc>
          <w:tcPr>
            <w:tcW w:w="498" w:type="pct"/>
            <w:tcBorders>
              <w:tl2br w:val="nil"/>
              <w:tr2bl w:val="nil"/>
            </w:tcBorders>
            <w:shd w:val="clear" w:color="auto" w:fill="auto"/>
            <w:tcMar>
              <w:top w:w="100" w:type="dxa"/>
              <w:left w:w="200" w:type="dxa"/>
              <w:bottom w:w="100" w:type="dxa"/>
              <w:right w:w="200" w:type="dxa"/>
            </w:tcMar>
            <w:vAlign w:val="top"/>
          </w:tcPr>
          <w:p w14:paraId="7E13147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72D09D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输入：供应商画像、评分明细和预警依据；</w:t>
            </w:r>
          </w:p>
          <w:p w14:paraId="3F55F02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967" w:type="pct"/>
            <w:tcBorders>
              <w:tl2br w:val="nil"/>
              <w:tr2bl w:val="nil"/>
            </w:tcBorders>
            <w:shd w:val="clear" w:color="auto" w:fill="auto"/>
            <w:tcMar>
              <w:top w:w="100" w:type="dxa"/>
              <w:left w:w="200" w:type="dxa"/>
              <w:bottom w:w="100" w:type="dxa"/>
              <w:right w:w="200" w:type="dxa"/>
            </w:tcMar>
            <w:vAlign w:val="top"/>
          </w:tcPr>
          <w:p w14:paraId="715D1EB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核实异常数据、资质文件和风险信息，必要时协调质量、财务等相关部门确认</w:t>
            </w:r>
          </w:p>
        </w:tc>
        <w:tc>
          <w:tcPr>
            <w:tcW w:w="884" w:type="pct"/>
            <w:tcBorders>
              <w:tl2br w:val="nil"/>
              <w:tr2bl w:val="nil"/>
            </w:tcBorders>
            <w:shd w:val="clear" w:color="auto" w:fill="auto"/>
            <w:tcMar>
              <w:top w:w="100" w:type="dxa"/>
              <w:left w:w="200" w:type="dxa"/>
              <w:bottom w:w="100" w:type="dxa"/>
              <w:right w:w="200" w:type="dxa"/>
            </w:tcMar>
            <w:vAlign w:val="top"/>
          </w:tcPr>
          <w:p w14:paraId="0806F16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数据有误时返回数据源修正后重新评价</w:t>
            </w:r>
          </w:p>
        </w:tc>
        <w:tc>
          <w:tcPr>
            <w:tcW w:w="1013" w:type="pct"/>
            <w:tcBorders>
              <w:tl2br w:val="nil"/>
              <w:tr2bl w:val="nil"/>
            </w:tcBorders>
            <w:shd w:val="clear" w:color="auto" w:fill="auto"/>
            <w:tcMar>
              <w:top w:w="100" w:type="dxa"/>
              <w:left w:w="200" w:type="dxa"/>
              <w:bottom w:w="100" w:type="dxa"/>
              <w:right w:w="200" w:type="dxa"/>
            </w:tcMar>
            <w:vAlign w:val="top"/>
          </w:tcPr>
          <w:p w14:paraId="486304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P-ZLTC-SCOS-CGYH-002-40-001</w:t>
            </w:r>
          </w:p>
        </w:tc>
      </w:tr>
      <w:tr w14:paraId="104C22D1">
        <w:tc>
          <w:tcPr>
            <w:tcW w:w="417" w:type="pct"/>
            <w:tcBorders>
              <w:tl2br w:val="nil"/>
              <w:tr2bl w:val="nil"/>
            </w:tcBorders>
            <w:shd w:val="clear" w:color="auto" w:fill="auto"/>
            <w:tcMar>
              <w:top w:w="100" w:type="dxa"/>
              <w:left w:w="200" w:type="dxa"/>
              <w:bottom w:w="100" w:type="dxa"/>
              <w:right w:w="200" w:type="dxa"/>
            </w:tcMar>
            <w:vAlign w:val="top"/>
          </w:tcPr>
          <w:p w14:paraId="74FE3E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1" w:type="pct"/>
            <w:tcBorders>
              <w:tl2br w:val="nil"/>
              <w:tr2bl w:val="nil"/>
            </w:tcBorders>
            <w:shd w:val="clear" w:color="auto" w:fill="auto"/>
            <w:tcMar>
              <w:top w:w="100" w:type="dxa"/>
              <w:left w:w="200" w:type="dxa"/>
              <w:bottom w:w="100" w:type="dxa"/>
              <w:right w:w="200" w:type="dxa"/>
            </w:tcMar>
            <w:vAlign w:val="top"/>
          </w:tcPr>
          <w:p w14:paraId="5BC801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判断是否调整供应商状态</w:t>
            </w:r>
          </w:p>
        </w:tc>
        <w:tc>
          <w:tcPr>
            <w:tcW w:w="498" w:type="pct"/>
            <w:tcBorders>
              <w:tl2br w:val="nil"/>
              <w:tr2bl w:val="nil"/>
            </w:tcBorders>
            <w:shd w:val="clear" w:color="auto" w:fill="auto"/>
            <w:tcMar>
              <w:top w:w="100" w:type="dxa"/>
              <w:left w:w="200" w:type="dxa"/>
              <w:bottom w:w="100" w:type="dxa"/>
              <w:right w:w="200" w:type="dxa"/>
            </w:tcMar>
            <w:vAlign w:val="top"/>
          </w:tcPr>
          <w:p w14:paraId="4559788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64E1AA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输入：复核结果；</w:t>
            </w:r>
          </w:p>
          <w:p w14:paraId="49FBFFD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输出：供应商状态调整建议</w:t>
            </w:r>
          </w:p>
        </w:tc>
        <w:tc>
          <w:tcPr>
            <w:tcW w:w="967" w:type="pct"/>
            <w:tcBorders>
              <w:tl2br w:val="nil"/>
              <w:tr2bl w:val="nil"/>
            </w:tcBorders>
            <w:shd w:val="clear" w:color="auto" w:fill="auto"/>
            <w:tcMar>
              <w:top w:w="100" w:type="dxa"/>
              <w:left w:w="200" w:type="dxa"/>
              <w:bottom w:w="100" w:type="dxa"/>
              <w:right w:w="200" w:type="dxa"/>
            </w:tcMar>
            <w:vAlign w:val="top"/>
          </w:tcPr>
          <w:p w14:paraId="7C159BE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判断是否建议限制选择、暂停合作、恢复合作或维持当前状态</w:t>
            </w:r>
          </w:p>
        </w:tc>
        <w:tc>
          <w:tcPr>
            <w:tcW w:w="884" w:type="pct"/>
            <w:tcBorders>
              <w:tl2br w:val="nil"/>
              <w:tr2bl w:val="nil"/>
            </w:tcBorders>
            <w:shd w:val="clear" w:color="auto" w:fill="auto"/>
            <w:tcMar>
              <w:top w:w="100" w:type="dxa"/>
              <w:left w:w="200" w:type="dxa"/>
              <w:bottom w:w="100" w:type="dxa"/>
              <w:right w:w="200" w:type="dxa"/>
            </w:tcMar>
            <w:vAlign w:val="top"/>
          </w:tcPr>
          <w:p w14:paraId="12B7DA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N：保留当前状态并进入70；Y：进入60</w:t>
            </w:r>
          </w:p>
        </w:tc>
        <w:tc>
          <w:tcPr>
            <w:tcW w:w="1013" w:type="pct"/>
            <w:tcBorders>
              <w:tl2br w:val="nil"/>
              <w:tr2bl w:val="nil"/>
            </w:tcBorders>
            <w:shd w:val="clear" w:color="auto" w:fill="auto"/>
            <w:tcMar>
              <w:top w:w="100" w:type="dxa"/>
              <w:left w:w="200" w:type="dxa"/>
              <w:bottom w:w="100" w:type="dxa"/>
              <w:right w:w="200" w:type="dxa"/>
            </w:tcMar>
            <w:vAlign w:val="top"/>
          </w:tcPr>
          <w:p w14:paraId="7D425EF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P-ZLTC-SCOS-CGYH-002-50-001</w:t>
            </w:r>
          </w:p>
        </w:tc>
      </w:tr>
      <w:tr w14:paraId="141BF3E4">
        <w:tc>
          <w:tcPr>
            <w:tcW w:w="417" w:type="pct"/>
            <w:tcBorders>
              <w:tl2br w:val="nil"/>
              <w:tr2bl w:val="nil"/>
            </w:tcBorders>
            <w:shd w:val="clear" w:color="auto" w:fill="auto"/>
            <w:tcMar>
              <w:top w:w="100" w:type="dxa"/>
              <w:left w:w="200" w:type="dxa"/>
              <w:bottom w:w="100" w:type="dxa"/>
              <w:right w:w="200" w:type="dxa"/>
            </w:tcMar>
            <w:vAlign w:val="top"/>
          </w:tcPr>
          <w:p w14:paraId="097BEB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1" w:type="pct"/>
            <w:tcBorders>
              <w:tl2br w:val="nil"/>
              <w:tr2bl w:val="nil"/>
            </w:tcBorders>
            <w:shd w:val="clear" w:color="auto" w:fill="auto"/>
            <w:tcMar>
              <w:top w:w="100" w:type="dxa"/>
              <w:left w:w="200" w:type="dxa"/>
              <w:bottom w:w="100" w:type="dxa"/>
              <w:right w:w="200" w:type="dxa"/>
            </w:tcMar>
            <w:vAlign w:val="top"/>
          </w:tcPr>
          <w:p w14:paraId="656291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审批状态调整</w:t>
            </w:r>
          </w:p>
        </w:tc>
        <w:tc>
          <w:tcPr>
            <w:tcW w:w="498" w:type="pct"/>
            <w:tcBorders>
              <w:tl2br w:val="nil"/>
              <w:tr2bl w:val="nil"/>
            </w:tcBorders>
            <w:shd w:val="clear" w:color="auto" w:fill="auto"/>
            <w:tcMar>
              <w:top w:w="100" w:type="dxa"/>
              <w:left w:w="200" w:type="dxa"/>
              <w:bottom w:w="100" w:type="dxa"/>
              <w:right w:w="200" w:type="dxa"/>
            </w:tcMar>
            <w:vAlign w:val="top"/>
          </w:tcPr>
          <w:p w14:paraId="7787D73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758" w:type="pct"/>
            <w:tcBorders>
              <w:tl2br w:val="nil"/>
              <w:tr2bl w:val="nil"/>
            </w:tcBorders>
            <w:shd w:val="clear" w:color="auto" w:fill="auto"/>
            <w:tcMar>
              <w:top w:w="100" w:type="dxa"/>
              <w:left w:w="200" w:type="dxa"/>
              <w:bottom w:w="100" w:type="dxa"/>
              <w:right w:w="200" w:type="dxa"/>
            </w:tcMar>
            <w:vAlign w:val="top"/>
          </w:tcPr>
          <w:p w14:paraId="2AD22B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输入：状态调整建议及依据；</w:t>
            </w:r>
          </w:p>
          <w:p w14:paraId="07C6A40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7" w:type="pct"/>
            <w:tcBorders>
              <w:tl2br w:val="nil"/>
              <w:tr2bl w:val="nil"/>
            </w:tcBorders>
            <w:shd w:val="clear" w:color="auto" w:fill="auto"/>
            <w:tcMar>
              <w:top w:w="100" w:type="dxa"/>
              <w:left w:w="200" w:type="dxa"/>
              <w:bottom w:w="100" w:type="dxa"/>
              <w:right w:w="200" w:type="dxa"/>
            </w:tcMar>
            <w:vAlign w:val="top"/>
          </w:tcPr>
          <w:p w14:paraId="2FEF03C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审批供应商状态调整和处置意见</w:t>
            </w:r>
          </w:p>
        </w:tc>
        <w:tc>
          <w:tcPr>
            <w:tcW w:w="884" w:type="pct"/>
            <w:tcBorders>
              <w:tl2br w:val="nil"/>
              <w:tr2bl w:val="nil"/>
            </w:tcBorders>
            <w:shd w:val="clear" w:color="auto" w:fill="auto"/>
            <w:tcMar>
              <w:top w:w="100" w:type="dxa"/>
              <w:left w:w="200" w:type="dxa"/>
              <w:bottom w:w="100" w:type="dxa"/>
              <w:right w:w="200" w:type="dxa"/>
            </w:tcMar>
            <w:vAlign w:val="top"/>
          </w:tcPr>
          <w:p w14:paraId="439418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N：退回40补充说明；Y：进入70</w:t>
            </w:r>
          </w:p>
        </w:tc>
        <w:tc>
          <w:tcPr>
            <w:tcW w:w="1013" w:type="pct"/>
            <w:tcBorders>
              <w:tl2br w:val="nil"/>
              <w:tr2bl w:val="nil"/>
            </w:tcBorders>
            <w:shd w:val="clear" w:color="auto" w:fill="auto"/>
            <w:tcMar>
              <w:top w:w="100" w:type="dxa"/>
              <w:left w:w="200" w:type="dxa"/>
              <w:bottom w:w="100" w:type="dxa"/>
              <w:right w:w="200" w:type="dxa"/>
            </w:tcMar>
            <w:vAlign w:val="top"/>
          </w:tcPr>
          <w:p w14:paraId="74F254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P-ZLTC-SCOS-CGYH-002-60-001</w:t>
            </w:r>
          </w:p>
        </w:tc>
      </w:tr>
      <w:tr w14:paraId="04846FF9">
        <w:tc>
          <w:tcPr>
            <w:tcW w:w="417" w:type="pct"/>
            <w:tcBorders>
              <w:tl2br w:val="nil"/>
              <w:tr2bl w:val="nil"/>
            </w:tcBorders>
            <w:shd w:val="clear" w:color="auto" w:fill="auto"/>
            <w:tcMar>
              <w:top w:w="100" w:type="dxa"/>
              <w:left w:w="200" w:type="dxa"/>
              <w:bottom w:w="100" w:type="dxa"/>
              <w:right w:w="200" w:type="dxa"/>
            </w:tcMar>
            <w:vAlign w:val="top"/>
          </w:tcPr>
          <w:p w14:paraId="13BB65E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1" w:type="pct"/>
            <w:tcBorders>
              <w:tl2br w:val="nil"/>
              <w:tr2bl w:val="nil"/>
            </w:tcBorders>
            <w:shd w:val="clear" w:color="auto" w:fill="auto"/>
            <w:tcMar>
              <w:top w:w="100" w:type="dxa"/>
              <w:left w:w="200" w:type="dxa"/>
              <w:bottom w:w="100" w:type="dxa"/>
              <w:right w:w="200" w:type="dxa"/>
            </w:tcMar>
            <w:vAlign w:val="top"/>
          </w:tcPr>
          <w:p w14:paraId="11BEFB7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发布供应商评价结果</w:t>
            </w:r>
          </w:p>
        </w:tc>
        <w:tc>
          <w:tcPr>
            <w:tcW w:w="498" w:type="pct"/>
            <w:tcBorders>
              <w:tl2br w:val="nil"/>
              <w:tr2bl w:val="nil"/>
            </w:tcBorders>
            <w:shd w:val="clear" w:color="auto" w:fill="auto"/>
            <w:tcMar>
              <w:top w:w="100" w:type="dxa"/>
              <w:left w:w="200" w:type="dxa"/>
              <w:bottom w:w="100" w:type="dxa"/>
              <w:right w:w="200" w:type="dxa"/>
            </w:tcMar>
            <w:vAlign w:val="top"/>
          </w:tcPr>
          <w:p w14:paraId="40E800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0D0006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输入：评价、预警及审批结果；</w:t>
            </w:r>
          </w:p>
          <w:p w14:paraId="5750BDF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输出：有效供应商评价和状态</w:t>
            </w:r>
          </w:p>
        </w:tc>
        <w:tc>
          <w:tcPr>
            <w:tcW w:w="967" w:type="pct"/>
            <w:tcBorders>
              <w:tl2br w:val="nil"/>
              <w:tr2bl w:val="nil"/>
            </w:tcBorders>
            <w:shd w:val="clear" w:color="auto" w:fill="auto"/>
            <w:tcMar>
              <w:top w:w="100" w:type="dxa"/>
              <w:left w:w="200" w:type="dxa"/>
              <w:bottom w:w="100" w:type="dxa"/>
              <w:right w:w="200" w:type="dxa"/>
            </w:tcMar>
            <w:vAlign w:val="top"/>
          </w:tcPr>
          <w:p w14:paraId="7F7490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发布评价结果，供月度采购方案制定时查询和决策参考</w:t>
            </w:r>
          </w:p>
        </w:tc>
        <w:tc>
          <w:tcPr>
            <w:tcW w:w="884" w:type="pct"/>
            <w:tcBorders>
              <w:tl2br w:val="nil"/>
              <w:tr2bl w:val="nil"/>
            </w:tcBorders>
            <w:shd w:val="clear" w:color="auto" w:fill="auto"/>
            <w:tcMar>
              <w:top w:w="100" w:type="dxa"/>
              <w:left w:w="200" w:type="dxa"/>
              <w:bottom w:w="100" w:type="dxa"/>
              <w:right w:w="200" w:type="dxa"/>
            </w:tcMar>
            <w:vAlign w:val="top"/>
          </w:tcPr>
          <w:p w14:paraId="24DB2C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13" w:type="pct"/>
            <w:tcBorders>
              <w:tl2br w:val="nil"/>
              <w:tr2bl w:val="nil"/>
            </w:tcBorders>
            <w:shd w:val="clear" w:color="auto" w:fill="auto"/>
            <w:tcMar>
              <w:top w:w="100" w:type="dxa"/>
              <w:left w:w="200" w:type="dxa"/>
              <w:bottom w:w="100" w:type="dxa"/>
              <w:right w:w="200" w:type="dxa"/>
            </w:tcMar>
            <w:vAlign w:val="top"/>
          </w:tcPr>
          <w:p w14:paraId="23E593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P-ZLTC-SCOS-CGYH-002-70-001</w:t>
            </w:r>
          </w:p>
        </w:tc>
      </w:tr>
      <w:tr w14:paraId="17DC12CB">
        <w:tc>
          <w:tcPr>
            <w:tcW w:w="417" w:type="pct"/>
            <w:tcBorders>
              <w:tl2br w:val="nil"/>
              <w:tr2bl w:val="nil"/>
            </w:tcBorders>
            <w:shd w:val="clear" w:color="auto" w:fill="auto"/>
            <w:tcMar>
              <w:top w:w="100" w:type="dxa"/>
              <w:left w:w="200" w:type="dxa"/>
              <w:bottom w:w="100" w:type="dxa"/>
              <w:right w:w="200" w:type="dxa"/>
            </w:tcMar>
            <w:vAlign w:val="top"/>
          </w:tcPr>
          <w:p w14:paraId="274640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1" w:type="pct"/>
            <w:tcBorders>
              <w:tl2br w:val="nil"/>
              <w:tr2bl w:val="nil"/>
            </w:tcBorders>
            <w:shd w:val="clear" w:color="auto" w:fill="auto"/>
            <w:tcMar>
              <w:top w:w="100" w:type="dxa"/>
              <w:left w:w="200" w:type="dxa"/>
              <w:bottom w:w="100" w:type="dxa"/>
              <w:right w:w="200" w:type="dxa"/>
            </w:tcMar>
            <w:vAlign w:val="top"/>
          </w:tcPr>
          <w:p w14:paraId="7C5FA1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8" w:type="pct"/>
            <w:tcBorders>
              <w:tl2br w:val="nil"/>
              <w:tr2bl w:val="nil"/>
            </w:tcBorders>
            <w:shd w:val="clear" w:color="auto" w:fill="auto"/>
            <w:tcMar>
              <w:top w:w="100" w:type="dxa"/>
              <w:left w:w="200" w:type="dxa"/>
              <w:bottom w:w="100" w:type="dxa"/>
              <w:right w:w="200" w:type="dxa"/>
            </w:tcMar>
            <w:vAlign w:val="top"/>
          </w:tcPr>
          <w:p w14:paraId="2CE919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48511D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输出：供应商评价、状态及预警记录</w:t>
            </w:r>
          </w:p>
        </w:tc>
        <w:tc>
          <w:tcPr>
            <w:tcW w:w="967" w:type="pct"/>
            <w:tcBorders>
              <w:tl2br w:val="nil"/>
              <w:tr2bl w:val="nil"/>
            </w:tcBorders>
            <w:shd w:val="clear" w:color="auto" w:fill="auto"/>
            <w:tcMar>
              <w:top w:w="100" w:type="dxa"/>
              <w:left w:w="200" w:type="dxa"/>
              <w:bottom w:w="100" w:type="dxa"/>
              <w:right w:w="200" w:type="dxa"/>
            </w:tcMar>
            <w:vAlign w:val="top"/>
          </w:tcPr>
          <w:p w14:paraId="09167C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本轮评价完成，后续执行数据继续反馈形成周期性闭环</w:t>
            </w:r>
          </w:p>
        </w:tc>
        <w:tc>
          <w:tcPr>
            <w:tcW w:w="884" w:type="pct"/>
            <w:tcBorders>
              <w:tl2br w:val="nil"/>
              <w:tr2bl w:val="nil"/>
            </w:tcBorders>
            <w:shd w:val="clear" w:color="auto" w:fill="auto"/>
            <w:tcMar>
              <w:top w:w="100" w:type="dxa"/>
              <w:left w:w="200" w:type="dxa"/>
              <w:bottom w:w="100" w:type="dxa"/>
              <w:right w:w="200" w:type="dxa"/>
            </w:tcMar>
            <w:vAlign w:val="top"/>
          </w:tcPr>
          <w:p w14:paraId="110673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035EBB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E59E593">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采购计划滚动调整流程</w:t>
      </w:r>
    </w:p>
    <w:p w14:paraId="6363CC2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67325" cy="1545590"/>
            <wp:effectExtent l="0" t="0" r="15875" b="3810"/>
            <wp:docPr id="13" name="图片 13" descr="业务蓝图_采购计划滚动调整流程_优化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业务蓝图_采购计划滚动调整流程_优化 (3)"/>
                    <pic:cNvPicPr>
                      <a:picLocks noChangeAspect="1"/>
                    </pic:cNvPicPr>
                  </pic:nvPicPr>
                  <pic:blipFill>
                    <a:blip r:embed="rId18"/>
                    <a:stretch>
                      <a:fillRect/>
                    </a:stretch>
                  </pic:blipFill>
                  <pic:spPr>
                    <a:xfrm>
                      <a:off x="0" y="0"/>
                      <a:ext cx="5267325" cy="1545590"/>
                    </a:xfrm>
                    <a:prstGeom prst="rect">
                      <a:avLst/>
                    </a:prstGeom>
                  </pic:spPr>
                </pic:pic>
              </a:graphicData>
            </a:graphic>
          </wp:inline>
        </w:drawing>
      </w:r>
    </w:p>
    <w:tbl>
      <w:tblPr>
        <w:tblStyle w:val="31"/>
        <w:tblpPr w:leftFromText="180" w:rightFromText="180" w:vertAnchor="text" w:horzAnchor="page" w:tblpX="1147" w:tblpY="311"/>
        <w:tblOverlap w:val="never"/>
        <w:tblW w:w="5884" w:type="pct"/>
        <w:tblInd w:w="0"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745"/>
        <w:gridCol w:w="906"/>
        <w:gridCol w:w="880"/>
        <w:gridCol w:w="1350"/>
        <w:gridCol w:w="2197"/>
        <w:gridCol w:w="2043"/>
        <w:gridCol w:w="2132"/>
      </w:tblGrid>
      <w:tr w14:paraId="4A916A49">
        <w:trPr>
          <w:tblHeader/>
        </w:trPr>
        <w:tc>
          <w:tcPr>
            <w:tcW w:w="363" w:type="pct"/>
            <w:tcBorders>
              <w:tl2br w:val="nil"/>
              <w:tr2bl w:val="nil"/>
            </w:tcBorders>
            <w:shd w:val="clear" w:color="auto" w:fill="auto"/>
            <w:tcMar>
              <w:top w:w="100" w:type="dxa"/>
              <w:left w:w="200" w:type="dxa"/>
              <w:bottom w:w="100" w:type="dxa"/>
              <w:right w:w="200" w:type="dxa"/>
            </w:tcMar>
            <w:vAlign w:val="top"/>
          </w:tcPr>
          <w:p w14:paraId="380D40D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41" w:type="pct"/>
            <w:tcBorders>
              <w:tl2br w:val="nil"/>
              <w:tr2bl w:val="nil"/>
            </w:tcBorders>
            <w:shd w:val="clear" w:color="auto" w:fill="auto"/>
            <w:tcMar>
              <w:top w:w="100" w:type="dxa"/>
              <w:left w:w="200" w:type="dxa"/>
              <w:bottom w:w="100" w:type="dxa"/>
              <w:right w:w="200" w:type="dxa"/>
            </w:tcMar>
            <w:vAlign w:val="top"/>
          </w:tcPr>
          <w:p w14:paraId="5871B0F7">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l2br w:val="nil"/>
              <w:tr2bl w:val="nil"/>
            </w:tcBorders>
            <w:shd w:val="clear" w:color="auto" w:fill="auto"/>
            <w:tcMar>
              <w:top w:w="100" w:type="dxa"/>
              <w:left w:w="200" w:type="dxa"/>
              <w:bottom w:w="100" w:type="dxa"/>
              <w:right w:w="200" w:type="dxa"/>
            </w:tcMar>
            <w:vAlign w:val="top"/>
          </w:tcPr>
          <w:p w14:paraId="405F25B4">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l2br w:val="nil"/>
              <w:tr2bl w:val="nil"/>
            </w:tcBorders>
            <w:shd w:val="clear" w:color="auto" w:fill="auto"/>
            <w:tcMar>
              <w:top w:w="100" w:type="dxa"/>
              <w:left w:w="200" w:type="dxa"/>
              <w:bottom w:w="100" w:type="dxa"/>
              <w:right w:w="200" w:type="dxa"/>
            </w:tcMar>
            <w:vAlign w:val="top"/>
          </w:tcPr>
          <w:p w14:paraId="774FFAF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71" w:type="pct"/>
            <w:tcBorders>
              <w:tl2br w:val="nil"/>
              <w:tr2bl w:val="nil"/>
            </w:tcBorders>
            <w:shd w:val="clear" w:color="auto" w:fill="auto"/>
            <w:tcMar>
              <w:top w:w="100" w:type="dxa"/>
              <w:left w:w="200" w:type="dxa"/>
              <w:bottom w:w="100" w:type="dxa"/>
              <w:right w:w="200" w:type="dxa"/>
            </w:tcMar>
            <w:vAlign w:val="top"/>
          </w:tcPr>
          <w:p w14:paraId="63EC19AD">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6" w:type="pct"/>
            <w:tcBorders>
              <w:tl2br w:val="nil"/>
              <w:tr2bl w:val="nil"/>
            </w:tcBorders>
            <w:shd w:val="clear" w:color="auto" w:fill="auto"/>
            <w:tcMar>
              <w:top w:w="100" w:type="dxa"/>
              <w:left w:w="200" w:type="dxa"/>
              <w:bottom w:w="100" w:type="dxa"/>
              <w:right w:w="200" w:type="dxa"/>
            </w:tcMar>
            <w:vAlign w:val="top"/>
          </w:tcPr>
          <w:p w14:paraId="2D45A0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39" w:type="pct"/>
            <w:tcBorders>
              <w:tl2br w:val="nil"/>
              <w:tr2bl w:val="nil"/>
            </w:tcBorders>
            <w:shd w:val="clear" w:color="auto" w:fill="auto"/>
            <w:tcMar>
              <w:top w:w="100" w:type="dxa"/>
              <w:left w:w="200" w:type="dxa"/>
              <w:bottom w:w="100" w:type="dxa"/>
              <w:right w:w="200" w:type="dxa"/>
            </w:tcMar>
            <w:vAlign w:val="top"/>
          </w:tcPr>
          <w:p w14:paraId="0A1E507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468E2A2">
        <w:tc>
          <w:tcPr>
            <w:tcW w:w="363" w:type="pct"/>
            <w:tcBorders>
              <w:tl2br w:val="nil"/>
              <w:tr2bl w:val="nil"/>
            </w:tcBorders>
            <w:shd w:val="clear" w:color="auto" w:fill="auto"/>
            <w:tcMar>
              <w:top w:w="100" w:type="dxa"/>
              <w:left w:w="200" w:type="dxa"/>
              <w:bottom w:w="100" w:type="dxa"/>
              <w:right w:w="200" w:type="dxa"/>
            </w:tcMar>
            <w:vAlign w:val="top"/>
          </w:tcPr>
          <w:p w14:paraId="043C77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1" w:type="pct"/>
            <w:tcBorders>
              <w:tl2br w:val="nil"/>
              <w:tr2bl w:val="nil"/>
            </w:tcBorders>
            <w:shd w:val="clear" w:color="auto" w:fill="auto"/>
            <w:tcMar>
              <w:top w:w="100" w:type="dxa"/>
              <w:left w:w="200" w:type="dxa"/>
              <w:bottom w:w="100" w:type="dxa"/>
              <w:right w:w="200" w:type="dxa"/>
            </w:tcMar>
            <w:vAlign w:val="top"/>
          </w:tcPr>
          <w:p w14:paraId="46882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l2br w:val="nil"/>
              <w:tr2bl w:val="nil"/>
            </w:tcBorders>
            <w:shd w:val="clear" w:color="auto" w:fill="auto"/>
            <w:tcMar>
              <w:top w:w="100" w:type="dxa"/>
              <w:left w:w="200" w:type="dxa"/>
              <w:bottom w:w="100" w:type="dxa"/>
              <w:right w:w="200" w:type="dxa"/>
            </w:tcMar>
            <w:vAlign w:val="top"/>
          </w:tcPr>
          <w:p w14:paraId="7F4E7E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009DE1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71" w:type="pct"/>
            <w:tcBorders>
              <w:tl2br w:val="nil"/>
              <w:tr2bl w:val="nil"/>
            </w:tcBorders>
            <w:shd w:val="clear" w:color="auto" w:fill="auto"/>
            <w:tcMar>
              <w:top w:w="100" w:type="dxa"/>
              <w:left w:w="200" w:type="dxa"/>
              <w:bottom w:w="100" w:type="dxa"/>
              <w:right w:w="200" w:type="dxa"/>
            </w:tcMar>
            <w:vAlign w:val="top"/>
          </w:tcPr>
          <w:p w14:paraId="714898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系统每周定时触发；新版需求计划发布或业务人员人工触发时也可启动</w:t>
            </w:r>
          </w:p>
        </w:tc>
        <w:tc>
          <w:tcPr>
            <w:tcW w:w="996" w:type="pct"/>
            <w:tcBorders>
              <w:tl2br w:val="nil"/>
              <w:tr2bl w:val="nil"/>
            </w:tcBorders>
            <w:shd w:val="clear" w:color="auto" w:fill="auto"/>
            <w:tcMar>
              <w:top w:w="100" w:type="dxa"/>
              <w:left w:w="200" w:type="dxa"/>
              <w:bottom w:w="100" w:type="dxa"/>
              <w:right w:w="200" w:type="dxa"/>
            </w:tcMar>
            <w:vAlign w:val="top"/>
          </w:tcPr>
          <w:p w14:paraId="3DED0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6C286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EA7FF7F">
        <w:tc>
          <w:tcPr>
            <w:tcW w:w="363" w:type="pct"/>
            <w:tcBorders>
              <w:tl2br w:val="nil"/>
              <w:tr2bl w:val="nil"/>
            </w:tcBorders>
            <w:shd w:val="clear" w:color="auto" w:fill="auto"/>
            <w:tcMar>
              <w:top w:w="100" w:type="dxa"/>
              <w:left w:w="200" w:type="dxa"/>
              <w:bottom w:w="100" w:type="dxa"/>
              <w:right w:w="200" w:type="dxa"/>
            </w:tcMar>
            <w:vAlign w:val="top"/>
          </w:tcPr>
          <w:p w14:paraId="6C82F5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41" w:type="pct"/>
            <w:tcBorders>
              <w:tl2br w:val="nil"/>
              <w:tr2bl w:val="nil"/>
            </w:tcBorders>
            <w:shd w:val="clear" w:color="auto" w:fill="auto"/>
            <w:tcMar>
              <w:top w:w="100" w:type="dxa"/>
              <w:left w:w="200" w:type="dxa"/>
              <w:bottom w:w="100" w:type="dxa"/>
              <w:right w:w="200" w:type="dxa"/>
            </w:tcMar>
            <w:vAlign w:val="top"/>
          </w:tcPr>
          <w:p w14:paraId="595576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429" w:type="pct"/>
            <w:tcBorders>
              <w:tl2br w:val="nil"/>
              <w:tr2bl w:val="nil"/>
            </w:tcBorders>
            <w:shd w:val="clear" w:color="auto" w:fill="auto"/>
            <w:tcMar>
              <w:top w:w="100" w:type="dxa"/>
              <w:left w:w="200" w:type="dxa"/>
              <w:bottom w:w="100" w:type="dxa"/>
              <w:right w:w="200" w:type="dxa"/>
            </w:tcMar>
            <w:vAlign w:val="top"/>
          </w:tcPr>
          <w:p w14:paraId="3A429D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3AF627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输入：最新需求计划、原采购方案及采购执行状态；</w:t>
            </w:r>
          </w:p>
          <w:p w14:paraId="586F91D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w:t>
            </w:r>
          </w:p>
        </w:tc>
        <w:tc>
          <w:tcPr>
            <w:tcW w:w="1071" w:type="pct"/>
            <w:tcBorders>
              <w:tl2br w:val="nil"/>
              <w:tr2bl w:val="nil"/>
            </w:tcBorders>
            <w:shd w:val="clear" w:color="auto" w:fill="auto"/>
            <w:tcMar>
              <w:top w:w="100" w:type="dxa"/>
              <w:left w:w="200" w:type="dxa"/>
              <w:bottom w:w="100" w:type="dxa"/>
              <w:right w:w="200" w:type="dxa"/>
            </w:tcMar>
            <w:vAlign w:val="top"/>
          </w:tcPr>
          <w:p w14:paraId="4EE5A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系统自动比较需求数量、日期和采购执行变化，判断尚未执行的采购安排是否需要调整</w:t>
            </w:r>
          </w:p>
        </w:tc>
        <w:tc>
          <w:tcPr>
            <w:tcW w:w="996" w:type="pct"/>
            <w:tcBorders>
              <w:tl2br w:val="nil"/>
              <w:tr2bl w:val="nil"/>
            </w:tcBorders>
            <w:shd w:val="clear" w:color="auto" w:fill="auto"/>
            <w:tcMar>
              <w:top w:w="100" w:type="dxa"/>
              <w:left w:w="200" w:type="dxa"/>
              <w:bottom w:w="100" w:type="dxa"/>
              <w:right w:w="200" w:type="dxa"/>
            </w:tcMar>
            <w:vAlign w:val="top"/>
          </w:tcPr>
          <w:p w14:paraId="3FC98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N：保留当前方案并结束；Y：进入20</w:t>
            </w:r>
          </w:p>
        </w:tc>
        <w:tc>
          <w:tcPr>
            <w:tcW w:w="1039" w:type="pct"/>
            <w:tcBorders>
              <w:tl2br w:val="nil"/>
              <w:tr2bl w:val="nil"/>
            </w:tcBorders>
            <w:shd w:val="clear" w:color="auto" w:fill="auto"/>
            <w:tcMar>
              <w:top w:w="100" w:type="dxa"/>
              <w:left w:w="200" w:type="dxa"/>
              <w:bottom w:w="100" w:type="dxa"/>
              <w:right w:w="200" w:type="dxa"/>
            </w:tcMar>
            <w:vAlign w:val="top"/>
          </w:tcPr>
          <w:p w14:paraId="55870BF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P-ZLTC-SCOS-CGYH-003-10-001</w:t>
            </w:r>
          </w:p>
        </w:tc>
      </w:tr>
      <w:tr w14:paraId="330204FB">
        <w:tc>
          <w:tcPr>
            <w:tcW w:w="363" w:type="pct"/>
            <w:tcBorders>
              <w:tl2br w:val="nil"/>
              <w:tr2bl w:val="nil"/>
            </w:tcBorders>
            <w:shd w:val="clear" w:color="auto" w:fill="auto"/>
            <w:tcMar>
              <w:top w:w="100" w:type="dxa"/>
              <w:left w:w="200" w:type="dxa"/>
              <w:bottom w:w="100" w:type="dxa"/>
              <w:right w:w="200" w:type="dxa"/>
            </w:tcMar>
            <w:vAlign w:val="top"/>
          </w:tcPr>
          <w:p w14:paraId="275026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41" w:type="pct"/>
            <w:tcBorders>
              <w:tl2br w:val="nil"/>
              <w:tr2bl w:val="nil"/>
            </w:tcBorders>
            <w:shd w:val="clear" w:color="auto" w:fill="auto"/>
            <w:tcMar>
              <w:top w:w="100" w:type="dxa"/>
              <w:left w:w="200" w:type="dxa"/>
              <w:bottom w:w="100" w:type="dxa"/>
              <w:right w:w="200" w:type="dxa"/>
            </w:tcMar>
            <w:vAlign w:val="top"/>
          </w:tcPr>
          <w:p w14:paraId="3924E72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生成滚动调整建议</w:t>
            </w:r>
          </w:p>
        </w:tc>
        <w:tc>
          <w:tcPr>
            <w:tcW w:w="429" w:type="pct"/>
            <w:tcBorders>
              <w:tl2br w:val="nil"/>
              <w:tr2bl w:val="nil"/>
            </w:tcBorders>
            <w:shd w:val="clear" w:color="auto" w:fill="auto"/>
            <w:tcMar>
              <w:top w:w="100" w:type="dxa"/>
              <w:left w:w="200" w:type="dxa"/>
              <w:bottom w:w="100" w:type="dxa"/>
              <w:right w:w="200" w:type="dxa"/>
            </w:tcMar>
            <w:vAlign w:val="top"/>
          </w:tcPr>
          <w:p w14:paraId="362F048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F2986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输入：受影响范围、已执行量和未执行计划；</w:t>
            </w:r>
          </w:p>
          <w:p w14:paraId="1F7A5F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输出：调整建议及调整前后差异</w:t>
            </w:r>
          </w:p>
        </w:tc>
        <w:tc>
          <w:tcPr>
            <w:tcW w:w="1071" w:type="pct"/>
            <w:tcBorders>
              <w:tl2br w:val="nil"/>
              <w:tr2bl w:val="nil"/>
            </w:tcBorders>
            <w:shd w:val="clear" w:color="auto" w:fill="auto"/>
            <w:tcMar>
              <w:top w:w="100" w:type="dxa"/>
              <w:left w:w="200" w:type="dxa"/>
              <w:bottom w:w="100" w:type="dxa"/>
              <w:right w:w="200" w:type="dxa"/>
            </w:tcMar>
            <w:vAlign w:val="top"/>
          </w:tcPr>
          <w:p w14:paraId="14AF9F5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仅重新计算受影响的未执行部分，形成供应商、数量、日期和成本变化；已执行部分保持不变</w:t>
            </w:r>
          </w:p>
        </w:tc>
        <w:tc>
          <w:tcPr>
            <w:tcW w:w="996" w:type="pct"/>
            <w:tcBorders>
              <w:tl2br w:val="nil"/>
              <w:tr2bl w:val="nil"/>
            </w:tcBorders>
            <w:shd w:val="clear" w:color="auto" w:fill="auto"/>
            <w:tcMar>
              <w:top w:w="100" w:type="dxa"/>
              <w:left w:w="200" w:type="dxa"/>
              <w:bottom w:w="100" w:type="dxa"/>
              <w:right w:w="200" w:type="dxa"/>
            </w:tcMar>
            <w:vAlign w:val="top"/>
          </w:tcPr>
          <w:p w14:paraId="0AB4F53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不可行时输出缺口和原因</w:t>
            </w:r>
          </w:p>
        </w:tc>
        <w:tc>
          <w:tcPr>
            <w:tcW w:w="1039" w:type="pct"/>
            <w:tcBorders>
              <w:tl2br w:val="nil"/>
              <w:tr2bl w:val="nil"/>
            </w:tcBorders>
            <w:shd w:val="clear" w:color="auto" w:fill="auto"/>
            <w:tcMar>
              <w:top w:w="100" w:type="dxa"/>
              <w:left w:w="200" w:type="dxa"/>
              <w:bottom w:w="100" w:type="dxa"/>
              <w:right w:w="200" w:type="dxa"/>
            </w:tcMar>
            <w:vAlign w:val="top"/>
          </w:tcPr>
          <w:p w14:paraId="2082F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P-ZLTC-SCOS-CGYH-003-20-001</w:t>
            </w:r>
          </w:p>
        </w:tc>
      </w:tr>
      <w:tr w14:paraId="1D7174D7">
        <w:tc>
          <w:tcPr>
            <w:tcW w:w="363" w:type="pct"/>
            <w:tcBorders>
              <w:tl2br w:val="nil"/>
              <w:tr2bl w:val="nil"/>
            </w:tcBorders>
            <w:shd w:val="clear" w:color="auto" w:fill="auto"/>
            <w:tcMar>
              <w:top w:w="100" w:type="dxa"/>
              <w:left w:w="200" w:type="dxa"/>
              <w:bottom w:w="100" w:type="dxa"/>
              <w:right w:w="200" w:type="dxa"/>
            </w:tcMar>
            <w:vAlign w:val="top"/>
          </w:tcPr>
          <w:p w14:paraId="4A1393F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41" w:type="pct"/>
            <w:tcBorders>
              <w:tl2br w:val="nil"/>
              <w:tr2bl w:val="nil"/>
            </w:tcBorders>
            <w:shd w:val="clear" w:color="auto" w:fill="auto"/>
            <w:tcMar>
              <w:top w:w="100" w:type="dxa"/>
              <w:left w:w="200" w:type="dxa"/>
              <w:bottom w:w="100" w:type="dxa"/>
              <w:right w:w="200" w:type="dxa"/>
            </w:tcMar>
            <w:vAlign w:val="top"/>
          </w:tcPr>
          <w:p w14:paraId="4043CAD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评审调整建议</w:t>
            </w:r>
          </w:p>
        </w:tc>
        <w:tc>
          <w:tcPr>
            <w:tcW w:w="429" w:type="pct"/>
            <w:tcBorders>
              <w:tl2br w:val="nil"/>
              <w:tr2bl w:val="nil"/>
            </w:tcBorders>
            <w:shd w:val="clear" w:color="auto" w:fill="auto"/>
            <w:tcMar>
              <w:top w:w="100" w:type="dxa"/>
              <w:left w:w="200" w:type="dxa"/>
              <w:bottom w:w="100" w:type="dxa"/>
              <w:right w:w="200" w:type="dxa"/>
            </w:tcMar>
            <w:vAlign w:val="top"/>
          </w:tcPr>
          <w:p w14:paraId="68141F3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41B86FF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输入：影响范围及调整前后差异；</w:t>
            </w:r>
          </w:p>
          <w:p w14:paraId="571EF9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输出：拟定调整方案</w:t>
            </w:r>
          </w:p>
        </w:tc>
        <w:tc>
          <w:tcPr>
            <w:tcW w:w="1071" w:type="pct"/>
            <w:tcBorders>
              <w:tl2br w:val="nil"/>
              <w:tr2bl w:val="nil"/>
            </w:tcBorders>
            <w:shd w:val="clear" w:color="auto" w:fill="auto"/>
            <w:tcMar>
              <w:top w:w="100" w:type="dxa"/>
              <w:left w:w="200" w:type="dxa"/>
              <w:bottom w:w="100" w:type="dxa"/>
              <w:right w:w="200" w:type="dxa"/>
            </w:tcMar>
            <w:vAlign w:val="top"/>
          </w:tcPr>
          <w:p w14:paraId="27CFB2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查看需求、数量、日期、成本和供应商变化，确认调整范围；重大变更按制度重新审批</w:t>
            </w:r>
          </w:p>
        </w:tc>
        <w:tc>
          <w:tcPr>
            <w:tcW w:w="996" w:type="pct"/>
            <w:tcBorders>
              <w:tl2br w:val="nil"/>
              <w:tr2bl w:val="nil"/>
            </w:tcBorders>
            <w:shd w:val="clear" w:color="auto" w:fill="auto"/>
            <w:tcMar>
              <w:top w:w="100" w:type="dxa"/>
              <w:left w:w="200" w:type="dxa"/>
              <w:bottom w:w="100" w:type="dxa"/>
              <w:right w:w="200" w:type="dxa"/>
            </w:tcMar>
            <w:vAlign w:val="top"/>
          </w:tcPr>
          <w:p w14:paraId="0DB652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可拒绝调整并记录原因</w:t>
            </w:r>
          </w:p>
        </w:tc>
        <w:tc>
          <w:tcPr>
            <w:tcW w:w="1039" w:type="pct"/>
            <w:tcBorders>
              <w:tl2br w:val="nil"/>
              <w:tr2bl w:val="nil"/>
            </w:tcBorders>
            <w:shd w:val="clear" w:color="auto" w:fill="auto"/>
            <w:tcMar>
              <w:top w:w="100" w:type="dxa"/>
              <w:left w:w="200" w:type="dxa"/>
              <w:bottom w:w="100" w:type="dxa"/>
              <w:right w:w="200" w:type="dxa"/>
            </w:tcMar>
            <w:vAlign w:val="top"/>
          </w:tcPr>
          <w:p w14:paraId="5F8CFC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P-ZLTC-SCOS-CGYH-003-30-001</w:t>
            </w:r>
          </w:p>
        </w:tc>
      </w:tr>
      <w:tr w14:paraId="32F353D9">
        <w:tc>
          <w:tcPr>
            <w:tcW w:w="363" w:type="pct"/>
            <w:tcBorders>
              <w:tl2br w:val="nil"/>
              <w:tr2bl w:val="nil"/>
            </w:tcBorders>
            <w:shd w:val="clear" w:color="auto" w:fill="auto"/>
            <w:tcMar>
              <w:top w:w="100" w:type="dxa"/>
              <w:left w:w="200" w:type="dxa"/>
              <w:bottom w:w="100" w:type="dxa"/>
              <w:right w:w="200" w:type="dxa"/>
            </w:tcMar>
            <w:vAlign w:val="top"/>
          </w:tcPr>
          <w:p w14:paraId="2514285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41" w:type="pct"/>
            <w:tcBorders>
              <w:tl2br w:val="nil"/>
              <w:tr2bl w:val="nil"/>
            </w:tcBorders>
            <w:shd w:val="clear" w:color="auto" w:fill="auto"/>
            <w:tcMar>
              <w:top w:w="100" w:type="dxa"/>
              <w:left w:w="200" w:type="dxa"/>
              <w:bottom w:w="100" w:type="dxa"/>
              <w:right w:w="200" w:type="dxa"/>
            </w:tcMar>
            <w:vAlign w:val="top"/>
          </w:tcPr>
          <w:p w14:paraId="22F748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确认计划调整</w:t>
            </w:r>
          </w:p>
        </w:tc>
        <w:tc>
          <w:tcPr>
            <w:tcW w:w="429" w:type="pct"/>
            <w:tcBorders>
              <w:tl2br w:val="nil"/>
              <w:tr2bl w:val="nil"/>
            </w:tcBorders>
            <w:shd w:val="clear" w:color="auto" w:fill="auto"/>
            <w:tcMar>
              <w:top w:w="100" w:type="dxa"/>
              <w:left w:w="200" w:type="dxa"/>
              <w:bottom w:w="100" w:type="dxa"/>
              <w:right w:w="200" w:type="dxa"/>
            </w:tcMar>
            <w:vAlign w:val="top"/>
          </w:tcPr>
          <w:p w14:paraId="36F136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024DD41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输入：拟定调整方案；</w:t>
            </w:r>
          </w:p>
          <w:p w14:paraId="30911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71" w:type="pct"/>
            <w:tcBorders>
              <w:tl2br w:val="nil"/>
              <w:tr2bl w:val="nil"/>
            </w:tcBorders>
            <w:shd w:val="clear" w:color="auto" w:fill="auto"/>
            <w:tcMar>
              <w:top w:w="100" w:type="dxa"/>
              <w:left w:w="200" w:type="dxa"/>
              <w:bottom w:w="100" w:type="dxa"/>
              <w:right w:w="200" w:type="dxa"/>
            </w:tcMar>
            <w:vAlign w:val="top"/>
          </w:tcPr>
          <w:p w14:paraId="48E46AA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确认是否采用调整建议</w:t>
            </w:r>
          </w:p>
        </w:tc>
        <w:tc>
          <w:tcPr>
            <w:tcW w:w="996" w:type="pct"/>
            <w:tcBorders>
              <w:tl2br w:val="nil"/>
              <w:tr2bl w:val="nil"/>
            </w:tcBorders>
            <w:shd w:val="clear" w:color="auto" w:fill="auto"/>
            <w:tcMar>
              <w:top w:w="100" w:type="dxa"/>
              <w:left w:w="200" w:type="dxa"/>
              <w:bottom w:w="100" w:type="dxa"/>
              <w:right w:w="200" w:type="dxa"/>
            </w:tcMar>
            <w:vAlign w:val="top"/>
          </w:tcPr>
          <w:p w14:paraId="291B83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N：保留当前计划；Y：进入50</w:t>
            </w:r>
          </w:p>
        </w:tc>
        <w:tc>
          <w:tcPr>
            <w:tcW w:w="1039" w:type="pct"/>
            <w:tcBorders>
              <w:tl2br w:val="nil"/>
              <w:tr2bl w:val="nil"/>
            </w:tcBorders>
            <w:shd w:val="clear" w:color="auto" w:fill="auto"/>
            <w:tcMar>
              <w:top w:w="100" w:type="dxa"/>
              <w:left w:w="200" w:type="dxa"/>
              <w:bottom w:w="100" w:type="dxa"/>
              <w:right w:w="200" w:type="dxa"/>
            </w:tcMar>
            <w:vAlign w:val="top"/>
          </w:tcPr>
          <w:p w14:paraId="570C43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P-ZLTC-SCOS-CGYH-003-40-001</w:t>
            </w:r>
          </w:p>
        </w:tc>
      </w:tr>
      <w:tr w14:paraId="63142509">
        <w:tc>
          <w:tcPr>
            <w:tcW w:w="363" w:type="pct"/>
            <w:tcBorders>
              <w:tl2br w:val="nil"/>
              <w:tr2bl w:val="nil"/>
            </w:tcBorders>
            <w:shd w:val="clear" w:color="auto" w:fill="auto"/>
            <w:tcMar>
              <w:top w:w="100" w:type="dxa"/>
              <w:left w:w="200" w:type="dxa"/>
              <w:bottom w:w="100" w:type="dxa"/>
              <w:right w:w="200" w:type="dxa"/>
            </w:tcMar>
            <w:vAlign w:val="top"/>
          </w:tcPr>
          <w:p w14:paraId="7FDF64C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41" w:type="pct"/>
            <w:tcBorders>
              <w:tl2br w:val="nil"/>
              <w:tr2bl w:val="nil"/>
            </w:tcBorders>
            <w:shd w:val="clear" w:color="auto" w:fill="auto"/>
            <w:tcMar>
              <w:top w:w="100" w:type="dxa"/>
              <w:left w:w="200" w:type="dxa"/>
              <w:bottom w:w="100" w:type="dxa"/>
              <w:right w:w="200" w:type="dxa"/>
            </w:tcMar>
            <w:vAlign w:val="top"/>
          </w:tcPr>
          <w:p w14:paraId="419214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发布采购方案新版本</w:t>
            </w:r>
          </w:p>
        </w:tc>
        <w:tc>
          <w:tcPr>
            <w:tcW w:w="429" w:type="pct"/>
            <w:tcBorders>
              <w:tl2br w:val="nil"/>
              <w:tr2bl w:val="nil"/>
            </w:tcBorders>
            <w:shd w:val="clear" w:color="auto" w:fill="auto"/>
            <w:tcMar>
              <w:top w:w="100" w:type="dxa"/>
              <w:left w:w="200" w:type="dxa"/>
              <w:bottom w:w="100" w:type="dxa"/>
              <w:right w:w="200" w:type="dxa"/>
            </w:tcMar>
            <w:vAlign w:val="top"/>
          </w:tcPr>
          <w:p w14:paraId="00292D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5BC01F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79F23D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输出：新版采购方案及变更记录</w:t>
            </w:r>
          </w:p>
        </w:tc>
        <w:tc>
          <w:tcPr>
            <w:tcW w:w="1071" w:type="pct"/>
            <w:tcBorders>
              <w:tl2br w:val="nil"/>
              <w:tr2bl w:val="nil"/>
            </w:tcBorders>
            <w:shd w:val="clear" w:color="auto" w:fill="auto"/>
            <w:tcMar>
              <w:top w:w="100" w:type="dxa"/>
              <w:left w:w="200" w:type="dxa"/>
              <w:bottom w:w="100" w:type="dxa"/>
              <w:right w:w="200" w:type="dxa"/>
            </w:tcMar>
            <w:vAlign w:val="top"/>
          </w:tcPr>
          <w:p w14:paraId="4AD322A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发布新版本并完整保留原方案、输入数据、计算参数、结果及人工确认轨迹</w:t>
            </w:r>
          </w:p>
        </w:tc>
        <w:tc>
          <w:tcPr>
            <w:tcW w:w="996" w:type="pct"/>
            <w:tcBorders>
              <w:tl2br w:val="nil"/>
              <w:tr2bl w:val="nil"/>
            </w:tcBorders>
            <w:shd w:val="clear" w:color="auto" w:fill="auto"/>
            <w:tcMar>
              <w:top w:w="100" w:type="dxa"/>
              <w:left w:w="200" w:type="dxa"/>
              <w:bottom w:w="100" w:type="dxa"/>
              <w:right w:w="200" w:type="dxa"/>
            </w:tcMar>
            <w:vAlign w:val="top"/>
          </w:tcPr>
          <w:p w14:paraId="4C9132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w:t>
            </w:r>
          </w:p>
        </w:tc>
        <w:tc>
          <w:tcPr>
            <w:tcW w:w="1039" w:type="pct"/>
            <w:tcBorders>
              <w:tl2br w:val="nil"/>
              <w:tr2bl w:val="nil"/>
            </w:tcBorders>
            <w:shd w:val="clear" w:color="auto" w:fill="auto"/>
            <w:tcMar>
              <w:top w:w="100" w:type="dxa"/>
              <w:left w:w="200" w:type="dxa"/>
              <w:bottom w:w="100" w:type="dxa"/>
              <w:right w:w="200" w:type="dxa"/>
            </w:tcMar>
            <w:vAlign w:val="top"/>
          </w:tcPr>
          <w:p w14:paraId="78621E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P-ZLTC-SCOS-CGYH-003-50-001</w:t>
            </w:r>
          </w:p>
        </w:tc>
      </w:tr>
      <w:tr w14:paraId="1D64DF89">
        <w:tc>
          <w:tcPr>
            <w:tcW w:w="363" w:type="pct"/>
            <w:tcBorders>
              <w:tl2br w:val="nil"/>
              <w:tr2bl w:val="nil"/>
            </w:tcBorders>
            <w:shd w:val="clear" w:color="auto" w:fill="auto"/>
            <w:tcMar>
              <w:top w:w="100" w:type="dxa"/>
              <w:left w:w="200" w:type="dxa"/>
              <w:bottom w:w="100" w:type="dxa"/>
              <w:right w:w="200" w:type="dxa"/>
            </w:tcMar>
            <w:vAlign w:val="top"/>
          </w:tcPr>
          <w:p w14:paraId="3E581B0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41" w:type="pct"/>
            <w:tcBorders>
              <w:tl2br w:val="nil"/>
              <w:tr2bl w:val="nil"/>
            </w:tcBorders>
            <w:shd w:val="clear" w:color="auto" w:fill="auto"/>
            <w:tcMar>
              <w:top w:w="100" w:type="dxa"/>
              <w:left w:w="200" w:type="dxa"/>
              <w:bottom w:w="100" w:type="dxa"/>
              <w:right w:w="200" w:type="dxa"/>
            </w:tcMar>
            <w:vAlign w:val="top"/>
          </w:tcPr>
          <w:p w14:paraId="6036B39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接收调整后的采购安排</w:t>
            </w:r>
          </w:p>
        </w:tc>
        <w:tc>
          <w:tcPr>
            <w:tcW w:w="429" w:type="pct"/>
            <w:tcBorders>
              <w:tl2br w:val="nil"/>
              <w:tr2bl w:val="nil"/>
            </w:tcBorders>
            <w:shd w:val="clear" w:color="auto" w:fill="auto"/>
            <w:tcMar>
              <w:top w:w="100" w:type="dxa"/>
              <w:left w:w="200" w:type="dxa"/>
              <w:bottom w:w="100" w:type="dxa"/>
              <w:right w:w="200" w:type="dxa"/>
            </w:tcMar>
            <w:vAlign w:val="top"/>
          </w:tcPr>
          <w:p w14:paraId="198E71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E采/SAP、TMS</w:t>
            </w:r>
          </w:p>
        </w:tc>
        <w:tc>
          <w:tcPr>
            <w:tcW w:w="658" w:type="pct"/>
            <w:tcBorders>
              <w:tl2br w:val="nil"/>
              <w:tr2bl w:val="nil"/>
            </w:tcBorders>
            <w:shd w:val="clear" w:color="auto" w:fill="auto"/>
            <w:tcMar>
              <w:top w:w="100" w:type="dxa"/>
              <w:left w:w="200" w:type="dxa"/>
              <w:bottom w:w="100" w:type="dxa"/>
              <w:right w:w="200" w:type="dxa"/>
            </w:tcMar>
            <w:vAlign w:val="top"/>
          </w:tcPr>
          <w:p w14:paraId="67E52E3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输入：新版未执行采购安排；</w:t>
            </w:r>
          </w:p>
          <w:p w14:paraId="5B3D9A6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输出：更新后的执行依据</w:t>
            </w:r>
          </w:p>
        </w:tc>
        <w:tc>
          <w:tcPr>
            <w:tcW w:w="1071" w:type="pct"/>
            <w:tcBorders>
              <w:tl2br w:val="nil"/>
              <w:tr2bl w:val="nil"/>
            </w:tcBorders>
            <w:shd w:val="clear" w:color="auto" w:fill="auto"/>
            <w:tcMar>
              <w:top w:w="100" w:type="dxa"/>
              <w:left w:w="200" w:type="dxa"/>
              <w:bottom w:w="100" w:type="dxa"/>
              <w:right w:w="200" w:type="dxa"/>
            </w:tcMar>
            <w:vAlign w:val="top"/>
          </w:tcPr>
          <w:p w14:paraId="0FB99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执行系统更新尚未执行的部分，已执行订单和运输任务不被覆盖</w:t>
            </w:r>
          </w:p>
        </w:tc>
        <w:tc>
          <w:tcPr>
            <w:tcW w:w="996" w:type="pct"/>
            <w:tcBorders>
              <w:tl2br w:val="nil"/>
              <w:tr2bl w:val="nil"/>
            </w:tcBorders>
            <w:shd w:val="clear" w:color="auto" w:fill="auto"/>
            <w:tcMar>
              <w:top w:w="100" w:type="dxa"/>
              <w:left w:w="200" w:type="dxa"/>
              <w:bottom w:w="100" w:type="dxa"/>
              <w:right w:w="200" w:type="dxa"/>
            </w:tcMar>
            <w:vAlign w:val="top"/>
          </w:tcPr>
          <w:p w14:paraId="54331AE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接口失败时支持重推和人工核对</w:t>
            </w:r>
          </w:p>
        </w:tc>
        <w:tc>
          <w:tcPr>
            <w:tcW w:w="1039" w:type="pct"/>
            <w:tcBorders>
              <w:tl2br w:val="nil"/>
              <w:tr2bl w:val="nil"/>
            </w:tcBorders>
            <w:shd w:val="clear" w:color="auto" w:fill="auto"/>
            <w:tcMar>
              <w:top w:w="100" w:type="dxa"/>
              <w:left w:w="200" w:type="dxa"/>
              <w:bottom w:w="100" w:type="dxa"/>
              <w:right w:w="200" w:type="dxa"/>
            </w:tcMar>
            <w:vAlign w:val="top"/>
          </w:tcPr>
          <w:p w14:paraId="7AD9D3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P-ZLTC-SCOS-CGYH-003-60-001</w:t>
            </w:r>
          </w:p>
        </w:tc>
      </w:tr>
      <w:tr w14:paraId="2E561B3B">
        <w:tc>
          <w:tcPr>
            <w:tcW w:w="363" w:type="pct"/>
            <w:tcBorders>
              <w:tl2br w:val="nil"/>
              <w:tr2bl w:val="nil"/>
            </w:tcBorders>
            <w:shd w:val="clear" w:color="auto" w:fill="auto"/>
            <w:tcMar>
              <w:top w:w="100" w:type="dxa"/>
              <w:left w:w="200" w:type="dxa"/>
              <w:bottom w:w="100" w:type="dxa"/>
              <w:right w:w="200" w:type="dxa"/>
            </w:tcMar>
            <w:vAlign w:val="top"/>
          </w:tcPr>
          <w:p w14:paraId="7ED916D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1" w:type="pct"/>
            <w:tcBorders>
              <w:tl2br w:val="nil"/>
              <w:tr2bl w:val="nil"/>
            </w:tcBorders>
            <w:shd w:val="clear" w:color="auto" w:fill="auto"/>
            <w:tcMar>
              <w:top w:w="100" w:type="dxa"/>
              <w:left w:w="200" w:type="dxa"/>
              <w:bottom w:w="100" w:type="dxa"/>
              <w:right w:w="200" w:type="dxa"/>
            </w:tcMar>
            <w:vAlign w:val="top"/>
          </w:tcPr>
          <w:p w14:paraId="79F004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l2br w:val="nil"/>
              <w:tr2bl w:val="nil"/>
            </w:tcBorders>
            <w:shd w:val="clear" w:color="auto" w:fill="auto"/>
            <w:tcMar>
              <w:top w:w="100" w:type="dxa"/>
              <w:left w:w="200" w:type="dxa"/>
              <w:bottom w:w="100" w:type="dxa"/>
              <w:right w:w="200" w:type="dxa"/>
            </w:tcMar>
            <w:vAlign w:val="top"/>
          </w:tcPr>
          <w:p w14:paraId="1126EF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3106F46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输出：滚动调整后的计划版本</w:t>
            </w:r>
          </w:p>
        </w:tc>
        <w:tc>
          <w:tcPr>
            <w:tcW w:w="1071" w:type="pct"/>
            <w:tcBorders>
              <w:tl2br w:val="nil"/>
              <w:tr2bl w:val="nil"/>
            </w:tcBorders>
            <w:shd w:val="clear" w:color="auto" w:fill="auto"/>
            <w:tcMar>
              <w:top w:w="100" w:type="dxa"/>
              <w:left w:w="200" w:type="dxa"/>
              <w:bottom w:w="100" w:type="dxa"/>
              <w:right w:w="200" w:type="dxa"/>
            </w:tcMar>
            <w:vAlign w:val="top"/>
          </w:tcPr>
          <w:p w14:paraId="6DFEB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w:t>
            </w:r>
          </w:p>
        </w:tc>
        <w:tc>
          <w:tcPr>
            <w:tcW w:w="996" w:type="pct"/>
            <w:tcBorders>
              <w:tl2br w:val="nil"/>
              <w:tr2bl w:val="nil"/>
            </w:tcBorders>
            <w:shd w:val="clear" w:color="auto" w:fill="auto"/>
            <w:tcMar>
              <w:top w:w="100" w:type="dxa"/>
              <w:left w:w="200" w:type="dxa"/>
              <w:bottom w:w="100" w:type="dxa"/>
              <w:right w:w="200" w:type="dxa"/>
            </w:tcMar>
            <w:vAlign w:val="top"/>
          </w:tcPr>
          <w:p w14:paraId="1434494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00AE33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600025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25FC60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6F9035D">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采购执行跟踪流程</w:t>
      </w:r>
    </w:p>
    <w:p w14:paraId="290FBD0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8" name="图片 18" descr="业务蓝图_采购执行跟踪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业务蓝图_采购执行跟踪流程_优化-1"/>
                    <pic:cNvPicPr>
                      <a:picLocks noChangeAspect="1"/>
                    </pic:cNvPicPr>
                  </pic:nvPicPr>
                  <pic:blipFill>
                    <a:blip r:embed="rId19"/>
                    <a:stretch>
                      <a:fillRect/>
                    </a:stretch>
                  </pic:blipFill>
                  <pic:spPr>
                    <a:xfrm>
                      <a:off x="0" y="0"/>
                      <a:ext cx="5253990" cy="1613535"/>
                    </a:xfrm>
                    <a:prstGeom prst="rect">
                      <a:avLst/>
                    </a:prstGeom>
                  </pic:spPr>
                </pic:pic>
              </a:graphicData>
            </a:graphic>
          </wp:inline>
        </w:drawing>
      </w:r>
    </w:p>
    <w:tbl>
      <w:tblPr>
        <w:tblStyle w:val="31"/>
        <w:tblW w:w="6038" w:type="pct"/>
        <w:tblInd w:w="-6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39"/>
        <w:gridCol w:w="1094"/>
        <w:gridCol w:w="1077"/>
        <w:gridCol w:w="1325"/>
        <w:gridCol w:w="2036"/>
        <w:gridCol w:w="1793"/>
        <w:gridCol w:w="2057"/>
      </w:tblGrid>
      <w:tr w14:paraId="45F889D0">
        <w:trPr>
          <w:tblHeader/>
        </w:trPr>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A6196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BEFE4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E6F5E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B6402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134FA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A3D92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BB19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4E3E0F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750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A71A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A8F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D13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输入：已确认采购方案及到货安排</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897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采购计划进入执行阶段</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A0C8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96883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37F97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31C8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6FAF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执行采购订单或合同</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A36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采购业务人员、E采/SAP</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E42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输入：采购执行依据；输出：正式采购订单/合同及状态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0B2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按企业采购制度创建和执行采购订单或合同，并向SCOS回传订单编号、数量、状态及计划到货日期</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37D5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正式订单和合同不得由SCOS自动创建</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BF3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P-ZLTC-SCOS-CGYH-004-10-001</w:t>
            </w:r>
          </w:p>
        </w:tc>
      </w:tr>
      <w:tr w14:paraId="55388F6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399F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F60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发货与在途跟踪</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2277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A9960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输入：采购订单及</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到货安排</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p w14:paraId="558E51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输出：发货数量、时间及在途状态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003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供应商按采购订单执行发货，TMS持续反馈运输节点和预计到货时间</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4E06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延迟、数量差异或运输异常标记为执行偏差</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6A9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P-ZLTC-SCOS-CGYH-004-20-001</w:t>
            </w:r>
          </w:p>
        </w:tc>
      </w:tr>
      <w:tr w14:paraId="207EA5B9">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562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70E07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到厂收货与质检</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286F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收货人员、QMS/LIMS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1B1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7D71CB6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输出：到货数量、到货时间、待检及质检结果</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FB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记录到厂和质检状态；到厂待检仍属于未完成采购承诺</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3E7B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质量异常转质量业务流程处理并反馈采购跟踪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21B0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P-ZLTC-SCOS-CGYH-004-30-001</w:t>
            </w:r>
          </w:p>
        </w:tc>
      </w:tr>
      <w:tr w14:paraId="151D5FF3">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3CF2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949A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B8FA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C54EA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输入：订单、发货、在途、到货及质检状态；</w:t>
            </w:r>
          </w:p>
          <w:p w14:paraId="10522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输出：采购执行进度、未完成采购承诺及执行偏差</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05D4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汇总采购全程状态，更新下一轮采购计算使用的采购承诺，并识别影响未执行计划的偏差</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AAA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多系统数据不一致时提示人工复核</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786C5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P-ZLTC-SCOS-CGYH-004-40-001</w:t>
            </w:r>
          </w:p>
        </w:tc>
      </w:tr>
      <w:tr w14:paraId="0C800ED8">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3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53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DE0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72E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2D7D7A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输出：调整判断</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91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判断需求变化、延期、到货不足或质检异常是否需要调整未执行采购/发货计划</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804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N：完成本次跟踪；Y：进入60</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AAC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P-ZLTC-SCOS-CGYH-004-50-001</w:t>
            </w:r>
          </w:p>
        </w:tc>
      </w:tr>
      <w:tr w14:paraId="1DFAFA1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CA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247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发起滚动调整或异常处理</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292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DDDC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110598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输出：滚动调整任务或异常处理记录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A12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影响采购计划时进入滚动调整流程；运输、质量或合同异常转相应外部业务流程处理</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711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异常未关闭前持续跟踪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4A98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P-ZLTC-SCOS-CGYH-004-60-001</w:t>
            </w:r>
          </w:p>
        </w:tc>
      </w:tr>
      <w:tr w14:paraId="1D683CEF">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BFD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217E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0AF42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CFE2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输出：采购执行状态及闭环记录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FD5A9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执行状态推送供应链驾驶舱，并作为后续采购计算和滚动调整的输入</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E3C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E3CB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D90914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CC21E0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06E741">
      <w:pPr>
        <w:pStyle w:val="4"/>
        <w:bidi w:val="0"/>
        <w:rPr>
          <w:rFonts w:hint="eastAsia" w:ascii="黑体" w:hAnsi="黑体" w:eastAsia="黑体" w:cs="黑体"/>
          <w:b/>
          <w:bCs w:val="0"/>
          <w:lang w:val="en-US" w:eastAsia="zh-CN"/>
        </w:rPr>
      </w:pPr>
      <w:bookmarkStart w:id="13" w:name="_Toc407245863"/>
      <w:r>
        <w:rPr>
          <w:rFonts w:hint="eastAsia" w:ascii="黑体" w:hAnsi="黑体" w:eastAsia="黑体" w:cs="黑体"/>
          <w:b/>
          <w:bCs w:val="0"/>
          <w:lang w:val="en-US" w:eastAsia="zh-CN"/>
        </w:rPr>
        <w:t>要货计划</w:t>
      </w:r>
      <w:bookmarkEnd w:id="13"/>
    </w:p>
    <w:p w14:paraId="572CD3AD">
      <w:pPr>
        <w:pStyle w:val="6"/>
        <w:bidi w:val="0"/>
        <w:rPr>
          <w:rFonts w:hint="eastAsia" w:ascii="黑体" w:hAnsi="黑体" w:eastAsia="黑体" w:cs="黑体"/>
          <w:b/>
          <w:bCs w:val="0"/>
          <w:lang w:val="en-US" w:eastAsia="zh-CN"/>
        </w:rPr>
      </w:pPr>
      <w:r>
        <w:rPr>
          <w:rFonts w:hint="eastAsia" w:ascii="黑体" w:hAnsi="黑体" w:eastAsia="黑体" w:cs="黑体"/>
          <w:b/>
          <w:bCs w:val="0"/>
        </w:rPr>
        <w:t>要货基础条件与供应商顺序维护流程</w:t>
      </w:r>
    </w:p>
    <w:p w14:paraId="5031C8CC">
      <w:pPr>
        <w:rPr>
          <w:rFonts w:hint="default"/>
          <w:lang w:val="en-US" w:eastAsia="zh-CN"/>
        </w:rPr>
      </w:pPr>
      <w:r>
        <w:rPr>
          <w:rFonts w:hint="default"/>
          <w:lang w:val="en-US" w:eastAsia="zh-CN"/>
        </w:rPr>
        <w:drawing>
          <wp:inline distT="0" distB="0" distL="114300" distR="114300">
            <wp:extent cx="5253990" cy="1889760"/>
            <wp:effectExtent l="0" t="0" r="3810" b="15240"/>
            <wp:docPr id="43" name="图片 43" descr="业务蓝图_要货基础条件与供应商顺序维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业务蓝图_要货基础条件与供应商顺序维护流程"/>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253990" cy="1889760"/>
                    </a:xfrm>
                    <a:prstGeom prst="rect">
                      <a:avLst/>
                    </a:prstGeom>
                  </pic:spPr>
                </pic:pic>
              </a:graphicData>
            </a:graphic>
          </wp:inline>
        </w:drawing>
      </w:r>
    </w:p>
    <w:tbl>
      <w:tblPr>
        <w:tblStyle w:val="31"/>
        <w:tblW w:w="6185" w:type="pct"/>
        <w:tblInd w:w="-8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978"/>
        <w:gridCol w:w="1298"/>
        <w:gridCol w:w="2106"/>
        <w:gridCol w:w="2454"/>
        <w:gridCol w:w="1767"/>
        <w:gridCol w:w="1357"/>
      </w:tblGrid>
      <w:tr w14:paraId="218F857D">
        <w:trPr>
          <w:tblHeader/>
        </w:trPr>
        <w:tc>
          <w:tcPr>
            <w:tcW w:w="3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FADBB1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5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15182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6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E94F12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9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3D2BD3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7C3E0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6BFD1F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EA1A04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F663D80">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918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0ABC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46E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821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输入：合同或送货条件变化、定期维护任务</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E79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有效采购合同新增、合同剩余量变化、供应商送货条件变化或业务人员发起维护时启动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8453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08A7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379A3E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E5E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CC33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提供有效合同及未执行数量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6F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合同管理系统、E采/SAP</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91DB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输入：已签采购合同、采购订单及执行状态；</w:t>
            </w:r>
          </w:p>
          <w:p w14:paraId="4C66A0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输出：有效合同、关联订单、签订日期、有效期、最晚交期及可安排余量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85B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仅提供已签订且处于有效状态的合同和订单，合同未执行量是可安排送货额度，不作为库存</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8579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合同失效、暂停或无可安排余量时，不进入新增要货范围</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8292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P-ZLTC-SCOS-YHJH-001-10-001</w:t>
            </w:r>
          </w:p>
        </w:tc>
      </w:tr>
      <w:tr w14:paraId="2AB59C0B">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32B0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292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补充送货条件与可供信息</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FB91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2016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输入：有效合同及供应商信息；</w:t>
            </w:r>
          </w:p>
          <w:p w14:paraId="4689EE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输出：供应商存放地点、运输提前期、最早可到货日、日期可供量、合同执行顺序等</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8884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对暂无稳定系统来源的送货条件进行维护，并明确同一供应商多份合同的执行先后</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BE0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必要信息缺失时标记“待补充”，不得形成缺乏依据的确定性安排</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2437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P-ZLTC-SCOS-YHJH-001-20-001</w:t>
            </w:r>
          </w:p>
        </w:tc>
      </w:tr>
      <w:tr w14:paraId="3E4364D6">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9DBF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BE9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形成默认供应商及合同顺序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AC9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3CD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输入：合同签订时间、有效状态及可安排余量；</w:t>
            </w:r>
          </w:p>
          <w:p w14:paraId="66D272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输出：默认要货优先顺序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2D02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默认按合同签订时间先后排序，先签合同优先；禁运供应商及失效、暂停合同不参与新增安排</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88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同一签订时间或顺序无法确定时提示采购计划员确认</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98D5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P-ZLTC-SCOS-YHJH-001-30-001</w:t>
            </w:r>
          </w:p>
        </w:tc>
      </w:tr>
      <w:tr w14:paraId="15CA43BF">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4A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B9F5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评审并调整要货优先顺序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8EB6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34C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输入：默认顺序、合同成本及实际协商结果；</w:t>
            </w:r>
          </w:p>
          <w:p w14:paraId="452CD7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输出：业务确认的供应商及合同顺序、调整理由</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D277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采购计划员可依据成本和实际协商结果调整顺序，系统保留调整前后值及理由。供应商绩效与风险信息仅供参考，不作为默认排序依据</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F46C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未填写调整理由时不允许提交人工调整顺序</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AEE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P-ZLTC-SCOS-YHJH-001-40-001</w:t>
            </w:r>
          </w:p>
        </w:tc>
      </w:tr>
      <w:tr w14:paraId="649A127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B2E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BF9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判断条件是否完整可用</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B3A9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8D13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输入：合同、送货条件、供应商顺序及禁运状态；</w:t>
            </w:r>
          </w:p>
          <w:p w14:paraId="7633DD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输出：完整性与可用性校验结果</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A740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检查合同有效性、可安排余量、最晚交期、运输提前期、最早可到货日、可供能力和禁运状态</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4D8B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N：返回40补充或调整；Y：进入60</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E6F0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P-ZLTC-SCOS-YHJH-001-50-001</w:t>
            </w:r>
          </w:p>
        </w:tc>
      </w:tr>
      <w:tr w14:paraId="1804232E">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B5E8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040B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确认并发布要货条件版本</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6E97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9684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输入：校验通过的送货条件和优先顺序；</w:t>
            </w:r>
          </w:p>
          <w:p w14:paraId="3AF85E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输出：确认结论及条件版本</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746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对要货基础条件和人工调整顺序进行业务确认，发布可用于计划计算的版本</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92D1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不确认时返回20或40补充完善</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057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P-ZLTC-SCOS-YHJH-001-60-001</w:t>
            </w:r>
          </w:p>
        </w:tc>
      </w:tr>
      <w:tr w14:paraId="07EE046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9EF1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58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条件生效用于计划</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2B0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EFA9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输入：已确认条件版本；</w:t>
            </w:r>
          </w:p>
          <w:p w14:paraId="7CC8E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输出：生效的要货计算条件</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9B97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生效版本供日度要货计划制定和滚动调整使用，并保留版本、操作人、时间及理由</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9E23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D46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P-ZLTC-SCOS-YHJH-001-70-001</w:t>
            </w:r>
          </w:p>
        </w:tc>
      </w:tr>
      <w:tr w14:paraId="02EB37EA">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289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824E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B4C7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61CF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输出：生效的要货条件及供应商顺序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03A5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本轮基础条件维护完成</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09B7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6370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C0D28D2">
      <w:pPr>
        <w:rPr>
          <w:rFonts w:hint="default"/>
          <w:lang w:val="en-US" w:eastAsia="zh-CN"/>
        </w:rPr>
      </w:pPr>
    </w:p>
    <w:p w14:paraId="4A8D9F5E">
      <w:pPr>
        <w:pStyle w:val="6"/>
        <w:bidi w:val="0"/>
        <w:rPr>
          <w:rFonts w:hint="default"/>
          <w:b/>
          <w:bCs/>
        </w:rPr>
      </w:pPr>
      <w:r>
        <w:rPr>
          <w:rFonts w:hint="default"/>
          <w:b/>
          <w:bCs/>
        </w:rPr>
        <w:t>日度要货计划制定与确认流程</w:t>
      </w:r>
    </w:p>
    <w:p w14:paraId="42EE18FE">
      <w:pPr>
        <w:rPr>
          <w:rFonts w:hint="eastAsia" w:eastAsia="宋体"/>
          <w:lang w:eastAsia="zh-CN"/>
        </w:rPr>
      </w:pPr>
      <w:r>
        <w:rPr>
          <w:rFonts w:hint="eastAsia" w:eastAsia="宋体"/>
          <w:lang w:eastAsia="zh-CN"/>
        </w:rPr>
        <w:drawing>
          <wp:inline distT="0" distB="0" distL="114300" distR="114300">
            <wp:extent cx="5253990" cy="1771650"/>
            <wp:effectExtent l="0" t="0" r="3810" b="6350"/>
            <wp:docPr id="44" name="图片 44" descr="业务蓝图_日度要货计划制定与确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业务蓝图_日度要货计划制定与确认流程"/>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253990" cy="1771650"/>
                    </a:xfrm>
                    <a:prstGeom prst="rect">
                      <a:avLst/>
                    </a:prstGeom>
                  </pic:spPr>
                </pic:pic>
              </a:graphicData>
            </a:graphic>
          </wp:inline>
        </w:drawing>
      </w:r>
    </w:p>
    <w:tbl>
      <w:tblPr>
        <w:tblStyle w:val="31"/>
        <w:tblW w:w="6254" w:type="pct"/>
        <w:tblInd w:w="-87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06"/>
        <w:gridCol w:w="1129"/>
        <w:gridCol w:w="1209"/>
        <w:gridCol w:w="1441"/>
        <w:gridCol w:w="2541"/>
        <w:gridCol w:w="2311"/>
        <w:gridCol w:w="1361"/>
      </w:tblGrid>
      <w:tr w14:paraId="69ED2665">
        <w:trPr>
          <w:tblHeader/>
        </w:trPr>
        <w:tc>
          <w:tcPr>
            <w:tcW w:w="4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3567D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53AA21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E605B3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6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669E0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A721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CD69C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2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39C9E8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B141307">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DC17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C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3F71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D262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输入：日度计划运行周期或人工发起请求</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7B2B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系统每日定时运行，采购计划员也可按业务需要人工发起</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68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E0AA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1675D42">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E21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FA25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汇集生产耗用、库存与已有在途</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599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APS、WMS、SAP、E采、TMS</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C20D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输入：已发布日度原材料需求、可用库存、已确认/已下达/在途到货及预计到货日；</w:t>
            </w:r>
          </w:p>
          <w:p w14:paraId="500C2A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输出：要货计算数据集</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37B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优先使用已发布的日度原材料需求；只有成品计划时才按有效BOM和得率换算，二者不重复。库存仅计质检合格且未冻结的实物量；已有在途仅按明确预计到货日计入</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53DC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需求、必要BOM、库存时间或在途日期缺失时提示补充，不将缺失数据直接按零处理</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6B90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P-ZLTC-SCOS-YHJH-002-10-001</w:t>
            </w:r>
          </w:p>
        </w:tc>
      </w:tr>
      <w:tr w14:paraId="37391FA4">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91F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0882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形成需到货日期与数量</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3C91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A3B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输入：生产耗用、可用库存、固定到货、安全缓冲；</w:t>
            </w:r>
          </w:p>
          <w:p w14:paraId="63130E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输出：分日需到货量及风险日期</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84B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按日投影库存，在满足生产耗用和安全缓冲的前提下确定需要补货的日期和数量；计划期末继续读取缓冲天数内的耗用</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34E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现有固定到货已满足需求时，该日期不新增要货</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E0DE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P-ZLTC-SCOS-YHJH-002-20-001</w:t>
            </w:r>
          </w:p>
        </w:tc>
      </w:tr>
      <w:tr w14:paraId="5AAFDE33">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E406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ABDC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按顺序生成要货建议</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3D4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2C4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输入：需到货量、生效供应商/合同顺序、合同余量、可供量、最早可到货日及收货能力；</w:t>
            </w:r>
          </w:p>
          <w:p w14:paraId="414F0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输出：供应商、合同、到货日、到货数量及必要补位原因</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B62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按当前顺序优先安排前序供应商。一家能按时满足时由一家供货；受合同余量、可供量、到货时间或交期限制时，才由后续供应商补位。到货尽量接近实际需要日</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F39A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不能满足时不强行生成虚假可执行计划，输出风险日期、缺口数量和原因</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F96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P-ZLTC-SCOS-YHJH-002-30-001</w:t>
            </w:r>
          </w:p>
        </w:tc>
      </w:tr>
      <w:tr w14:paraId="31765EC2">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EE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5DBD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评审并调整日期、数量与供应商</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9D4D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C832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输入：系统建议、预计库存、合同余额及校验提示；输出：拟确认要货计划</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063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结合供应商协商结果调整顺序、供应商、合同、到货日和数量，可移除或锁定单次安排；必要交叉到货需说明原因</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C321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可返回30重新生成系统方案；人工调整和移除均保留记录</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488B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P-ZLTC-SCOS-YHJH-002-40-001</w:t>
            </w:r>
          </w:p>
        </w:tc>
      </w:tr>
      <w:tr w14:paraId="3D16176F">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EA3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AD5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重新计算库存并校验可执行性</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193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E83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输入：拟确认计划及人工锁定结果；</w:t>
            </w:r>
          </w:p>
          <w:p w14:paraId="5594D3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输出：库存投影、合同余额及校验结果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A4FF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调整后即时重算预计库存和合同余额，校验安全缓冲、合同余量及期限、最早可到货日、供应商可供量、工厂收货能力和禁运状态</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787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库存低于安全缓冲、合同超量、禁运或到货不可行等阻断性冲突必须返回40处理，不允许下达</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4C0D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P-ZLTC-SCOS-YHJH-002-50-001</w:t>
            </w:r>
          </w:p>
        </w:tc>
      </w:tr>
      <w:tr w14:paraId="0920740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FA3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9F1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判断是否确认当前计划</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F224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9C63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输入：拟确认要货计划及校验结果；</w:t>
            </w:r>
          </w:p>
          <w:p w14:paraId="375E5F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B1C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采购计划员核对供应商、合同、日期、数量、补位原因和风险后确认</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6F5A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N：返回40调整；Y：进入70</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2E2E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P-ZLTC-SCOS-YHJH-002-60-001</w:t>
            </w:r>
          </w:p>
        </w:tc>
      </w:tr>
      <w:tr w14:paraId="419CBA5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D5E9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0E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发布确认计划版本</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A795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1423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输入：人工确认的要货计划；</w:t>
            </w:r>
          </w:p>
          <w:p w14:paraId="53770E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输出：已确认要货计划及版本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FC0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发布确认版本，冻结其中的确认安排，并保存输入版本、系统建议、人工调整、校验结果、操作人和时间</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973E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3FB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P-ZLTC-SCOS-YHJH-002-70-001</w:t>
            </w:r>
          </w:p>
        </w:tc>
      </w:tr>
      <w:tr w14:paraId="2226E71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EA7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C103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B3A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831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输出：已确认日度要货计划</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4FD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日度要货计划制定完成，进入下达与执行跟踪</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305B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BCA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E39D23B">
      <w:pPr>
        <w:rPr>
          <w:rFonts w:hint="eastAsia" w:eastAsia="宋体"/>
          <w:lang w:eastAsia="zh-CN"/>
        </w:rPr>
      </w:pPr>
    </w:p>
    <w:p w14:paraId="61CF534B">
      <w:pPr>
        <w:pStyle w:val="6"/>
        <w:bidi w:val="0"/>
        <w:rPr>
          <w:rFonts w:hint="default"/>
          <w:b/>
          <w:bCs/>
        </w:rPr>
      </w:pPr>
      <w:r>
        <w:rPr>
          <w:rFonts w:hint="default"/>
          <w:b/>
          <w:bCs/>
        </w:rPr>
        <w:t>要货计划下达与执行跟踪流程</w:t>
      </w:r>
    </w:p>
    <w:p w14:paraId="3FB54A23">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5" name="图片 45" descr="业务蓝图_要货计划下达与执行跟踪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业务蓝图_要货计划下达与执行跟踪流程"/>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253990" cy="1889760"/>
                    </a:xfrm>
                    <a:prstGeom prst="rect">
                      <a:avLst/>
                    </a:prstGeom>
                  </pic:spPr>
                </pic:pic>
              </a:graphicData>
            </a:graphic>
          </wp:inline>
        </w:drawing>
      </w:r>
    </w:p>
    <w:tbl>
      <w:tblPr>
        <w:tblStyle w:val="31"/>
        <w:tblW w:w="5972"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3"/>
        <w:gridCol w:w="1301"/>
        <w:gridCol w:w="970"/>
        <w:gridCol w:w="1746"/>
        <w:gridCol w:w="2472"/>
        <w:gridCol w:w="1635"/>
        <w:gridCol w:w="1499"/>
      </w:tblGrid>
      <w:tr w14:paraId="17C78BE0">
        <w:trPr>
          <w:tblHeader/>
        </w:trPr>
        <w:tc>
          <w:tcPr>
            <w:tcW w:w="3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A20A28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5C362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94C48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6FE088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8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FAAF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F2121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918A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82BDBA9">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0B49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50A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AF2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03C9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输入：已确认要货计划</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C680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要货计划完成确认并进入执行阶段。</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B0E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4322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34250FC">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BC36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55EF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下达已确认要货计划</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F25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5DC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输入：已确认要货计划；</w:t>
            </w:r>
          </w:p>
          <w:p w14:paraId="4DDA0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输出：下达指令</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F33C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核对要货计划版本后发起下达。计划基于既有合同和订单，不在本流程新建采购合同或采购订单</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8294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发现确认版本失效或存在阻断性冲突时停止下达，返回计划调整</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F6A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P-ZLTC-SCOS-YHJH-003-10-001</w:t>
            </w:r>
          </w:p>
        </w:tc>
      </w:tr>
      <w:tr w14:paraId="6A1D8963">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1F9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9C0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发送计划并记录下达状态</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788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AD1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输入：下达指令；</w:t>
            </w:r>
          </w:p>
          <w:p w14:paraId="653F99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输出：发送至E采/SAP或供应商协同平台的要货明细、下达状态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ACBB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按供应商、合同/订单、到货日和数量发送已确认计划，并记录接口结果和下达时间</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8350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接口失败时保留“待下达”状态，支持重试和人工核对</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DFE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P-ZLTC-SCOS-YHJH-003-20-001</w:t>
            </w:r>
          </w:p>
        </w:tc>
      </w:tr>
      <w:tr w14:paraId="7AB175A9">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1E44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0A16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接收计划并反馈送货承诺</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4A0A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供应商、E采/供应商协同平台</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59E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输入：要货明细；</w:t>
            </w:r>
          </w:p>
          <w:p w14:paraId="16DD55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输出：供应商承诺、反馈意见及计划状态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7A53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供应商确认能否按计划到货，反馈承诺日期、数量或不可满足原因</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2C9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不能满足时形成执行偏差，转70判断</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BF8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P-ZLTC-SCOS-YHJH-003-30-001</w:t>
            </w:r>
          </w:p>
        </w:tc>
      </w:tr>
      <w:tr w14:paraId="1EAD22C5">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40E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52C3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反馈发货、在途及预计到货日</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D32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D44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输入：已下达要货安排；</w:t>
            </w:r>
          </w:p>
          <w:p w14:paraId="0B12C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输出：发货数量、运输节点、在途状态和预计到货日</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0D89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供应商及TMS负责实际发货和运输执行，并持续反馈运输进度；SCOS不安排具体发货和运输过程</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4675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预计到货日变化、运输中断或数量差异时标记执行偏差</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695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P-ZLTC-SCOS-YHJH-003-40-001</w:t>
            </w:r>
          </w:p>
        </w:tc>
      </w:tr>
      <w:tr w14:paraId="3269587F">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8565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413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到厂收货并反馈质检状态</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B3D3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WMS、QMS、收货/质量人员</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6ED8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4DBE3C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输出：实收到货量、到货时间、质检及库存状态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0064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到货后由执行系统登记收货和质量结果；只有质检合格且未冻结的数量进入后续可用库存</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97BC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待检、拒收或质量异常按相应业务流程处理，并反馈要货执行影响</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9FB7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P-ZLTC-SCOS-YHJH-003-50-001</w:t>
            </w:r>
          </w:p>
        </w:tc>
      </w:tr>
      <w:tr w14:paraId="53F80C0B">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4FA8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AD42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更新执行状态与固定到货</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3BC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7D89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输入：承诺、发货、在途、预计到货、收货及质检反馈；</w:t>
            </w:r>
          </w:p>
          <w:p w14:paraId="5E8E8A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输出：要货执行进度和固定到货</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3324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汇总计划明细状态。已确认、已下达和已有在途作为固定安排，预计到货日以后续执行反馈为准</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3EA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多系统数量或状态不一致时提示采购计划员复核</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BB62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P-ZLTC-SCOS-YHJH-003-60-001</w:t>
            </w:r>
          </w:p>
        </w:tc>
      </w:tr>
      <w:tr w14:paraId="070B64A6">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E9F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BE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判断是否存在执行偏差</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AE9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C80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输入：计划与实际执行差异；</w:t>
            </w:r>
          </w:p>
          <w:p w14:paraId="756315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输出：偏差判断及影响范围</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281C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判断延期、数量不足、拒绝承诺、运输或质量异常是否影响生产耗用和安全缓冲</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A0FB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N：完成本轮跟踪；Y：转入要货计划滚动调整或要货缺口与异常协调流程</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809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P-ZLTC-SCOS-YHJH-003-70-001</w:t>
            </w:r>
          </w:p>
        </w:tc>
      </w:tr>
      <w:tr w14:paraId="66445510">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B52B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ADBC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0BB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0C74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输出：要货执行状态及闭环记录</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0076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无需调整的执行跟踪完成，状态继续供后续日度计算和驾驶舱使用</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EF56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B5ED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16B4EF">
      <w:pPr>
        <w:rPr>
          <w:rFonts w:hint="eastAsia" w:eastAsia="宋体"/>
          <w:lang w:eastAsia="zh-CN"/>
        </w:rPr>
      </w:pPr>
    </w:p>
    <w:p w14:paraId="5697AE1D">
      <w:pPr>
        <w:pStyle w:val="6"/>
        <w:bidi w:val="0"/>
        <w:rPr>
          <w:rFonts w:hint="default"/>
          <w:b/>
          <w:bCs/>
        </w:rPr>
      </w:pPr>
      <w:r>
        <w:rPr>
          <w:rFonts w:hint="default"/>
          <w:b/>
          <w:bCs/>
        </w:rPr>
        <w:t>要货计划滚动调整流程</w:t>
      </w:r>
    </w:p>
    <w:p w14:paraId="3E3ED7DE">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6" name="图片 46" descr="业务蓝图_要货计划滚动调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业务蓝图_要货计划滚动调整流程"/>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253990" cy="1889760"/>
                    </a:xfrm>
                    <a:prstGeom prst="rect">
                      <a:avLst/>
                    </a:prstGeom>
                  </pic:spPr>
                </pic:pic>
              </a:graphicData>
            </a:graphic>
          </wp:inline>
        </w:drawing>
      </w:r>
    </w:p>
    <w:tbl>
      <w:tblPr>
        <w:tblStyle w:val="31"/>
        <w:tblW w:w="5984"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1031"/>
        <w:gridCol w:w="1058"/>
        <w:gridCol w:w="1502"/>
        <w:gridCol w:w="2400"/>
        <w:gridCol w:w="1813"/>
        <w:gridCol w:w="1805"/>
      </w:tblGrid>
      <w:tr w14:paraId="72656B93">
        <w:trPr>
          <w:tblHeader/>
        </w:trPr>
        <w:tc>
          <w:tcPr>
            <w:tcW w:w="39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15C9F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62BD6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5F719C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1B6A7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5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21252B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9B416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72740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E58A142">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F52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8B2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335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13B4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输入：每日滚动周期或业务变化事件</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3FDE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系统每日滚动运行；生产需求、库存、预计到货日、合同、可供能力或禁运状态变化时即时触发影响评估</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EA90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207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6A933B">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A08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BE4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提供最新业务变化</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D6BF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APS、WMS、SAP、E采、TMS及相关业务人员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5E52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输入：最新需求、库存、执行状态、预计到货日、合同和禁运状态；</w:t>
            </w:r>
          </w:p>
          <w:p w14:paraId="431EF5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输出：变更数据集</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168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以带版本和时间戳的最新有效数据触发重算，明确变化来源和生效时间</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F2A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数据迟延或来源冲突时标记待核对，不直接覆盖已确认事实</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1A7BB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P-ZLTC-SCOS-YHJH-004-10-001</w:t>
            </w:r>
          </w:p>
        </w:tc>
      </w:tr>
      <w:tr w14:paraId="3EBFB468">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3C50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2DE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B1DF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A586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输入：变更数据集、当前计划及执行状态；</w:t>
            </w:r>
          </w:p>
          <w:p w14:paraId="28144C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输出：影响判断与受影响范围</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12A1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比较需求、日期、数量和执行状态，判断未执行安排及预计库存是否发生实质影响</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5BE9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N：保留当前计划并结束；Y：进入30</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4968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P-ZLTC-SCOS-YHJH-004-20-001</w:t>
            </w:r>
          </w:p>
        </w:tc>
      </w:tr>
      <w:tr w14:paraId="4F0F51F0">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4675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D43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保留固定与人工锁定安排</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022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ADC4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输入：受影响计划明细；</w:t>
            </w:r>
          </w:p>
          <w:p w14:paraId="293A4E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输出：固定范围和可调整范围</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E72D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已确认、已下达、已有在途及人工锁定安排作为固定到货，不被自动改变；其余未锁定安排进入重算范围</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C456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已固定安排本身出现偏差时，仅更新执行信息并将影响传递给可调整部分或异常协调流程</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CC48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P-ZLTC-SCOS-YHJH-004-30-001</w:t>
            </w:r>
          </w:p>
        </w:tc>
      </w:tr>
      <w:tr w14:paraId="03F7F66D">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4FC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F17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重算未锁定计划并形成差异</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2F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2DCF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输入：固定安排、最新需求和条件、未锁定计划；</w:t>
            </w:r>
          </w:p>
          <w:p w14:paraId="50A84E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输出：调整建议、调整前后差异及风险</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A0B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仅重排受影响的未锁定安排，重新计算供应商、合同、到货日期、数量、预计库存和合同余额</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98A0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仍有缺口或不可执行时同步输出日期、数量和原因</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2FF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P-ZLTC-SCOS-YHJH-004-40-001</w:t>
            </w:r>
          </w:p>
        </w:tc>
      </w:tr>
      <w:tr w14:paraId="1920D422">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846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29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评审并调整建议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FE7A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3C0F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输入：调整建议、前后差异及风险；</w:t>
            </w:r>
          </w:p>
          <w:p w14:paraId="176F67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输出：拟确认调整方案</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7D1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核对变化原因和影响范围，可修改或继续锁定安排，并记录人工处理理由</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EC4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可拒绝系统建议并保留当前未执行安排，但阻断性冲突未解除时不得重新下达</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2F58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P-ZLTC-SCOS-YHJH-004-50-001</w:t>
            </w:r>
          </w:p>
        </w:tc>
      </w:tr>
      <w:tr w14:paraId="4FB0C2CE">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714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EDC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确认调整后计划</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47F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40F9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输入：拟确认调整方案及校验结果；</w:t>
            </w:r>
          </w:p>
          <w:p w14:paraId="6CDA2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819E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确认新版要货计划及需要重新下达的明细</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8025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N：返回50调整或保留原计划；Y：进入70</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FFF2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P-ZLTC-SCOS-YHJH-004-60-001</w:t>
            </w:r>
          </w:p>
        </w:tc>
      </w:tr>
      <w:tr w14:paraId="616574A0">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A58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70D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发布新版本并同步变化</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FF2C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15C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667150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输出：新版要货计划、变更清单及同步状态</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7CC7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发布新版本，仅向执行端同步发生变化且允许调整的明细，完整保留原版本和变更轨迹</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0B68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同步失败时保留待同步状态并支持重推</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A9C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P-ZLTC-SCOS-YHJH-004-70-001</w:t>
            </w:r>
          </w:p>
        </w:tc>
      </w:tr>
      <w:tr w14:paraId="36ED32BC">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C3A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BBC8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200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922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输出：滚动调整后的要货计划版本</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4C5C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本轮滚动调整完成；存在未消除缺口时同时进入异常协调</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6880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CFA8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A4947F7">
      <w:pPr>
        <w:rPr>
          <w:rFonts w:hint="eastAsia" w:eastAsia="宋体"/>
          <w:lang w:eastAsia="zh-CN"/>
        </w:rPr>
      </w:pPr>
    </w:p>
    <w:p w14:paraId="7525699B">
      <w:pPr>
        <w:pStyle w:val="6"/>
        <w:bidi w:val="0"/>
        <w:rPr>
          <w:rFonts w:hint="default"/>
          <w:b/>
          <w:bCs/>
        </w:rPr>
      </w:pPr>
      <w:r>
        <w:rPr>
          <w:rFonts w:hint="default"/>
          <w:b/>
          <w:bCs/>
        </w:rPr>
        <w:t>要货缺口与异常协调流程</w:t>
      </w:r>
    </w:p>
    <w:p w14:paraId="5BE87265">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9" name="图片 49" descr="业务蓝图_要货缺口与异常协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业务蓝图_要货缺口与异常协调流程"/>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253990" cy="1889760"/>
                    </a:xfrm>
                    <a:prstGeom prst="rect">
                      <a:avLst/>
                    </a:prstGeom>
                  </pic:spPr>
                </pic:pic>
              </a:graphicData>
            </a:graphic>
          </wp:inline>
        </w:drawing>
      </w:r>
    </w:p>
    <w:tbl>
      <w:tblPr>
        <w:tblStyle w:val="31"/>
        <w:tblW w:w="5984" w:type="pct"/>
        <w:tblInd w:w="-7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3"/>
        <w:gridCol w:w="1075"/>
        <w:gridCol w:w="1129"/>
        <w:gridCol w:w="1751"/>
        <w:gridCol w:w="2551"/>
        <w:gridCol w:w="1387"/>
        <w:gridCol w:w="1671"/>
      </w:tblGrid>
      <w:tr w14:paraId="3B92DE48">
        <w:trPr>
          <w:tblHeader/>
        </w:trPr>
        <w:tc>
          <w:tcPr>
            <w:tcW w:w="41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D402F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F2575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E7745D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3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354E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2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D5280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655F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D2DB41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A010914">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765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F6E0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638C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72E8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输入：计划计算或执行跟踪发现的风险</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2926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合同余量不足、供应商不能按时供货、预计到货延期或库存低于安全缓冲时启动</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D139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1754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E1E6C82">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C4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354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识别要货缺口或执行风险</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57BC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F980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输入：需求、库存、固定到货、未锁定计划和执行反馈；</w:t>
            </w:r>
          </w:p>
          <w:p w14:paraId="7518F7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输出：风险事项</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5E1D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按日识别不能覆盖生产耗用或安全缓冲的风险，以及合同、到货和执行不可行事项</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A9B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无风险时不启动本流程</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DD41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P-ZLTC-SCOS-YHJH-005-10-001</w:t>
            </w:r>
          </w:p>
        </w:tc>
      </w:tr>
      <w:tr w14:paraId="68E3A7FB">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0AD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732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输出风险日期、数量与原因</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018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85B9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输入：风险事项；</w:t>
            </w:r>
          </w:p>
          <w:p w14:paraId="65239E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输出：受影响物料、日期、缺口量、预计库存及原因</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4D62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将风险定位到具体日期和数量，区分合同不足、可供能力不足、到货延期、禁运或收货限制等原因</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F43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原因数据不完整时标记“待核实”，不输出确定性处置结论</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5AFE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P-ZLTC-SCOS-YHJH-005-20-001</w:t>
            </w:r>
          </w:p>
        </w:tc>
      </w:tr>
      <w:tr w14:paraId="0F0E8BE2">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217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8390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选择协调方向并提出处理要求</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493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F5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输入：风险明细及可调整范围；</w:t>
            </w:r>
          </w:p>
          <w:p w14:paraId="7CB121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输出：协调任务和处理方向</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680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可选择与供应商协调到货、调整未锁定安排，或向合同、生产、库存等相关业务环节提出协调要求</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A314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涉及新增合同、生产调整或其他跨模块措施时，转对应业务流程决策</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97E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P-ZLTC-SCOS-YHJH-005-30-001</w:t>
            </w:r>
          </w:p>
        </w:tc>
      </w:tr>
      <w:tr w14:paraId="09AD5E4E">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6B87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A016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协调供货到货或相关业务安排</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775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供应商、采购及相关业务部门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5E7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输入：协调任务；</w:t>
            </w:r>
          </w:p>
          <w:p w14:paraId="294276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输出：可执行承诺、业务调整意见或无法解决说明</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B6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相关责任方对供货数量、可达日期及跨业务影响进行协商，反馈能够执行的协调结果</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74E6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SCOS不自动决定新增合同、外库租赁、生产调整等超出要货计划范围的措施</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50E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P-ZLTC-SCOS-YHJH-005-40-001</w:t>
            </w:r>
          </w:p>
        </w:tc>
      </w:tr>
      <w:tr w14:paraId="2446D905">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F60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3F0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判断风险是否可以消除</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8F01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F1E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输入：协调结果；</w:t>
            </w:r>
          </w:p>
          <w:p w14:paraId="3F17BC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输出：风险复核结论</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6C35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将协调结果代入库存和要货计划重新评估，判断风险是否已被消除</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6AE4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Y：进入70记录结论并滚动调整；N：进入60</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E919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P-ZLTC-SCOS-YHJH-005-50-001</w:t>
            </w:r>
          </w:p>
        </w:tc>
      </w:tr>
      <w:tr w14:paraId="5023E544">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83F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00CC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确认临时措施或升级处置</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0A29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04CD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输入：未消除风险及业务影响；</w:t>
            </w:r>
          </w:p>
          <w:p w14:paraId="7F0543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输出：临时措施、风险接受或升级事项</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2F6B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对无法在要货计划范围内消除的风险，确认临时控制要求或提交相应责任部门进一步处置</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8B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未形成结论时保持风险开放，并在驾驶舱持续预警</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447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P-ZLTC-SCOS-YHJH-005-60-001</w:t>
            </w:r>
          </w:p>
        </w:tc>
      </w:tr>
      <w:tr w14:paraId="175FA92A">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5A84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E5E2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记录结论并发起滚动调整</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E35A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6474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输入：协调结论、临时措施或升级结果；</w:t>
            </w:r>
          </w:p>
          <w:p w14:paraId="38FE20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输出：异常闭环记录、滚动调整任务和驾驶舱风险状态</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F346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记录责任人、处理意见、计划影响和关闭状态；涉及要货安排变化时触发滚动调整，风险同步供应链驾驶舱</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0AE9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调整后仍有缺口时继续保持风险开放，不以流程结束替代风险消除</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3C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P-ZLTC-SCOS-YHJH-005-70-001</w:t>
            </w:r>
          </w:p>
        </w:tc>
      </w:tr>
      <w:tr w14:paraId="20F9645F">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54C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07E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D024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A11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输出：协调结论、风险状态及计划调整任务</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6484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本轮协调动作完成。</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BD1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421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231F8CF">
      <w:pPr>
        <w:rPr>
          <w:rFonts w:hint="eastAsia" w:eastAsia="宋体"/>
          <w:lang w:eastAsia="zh-CN"/>
        </w:rPr>
      </w:pPr>
    </w:p>
    <w:p w14:paraId="6858EAF1">
      <w:pPr>
        <w:pStyle w:val="6"/>
        <w:bidi w:val="0"/>
        <w:rPr>
          <w:rFonts w:hint="default"/>
          <w:b/>
          <w:bCs/>
          <w:lang w:val="en-US" w:eastAsia="zh-CN"/>
        </w:rPr>
      </w:pPr>
      <w:r>
        <w:rPr>
          <w:rFonts w:hint="default"/>
          <w:b/>
          <w:bCs/>
        </w:rPr>
        <w:t>供应商禁运与解除流程</w:t>
      </w:r>
    </w:p>
    <w:p w14:paraId="3F4C01E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89760"/>
            <wp:effectExtent l="0" t="0" r="3810" b="15240"/>
            <wp:docPr id="53" name="图片 53" descr="业务蓝图_供应商禁运与解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业务蓝图_供应商禁运与解除流程"/>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253990" cy="1889760"/>
                    </a:xfrm>
                    <a:prstGeom prst="rect">
                      <a:avLst/>
                    </a:prstGeom>
                  </pic:spPr>
                </pic:pic>
              </a:graphicData>
            </a:graphic>
          </wp:inline>
        </w:drawing>
      </w:r>
    </w:p>
    <w:tbl>
      <w:tblPr>
        <w:tblStyle w:val="31"/>
        <w:tblW w:w="6060" w:type="pct"/>
        <w:tblInd w:w="-9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4"/>
        <w:gridCol w:w="1084"/>
        <w:gridCol w:w="1283"/>
        <w:gridCol w:w="1748"/>
        <w:gridCol w:w="2151"/>
        <w:gridCol w:w="1706"/>
        <w:gridCol w:w="1733"/>
      </w:tblGrid>
      <w:tr w14:paraId="3372CEEF">
        <w:trPr>
          <w:tblHeader/>
        </w:trPr>
        <w:tc>
          <w:tcPr>
            <w:tcW w:w="40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DEF623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3EBAA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6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CA58A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2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EC002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1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B446F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5251E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289A5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9FBC70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3E65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FAAB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CF8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8FB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输入：质量问题、履约异常、业务限制解除等事件</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AD40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相关部门认为需禁止供应商新增要货或解除已有禁运状态时启动</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1914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0748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C8AE6F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E8F3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634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提交禁运或解除申请及依据</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2078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质量部门、采购或其他业务部门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76A3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输入：异常事实、质量或业务依据；</w:t>
            </w:r>
          </w:p>
          <w:p w14:paraId="6C7495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输出：禁运/解除申请、供应商、范围和建议生效时间</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0DA0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明确申请类型、供应商、适用物料或合同、原因、证据和期望生效时间</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0640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依据或影响范围不清时退回补充</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AB23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P-ZLTC-SCOS-YHJH-006-10-001</w:t>
            </w:r>
          </w:p>
        </w:tc>
      </w:tr>
      <w:tr w14:paraId="401E23D6">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ADB6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48C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复核原因、范围与生效时间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7AED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E307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输入：禁运/解除申请；</w:t>
            </w:r>
          </w:p>
          <w:p w14:paraId="3D7D5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DDD4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核对申请依据、受影响合同和计划、在途情况以及状态变更的生效范围</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9A83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信息不完整时返回10补充；已有在途不作为新增要货处理</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17CA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P-ZLTC-SCOS-YHJH-006-20-001</w:t>
            </w:r>
          </w:p>
        </w:tc>
      </w:tr>
      <w:tr w14:paraId="63AAE2B3">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3F3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4C6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判断是否确认状态变更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6FB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8ECA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输入：申请及复核意见；</w:t>
            </w:r>
          </w:p>
          <w:p w14:paraId="5414F2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D96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按现行业务授权确认是否执行禁运或解除</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A3B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N：返回20复核或终止申请；Y：进入40</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3D71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P-ZLTC-SCOS-YHJH-006-30-001</w:t>
            </w:r>
          </w:p>
        </w:tc>
      </w:tr>
      <w:tr w14:paraId="3D498888">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65B7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72B9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更新供应商禁运状态</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B60E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E6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输入：确认结论、原因、范围及生效时间；</w:t>
            </w:r>
          </w:p>
          <w:p w14:paraId="1607BC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输出：供应商禁运状态记录</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8E8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更新禁运或解除状态，并记录原因、操作人、生效时间和历史状态</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BDD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更新失败时保持原状态并提示重试，避免计划参与资格与确认结论不一致</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B754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P-ZLTC-SCOS-YHJH-006-40-001</w:t>
            </w:r>
          </w:p>
        </w:tc>
      </w:tr>
      <w:tr w14:paraId="10B0D8AD">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13AD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E9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调整新增要货计划参与资格</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486E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0940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输入：最新禁运状态、有效合同；</w:t>
            </w:r>
          </w:p>
          <w:p w14:paraId="0FEA0B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输出：供应商计划参与资格</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525A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禁运后从新增要货安排中排除相关供应商；解除后仅在合同仍有效且其他条件满足时恢复参与资格</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E040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状态变更不自动取消已下达或已有在途安排</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94D8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P-ZLTC-SCOS-YHJH-006-50-001</w:t>
            </w:r>
          </w:p>
        </w:tc>
      </w:tr>
      <w:tr w14:paraId="449EC5E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163A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DCD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同步状态并协调已有在途</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B8E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TMS、供应商协同平台、采购计划员</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D86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输入：禁运/解除状态及受影响明细；</w:t>
            </w:r>
          </w:p>
          <w:p w14:paraId="456C36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输出：同步结果和已有在途协调意见</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1404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将状态传递给TMS及供应商协同端；对已有在途单独标识并由业务人员协调，系统不自动取消或退运</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7EC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接口失败时保留待同步状态；在途处置未明确时保持风险提示</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50F2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P-ZLTC-SCOS-YHJH-006-60-001</w:t>
            </w:r>
          </w:p>
        </w:tc>
      </w:tr>
      <w:tr w14:paraId="3409EE4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2E1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EFB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评估影响并触发调整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E82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D68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输入：状态变化、当前要货计划和执行状态；</w:t>
            </w:r>
          </w:p>
          <w:p w14:paraId="5081B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输出：受影响范围及滚动调整任务</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9EA6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识别受影响的未执行、未锁定安排并触发滚动调整；相关风险同步驾驶舱</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34CC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现有供应商无法补位时转要货缺口与异常协调流程</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77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P-ZLTC-SCOS-YHJH-006-70-001</w:t>
            </w:r>
          </w:p>
        </w:tc>
      </w:tr>
      <w:tr w14:paraId="4F27B5F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B68E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2D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EDB9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A728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输出：最新供应商禁运状态、计划调整任务及审计记录</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5561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本次状态变更处理完成</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5CD7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7D1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C227FC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0EEC7F9">
      <w:pPr>
        <w:pStyle w:val="4"/>
        <w:bidi w:val="0"/>
        <w:rPr>
          <w:rFonts w:hint="eastAsia" w:ascii="黑体" w:hAnsi="黑体" w:eastAsia="黑体" w:cs="黑体"/>
          <w:b/>
          <w:bCs w:val="0"/>
          <w:lang w:val="en-US" w:eastAsia="zh-CN"/>
        </w:rPr>
      </w:pPr>
      <w:bookmarkStart w:id="14" w:name="_Toc550836452"/>
      <w:r>
        <w:rPr>
          <w:rFonts w:hint="eastAsia" w:ascii="黑体" w:hAnsi="黑体" w:eastAsia="黑体" w:cs="黑体"/>
          <w:b/>
          <w:bCs w:val="0"/>
          <w:lang w:val="en-US" w:eastAsia="zh-CN"/>
        </w:rPr>
        <w:t>驾驶舱</w:t>
      </w:r>
      <w:bookmarkEnd w:id="14"/>
    </w:p>
    <w:p w14:paraId="77224C66">
      <w:pPr>
        <w:pStyle w:val="6"/>
        <w:bidi w:val="0"/>
        <w:rPr>
          <w:rFonts w:hint="eastAsia" w:ascii="黑体" w:hAnsi="黑体" w:eastAsia="黑体" w:cs="黑体"/>
          <w:b/>
          <w:bCs w:val="0"/>
          <w:lang w:val="en-US" w:eastAsia="zh-CN"/>
        </w:rPr>
      </w:pPr>
      <w:r>
        <w:rPr>
          <w:rFonts w:hint="eastAsia" w:ascii="黑体" w:hAnsi="黑体" w:eastAsia="黑体" w:cs="黑体"/>
          <w:b/>
          <w:bCs w:val="0"/>
        </w:rPr>
        <w:t>指标口径与预警规则配置发布流程</w:t>
      </w:r>
    </w:p>
    <w:p w14:paraId="7222C72F">
      <w:pPr>
        <w:pStyle w:val="5"/>
        <w:rPr>
          <w:rFonts w:hint="eastAsia"/>
          <w:lang w:val="en-US" w:eastAsia="zh-CN"/>
        </w:rPr>
      </w:pPr>
      <w:r>
        <w:rPr>
          <w:rFonts w:hint="eastAsia"/>
          <w:lang w:val="en-US" w:eastAsia="zh-CN"/>
        </w:rPr>
        <w:drawing>
          <wp:inline distT="0" distB="0" distL="114300" distR="114300">
            <wp:extent cx="5253990" cy="1801495"/>
            <wp:effectExtent l="0" t="0" r="3810" b="1905"/>
            <wp:docPr id="35" name="图片 35" descr="业务蓝图_指标口径与预警规则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业务蓝图_指标口径与预警规则配置发布流程"/>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253990" cy="1801495"/>
                    </a:xfrm>
                    <a:prstGeom prst="rect">
                      <a:avLst/>
                    </a:prstGeom>
                  </pic:spPr>
                </pic:pic>
              </a:graphicData>
            </a:graphic>
          </wp:inline>
        </w:drawing>
      </w:r>
    </w:p>
    <w:tbl>
      <w:tblPr>
        <w:tblStyle w:val="31"/>
        <w:tblW w:w="5690" w:type="pct"/>
        <w:tblInd w:w="-65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2"/>
        <w:gridCol w:w="1085"/>
        <w:gridCol w:w="1128"/>
        <w:gridCol w:w="1385"/>
        <w:gridCol w:w="1829"/>
        <w:gridCol w:w="1718"/>
        <w:gridCol w:w="1718"/>
      </w:tblGrid>
      <w:tr w14:paraId="6DAB1B06">
        <w:trPr>
          <w:tblHeader/>
        </w:trPr>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B39A3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176A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8DAA2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44934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B50C0E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AD549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AEA65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6A62287">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A07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43D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31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2CAF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输入：新增或调整指标、健康度阈值、预警规则需求</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C55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指标口径、业务管理要求或数据源发生变化时启动</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1AE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A264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2512B48">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11FF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B70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编制指标口径与预警规则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4C8D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指标管理员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ED1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输入：业务要求、数据字典、已有指标和规则；</w:t>
            </w:r>
          </w:p>
          <w:p w14:paraId="6D5DAF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输出：拟定指标口径、阈值和预警规则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102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定义指标名称、公式、数据源、更新频率、展示单位、红黄绿阈值、一/二级预警条件及可见权限</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7535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必须字段或业务依据不完整时保留草稿</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8892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P-ZLTC-SCOS-JSC-001-10-001</w:t>
            </w:r>
          </w:p>
        </w:tc>
      </w:tr>
      <w:tr w14:paraId="0CBFAC04">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91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EA05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校验数据来源、公式、阈值与权限</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36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582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输入：拟定配置；</w:t>
            </w:r>
          </w:p>
          <w:p w14:paraId="45250C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输出：校验结果和样例试算结果</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B67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校验数据来源是否可用、公式是否可计算、阈值区间是否冲突、角色权限是否完整，并使用样例数据试算</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3BAC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数据源不可用或规则冲突时返回10修改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DFD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P-ZLTC-SCOS-JSC-001-20-001</w:t>
            </w:r>
          </w:p>
        </w:tc>
      </w:tr>
      <w:tr w14:paraId="68C0E5E0">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1DD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1F5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评审指标口径和预警级别</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5088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1B7B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输入：指标口径、试算结果、预警条件；</w:t>
            </w:r>
          </w:p>
          <w:p w14:paraId="6F1C7B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输出：业务评审意见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6A8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确认口径、数据来源、更新频率、健康度区间和预警级别符合业务管理要求</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1B8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存在歧义时返回10补充口径</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1D9E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P-ZLTC-SCOS-JSC-001-30-001</w:t>
            </w:r>
          </w:p>
        </w:tc>
      </w:tr>
      <w:tr w14:paraId="77DD0BDD">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858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6FD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判断规则是否确认</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7E7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9592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输入：业务评审意见；</w:t>
            </w:r>
          </w:p>
          <w:p w14:paraId="0B0E90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650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确认是否提交管理审批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D5F3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73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P-ZLTC-SCOS-JSC-001-40-001</w:t>
            </w:r>
          </w:p>
        </w:tc>
      </w:tr>
      <w:tr w14:paraId="120CA79E">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47D1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2D7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审批指标与预警规则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D7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FDE2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输入：经业务确认的配置；</w:t>
            </w:r>
          </w:p>
          <w:p w14:paraId="3DBCE4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0C5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审核指标用途、预警严重程度、信息可见范围和对管理决策的影响</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AFB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不通过时说明修改意见</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6DDA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P-ZLTC-SCOS-JSC-001-50-001</w:t>
            </w:r>
          </w:p>
        </w:tc>
      </w:tr>
      <w:tr w14:paraId="53D78C17">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3B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A178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EF9B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9A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63CE8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3B0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判断配置是否可发布</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449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N：返回50处理；Y：进入70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45C5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P-ZLTC-SCOS-JSC-001-60-001</w:t>
            </w:r>
          </w:p>
        </w:tc>
      </w:tr>
      <w:tr w14:paraId="38740DF3">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723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C7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发布指标口径、阈值与规则版本</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FE3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4E8F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输入：审批通过的配置；</w:t>
            </w:r>
          </w:p>
          <w:p w14:paraId="36A339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输出：已发布指标口径、健康度阈值和预警规则版本</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B3F6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发布并保留原版本、生效时间、变更原因、试算结果和审批轨迹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6A2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97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P-ZLTC-SCOS-JSC-001-70-001</w:t>
            </w:r>
          </w:p>
        </w:tc>
      </w:tr>
      <w:tr w14:paraId="1A2FE226">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C68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9F4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41D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12D6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输出：已生效指标与预警规则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978E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配置发布完成，用于态势监测和预警识别</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EAE8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DFD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DD70B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BF35624">
      <w:pPr>
        <w:pStyle w:val="6"/>
        <w:bidi w:val="0"/>
        <w:rPr>
          <w:rFonts w:hint="default"/>
          <w:b/>
          <w:bCs/>
          <w:lang w:val="en-US" w:eastAsia="zh-CN"/>
        </w:rPr>
      </w:pPr>
      <w:r>
        <w:rPr>
          <w:rFonts w:hint="default"/>
          <w:b/>
          <w:bCs/>
        </w:rPr>
        <w:t>角色视图与专题看板配置发布流程</w:t>
      </w:r>
    </w:p>
    <w:p w14:paraId="1C4E775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6" name="图片 36" descr="业务蓝图_角色视图与专题看板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业务蓝图_角色视图与专题看板配置发布流程"/>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253990" cy="1801495"/>
                    </a:xfrm>
                    <a:prstGeom prst="rect">
                      <a:avLst/>
                    </a:prstGeom>
                  </pic:spPr>
                </pic:pic>
              </a:graphicData>
            </a:graphic>
          </wp:inline>
        </w:drawing>
      </w:r>
    </w:p>
    <w:p w14:paraId="6D7B637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6FDC44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5932" w:type="pct"/>
        <w:tblInd w:w="-81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8"/>
        <w:gridCol w:w="1060"/>
        <w:gridCol w:w="962"/>
        <w:gridCol w:w="1282"/>
        <w:gridCol w:w="1820"/>
        <w:gridCol w:w="1957"/>
        <w:gridCol w:w="2197"/>
      </w:tblGrid>
      <w:tr w14:paraId="37A28A27">
        <w:trPr>
          <w:tblHeader/>
        </w:trPr>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073F5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2A89A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34BC6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DCC521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FF16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08C8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6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8FC979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A6CCDB">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0D1E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A262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6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CA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输入：新增或调整角色视图、专题看板需求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A4D5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角色职责、管理主题或展示范围变化时启动</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DA7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ADC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D36C68">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D53A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452A3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提出角色视图与专题展示需求</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C33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358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输入：岗位职责、管理主题、使用终端；</w:t>
            </w:r>
          </w:p>
          <w:p w14:paraId="016051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输出：视图需求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BB7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明确使用角色、关注指标、专题页签、常用筛选条件以及PC端和移动端核心内容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C256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需求与岗位职责不符时退回补充依据</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5B0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P-ZLTC-SCOS-JSC-002-10-001</w:t>
            </w:r>
          </w:p>
        </w:tc>
      </w:tr>
      <w:tr w14:paraId="702C4ABA">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ACB4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2E82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配置视图布局、指标与查看权限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6249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看板管理员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800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输入：视图需求、已发布指标、权限规则；</w:t>
            </w:r>
          </w:p>
          <w:p w14:paraId="458F54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输出：看板草稿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D64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从已发布指标中配置全局总览及产销、储运、环保、资金等专题视图，设置组件布局、默认筛选和数据可见范围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009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指标尚未发布时先转指标配置流程</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552D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P-ZLTC-SCOS-JSC-002-20-001</w:t>
            </w:r>
          </w:p>
        </w:tc>
      </w:tr>
      <w:tr w14:paraId="1679CCB7">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105C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3068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预览并校验多端展示效果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2D8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CAAF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输入：看板草稿；</w:t>
            </w:r>
          </w:p>
          <w:p w14:paraId="7D2C22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输出：预览结果和校验清单</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2F59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校验组件数据、布局、钻取链路、PC端和移动端核心视图，以及角色、组织、行列级权限</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46B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组件失效、移动端不可用或越权时返回20调整</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340B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P-ZLTC-SCOS-JSC-002-30-001</w:t>
            </w:r>
          </w:p>
        </w:tc>
      </w:tr>
      <w:tr w14:paraId="47CB94C1">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089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E6A7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判断业务视图是否确认</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CE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D083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输入：预览结果；</w:t>
            </w:r>
          </w:p>
          <w:p w14:paraId="601155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278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确认视图是否能够支撑本角色日常监控和决策</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1F5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BC5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P-ZLTC-SCOS-JSC-002-40-001</w:t>
            </w:r>
          </w:p>
        </w:tc>
      </w:tr>
      <w:tr w14:paraId="62198532">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0F07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FB3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审批展示范围与敏感数据权限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99F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745B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输入：已确认视图、权限清单；</w:t>
            </w:r>
          </w:p>
          <w:p w14:paraId="277805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9B38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审核成本、资金、供应商等敏感内容的角色与组织可见范围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E3A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不通过时说明调整意见</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4C76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P-ZLTC-SCOS-JSC-002-50-001</w:t>
            </w:r>
          </w:p>
        </w:tc>
      </w:tr>
      <w:tr w14:paraId="1A336F58">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52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192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B748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271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52C641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A19E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判断角色视图是否可发布</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2C4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N：返回50复核；Y：进入70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457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P-ZLTC-SCOS-JSC-002-60-001</w:t>
            </w:r>
          </w:p>
        </w:tc>
      </w:tr>
      <w:tr w14:paraId="6EEB7297">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E276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CC1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发布角色视图与专题看板版本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7E5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A004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输入：审批通过的看板配置；</w:t>
            </w:r>
          </w:p>
          <w:p w14:paraId="1AAF2B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输出：已发布视图版本</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987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按角色发布并记录版本、生效时间、适用组织和审批轨迹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E715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7A6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P-ZLTC-SCOS-JSC-002-70-001</w:t>
            </w:r>
          </w:p>
        </w:tc>
      </w:tr>
      <w:tr w14:paraId="79649AD0">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C447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B6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C26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314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输出：已生效角色视图与专题看板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E22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配置发布完成，用于全局态势监测</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AD5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C705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B012F51">
      <w:pPr>
        <w:keepNext w:val="0"/>
        <w:keepLines w:val="0"/>
        <w:widowControl/>
        <w:suppressLineNumbers w:val="0"/>
        <w:jc w:val="left"/>
      </w:pPr>
    </w:p>
    <w:p w14:paraId="2F15FCD3">
      <w:pPr>
        <w:pStyle w:val="6"/>
        <w:bidi w:val="0"/>
        <w:rPr>
          <w:b/>
          <w:bCs/>
        </w:rPr>
      </w:pPr>
      <w:r>
        <w:rPr>
          <w:rFonts w:hint="default"/>
          <w:b/>
          <w:bCs/>
        </w:rPr>
        <w:t>全局供应链态势监测流程</w:t>
      </w:r>
    </w:p>
    <w:p w14:paraId="0B5FC197">
      <w:pPr>
        <w:rPr>
          <w:rFonts w:hint="eastAsia" w:eastAsia="宋体"/>
          <w:lang w:eastAsia="zh-CN"/>
        </w:rPr>
      </w:pPr>
      <w:r>
        <w:rPr>
          <w:rFonts w:hint="eastAsia" w:eastAsia="宋体"/>
          <w:lang w:eastAsia="zh-CN"/>
        </w:rPr>
        <w:drawing>
          <wp:inline distT="0" distB="0" distL="114300" distR="114300">
            <wp:extent cx="5253990" cy="1801495"/>
            <wp:effectExtent l="0" t="0" r="3810" b="1905"/>
            <wp:docPr id="37" name="图片 37" descr="业务蓝图_全局供应链态势监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业务蓝图_全局供应链态势监测流程"/>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253990" cy="1801495"/>
                    </a:xfrm>
                    <a:prstGeom prst="rect">
                      <a:avLst/>
                    </a:prstGeom>
                  </pic:spPr>
                </pic:pic>
              </a:graphicData>
            </a:graphic>
          </wp:inline>
        </w:drawing>
      </w:r>
    </w:p>
    <w:tbl>
      <w:tblPr>
        <w:tblStyle w:val="31"/>
        <w:tblW w:w="5793" w:type="pct"/>
        <w:tblInd w:w="-7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8"/>
        <w:gridCol w:w="958"/>
        <w:gridCol w:w="1093"/>
        <w:gridCol w:w="1410"/>
        <w:gridCol w:w="2128"/>
        <w:gridCol w:w="1847"/>
        <w:gridCol w:w="1830"/>
      </w:tblGrid>
      <w:tr w14:paraId="02B1BC47">
        <w:trPr>
          <w:tblHeader/>
        </w:trPr>
        <w:tc>
          <w:tcPr>
            <w:tcW w:w="4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DFB7C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1EA580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24478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8F65B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0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2A137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91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FACBF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D6B66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36622C1D">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574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9D54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838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397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722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实时数据变化、业务模块结果发布或定时刷新任务触发</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220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A09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E805FE">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18983">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10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17A99">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提供全域数据与各模块运算结果</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97DC4">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统一数据服务层、实时数据平台、SAP、各业务模块</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37EC96">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lang w:val="en-US" w:eastAsia="zh-CN"/>
              </w:rPr>
            </w:pPr>
            <w:r>
              <w:rPr>
                <w:rFonts w:hint="eastAsia" w:asciiTheme="minorEastAsia" w:hAnsiTheme="minorEastAsia" w:eastAsiaTheme="minorEastAsia" w:cstheme="minorEastAsia"/>
                <w:szCs w:val="22"/>
                <w:lang w:val="en-US" w:eastAsia="zh-CN"/>
              </w:rPr>
              <w:t>输入：主数据、交易数据、实时态势、采购/库存/排程/成本/追溯结果；</w:t>
            </w:r>
          </w:p>
          <w:p w14:paraId="01FC1406">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输出：驾驶舱指标计算数据集</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25A50F">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按标准API或消息订阅提供数据。驾驶舱不直接连接业务数据库，不代替各模块计算专业业务结果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22D1BB">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数据延迟、缺失或状态冲突时标记数据时间与可信状态</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00F3E">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P-ZLTC-SCOS-JSC-003-10-001</w:t>
            </w:r>
          </w:p>
        </w:tc>
      </w:tr>
      <w:tr w14:paraId="4CEAF4E8">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5D7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231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计算核心KPI与专题视图指标</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0CF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E89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输入：指标计算数据集、已发布指标口径；</w:t>
            </w:r>
          </w:p>
          <w:p w14:paraId="5F23A6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输出：核心KPI和产销/储运/环保/资金专题指标</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F02C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自动计算今日产销达成率、成品库存周转天数、OTD、供应链总运营成本和现金循环周期及专题指标</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E86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指标所需关键数据不完整时该指标标记“数据异常”，不使用人工值替代</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A7A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P-ZLTC-SCOS-JSC-003-20-001</w:t>
            </w:r>
          </w:p>
        </w:tc>
      </w:tr>
      <w:tr w14:paraId="56FC81D4">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934D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A16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评估全局健康度</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F29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34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输入：已计算指标和已发布健康度阈值；</w:t>
            </w:r>
          </w:p>
          <w:p w14:paraId="4FA211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输出：各节点/指标红黄绿状态</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225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将指标与健康度阈值比较，形成供应商、工厂、仓库、运输、客户和各专题域的健康状态</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6A0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阈值版本失效时保留最后有效状态并提示管理员</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4090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P-ZLTC-SCOS-JSC-003-30-001</w:t>
            </w:r>
          </w:p>
        </w:tc>
      </w:tr>
      <w:tr w14:paraId="6410A612">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A65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672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判断数据是否完整可信</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A67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CA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输入：指标结果、数据质量和更新时间；</w:t>
            </w:r>
          </w:p>
          <w:p w14:paraId="683F4B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输出：可展示判断</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7B6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确认指标结果是否符合展示和决策使用条件</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53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N：显示明确占位、缓存时间和缺失原因；Y：进入50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CC69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P-ZLTC-SCOS-JSC-003-40-001</w:t>
            </w:r>
          </w:p>
        </w:tc>
      </w:tr>
      <w:tr w14:paraId="7F7E6112">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6DF9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72D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查看全局态势与专题视图</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02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68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输入：核心KPI、全局地图、红黄绿状态和专题视图；</w:t>
            </w:r>
          </w:p>
          <w:p w14:paraId="729EC8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输出：态势查看记录</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DF8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按角色查看全局总览及产销、储运、环保、资金专题视图，并查看库存预警、库存健康度、采购执行状态等跨模块结果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2300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无权查看的成本、资金等敏感数据不予展示</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40D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P-ZLTC-SCOS-JSC-003-50-001</w:t>
            </w:r>
          </w:p>
        </w:tc>
      </w:tr>
      <w:tr w14:paraId="0B583826">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003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0460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判断是否需要进一步分析</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CD0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管理层、运营管理人员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318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输入：全局态势和异常指标；</w:t>
            </w:r>
          </w:p>
          <w:p w14:paraId="624949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输出：处理选择</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EE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判断是否对异常KPI进行钻取、查看预警处置，或启动情景模拟</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25D9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N：继续态势监测；Y：转入相应分析流程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12A5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P-ZLTC-SCOS-JSC-003-60-001</w:t>
            </w:r>
          </w:p>
        </w:tc>
      </w:tr>
      <w:tr w14:paraId="63D85044">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B2E2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BAD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更新态势视图并输出态势报告</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92C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9D19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输入：当前有效态势数据；</w:t>
            </w:r>
          </w:p>
          <w:p w14:paraId="51B220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输出：最新态势视图和可导出报告</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F267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按刷新频率更新态势，支持按权限导出当前态势报告</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BF85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报告生成失败不影响实时监测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B163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P-ZLTC-SCOS-JSC-003-70-001</w:t>
            </w:r>
          </w:p>
        </w:tc>
      </w:tr>
      <w:tr w14:paraId="4E25EAC1">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7A0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D35D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3C2C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54E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输出：全局供应链态势</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FF6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态势持续更新，异常指标进入钻取或预警处置</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855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E36C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0CC0BCF">
      <w:pPr>
        <w:rPr>
          <w:rFonts w:hint="eastAsia" w:eastAsia="宋体"/>
          <w:lang w:eastAsia="zh-CN"/>
        </w:rPr>
      </w:pPr>
    </w:p>
    <w:p w14:paraId="5EA5B0A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A8ECD6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F6B0AC9">
      <w:pPr>
        <w:pStyle w:val="6"/>
        <w:bidi w:val="0"/>
        <w:rPr>
          <w:rFonts w:hint="default"/>
          <w:b/>
          <w:bCs/>
          <w:lang w:val="en-US" w:eastAsia="zh-CN"/>
        </w:rPr>
      </w:pPr>
      <w:r>
        <w:rPr>
          <w:rFonts w:hint="default"/>
          <w:b/>
          <w:bCs/>
        </w:rPr>
        <w:t>KPI异常钻取与根因分析流程</w:t>
      </w:r>
    </w:p>
    <w:p w14:paraId="32EA109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8" name="图片 38" descr="业务蓝图_KPI异常钻取与根因分析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业务蓝图_KPI异常钻取与根因分析流程"/>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253990" cy="1801495"/>
                    </a:xfrm>
                    <a:prstGeom prst="rect">
                      <a:avLst/>
                    </a:prstGeom>
                  </pic:spPr>
                </pic:pic>
              </a:graphicData>
            </a:graphic>
          </wp:inline>
        </w:drawing>
      </w:r>
    </w:p>
    <w:tbl>
      <w:tblPr>
        <w:tblStyle w:val="31"/>
        <w:tblW w:w="5891" w:type="pct"/>
        <w:tblInd w:w="-8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69"/>
        <w:gridCol w:w="958"/>
        <w:gridCol w:w="914"/>
        <w:gridCol w:w="1598"/>
        <w:gridCol w:w="2282"/>
        <w:gridCol w:w="2069"/>
        <w:gridCol w:w="1675"/>
      </w:tblGrid>
      <w:tr w14:paraId="10E8CC2A">
        <w:trPr>
          <w:tblHeader/>
        </w:trPr>
        <w:tc>
          <w:tcPr>
            <w:tcW w:w="3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0F3AC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88947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44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06E6E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7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77FD7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85CF65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7990A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8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7D9F26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2148D9EE">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2CA7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E55C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291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D964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输入：态势总览中的异常KPI、红黄节点或预警事件</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57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用户主动点击异常对象启动</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F85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EC7D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9DDD144">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749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B5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选择异常KPI或业务节点</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3AAF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2617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w:t>
            </w:r>
          </w:p>
          <w:p w14:paraId="0E3E3E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输出：钻取请求</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F1C4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选择需要分析的指标、组织、仓库、产线、订单、供应商或其他业务节点</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6C8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无权查看下层数据时停止钻取</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0B2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P-ZLTC-SCOS-JSC-004-10-001</w:t>
            </w:r>
          </w:p>
        </w:tc>
      </w:tr>
      <w:tr w14:paraId="0D46FC63">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D91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20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展开专题视图和影响范围</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EB4B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45F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输入：钻取请求；</w:t>
            </w:r>
          </w:p>
          <w:p w14:paraId="40CDCC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输出：专题趋势、对比和关联对象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281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展示异常指标的时间趋势、计划与实际差异、关联业务对象和受影响范围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34A3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专题数据不完整时显示可用范围和缺失项</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D121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P-ZLTC-SCOS-JSC-004-20-001</w:t>
            </w:r>
          </w:p>
        </w:tc>
      </w:tr>
      <w:tr w14:paraId="1B5EFA2B">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A673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2C47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钻取明细清单并关联源单据/工单</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F3E3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9A7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输入：专题视图和关联对象；</w:t>
            </w:r>
          </w:p>
          <w:p w14:paraId="522FD4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输出：明细清单、源单据/工单链接</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0FC3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按“KPI总览→专题视图→明细清单→源单据/工单”逐层钻取</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8FEF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源系统不可用时保留驾驶舱已获取的明细和数据时间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C8A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P-ZLTC-SCOS-JSC-004-30-001</w:t>
            </w:r>
          </w:p>
        </w:tc>
      </w:tr>
      <w:tr w14:paraId="5DCF1234">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D5C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22E6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判断是否可定位异常来源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D5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860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输入：明细数据、源单据及关联信息；</w:t>
            </w:r>
          </w:p>
          <w:p w14:paraId="4E2B8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输出：定位判断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9F1D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判断驾驶舱现有链路是否足以说明异常来源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7767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N：进入50调用专业模块；Y：进入60确认结论</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1F8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P-ZLTC-SCOS-JSC-004-40-001</w:t>
            </w:r>
          </w:p>
        </w:tc>
      </w:tr>
      <w:tr w14:paraId="1C6F2B7E">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FB6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439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调用相关模块进行根因分析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A5C2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采购、库存、生产排程、成本、追溯等模块</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B2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输入：异常对象和影响范围；</w:t>
            </w:r>
          </w:p>
          <w:p w14:paraId="38A9F3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输出：专业根因分析结果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F949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将异常对象与上下文交给相关模块。驾驶舱不重复实现供应商、库存、排程、成本或质量的专业分析逻辑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964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相关模块不可用时保留待分析状态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53B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P-ZLTC-SCOS-JSC-004-50-001</w:t>
            </w:r>
          </w:p>
        </w:tc>
      </w:tr>
      <w:tr w14:paraId="51659009">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3B4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E6A5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判断根因是否已确认</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9AC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A27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输入：驾驶舱钻取结果和专业模块分析结果；</w:t>
            </w:r>
          </w:p>
          <w:p w14:paraId="23C23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输出：根因确认结论</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F90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业务责任人核实根因、影响范围和后续处理方向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23AE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N：返回50补充分析；Y：进入70</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409F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P-ZLTC-SCOS-JSC-004-60-001</w:t>
            </w:r>
          </w:p>
        </w:tc>
      </w:tr>
      <w:tr w14:paraId="7FCDDA25">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37B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75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形成根因分析结论及处理建议</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778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B5D4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输入：已确认根因；</w:t>
            </w:r>
          </w:p>
          <w:p w14:paraId="50DBC4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输出：根因结论、影响范围和处理建议</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BB18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归集分析过程和结论，作为预警处置、业务调整或情景模拟的依据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CFAA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结论发布失败时保留待发布状态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49AD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P-ZLTC-SCOS-JSC-004-70-001</w:t>
            </w:r>
          </w:p>
        </w:tc>
      </w:tr>
      <w:tr w14:paraId="7851112D">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E468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301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4624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62B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输出：KPI异常根因分析记录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FD7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根因定位完成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45E6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未解决问题进入预警处置或业务调整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3565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70138E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A5B06D">
      <w:pPr>
        <w:pStyle w:val="6"/>
        <w:bidi w:val="0"/>
        <w:rPr>
          <w:rFonts w:hint="default"/>
          <w:b/>
          <w:bCs/>
          <w:lang w:val="en-US" w:eastAsia="zh-CN"/>
        </w:rPr>
      </w:pPr>
      <w:r>
        <w:rPr>
          <w:rFonts w:hint="default"/>
          <w:b/>
          <w:bCs/>
        </w:rPr>
        <w:t>预警事件接入与分级派发流程</w:t>
      </w:r>
    </w:p>
    <w:p w14:paraId="03E35DE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9" name="图片 39" descr="业务蓝图_预警事件接入与分级派发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业务蓝图_预警事件接入与分级派发流程"/>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5253990" cy="1801495"/>
                    </a:xfrm>
                    <a:prstGeom prst="rect">
                      <a:avLst/>
                    </a:prstGeom>
                  </pic:spPr>
                </pic:pic>
              </a:graphicData>
            </a:graphic>
          </wp:inline>
        </w:drawing>
      </w:r>
    </w:p>
    <w:tbl>
      <w:tblPr>
        <w:tblStyle w:val="31"/>
        <w:tblW w:w="5650" w:type="pct"/>
        <w:tblInd w:w="-6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4"/>
        <w:gridCol w:w="957"/>
        <w:gridCol w:w="1000"/>
        <w:gridCol w:w="1299"/>
        <w:gridCol w:w="2163"/>
        <w:gridCol w:w="1880"/>
        <w:gridCol w:w="1742"/>
      </w:tblGrid>
      <w:tr w14:paraId="268AE989">
        <w:trPr>
          <w:tblHeader/>
        </w:trPr>
        <w:tc>
          <w:tcPr>
            <w:tcW w:w="40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F30FC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C5D19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6FCBE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469D8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41084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73F47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02C3B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5DF59DF">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95E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E555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57FA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B210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输入：指标越界或业务模块预警事件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A35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指标越界，或采购、库存、排程、质量追溯等模块发布预警时触发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264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53A9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21D3D40">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5AF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ED8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提供预警事件或指标越界信息</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A3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数据平台、各业务模块</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FCF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输入：指标值、阈值、预警类型、业务对象和影响范围；</w:t>
            </w:r>
          </w:p>
          <w:p w14:paraId="4209DB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4BF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接收原料供应、供应商资质/风险、库存、订单、产线、运输、质量和能耗等事件</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811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事件字段不完整时进入待核实队列</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A44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P-ZLTC-SCOS-JSC-005-10-001</w:t>
            </w:r>
          </w:p>
        </w:tc>
      </w:tr>
      <w:tr w14:paraId="5D4CF2C8">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362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B0F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校验事件信息并聚合去重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A4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381B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输入：标准预警事件</w:t>
            </w:r>
          </w:p>
          <w:p w14:paraId="50E4A5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输出：有效事件清单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按业务对象、事件类型和时间窗口识别重复或关联事件，避免重复派发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FDA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无法识别业务对象时保留待核实状态</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46E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P-ZLTC-SCOS-JSC-005-20-001</w:t>
            </w:r>
          </w:p>
        </w:tc>
      </w:tr>
      <w:tr w14:paraId="4194AEAD">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AC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B8C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识别预警级别与影响范围</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560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8761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输入：有效事件、已发布预警规则；</w:t>
            </w:r>
          </w:p>
          <w:p w14:paraId="7BB4A8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输出：一/二级预警及影响范围</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EE5E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一级预警优先置顶并推送，二级预警按时间排序，同时关联受影响的供应商、库存、订单、产线等对象</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2E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规则无法匹配时标记“待分级”</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579C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P-ZLTC-SCOS-JSC-005-30-001</w:t>
            </w:r>
          </w:p>
        </w:tc>
      </w:tr>
      <w:tr w14:paraId="6CDB72D2">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B5DB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FA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匹配责任部门和处置责任人</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4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BED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输入：预警级别、影响对象、组织责任规则</w:t>
            </w:r>
          </w:p>
          <w:p w14:paraId="427EF3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输出：建议责任人和钻取链路</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F38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按业务域匹配处置责任，并提供进入采购、库存、排程、追溯等模块的链路</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EDB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无法自动匹配时转运营管理人员人工分派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5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P-ZLTC-SCOS-JSC-005-40-001</w:t>
            </w:r>
          </w:p>
        </w:tc>
      </w:tr>
      <w:tr w14:paraId="5DC82F2A">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1E25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70C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判断是否需要发起处置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04DE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7CB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输入：预警级别、影响范围和</w:t>
            </w:r>
          </w:p>
          <w:p w14:paraId="1163D9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议责任人；输出：处置判断</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E32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判断是否创建处置任务，或作为辅助提示持续观察</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03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N：持续监控并记录原因；Y：进入60</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D36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P-ZLTC-SCOS-JSC-005-50-001</w:t>
            </w:r>
          </w:p>
        </w:tc>
      </w:tr>
      <w:tr w14:paraId="3559F24F">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AD8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E9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确认责任人并派发处置任务</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B9E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00C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输入：预警上下文、建议责任人；输出：已派发处置任务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E1E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核实责任人、时限和处置要求后派发，重大事件按规则同步管理负责人</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00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责任人不接受时返回40重新分派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9E5A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P-ZLTC-SCOS-JSC-005-60-001</w:t>
            </w:r>
          </w:p>
        </w:tc>
      </w:tr>
      <w:tr w14:paraId="44F799FD">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E76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639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记录派发结果并进入跟踪队列</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EAD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2A1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输入：派发结果；</w:t>
            </w:r>
          </w:p>
          <w:p w14:paraId="7E1674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1A7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保存分级、影响、责任人、时限和派发轨迹，转入预警处置跟踪流程</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A6A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通知失败不丢失任务，并按规则重试</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CC6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P-ZLTC-SCOS-JSC-005-70-001</w:t>
            </w:r>
          </w:p>
        </w:tc>
      </w:tr>
      <w:tr w14:paraId="53DCB0BC">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EE4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B7C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C661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86EF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输出：待处置预警任务或持续监控记录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F47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预警接入、分级和派发完成</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C4DF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0CE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C843E7">
      <w:pPr>
        <w:pStyle w:val="6"/>
        <w:bidi w:val="0"/>
        <w:rPr>
          <w:b/>
          <w:bCs/>
        </w:rPr>
      </w:pPr>
      <w:r>
        <w:rPr>
          <w:rFonts w:hint="default"/>
          <w:b/>
          <w:bCs/>
        </w:rPr>
        <w:t>预警处置跟踪与闭环验证流程</w:t>
      </w:r>
    </w:p>
    <w:p w14:paraId="270B9787">
      <w:pPr>
        <w:rPr>
          <w:rFonts w:hint="eastAsia" w:eastAsia="宋体"/>
          <w:lang w:eastAsia="zh-CN"/>
        </w:rPr>
      </w:pPr>
      <w:r>
        <w:rPr>
          <w:rFonts w:hint="eastAsia" w:eastAsia="宋体"/>
          <w:lang w:eastAsia="zh-CN"/>
        </w:rPr>
        <w:drawing>
          <wp:inline distT="0" distB="0" distL="114300" distR="114300">
            <wp:extent cx="5253990" cy="1801495"/>
            <wp:effectExtent l="0" t="0" r="3810" b="1905"/>
            <wp:docPr id="40" name="图片 40" descr="业务蓝图_预警处置跟踪与闭环验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业务蓝图_预警处置跟踪与闭环验证流程"/>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5253990" cy="1801495"/>
                    </a:xfrm>
                    <a:prstGeom prst="rect">
                      <a:avLst/>
                    </a:prstGeom>
                  </pic:spPr>
                </pic:pic>
              </a:graphicData>
            </a:graphic>
          </wp:inline>
        </w:drawing>
      </w:r>
    </w:p>
    <w:tbl>
      <w:tblPr>
        <w:tblStyle w:val="31"/>
        <w:tblW w:w="5862" w:type="pct"/>
        <w:tblInd w:w="-9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61"/>
        <w:gridCol w:w="1128"/>
        <w:gridCol w:w="1145"/>
        <w:gridCol w:w="1462"/>
        <w:gridCol w:w="1991"/>
        <w:gridCol w:w="1675"/>
        <w:gridCol w:w="1752"/>
      </w:tblGrid>
      <w:tr w14:paraId="005CA740">
        <w:trPr>
          <w:tblHeader/>
        </w:trPr>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EE2F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4637E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D24F2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28C33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7942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E78D0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96DC6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C6F9A0E">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A99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793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DF8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2D35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输入：已派发预警处置任务</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DA2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责任人收到任务后启动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5F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D5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EA34D8">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F317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2EF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接收处置任务并确认影响与要求</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BD6B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9A33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输入：预警上下文、处置要求和时限；</w:t>
            </w:r>
          </w:p>
          <w:p w14:paraId="790DB3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输出：任务接收记录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452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核实异常对象、影响范围、处置要求和承诺完成时间</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A4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信息不足时退回运营管理人员补充</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0BF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P-ZLTC-SCOS-JSC-006-10-001</w:t>
            </w:r>
          </w:p>
        </w:tc>
      </w:tr>
      <w:tr w14:paraId="7AEC8A2E">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7EA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DC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执行业务处置并反馈进展结果</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66B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C14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输入：处置任务；</w:t>
            </w:r>
          </w:p>
          <w:p w14:paraId="088CD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输出：处置动作、进展、结果和证据</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7E3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在相关业务模块完成采购方案、库存/生产补充、排程、质量追溯等专业处置，并回写进度</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4C6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处置受阻时说明原因和所需协同资源</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7A9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P-ZLTC-SCOS-JSC-006-20-001</w:t>
            </w:r>
          </w:p>
        </w:tc>
      </w:tr>
      <w:tr w14:paraId="5913787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032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82B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跟踪处置进度与指标恢复情况</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FA8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4939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输入：处置进展、业务状态和最新指标</w:t>
            </w:r>
          </w:p>
          <w:p w14:paraId="36B259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输出：进度与恢复状态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95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持续比较处置时限、业务对象状态和指标恢复情况</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D687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数据延迟时明确标注最近更新时间</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84E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P-ZLTC-SCOS-JSC-006-30-001</w:t>
            </w:r>
          </w:p>
        </w:tc>
      </w:tr>
      <w:tr w14:paraId="02120524">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FAC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96A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判断是否超时或处置失败</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95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8E6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输入：任务时限、处置状态；</w:t>
            </w:r>
          </w:p>
          <w:p w14:paraId="78E57A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输出：升级判断</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3C75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识别超时、失败或影响扩大的任务</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0268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N：继续跟踪；Y：进入50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593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P-ZLTC-SCOS-JSC-006-40-001</w:t>
            </w:r>
          </w:p>
        </w:tc>
      </w:tr>
      <w:tr w14:paraId="2EF5931B">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20BE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AC44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升级提醒并协调处置资源</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3BC2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管理负责人、运营管理人员</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7A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输入：升级事件、受阻原因；</w:t>
            </w:r>
          </w:p>
          <w:p w14:paraId="0EE61F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输出：升级要求和协调意见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92D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按预警级别升级提醒，协调跨部门资源或调整处置责任</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9E2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无法协调时保持升级状态并持续提醒</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F39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P-ZLTC-SCOS-JSC-006-50-001</w:t>
            </w:r>
          </w:p>
        </w:tc>
      </w:tr>
      <w:tr w14:paraId="4878AD75">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3C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A5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判断风险是否验证关闭</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6ED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3F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输入：处置结果、业务状态、指标恢复情况；</w:t>
            </w:r>
          </w:p>
          <w:p w14:paraId="0430CE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输出：关闭验证结论</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0680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以异常原因已处理、影响可控且指标恢复为关闭标准，不以单纯完成任务代替风险关闭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01C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N：返回20继续处置；Y：进入70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A7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P-ZLTC-SCOS-JSC-006-60-001</w:t>
            </w:r>
          </w:p>
        </w:tc>
      </w:tr>
      <w:tr w14:paraId="30D33678">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A705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4E8D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关闭预警并记录完整轨迹</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875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2F6C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输入：关闭验证结论；</w:t>
            </w:r>
          </w:p>
          <w:p w14:paraId="53AF05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输出：已关闭预警和闭环记录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438F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保留事件、分级、派发、处置、升级、验证和关闭全过程</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881B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同类事件再次触发时创建新事件并关联历史记录</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5AD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P-ZLTC-SCOS-JSC-006-70-001</w:t>
            </w:r>
          </w:p>
        </w:tc>
      </w:tr>
      <w:tr w14:paraId="77CF3433">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F31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ADF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442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983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输出：预警处置闭环记录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A120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预警风险验证关闭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8F1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DBF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C7DFA73">
      <w:pPr>
        <w:pStyle w:val="6"/>
        <w:bidi w:val="0"/>
        <w:rPr>
          <w:b/>
          <w:bCs/>
        </w:rPr>
      </w:pPr>
      <w:r>
        <w:rPr>
          <w:rFonts w:hint="default"/>
          <w:b/>
          <w:bCs/>
        </w:rPr>
        <w:t>供应链情景模拟与影响评估流程</w:t>
      </w:r>
    </w:p>
    <w:p w14:paraId="2FB561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1" name="图片 41" descr="业务蓝图_供应链情景模拟与影响评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业务蓝图_供应链情景模拟与影响评估流程"/>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5253990" cy="1801495"/>
                    </a:xfrm>
                    <a:prstGeom prst="rect">
                      <a:avLst/>
                    </a:prstGeom>
                  </pic:spPr>
                </pic:pic>
              </a:graphicData>
            </a:graphic>
          </wp:inline>
        </w:drawing>
      </w:r>
    </w:p>
    <w:p w14:paraId="68EF09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6040" w:type="pct"/>
        <w:tblInd w:w="-9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3"/>
        <w:gridCol w:w="1094"/>
        <w:gridCol w:w="889"/>
        <w:gridCol w:w="1387"/>
        <w:gridCol w:w="2340"/>
        <w:gridCol w:w="2196"/>
        <w:gridCol w:w="1686"/>
      </w:tblGrid>
      <w:tr w14:paraId="408977C7">
        <w:trPr>
          <w:tblHeader/>
        </w:trPr>
        <w:tc>
          <w:tcPr>
            <w:tcW w:w="4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AB3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B3A46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23BCD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190995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1E40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89800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A4F670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FB109A7">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07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72CC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B56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DEC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输入：管理决策问题、预警事件或KPI异常</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2EA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管理人员主动发起假设分析，或从态势监测、异常分析和预警进入沙盘推演</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3F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FAA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4BA10C4">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8939D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0CE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选择模拟情景并设定假设参数</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91D5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744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输入：当前问题和可调参数；</w:t>
            </w:r>
          </w:p>
          <w:p w14:paraId="46F7F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输出：情景模拟任务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53BB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选择需求波动、供应风险、采购组合、成本或库存策略等情景，设置模拟范围和有业务含义的参数</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EAD3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参数超出可模拟边界时提示修改</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B2BC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P-ZLTC-SCOS-JSC-007-10-001</w:t>
            </w:r>
          </w:p>
        </w:tc>
      </w:tr>
      <w:tr w14:paraId="22E4CC92">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09F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E778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冻结当前基线并构建沙盘快照</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9C0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FAB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输入：情景任务、当前态势和正式业务方案</w:t>
            </w:r>
          </w:p>
          <w:p w14:paraId="191FA7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输出：基线方案、数据快照和参数集</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FD0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使用同一时点数据作为比较基线，将假设参数与正式业务数据隔离</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D2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基线不完整或过期时禁止正式比较</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7F19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P-ZLTC-SCOS-JSC-007-20-001</w:t>
            </w:r>
          </w:p>
        </w:tc>
      </w:tr>
      <w:tr w14:paraId="7EFB3E24">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DFB3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6D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调用相关业务模型计算</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BFAD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采购、库存、排程、成本等模型服务</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BD1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输入：基线快照和情景参数；</w:t>
            </w:r>
          </w:p>
          <w:p w14:paraId="2DF75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输出：情景计算结果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22EB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驾驶舱调用专业模型完成what-if计算，自身不复制优化求解逻辑</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313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模型不可用或计算失败时返回原因，不影响正式数据</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DC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P-ZLTC-SCOS-JSC-007-30-001</w:t>
            </w:r>
          </w:p>
        </w:tc>
      </w:tr>
      <w:tr w14:paraId="0B74FC2F">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A03B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63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判断模拟结果是否完整可比</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38F4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176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输入：模型状态和结果；</w:t>
            </w:r>
          </w:p>
          <w:p w14:paraId="5C569E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输出：可比性判断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E664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校验结果是否齐全，时间口径、指标单位和基线是否一致</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034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N：返回30重算或修正参数；Y：进入50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7F4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P-ZLTC-SCOS-JSC-007-40-001</w:t>
            </w:r>
          </w:p>
        </w:tc>
      </w:tr>
      <w:tr w14:paraId="10680A72">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D0C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C73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比较基线与情景并评估成本、服务与风险</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C23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F54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输入：基线和情景结果；</w:t>
            </w:r>
          </w:p>
          <w:p w14:paraId="1C26EB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输出：对比分析</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095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比较产能、库存、交付、采购与运营成本、服务水平和供应安全。采购情景覆盖价格上涨、供应商产能受限、延期或中断、集中度及采购组合；库存情景覆盖服务水平和生产补充周期变化</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D86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口径不一致时不强行形成综合结论</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10F9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P-ZLTC-SCOS-JSC-007-50-001</w:t>
            </w:r>
          </w:p>
        </w:tc>
      </w:tr>
      <w:tr w14:paraId="236ED927">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513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2B3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形成影响结论、风险提示与备选方案</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F433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9EE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输入：对比分析；</w:t>
            </w:r>
          </w:p>
          <w:p w14:paraId="4DCD9A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输出：影响结论、风险提示和备选方案</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6C56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归纳各方案的收益、代价、风险和适用条件，供管理决策使用</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9B89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关键评价维度缺失时标记结论限制</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B33D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P-ZLTC-SCOS-JSC-007-60-001</w:t>
            </w:r>
          </w:p>
        </w:tc>
      </w:tr>
      <w:tr w14:paraId="2257DBE1">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37C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EB4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审阅模拟结果</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5678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BF4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输入：影响结论和备选方案；</w:t>
            </w:r>
          </w:p>
          <w:p w14:paraId="525878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输出：审阅意见</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F1B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核实业务假设和结果合理性，决定结束分析、调整参数重算或进入方案采纳流程</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616B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需重算时返回10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464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P-ZLTC-SCOS-JSC-007-70-001</w:t>
            </w:r>
          </w:p>
        </w:tc>
      </w:tr>
      <w:tr w14:paraId="7E174B03">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54B7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5DC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C7C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5F3B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输出：情景模拟与影响评估记录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212A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模拟评估完成，不修改正式业务数据</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1054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2CB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689DE9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22478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BD8B53E">
      <w:pPr>
        <w:pStyle w:val="6"/>
        <w:bidi w:val="0"/>
        <w:rPr>
          <w:rFonts w:hint="default"/>
          <w:b/>
          <w:bCs/>
          <w:lang w:val="en-US" w:eastAsia="zh-CN"/>
        </w:rPr>
      </w:pPr>
      <w:r>
        <w:rPr>
          <w:rFonts w:hint="default"/>
          <w:b/>
          <w:bCs/>
        </w:rPr>
        <w:t>模拟方案采纳与业务协同流程</w:t>
      </w:r>
    </w:p>
    <w:p w14:paraId="6B50404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2" name="图片 42" descr="业务蓝图_模拟方案采纳与业务协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业务蓝图_模拟方案采纳与业务协同流程"/>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5253990" cy="1801495"/>
                    </a:xfrm>
                    <a:prstGeom prst="rect">
                      <a:avLst/>
                    </a:prstGeom>
                  </pic:spPr>
                </pic:pic>
              </a:graphicData>
            </a:graphic>
          </wp:inline>
        </w:drawing>
      </w:r>
    </w:p>
    <w:tbl>
      <w:tblPr>
        <w:tblStyle w:val="31"/>
        <w:tblW w:w="5929" w:type="pct"/>
        <w:tblInd w:w="-7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01"/>
        <w:gridCol w:w="1085"/>
        <w:gridCol w:w="975"/>
        <w:gridCol w:w="1513"/>
        <w:gridCol w:w="1829"/>
        <w:gridCol w:w="2055"/>
        <w:gridCol w:w="1873"/>
      </w:tblGrid>
      <w:tr w14:paraId="3F4E4884">
        <w:trPr>
          <w:tblHeader/>
        </w:trPr>
        <w:tc>
          <w:tcPr>
            <w:tcW w:w="4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E1E0B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693855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9DB46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B56A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450D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095AE8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B3633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1507C28">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683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2A5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E5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DE2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输入：已审阅的情景模拟结果和备选方案</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45CC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决策管理人员需要判断是否把模拟建议转入正式业务调整时启动</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9C0F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E88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BE5E9A7">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C55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286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比较备选方案并权衡成本、服务与风险</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4D0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59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输入：各情景影响结论；</w:t>
            </w:r>
          </w:p>
          <w:p w14:paraId="31333A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输出：方案选择意见</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4062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综合成本、交付、服务水平、供应安全及实施影响选择候选方案</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BDB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无可接受方案时结束并保存分析记录</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E10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P-ZLTC-SCOS-JSC-008-10-001</w:t>
            </w:r>
          </w:p>
        </w:tc>
      </w:tr>
      <w:tr w14:paraId="6C425679">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34E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46A5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判断是否采纳模拟建议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5B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7C9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输入：方案选择意见；</w:t>
            </w:r>
          </w:p>
          <w:p w14:paraId="7A4526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输出：采纳结论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5C8D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采纳属于管理决策，不由模型或驾驶舱自动完成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542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N：保存模拟记录；Y：进入30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850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P-ZLTC-SCOS-JSC-008-20-001</w:t>
            </w:r>
          </w:p>
        </w:tc>
      </w:tr>
      <w:tr w14:paraId="7492B36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7E7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CDE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记录决策结论及采纳依据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598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F10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输入：采纳结论；</w:t>
            </w:r>
          </w:p>
          <w:p w14:paraId="693CB0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AA2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保存采纳方案、决策依据、适用范围、决策人和时间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539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记录失败时不发起后续业务调整</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6FE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P-ZLTC-SCOS-JSC-008-30-001</w:t>
            </w:r>
          </w:p>
        </w:tc>
      </w:tr>
      <w:tr w14:paraId="0DE63C83">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1877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C5B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确认调整范围与承接责任</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DE36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采购、库存、生产排程、成本等模块责任人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A66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输入：已采纳建议；</w:t>
            </w:r>
          </w:p>
          <w:p w14:paraId="1838A8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输出：调整事项、责任人和承接模块</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5D4E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将建议拆分为相关业务模块可以承接的调整事项，明确边界和责任</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521D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涉及范围不清时返回决策管理人员补充</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32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P-ZLTC-SCOS-JSC-008-40-001</w:t>
            </w:r>
          </w:p>
        </w:tc>
      </w:tr>
      <w:tr w14:paraId="7706B8B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BDF6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D17E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发起正式业务方案调整流程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5DD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相关业务模块</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1B6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输入：调整事项；</w:t>
            </w:r>
          </w:p>
          <w:p w14:paraId="61250A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输出：采购方案、库存策略、生产排程或其他调整任务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5F7D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由相关模块按自身评审、确认和审批流程形成正式方案；驾驶舱不直接覆盖正式业务数据</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BBD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原正式方案在新方案生效前继续有效</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A91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P-ZLTC-SCOS-JSC-008-50-001</w:t>
            </w:r>
          </w:p>
        </w:tc>
      </w:tr>
      <w:tr w14:paraId="77A189B5">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A7DB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6E0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判断调整任务是否受理</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13D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01B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输入：业务调整任务；</w:t>
            </w:r>
          </w:p>
          <w:p w14:paraId="159DC0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输出：受理结论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956A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确认相关模块是否接受调整任务及计划完成时间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A73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N：反馈原因并协商调整；Y：进入70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F983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P-ZLTC-SCOS-JSC-008-60-001</w:t>
            </w:r>
          </w:p>
        </w:tc>
      </w:tr>
      <w:tr w14:paraId="1D75200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3C22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690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回写协同状态并持续跟踪结果</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0F5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6920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输入：受理状态、业务调整进展和结果；</w:t>
            </w:r>
          </w:p>
          <w:p w14:paraId="3842F8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输出：协同跟踪记录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0C5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跟踪正式调整流程状态，执行结果重新进入全局态势监测</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2475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业务调整失败时保留原正式方案并回写原因</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D204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P-ZLTC-SCOS-JSC-008-70-001</w:t>
            </w:r>
          </w:p>
        </w:tc>
      </w:tr>
      <w:tr w14:paraId="15CD3941">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F7BC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DF2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F8A0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7AE2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输出：决策记录和业务协同任务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D99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模拟方案采纳与业务协同完成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BCE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E7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9047BB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E6283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8C10CA4">
      <w:pPr>
        <w:pStyle w:val="4"/>
        <w:bidi w:val="0"/>
        <w:rPr>
          <w:rFonts w:hint="eastAsia" w:ascii="黑体" w:hAnsi="黑体" w:eastAsia="黑体" w:cs="黑体"/>
          <w:b/>
          <w:bCs w:val="0"/>
          <w:lang w:val="en-US" w:eastAsia="zh-CN"/>
        </w:rPr>
      </w:pPr>
      <w:bookmarkStart w:id="15" w:name="_Toc106246547"/>
      <w:r>
        <w:rPr>
          <w:rFonts w:hint="eastAsia" w:ascii="黑体" w:hAnsi="黑体" w:eastAsia="黑体" w:cs="黑体"/>
          <w:b/>
          <w:bCs w:val="0"/>
          <w:lang w:val="en-US" w:eastAsia="zh-CN"/>
        </w:rPr>
        <w:t>成本分摊</w:t>
      </w:r>
      <w:bookmarkEnd w:id="15"/>
    </w:p>
    <w:p w14:paraId="1D5E2376">
      <w:pPr>
        <w:pStyle w:val="6"/>
        <w:bidi w:val="0"/>
        <w:rPr>
          <w:rFonts w:hint="default"/>
          <w:b/>
          <w:bCs w:val="0"/>
          <w:lang w:val="en-US" w:eastAsia="zh-CN"/>
        </w:rPr>
      </w:pPr>
      <w:r>
        <w:rPr>
          <w:rFonts w:hint="default"/>
          <w:b/>
          <w:bCs w:val="0"/>
          <w:lang w:val="en-US" w:eastAsia="zh-CN"/>
        </w:rPr>
        <w:t>批次划分和生成流程</w:t>
      </w:r>
    </w:p>
    <w:p w14:paraId="6CE31321">
      <w:pPr>
        <w:rPr>
          <w:rFonts w:hint="default"/>
          <w:lang w:val="en-US" w:eastAsia="zh-CN"/>
        </w:rPr>
      </w:pPr>
      <w:r>
        <w:rPr>
          <w:rFonts w:hint="default"/>
          <w:lang w:val="en-US" w:eastAsia="zh-CN"/>
        </w:rPr>
        <w:drawing>
          <wp:inline distT="0" distB="0" distL="114300" distR="114300">
            <wp:extent cx="5264150" cy="1226820"/>
            <wp:effectExtent l="0" t="0" r="19050" b="17780"/>
            <wp:docPr id="55" name="图片 55" descr="业务蓝图_批次划分和生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业务蓝图_批次划分和生成流程_优化"/>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5264150" cy="1226820"/>
                    </a:xfrm>
                    <a:prstGeom prst="rect">
                      <a:avLst/>
                    </a:prstGeom>
                  </pic:spPr>
                </pic:pic>
              </a:graphicData>
            </a:graphic>
          </wp:inline>
        </w:drawing>
      </w:r>
    </w:p>
    <w:tbl>
      <w:tblPr>
        <w:tblStyle w:val="31"/>
        <w:tblW w:w="5963" w:type="pct"/>
        <w:tblInd w:w="-84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0"/>
        <w:gridCol w:w="1003"/>
        <w:gridCol w:w="1120"/>
        <w:gridCol w:w="2196"/>
        <w:gridCol w:w="2444"/>
        <w:gridCol w:w="1326"/>
        <w:gridCol w:w="1501"/>
      </w:tblGrid>
      <w:tr w14:paraId="04EDA2A3">
        <w:trPr>
          <w:tblHeader/>
        </w:trPr>
        <w:tc>
          <w:tcPr>
            <w:tcW w:w="3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683953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EE2AE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AC4B7B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105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0E5C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A7A46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ADE545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E58E5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539460D">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033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F424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77DB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3552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输入：月末成本追溯任务</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3417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每月月末由SCOS启动当月生产批次生成</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0EF5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A352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6791C01">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D33B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A8F1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提供生产执行和主数据</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986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757B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输入：SCOS月度取数请求；</w:t>
            </w:r>
          </w:p>
          <w:p w14:paraId="07C36C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输出：工单、收发存、投料、设备、阀门、计量、质检、发运、路线和批次规则</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A2F0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数据中台按工厂、自然月和截止时间提供标准数据，携带来源时间、单位、质量码和数据版本</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EA42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缺失字段、计量复位或来源冲突随数据质量标识返回，不按零处理</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3200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P-ZLTC-SCOS-FYCB-001-10-001</w:t>
            </w:r>
          </w:p>
        </w:tc>
      </w:tr>
      <w:tr w14:paraId="734621EB">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CB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15F9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标准化并锁定月度取数快照</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19DD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7AA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输入：生产执行和主数据；</w:t>
            </w:r>
          </w:p>
          <w:p w14:paraId="08DFA1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输出：月度取数快照</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243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SCOS统一时区、单位、事件序号和主数据版本，校验重复事件后锁定本轮计算快照</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3D2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迟到或更正数据形成后续调整版本，不覆盖本轮快照</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BC3E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P-ZLTC-SCOS-FYCB-001-20-001</w:t>
            </w:r>
          </w:p>
        </w:tc>
      </w:tr>
      <w:tr w14:paraId="19908573">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C36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EE4D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识别路线节点和批次对象类型</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AA4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B048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输入：月度快照、有效路由和批次规则；</w:t>
            </w:r>
          </w:p>
          <w:p w14:paraId="79DB40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输出：节点级批次对象清单</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8315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SCOS按有效路线识别外部来源批、物流批、连续窗口批、设备周期批、工单活动批、实体罐批、库存批和发运批</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CF49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短路线不补建不存在的层级；共享设备按路线和物料隔离</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A62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P-ZLTC-SCOS-FYCB-001-30-001</w:t>
            </w:r>
          </w:p>
        </w:tc>
      </w:tr>
      <w:tr w14:paraId="5F3B1E59">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C9B1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8125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计算批次边界和投入产出量</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0195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0215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输入：批次对象、边界事件和两端计量；</w:t>
            </w:r>
          </w:p>
          <w:p w14:paraId="0310D5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输出：候选批次边界、投入量、产出量和合格量</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72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连续段按切换、停机和动态到达时间划窗；罐批按进料、满罐、处理和出空闭环；入口与出口质量独立计算</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EFB5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停流不累计；估算边界和数量时记录方法、参数与可信度</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C615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P-ZLTC-SCOS-FYCB-001-40-001</w:t>
            </w:r>
          </w:p>
        </w:tc>
      </w:tr>
      <w:tr w14:paraId="489D2F32">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9637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C2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判断批次完整性和一致性</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EA8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8E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输入：候选批次、路线、设备、计量和质量状态；</w:t>
            </w:r>
          </w:p>
          <w:p w14:paraId="1FAD1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输出：完整性检查结果</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7EA6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SCOS检查编码唯一性、时间连续性、设备占用、容量、数量平衡、QC状态和期初在制衔接</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F1D7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N：进入60补充事实；Y：进入70生成结果</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5141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P-ZLTC-SCOS-FYCB-001-50-001</w:t>
            </w:r>
          </w:p>
        </w:tc>
      </w:tr>
      <w:tr w14:paraId="582E406E">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0273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6EF4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补充异常批次业务事实</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15E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913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输入：断档、重叠、低可信度或边界异常；</w:t>
            </w:r>
          </w:p>
          <w:p w14:paraId="24E626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输出：停机、旁路、清洗、切换、罐底或返工注入说明</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8AF5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生产负责人在SCOS查看证据并补充实际业务事实，确认可重算范围或保留待确认状态</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63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无可靠依据的批次保持待确认，不进入正式参考结果</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B20E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P-ZLTC-SCOS-FYCB-001-60-001</w:t>
            </w:r>
          </w:p>
        </w:tc>
      </w:tr>
      <w:tr w14:paraId="57FC73BA">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EEE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5F84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生成当月生产批次结果</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6A31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5DEFD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输入：通过校验或已补充说明的候选批次；</w:t>
            </w:r>
          </w:p>
          <w:p w14:paraId="5F0AE1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输出：当月生产批次结果</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8280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SCOS汇总批次编码、类型、边界、数量、状态、规则版本、证据和可信度，形成可供谱系关联的结果版本</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B981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低可信度但允许保留的批次单独标识，不与已确认批次混淆</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A2AB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P-ZLTC-SCOS-FYCB-001-70-001</w:t>
            </w:r>
          </w:p>
        </w:tc>
      </w:tr>
      <w:tr w14:paraId="354E84E8">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841E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E8A5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持久化当月批次主数据</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A29D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61FB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输入：SCOS生成的当月生产批次结果；</w:t>
            </w:r>
          </w:p>
          <w:p w14:paraId="539BA0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输出：当月批次主数据版本</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4E8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数据中台保存批次结果及版本关系，提供给谱系关联和成本追溯使用</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78A7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更正时新增替代版本并保留旧版本引用</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26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P-ZLTC-SCOS-FYCB-001-80-001</w:t>
            </w:r>
          </w:p>
        </w:tc>
      </w:tr>
      <w:tr w14:paraId="52FB6E84">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0FEF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45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495E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162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输出：已持久化的当月全量生产批次</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7E1E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批次生成流程完成</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7783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BCB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9B1E3F3">
      <w:pPr>
        <w:rPr>
          <w:rFonts w:hint="default"/>
          <w:lang w:val="en-US" w:eastAsia="zh-CN"/>
        </w:rPr>
      </w:pPr>
    </w:p>
    <w:p w14:paraId="194BEBDB">
      <w:pPr>
        <w:pStyle w:val="6"/>
        <w:bidi w:val="0"/>
        <w:rPr>
          <w:rFonts w:hint="default"/>
          <w:b/>
          <w:bCs/>
          <w:lang w:val="en-US" w:eastAsia="zh-CN"/>
        </w:rPr>
      </w:pPr>
      <w:r>
        <w:rPr>
          <w:rFonts w:hint="default"/>
          <w:b/>
          <w:bCs/>
          <w:lang w:val="en-US" w:eastAsia="zh-CN"/>
        </w:rPr>
        <w:t>上下游批次关联流程</w:t>
      </w:r>
    </w:p>
    <w:p w14:paraId="1B57107B">
      <w:pPr>
        <w:rPr>
          <w:rFonts w:hint="default"/>
          <w:lang w:val="en-US" w:eastAsia="zh-CN"/>
        </w:rPr>
      </w:pPr>
      <w:r>
        <w:rPr>
          <w:rFonts w:hint="default"/>
          <w:lang w:val="en-US" w:eastAsia="zh-CN"/>
        </w:rPr>
        <w:drawing>
          <wp:inline distT="0" distB="0" distL="114300" distR="114300">
            <wp:extent cx="5270500" cy="1108710"/>
            <wp:effectExtent l="0" t="0" r="12700" b="8890"/>
            <wp:docPr id="56" name="图片 56" descr="业务蓝图_上下游批次关联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业务蓝图_上下游批次关联流程_优化"/>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5270500" cy="1108710"/>
                    </a:xfrm>
                    <a:prstGeom prst="rect">
                      <a:avLst/>
                    </a:prstGeom>
                  </pic:spPr>
                </pic:pic>
              </a:graphicData>
            </a:graphic>
          </wp:inline>
        </w:drawing>
      </w:r>
    </w:p>
    <w:tbl>
      <w:tblPr>
        <w:tblStyle w:val="31"/>
        <w:tblW w:w="5948" w:type="pct"/>
        <w:tblInd w:w="-9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5"/>
        <w:gridCol w:w="1070"/>
        <w:gridCol w:w="1120"/>
        <w:gridCol w:w="1751"/>
        <w:gridCol w:w="2089"/>
        <w:gridCol w:w="1865"/>
        <w:gridCol w:w="1654"/>
      </w:tblGrid>
      <w:tr w14:paraId="43B1B318">
        <w:trPr>
          <w:tblHeader/>
        </w:trPr>
        <w:tc>
          <w:tcPr>
            <w:tcW w:w="39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D4998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3262BD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5E3FF5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DC4493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57788E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C3F6D4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9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F8F55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BF563F8">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1EA7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34D8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53EA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F22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输入：当月批次主数据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EB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批次生成完成后由SCOS启动当月谱系关联</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A05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E4F0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3F5B98">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ACD5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35A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提供路由和关联证据</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F6E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4BDC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输入：SCOS关联取数请求；</w:t>
            </w:r>
          </w:p>
          <w:p w14:paraId="0ED444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输出：有效路由、阀门、转罐、物流、称重、计量和QC数据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F32F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数据中台按与批次生成一致的时间、单位和版本口径提供关联证据</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9FB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时钟漂移、计量复位和数据缺口随质量标识返回</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9922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P-ZLTC-SCOS-FYCB-002-10-001</w:t>
            </w:r>
          </w:p>
        </w:tc>
      </w:tr>
      <w:tr w14:paraId="2C5515A7">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7533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5B4A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加载有效路由并统一事件口径</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32D4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ABDB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输入：批次主数据和关联证据；</w:t>
            </w:r>
          </w:p>
          <w:p w14:paraId="655A89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输出：事件时点有效路由及标准化事件</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726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SCOS按事件时间加载路由版本，统一时区、单位和事件顺序，排除重复或失效事件</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C5B5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跨版本事件不直接相连，先标记异常</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67AA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P-ZLTC-SCOS-FYCB-002-20-001</w:t>
            </w:r>
          </w:p>
        </w:tc>
      </w:tr>
      <w:tr w14:paraId="1F6D559E">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6BCF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B2B2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计算上游物料动态到达区间</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9645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AF54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输入：上游边界、路径有效容积和实际流量；</w:t>
            </w:r>
          </w:p>
          <w:p w14:paraId="1A948B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输出：各路由边到达区间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59E8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连续段采用实际流量积分传递边界；物流、罐式和设备周期节点采用实际收发及进出料事件</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ABA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固定时长仅作已维护的降级估算并降低可信度</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844D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P-ZLTC-SCOS-FYCB-002-30-001</w:t>
            </w:r>
          </w:p>
        </w:tc>
      </w:tr>
      <w:tr w14:paraId="30CEFC57">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F2E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D113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筛选路线连通的候选关系</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21A7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4DD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输入：到达区间、下游接收区间、物料、设备和阀门状态；</w:t>
            </w:r>
          </w:p>
          <w:p w14:paraId="48F384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输出：候选上下游关系</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26F1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仅保留有效路由、物料兼容、设备占用和时间重叠同时成立的关系</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1722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时间重叠仅筛选候选，不直接代表数量归属</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7229B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P-ZLTC-SCOS-FYCB-002-40-001</w:t>
            </w:r>
          </w:p>
        </w:tc>
      </w:tr>
      <w:tr w14:paraId="2A5D7995">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7637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7E1F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计算关系数量占比和转化率</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3E0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A9E8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输入：独立质量计量、罐差、称重和业务单据；</w:t>
            </w:r>
          </w:p>
          <w:p w14:paraId="1015AC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输出：转出量、接收量、去向占比、来源占比和转化率</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1AC1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优先按支路和接收点实测质量定量；只有总量时按同期实测流量积分占比分配</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C3A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不以标准配方或固定收率改写实际谱系</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07D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P-ZLTC-SCOS-FYCB-002-50-001</w:t>
            </w:r>
          </w:p>
        </w:tc>
      </w:tr>
      <w:tr w14:paraId="67AED891">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D3A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434F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判断谱系关系是否可追溯</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E802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903F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输入：定量关系；</w:t>
            </w:r>
          </w:p>
          <w:p w14:paraId="6BB149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输出：路线、重量、容量、顺序、配方、QC和返工校验结果</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9AA1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SCOS校验分流与汇流合计、共享设备占用、QC放行、返工来源及成品罐禁止返流规则</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B4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N：进入70补充事实；Y：进入80生成结果</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FEA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P-ZLTC-SCOS-FYCB-002-60-001</w:t>
            </w:r>
          </w:p>
        </w:tc>
      </w:tr>
      <w:tr w14:paraId="3EEED73B">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E75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9E4D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补充异常关系业务事实</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089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7B3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输入：断档、不守恒、非法路线或低可信度关系；</w:t>
            </w:r>
          </w:p>
          <w:p w14:paraId="5922FF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输出：旁路、停机、切换、返工和实际操作说明</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E273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生产负责人在SCOS核对异常关系并补充现场事实，供SCOS重新定量</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2D08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无可靠依据的关系保持候选状态</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5885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P-ZLTC-SCOS-FYCB-002-70-001</w:t>
            </w:r>
          </w:p>
        </w:tc>
      </w:tr>
      <w:tr w14:paraId="51F1ABF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B4F9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482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生成当月批次谱系结果</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8FD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1A8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输入：通过校验或已补充说明的关系；</w:t>
            </w:r>
          </w:p>
          <w:p w14:paraId="015D6B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输出：当月批次谱系结果</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D7FC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SCOS形成上下游批次、数量、占比、转化率、方法、证据、可信度和状态完整的双向谱系</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30B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候选、确认和低可信度关系分状态输出</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6D0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P-ZLTC-SCOS-FYCB-002-80-001</w:t>
            </w:r>
          </w:p>
        </w:tc>
      </w:tr>
      <w:tr w14:paraId="685B829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E3F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B23B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持久化当月批次谱系</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C967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FCE1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输入：SCOS生成的批次谱系结果；</w:t>
            </w:r>
          </w:p>
          <w:p w14:paraId="59786C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输出：月度批次谱系版本</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8A3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数据中台保存关系结果和受影响后代索引，支持成本计算与双向追溯</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CF4D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迟到或更正数据形成替代版本，不覆盖历史</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B65C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P-ZLTC-SCOS-FYCB-002-90-001</w:t>
            </w:r>
          </w:p>
        </w:tc>
      </w:tr>
      <w:tr w14:paraId="3D2CBA1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9B3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0597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17C9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9578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输出：已持久化的当月批次谱系</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9629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上下游批次关联完成</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08E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66FE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902EF08">
      <w:pPr>
        <w:rPr>
          <w:rFonts w:hint="default"/>
          <w:lang w:val="en-US" w:eastAsia="zh-CN"/>
        </w:rPr>
      </w:pPr>
    </w:p>
    <w:p w14:paraId="656FE7AE">
      <w:pPr>
        <w:pStyle w:val="6"/>
        <w:bidi w:val="0"/>
        <w:rPr>
          <w:rFonts w:hint="default"/>
          <w:b/>
          <w:bCs/>
          <w:lang w:val="en-US" w:eastAsia="zh-CN"/>
        </w:rPr>
      </w:pPr>
      <w:r>
        <w:rPr>
          <w:rFonts w:hint="default"/>
          <w:b/>
          <w:bCs/>
          <w:lang w:val="en-US" w:eastAsia="zh-CN"/>
        </w:rPr>
        <w:t>批次上可直接计算成本归集流程</w:t>
      </w:r>
    </w:p>
    <w:p w14:paraId="172A2A44">
      <w:pPr>
        <w:rPr>
          <w:rFonts w:hint="default"/>
          <w:lang w:val="en-US" w:eastAsia="zh-CN"/>
        </w:rPr>
      </w:pPr>
      <w:r>
        <w:rPr>
          <w:rFonts w:hint="default"/>
          <w:lang w:val="en-US" w:eastAsia="zh-CN"/>
        </w:rPr>
        <w:drawing>
          <wp:inline distT="0" distB="0" distL="114300" distR="114300">
            <wp:extent cx="5264150" cy="1226820"/>
            <wp:effectExtent l="0" t="0" r="19050" b="17780"/>
            <wp:docPr id="57" name="图片 57" descr="业务蓝图_批次上可直接计算成本归集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业务蓝图_批次上可直接计算成本归集流程_优化"/>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5264150" cy="1226820"/>
                    </a:xfrm>
                    <a:prstGeom prst="rect">
                      <a:avLst/>
                    </a:prstGeom>
                  </pic:spPr>
                </pic:pic>
              </a:graphicData>
            </a:graphic>
          </wp:inline>
        </w:drawing>
      </w:r>
    </w:p>
    <w:tbl>
      <w:tblPr>
        <w:tblStyle w:val="31"/>
        <w:tblW w:w="6151" w:type="pct"/>
        <w:tblInd w:w="-9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6"/>
        <w:gridCol w:w="1129"/>
        <w:gridCol w:w="1094"/>
        <w:gridCol w:w="1671"/>
        <w:gridCol w:w="2098"/>
        <w:gridCol w:w="1786"/>
        <w:gridCol w:w="2115"/>
      </w:tblGrid>
      <w:tr w14:paraId="6F3F4C2B">
        <w:trPr>
          <w:tblHeader/>
        </w:trPr>
        <w:tc>
          <w:tcPr>
            <w:tcW w:w="3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650569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C7D2E1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87843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00A70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52EB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3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824D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ECB43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1CEA3F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BB2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F9A6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D582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8C3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输入：当月批次谱系</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E5E6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谱系可用后由SCOS启动直接成本归集。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DED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64D7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FDBEBCA">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642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F7DC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提供当月成本事实数据</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6090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F14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输入：SCOS成本取数请求；</w:t>
            </w:r>
          </w:p>
          <w:p w14:paraId="21F58C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输出：采购、领料、能源、维修、检验、包装和运输成本事实</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D8F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数据中台提供来源业务键、发生时间、数量、单价、金额、税额和暂估或实际标识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BE9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缺失、重复或期间外记录携带数据质量标识</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B679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P-ZLTC-SCOS-FYCB-003-10-001</w:t>
            </w:r>
          </w:p>
        </w:tc>
      </w:tr>
      <w:tr w14:paraId="2534CA10">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A73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C3E8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标准化并去重成本事实</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4FD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667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输入：成本事实；</w:t>
            </w:r>
          </w:p>
          <w:p w14:paraId="5F132B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输出：标准化且唯一的成本记录</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E3DC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SCOS统一期间、币种、税口径、数量单位和成本要素，以来源系统、凭证、行号和业务对象建立唯一键</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02B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重复记录拒绝进入后续计算；暂估与实际保留关联</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488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P-ZLTC-SCOS-FYCB-003-20-001</w:t>
            </w:r>
          </w:p>
        </w:tc>
      </w:tr>
      <w:tr w14:paraId="6BBD9FDE">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F71F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204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识别直接计批与待分摊费用</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B5B3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1B4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输入：标准成本记录、批次谱系和成本BOM；</w:t>
            </w:r>
          </w:p>
          <w:p w14:paraId="5A97C9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输出：可直接计批记录和候选费用池记录</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C8F7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SCOS检查产线节点定位、明确批次集合、数量金额完整性和费用池去重条件</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092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不能可靠定位的成本进入候选费用池，不强行平均</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D07F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P-ZLTC-SCOS-FYCB-003-30-001</w:t>
            </w:r>
          </w:p>
        </w:tc>
      </w:tr>
      <w:tr w14:paraId="4EFBB8C3">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F6A3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38AD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计算批次直接成本</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46AB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2B7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输入：领料、实测消耗、设备活动、样品、装载量或吨公里；</w:t>
            </w:r>
          </w:p>
          <w:p w14:paraId="338FE4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输出：批次直接成本明细</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BE3B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SCOS按实际业务数量拆分金额，计入成本实际发生节点，保留来源单据、成本要素和计算方法</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3D95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发票未到时保留采购批暂估，实际到达后形成差异版本</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F19B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P-ZLTC-SCOS-FYCB-003-40-001</w:t>
            </w:r>
          </w:p>
        </w:tc>
      </w:tr>
      <w:tr w14:paraId="7F1C6A5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9D26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291A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判断来源和追溯链是否完整</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7183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00B5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输入：直接成本、候选费用池和来源总额；</w:t>
            </w:r>
          </w:p>
          <w:p w14:paraId="5F2CEB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输出：来源唯一性、分类完整性和追溯链检查结果</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13B6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SCOS确认每笔成本可回到来源记录、只进入一种归集结果，并能沿批次谱系追溯</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610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N：进入60补充成本口径；Y：进入70生成结果</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FB50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P-ZLTC-SCOS-FYCB-003-50-001</w:t>
            </w:r>
          </w:p>
        </w:tc>
      </w:tr>
      <w:tr w14:paraId="3357547E">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6A9F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D7DF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补充成本口径和异常分类</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8AED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6B18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输入：成本映射、税口径、暂估或分类异常；</w:t>
            </w:r>
          </w:p>
          <w:p w14:paraId="490C6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输出：成本要素映射和分类说明</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8EE2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财务负责人在SCOS核对业务事实并维护参考映射或说明，不执行实际对账</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B8DAC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修正后由SCOS重新分类和计算；无依据记录保持待处理</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03C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P-ZLTC-SCOS-FYCB-003-60-001</w:t>
            </w:r>
          </w:p>
        </w:tc>
      </w:tr>
      <w:tr w14:paraId="03C3CB08">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0FB1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2DB0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生成批次直接成本结果</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227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FFE0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输入：通过校验的直接成本和候选费用池；</w:t>
            </w:r>
          </w:p>
          <w:p w14:paraId="22751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输出：批次直接成本结果</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548B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SCOS形成来源记录、批次、成本要素、数量、金额、规则、暂估状态、可信度和版本完整的结果</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05B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待处理差异单列，不阻断其他可追溯成本</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0977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P-ZLTC-SCOS-FYCB-003-70-001</w:t>
            </w:r>
          </w:p>
        </w:tc>
      </w:tr>
      <w:tr w14:paraId="5FEC69B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547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54F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持久化批次直接成本结果</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D4D8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7D1E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输入：SCOS生成的批次直接成本结果；</w:t>
            </w:r>
          </w:p>
          <w:p w14:paraId="395D25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输出：批次直接成本参考版本</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D78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数据中台保存直接成本、候选费用池和来源引用，供费用池分摊及下游成本传导使用</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A32F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结果用于经营分析参考，不替代财务实际核算</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5D4F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P-ZLTC-SCOS-FYCB-003-80-001</w:t>
            </w:r>
          </w:p>
        </w:tc>
      </w:tr>
      <w:tr w14:paraId="2E696DD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6BA8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A362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81C5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2D6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输出：已持久化的批次直接成本和待分摊费用</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4C5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直接成本归集完成</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1F60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918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366A3A3">
      <w:pPr>
        <w:rPr>
          <w:rFonts w:hint="default"/>
          <w:lang w:val="en-US" w:eastAsia="zh-CN"/>
        </w:rPr>
      </w:pPr>
    </w:p>
    <w:p w14:paraId="3789A464">
      <w:pPr>
        <w:pStyle w:val="6"/>
        <w:bidi w:val="0"/>
        <w:rPr>
          <w:rFonts w:hint="default"/>
          <w:b/>
          <w:bCs/>
          <w:lang w:val="en-US" w:eastAsia="zh-CN"/>
        </w:rPr>
      </w:pPr>
      <w:r>
        <w:rPr>
          <w:rFonts w:hint="default"/>
          <w:b/>
          <w:bCs/>
          <w:lang w:val="en-US" w:eastAsia="zh-CN"/>
        </w:rPr>
        <w:t>费用池采集和分摊到批次流程</w:t>
      </w:r>
    </w:p>
    <w:p w14:paraId="3AFE492C">
      <w:pPr>
        <w:rPr>
          <w:rFonts w:hint="default"/>
          <w:lang w:val="en-US" w:eastAsia="zh-CN"/>
        </w:rPr>
      </w:pPr>
      <w:r>
        <w:rPr>
          <w:rFonts w:hint="default"/>
          <w:lang w:val="en-US" w:eastAsia="zh-CN"/>
        </w:rPr>
        <w:drawing>
          <wp:inline distT="0" distB="0" distL="114300" distR="114300">
            <wp:extent cx="5270500" cy="1108710"/>
            <wp:effectExtent l="0" t="0" r="12700" b="8890"/>
            <wp:docPr id="58" name="图片 58" descr="业务蓝图_费用池采集和分摊到批次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业务蓝图_费用池采集和分摊到批次流程_优化"/>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5270500" cy="1108710"/>
                    </a:xfrm>
                    <a:prstGeom prst="rect">
                      <a:avLst/>
                    </a:prstGeom>
                  </pic:spPr>
                </pic:pic>
              </a:graphicData>
            </a:graphic>
          </wp:inline>
        </w:drawing>
      </w:r>
    </w:p>
    <w:tbl>
      <w:tblPr>
        <w:tblStyle w:val="31"/>
        <w:tblW w:w="6021" w:type="pct"/>
        <w:tblInd w:w="-86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71"/>
        <w:gridCol w:w="1123"/>
        <w:gridCol w:w="1114"/>
        <w:gridCol w:w="1860"/>
        <w:gridCol w:w="2228"/>
        <w:gridCol w:w="1763"/>
        <w:gridCol w:w="1632"/>
      </w:tblGrid>
      <w:tr w14:paraId="30F86EC7">
        <w:trPr>
          <w:tblHeader/>
        </w:trPr>
        <w:tc>
          <w:tcPr>
            <w:tcW w:w="3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E88D4D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3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684F92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2B13C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A708B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6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537DE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E453C7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544E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9D434E6">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DB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019A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FCF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64DE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输入：当月待分摊费用</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4F9B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直接成本分类完成后由SCOS启动费用池分摊</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1978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82EE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8320EAA">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C23C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EF81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提供费用金额和动因数据</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AB92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AD0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输入：SCOS费用池取数请求；</w:t>
            </w:r>
          </w:p>
          <w:p w14:paraId="3D8014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输出：期间费用、工时、设备占用、能耗、处理量、绝干量和发运数据</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0CD2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数据中台按费用类型和期间提供来源总额、已直计金额、排除项及可用动因</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0245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数据缺失时明确缺失范围，不自动补零</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1EA0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P-ZLTC-SCOS-FYCB-004-10-001</w:t>
            </w:r>
          </w:p>
        </w:tc>
      </w:tr>
      <w:tr w14:paraId="2F6A3187">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6868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2BD3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维护费用池范围和动因规则</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8172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9654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输入：费用类型、成本要素和可用动因；</w:t>
            </w:r>
          </w:p>
          <w:p w14:paraId="2FD458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输出：受益范围、首选和备选动因</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822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财务负责人在SCOS维护人工、折旧、公共能源、维修、污水、保险和销售物流等费用的适用范围及动因优先级</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D2DC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共享设备按实际占用或处理量定义受益范围</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3BF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P-ZLTC-SCOS-FYCB-004-20-001</w:t>
            </w:r>
          </w:p>
        </w:tc>
      </w:tr>
      <w:tr w14:paraId="187B1CF7">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7588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D0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计算费用池可分摊金额</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0299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F910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输入：来源总额、已直计、非受益、资本化和调整项；</w:t>
            </w:r>
          </w:p>
          <w:p w14:paraId="3BADDC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输出：费用池可分摊金额</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47A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SCOS按期间、成本中心、成本要素和费用池计算可分摊净额，并检查来源唯一性</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AEA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重复来源或扣减项不清时保持待处理</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C5E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P-ZLTC-SCOS-FYCB-004-30-001</w:t>
            </w:r>
          </w:p>
        </w:tc>
      </w:tr>
      <w:tr w14:paraId="709725B8">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42DC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7B56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识别受益批次并计算分母</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073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6F5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输入：费用池范围、动因规则和当月批次；</w:t>
            </w:r>
          </w:p>
          <w:p w14:paraId="13E471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输出：受益批次、批次动因量和有效分母</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BEEB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SCOS按期间和服务边界筛选受益批次，优先使用实测消耗、设备工时、处理量、绝干量或吨公里</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C67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首选动因缺失时仅使用已维护的备选动因</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973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P-ZLTC-SCOS-FYCB-004-40-001</w:t>
            </w:r>
          </w:p>
        </w:tc>
      </w:tr>
      <w:tr w14:paraId="7D0EC445">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DDB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9A29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判断分摊依据是否有效</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25CD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0A7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输入：可分摊金额、受益批次和分母；</w:t>
            </w:r>
          </w:p>
          <w:p w14:paraId="0FB6CE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输出：动因可用性判断</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0DA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SCOS检查分母大于零、动因口径一致、受益范围非空且期间匹配</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C74C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N：进入60选择处理方式；Y：进入70计算分摊</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02A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P-ZLTC-SCOS-FYCB-004-50-001</w:t>
            </w:r>
          </w:p>
        </w:tc>
      </w:tr>
      <w:tr w14:paraId="44D9A082">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685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DEB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处理缺失动因和无效分母</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A08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2A3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输入：无效分母或缺失动因；</w:t>
            </w:r>
          </w:p>
          <w:p w14:paraId="50FEE2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输出：备选动因、停工闲置或未分摊说明</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3A26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财务负责人在SCOS选择已配置备选动因；确无受益批次的维持费用标记停工或闲置，其他情况保持未分摊</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7C3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不得强制分给正常批次。</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F30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P-ZLTC-SCOS-FYCB-004-60-001</w:t>
            </w:r>
          </w:p>
        </w:tc>
      </w:tr>
      <w:tr w14:paraId="13D4012C">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3F93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1E26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计算分摊率批次金额和尾差</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6970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3E2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输入：可分摊金额和有效动因；</w:t>
            </w:r>
          </w:p>
          <w:p w14:paraId="6F008D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输出：分摊率、批次金额、尾差和未分摊项</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3EE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SCOS按动因量计算各批次参考金额，尾差独立处理并记录未分摊原因</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336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无可靠动因的数据保持未分摊</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CB0A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P-ZLTC-SCOS-FYCB-004-70-001</w:t>
            </w:r>
          </w:p>
        </w:tc>
      </w:tr>
      <w:tr w14:paraId="2FCF774A">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A50B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1270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生成费用池分摊结果</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36E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F0B7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输入：分摊计算明细；</w:t>
            </w:r>
          </w:p>
          <w:p w14:paraId="332536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输出：费用池分摊结果</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CADD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SCOS汇总费用池、受益范围、批次、动因量、分母、分摊率、金额、尾差、状态和版本</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601A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结果仅用于成本追溯和经营分析</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4CCC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P-ZLTC-SCOS-FYCB-004-80-001</w:t>
            </w:r>
          </w:p>
        </w:tc>
      </w:tr>
      <w:tr w14:paraId="7887B34D">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39A7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CA2F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持久化费用池分摊结果</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831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D8A7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输入：SCOS生成的费用池分摊结果；</w:t>
            </w:r>
          </w:p>
          <w:p w14:paraId="77A0A5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输出：费用池分摊结果版本</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83F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数据中台保存分摊结果及计算依据，供批次成本和订单成本计算使用</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077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不生成实际财务结算凭证</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689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P-ZLTC-SCOS-FYCB-004-90-001</w:t>
            </w:r>
          </w:p>
        </w:tc>
      </w:tr>
      <w:tr w14:paraId="34292F1E">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677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699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093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6EC5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输出：已持久化的批次费用池成本</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9FF0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费用池分摊完成</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15D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C0C3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B311BC">
      <w:pPr>
        <w:rPr>
          <w:rFonts w:hint="default"/>
          <w:lang w:val="en-US" w:eastAsia="zh-CN"/>
        </w:rPr>
      </w:pPr>
    </w:p>
    <w:p w14:paraId="2EC8AA42">
      <w:pPr>
        <w:pStyle w:val="6"/>
        <w:bidi w:val="0"/>
        <w:rPr>
          <w:rFonts w:hint="default"/>
          <w:b/>
          <w:bCs/>
          <w:lang w:val="en-US" w:eastAsia="zh-CN"/>
        </w:rPr>
      </w:pPr>
      <w:r>
        <w:rPr>
          <w:rFonts w:hint="default"/>
          <w:b/>
          <w:bCs/>
          <w:lang w:val="en-US" w:eastAsia="zh-CN"/>
        </w:rPr>
        <w:t>批次成本聚合到生产订单成本流程</w:t>
      </w:r>
    </w:p>
    <w:p w14:paraId="338D4F4F">
      <w:pPr>
        <w:rPr>
          <w:rFonts w:hint="default"/>
          <w:lang w:val="en-US" w:eastAsia="zh-CN"/>
        </w:rPr>
      </w:pPr>
      <w:r>
        <w:rPr>
          <w:rFonts w:hint="default"/>
          <w:lang w:val="en-US" w:eastAsia="zh-CN"/>
        </w:rPr>
        <w:drawing>
          <wp:inline distT="0" distB="0" distL="114300" distR="114300">
            <wp:extent cx="5264150" cy="1226820"/>
            <wp:effectExtent l="0" t="0" r="19050" b="17780"/>
            <wp:docPr id="59" name="图片 59" descr="业务蓝图_批次成本聚合到生产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业务蓝图_批次成本聚合到生产订单成本流程_优化"/>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5264150" cy="1226820"/>
                    </a:xfrm>
                    <a:prstGeom prst="rect">
                      <a:avLst/>
                    </a:prstGeom>
                  </pic:spPr>
                </pic:pic>
              </a:graphicData>
            </a:graphic>
          </wp:inline>
        </w:drawing>
      </w:r>
    </w:p>
    <w:tbl>
      <w:tblPr>
        <w:tblStyle w:val="31"/>
        <w:tblW w:w="5925" w:type="pct"/>
        <w:tblInd w:w="-82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7"/>
        <w:gridCol w:w="1097"/>
        <w:gridCol w:w="1002"/>
        <w:gridCol w:w="1807"/>
        <w:gridCol w:w="2272"/>
        <w:gridCol w:w="1755"/>
        <w:gridCol w:w="1604"/>
      </w:tblGrid>
      <w:tr w14:paraId="65A0E542">
        <w:trPr>
          <w:tblHeader/>
        </w:trPr>
        <w:tc>
          <w:tcPr>
            <w:tcW w:w="38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08ACE2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6B69A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CC80FC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4C8BB4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16FDA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97CDA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C75AB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4BA965C">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51CE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3459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E2E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18F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输入：批次直接成本和费用池成本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FE1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批次成本更新后由SCOS启动生产订单聚合</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4FF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D60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46AB3C8">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C4D3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2E28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提供生产订单和报工数据</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FCEA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EA64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输入：SCOS取数请求；</w:t>
            </w:r>
          </w:p>
          <w:p w14:paraId="36E332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输出：工单、产品、路线、投料、产出、报工和状态数据</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E217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数据中台提供生产订单与实际批次、投料和产出的映射数据</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1F4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映射缺失时标记待补充，不用计划量替代实际</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6F0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P-ZLTC-SCOS-FYCB-005-10-001</w:t>
            </w:r>
          </w:p>
        </w:tc>
      </w:tr>
      <w:tr w14:paraId="2A15F7B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4E93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21B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校验订单批次映射和成本版本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6579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BC5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输入：生产订单、批次映射、谱系和批次成本版本；</w:t>
            </w:r>
          </w:p>
          <w:p w14:paraId="67C8D0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输出：可聚合订单范围</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EAE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SCOS检查订单路线、批次状态、映射数量、成本版本和谱系版本一致性</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CF3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版本不一致或候选关系单独标识，不混入已确认结果</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0237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P-ZLTC-SCOS-FYCB-005-20-001</w:t>
            </w:r>
          </w:p>
        </w:tc>
      </w:tr>
      <w:tr w14:paraId="3371DA5C">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9178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9EF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汇总订单关联批次成本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9C62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C676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输入：可聚合订单、批次直接成本和费用池成本；</w:t>
            </w:r>
          </w:p>
          <w:p w14:paraId="065370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输出：订单传入、直接、费用池和调整成本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F840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SCOS沿实际批次关系按成本要素汇总，并保留订单到批次和来源记录的穿透路径</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51B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重复批次成本通过版本和唯一键排除</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D4F9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P-ZLTC-SCOS-FYCB-005-30-001</w:t>
            </w:r>
          </w:p>
        </w:tc>
      </w:tr>
      <w:tr w14:paraId="029FFD58">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FEE4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F9D7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拆分完工在制库存和损失成本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D1D5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645A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输入：实际转出量、在制库存余额和损失记录；</w:t>
            </w:r>
          </w:p>
          <w:p w14:paraId="26021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输出：完工、在制、库存、正常损耗和异常损失成本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EA6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已转出成本按实际关系量进入产出；未转出成本留在在制或库存；正常损耗由合格产出承担，异常损失单列</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4D7A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不为月末展示将未转出余额全部计入完工产出</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E165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P-ZLTC-SCOS-FYCB-005-40-001</w:t>
            </w:r>
          </w:p>
        </w:tc>
      </w:tr>
      <w:tr w14:paraId="78C7881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4E7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BC71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计算订单总成本和单位成本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CFE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4D78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输入：订单成本构成、完工量和绝干量；</w:t>
            </w:r>
          </w:p>
          <w:p w14:paraId="26215A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输出：总成本、湿基单位成本和绝干单位成本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1ECA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SCOS按订单有效产出计算单位成本，同时保留原料、能耗、费用池和损失构成</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AE70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分母为空或为零时单位成本显示不可用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FBF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P-ZLTC-SCOS-FYCB-005-50-001</w:t>
            </w:r>
          </w:p>
        </w:tc>
      </w:tr>
      <w:tr w14:paraId="79CFAD8B">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72E5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7E94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查看订单成本追溯并补充说明</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F024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8D7C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输入：订单成本构成、单位成本和批次贡献；</w:t>
            </w:r>
          </w:p>
          <w:p w14:paraId="70491A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输出：停机、返工、工艺或收率差异说明</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35C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生产负责人在SCOS查看批次贡献和成本变化，补充业务事实供结果解释</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3397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说明不直接改写底层计算；需修正数据时进入新版本</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4F87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P-ZLTC-SCOS-FYCB-005-60-001</w:t>
            </w:r>
          </w:p>
        </w:tc>
      </w:tr>
      <w:tr w14:paraId="5E266A87">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466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CDE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生成生产订单成本结果</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7A2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7CA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输入：订单成本指标和生产说明；</w:t>
            </w:r>
          </w:p>
          <w:p w14:paraId="7F22A2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输出：生产订单成本结果</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515A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SCOS形成订单总成本、单位成本、在制余额、损失、批次穿透、业务说明和版本完整的结果</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72E7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待确认关系和不可用指标保留状态标识</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C9F1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P-ZLTC-SCOS-FYCB-005-70-001</w:t>
            </w:r>
          </w:p>
        </w:tc>
      </w:tr>
      <w:tr w14:paraId="02BE527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379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F07A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持久化生产订单成本结果</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A7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B3F6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输入：SCOS生成的生产订单成本结果；</w:t>
            </w:r>
          </w:p>
          <w:p w14:paraId="76B1BE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输出：生产订单成本参考版本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9108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数据中台保存订单结果及批次穿透明细，供销售订单聚合和多维分析使用</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CC0E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底层批次成本更新时生成替代版本</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1639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P-ZLTC-SCOS-FYCB-005-80-001</w:t>
            </w:r>
          </w:p>
        </w:tc>
      </w:tr>
      <w:tr w14:paraId="05C284BA">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AD87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45B1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784A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BFF7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输出：已持久化的生产订单成本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E28A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生产订单成本聚合完成</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36F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A4A9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A7E103">
      <w:pPr>
        <w:rPr>
          <w:rFonts w:hint="default"/>
          <w:lang w:val="en-US" w:eastAsia="zh-CN"/>
        </w:rPr>
      </w:pPr>
    </w:p>
    <w:p w14:paraId="22E59CB9">
      <w:pPr>
        <w:pStyle w:val="6"/>
        <w:bidi w:val="0"/>
        <w:rPr>
          <w:rFonts w:hint="default"/>
          <w:b/>
          <w:bCs/>
          <w:lang w:val="en-US" w:eastAsia="zh-CN"/>
        </w:rPr>
      </w:pPr>
      <w:r>
        <w:rPr>
          <w:rFonts w:hint="default"/>
          <w:b/>
          <w:bCs/>
          <w:lang w:val="en-US" w:eastAsia="zh-CN"/>
        </w:rPr>
        <w:t>生产订单成本聚合到销售订单成本流程</w:t>
      </w:r>
    </w:p>
    <w:p w14:paraId="2AB128CA">
      <w:pPr>
        <w:rPr>
          <w:rFonts w:hint="default"/>
          <w:lang w:val="en-US" w:eastAsia="zh-CN"/>
        </w:rPr>
      </w:pPr>
      <w:r>
        <w:rPr>
          <w:rFonts w:hint="default"/>
          <w:lang w:val="en-US" w:eastAsia="zh-CN"/>
        </w:rPr>
        <w:drawing>
          <wp:inline distT="0" distB="0" distL="114300" distR="114300">
            <wp:extent cx="5264150" cy="1226820"/>
            <wp:effectExtent l="0" t="0" r="19050" b="17780"/>
            <wp:docPr id="60" name="图片 60" descr="业务蓝图_生产订单成本聚合到销售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业务蓝图_生产订单成本聚合到销售订单成本流程_优化"/>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5264150" cy="1226820"/>
                    </a:xfrm>
                    <a:prstGeom prst="rect">
                      <a:avLst/>
                    </a:prstGeom>
                  </pic:spPr>
                </pic:pic>
              </a:graphicData>
            </a:graphic>
          </wp:inline>
        </w:drawing>
      </w:r>
    </w:p>
    <w:tbl>
      <w:tblPr>
        <w:tblStyle w:val="31"/>
        <w:tblW w:w="5979" w:type="pct"/>
        <w:tblInd w:w="-78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4"/>
        <w:gridCol w:w="1096"/>
        <w:gridCol w:w="895"/>
        <w:gridCol w:w="1991"/>
        <w:gridCol w:w="2082"/>
        <w:gridCol w:w="1673"/>
        <w:gridCol w:w="1827"/>
      </w:tblGrid>
      <w:tr w14:paraId="08F338E8">
        <w:trPr>
          <w:tblHeader/>
        </w:trPr>
        <w:tc>
          <w:tcPr>
            <w:tcW w:w="40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FF2B57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C1CF7A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ECA54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95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FA691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83FAD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AC49B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9FD21F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F453913">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A76D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4916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A6A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FA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输入：生产订单成本参考版本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2E06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生产订单成本可用后由SCOS启动销售订单聚合</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B4EC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05F9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464C141">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911B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3CFF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提供销售订单和发运数据</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2350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66BE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输入：SCOS取数请求；</w:t>
            </w:r>
          </w:p>
          <w:p w14:paraId="0CED34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输出：销售单、客户、发运批、来源库存批、车辆、装载量、签收和交付费用</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5A6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数据中台提供销售订单与实际发运、装载来源、过磅、运输和签收数据</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A2D9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订单、车次或来源批缺失时标记待补充</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4723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P-ZLTC-SCOS-FYCB-006-10-001</w:t>
            </w:r>
          </w:p>
        </w:tc>
      </w:tr>
      <w:tr w14:paraId="62CE5C4A">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860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2F4D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校验订单发运和来源批映射</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862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06F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输入：销售订单、车次、发运批、来源库存批和装载量；</w:t>
            </w:r>
          </w:p>
          <w:p w14:paraId="3471A8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输出：可计算销售订单范围</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FE40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SCOS检查一单多车、一车多批、来源库存批及装载量关系，统一退货、补发和跨期事件口径</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B93B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来源缺失时不使用全月平均成本替代</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86E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P-ZLTC-SCOS-FYCB-006-20-001</w:t>
            </w:r>
          </w:p>
        </w:tc>
      </w:tr>
      <w:tr w14:paraId="4888C22C">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BBFD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D2D7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追溯发运对应生产订单成本</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259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CB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输入：发运来源映射、批次谱系和生产订单成本；</w:t>
            </w:r>
          </w:p>
          <w:p w14:paraId="62AEE1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输出：来源生产批和制造成本贡献</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DFD5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SCOS从发运批反向追溯库存批、生产批和生产订单，取得当前有效制造成本版本</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340D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候选谱系和低可信度来源单独标识</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3EC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P-ZLTC-SCOS-FYCB-006-30-001</w:t>
            </w:r>
          </w:p>
        </w:tc>
      </w:tr>
      <w:tr w14:paraId="2F273D66">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9E3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C1F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按实际装载量分配制造成本</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C8D2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874E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输入：来源批可分配成本和订单装载量；</w:t>
            </w:r>
          </w:p>
          <w:p w14:paraId="389FC7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输出：销售订单承接制造成本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2A2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同一来源批服务多订单时按实际装载质量拆分，未发运数量和成本继续保留在库存批</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587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退货、补发或更正形成独立调整版本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5C92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P-ZLTC-SCOS-FYCB-006-40-001</w:t>
            </w:r>
          </w:p>
        </w:tc>
      </w:tr>
      <w:tr w14:paraId="196C6EFB">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76C5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5098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叠加交付成本并形成成本视图</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6C97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6813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输入：包装、装车、车辆容器租赁、运输和保险费用；</w:t>
            </w:r>
          </w:p>
          <w:p w14:paraId="5F0D6D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输出：制造成本、交付成本和完整成本视图</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E53E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可定位订单和车次的费用直接计入；不可定位销售物流费用采用已维护的费用池规则</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3AE7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经营期间费用只在完整成本视图展示，不回写生产工序成本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D76B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P-ZLTC-SCOS-FYCB-006-50-001</w:t>
            </w:r>
          </w:p>
        </w:tc>
      </w:tr>
      <w:tr w14:paraId="5A821258">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5078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AF90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查看销售订单成本并补充说明</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60BB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70F3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输入：订单、客户、产品、来源批次和成本视图；</w:t>
            </w:r>
          </w:p>
          <w:p w14:paraId="5D5C83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输出：订单或运输差异说明</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F193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销售负责人在SCOS查看制造成本、交付成本、单位成本和来源生产批，补充订单或运输业务事实</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B06A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说明用于经营分析，不替代实际销售结算</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7CB1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P-ZLTC-SCOS-FYCB-006-60-001</w:t>
            </w:r>
          </w:p>
        </w:tc>
      </w:tr>
      <w:tr w14:paraId="46052701">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B53B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6097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生成销售订单成本结果</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8E0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5E82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输入：销售订单成本视图和业务说明；</w:t>
            </w:r>
          </w:p>
          <w:p w14:paraId="3836D1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输出：销售订单成本结果</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D2C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SCOS形成订单成本、单位成本、成本视图、来源生产订单、批次、车次、说明和版本完整的结果</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BE7B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底层成本或发运数据更正时生成新版本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498E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P-ZLTC-SCOS-FYCB-006-70-001</w:t>
            </w:r>
          </w:p>
        </w:tc>
      </w:tr>
      <w:tr w14:paraId="7E1E2EA6">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300C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0796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持久化销售订单成本结果</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A9FE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A60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输入：SCOS生成的销售订单成本结果；</w:t>
            </w:r>
          </w:p>
          <w:p w14:paraId="547AF4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输出：销售订单成本参考版本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C69F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数据中台保存销售订单结果和穿透明细，供多维成本分析使用</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A9A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历史版本保留，不原地覆盖</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A2AD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P-ZLTC-SCOS-FYCB-006-80-001</w:t>
            </w:r>
          </w:p>
        </w:tc>
      </w:tr>
      <w:tr w14:paraId="127F0995">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5A1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8B8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87E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6CF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输出：已持久化的销售订单成本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0C1B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销售订单成本聚合完成</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2A85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FB9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3358537">
      <w:pPr>
        <w:rPr>
          <w:rFonts w:hint="default"/>
          <w:lang w:val="en-US" w:eastAsia="zh-CN"/>
        </w:rPr>
      </w:pPr>
    </w:p>
    <w:p w14:paraId="1A0EE836">
      <w:pPr>
        <w:pStyle w:val="6"/>
        <w:bidi w:val="0"/>
        <w:rPr>
          <w:rFonts w:hint="default"/>
          <w:b/>
          <w:bCs/>
          <w:lang w:val="en-US" w:eastAsia="zh-CN"/>
        </w:rPr>
      </w:pPr>
      <w:r>
        <w:rPr>
          <w:rFonts w:hint="default"/>
          <w:b/>
          <w:bCs/>
          <w:lang w:val="en-US" w:eastAsia="zh-CN"/>
        </w:rPr>
        <w:t>基于销售订单成本的多维度成本分析流程</w:t>
      </w:r>
    </w:p>
    <w:p w14:paraId="3165B125">
      <w:pPr>
        <w:rPr>
          <w:rFonts w:hint="default"/>
          <w:lang w:val="en-US" w:eastAsia="zh-CN"/>
        </w:rPr>
      </w:pPr>
      <w:r>
        <w:rPr>
          <w:rFonts w:hint="default"/>
          <w:lang w:val="en-US" w:eastAsia="zh-CN"/>
        </w:rPr>
        <w:drawing>
          <wp:inline distT="0" distB="0" distL="114300" distR="114300">
            <wp:extent cx="5264150" cy="1995170"/>
            <wp:effectExtent l="0" t="0" r="19050" b="11430"/>
            <wp:docPr id="61" name="图片 61" descr="业务蓝图_基于销售订单成本的多维度成本分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业务蓝图_基于销售订单成本的多维度成本分析流程_优化"/>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264150" cy="1995170"/>
                    </a:xfrm>
                    <a:prstGeom prst="rect">
                      <a:avLst/>
                    </a:prstGeom>
                  </pic:spPr>
                </pic:pic>
              </a:graphicData>
            </a:graphic>
          </wp:inline>
        </w:drawing>
      </w:r>
    </w:p>
    <w:p w14:paraId="5670C94B">
      <w:pPr>
        <w:rPr>
          <w:rFonts w:hint="default"/>
          <w:lang w:val="en-US" w:eastAsia="zh-CN"/>
        </w:rPr>
      </w:pPr>
    </w:p>
    <w:p w14:paraId="5A58FDAF">
      <w:pPr>
        <w:rPr>
          <w:rFonts w:hint="default"/>
          <w:lang w:val="en-US" w:eastAsia="zh-CN"/>
        </w:rPr>
      </w:pPr>
    </w:p>
    <w:tbl>
      <w:tblPr>
        <w:tblStyle w:val="31"/>
        <w:tblW w:w="5968" w:type="pct"/>
        <w:tblInd w:w="-83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7"/>
        <w:gridCol w:w="1154"/>
        <w:gridCol w:w="1082"/>
        <w:gridCol w:w="1827"/>
        <w:gridCol w:w="2273"/>
        <w:gridCol w:w="1718"/>
        <w:gridCol w:w="1508"/>
      </w:tblGrid>
      <w:tr w14:paraId="54309A29">
        <w:trPr>
          <w:tblHeader/>
        </w:trPr>
        <w:tc>
          <w:tcPr>
            <w:tcW w:w="4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89E84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C7AC0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4EB1A3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67FDF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9F968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173B83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21FCED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6DE983F">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ACF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62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978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785C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输入：多维成本分析请求</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16E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SCOS按用户查询或月度更新启动多维分析</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B59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CE2F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A51A3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A09E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A893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生成并分发多维成本分析数据集</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4057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9D25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输入：数据中台中的批次、生产订单、销售订单成本及维度主数据；</w:t>
            </w:r>
          </w:p>
          <w:p w14:paraId="1D3253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输出：统一多维成本分析数据集</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E8C9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SCOS按同一时间范围、成本版本和维度口径汇集数据，并同时分发给生产、销售和采购负责人</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03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维度映射缺失时单列待映射；三个角色接收的数据版本一致</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801E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P-ZLTC-SCOS-FYCB-007-10-001</w:t>
            </w:r>
          </w:p>
        </w:tc>
      </w:tr>
      <w:tr w14:paraId="0C34CD50">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346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B35B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接收生产批次和产品成本视图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180D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D71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5CF04C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输出：产品、生产订单、批次、原料、能耗和损耗分析条件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F8E2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生产负责人在SCOS选择产品、产线、生产订单和批次，查看成本结构、趋势及穿透关系</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2DD4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单位成本分母为空时显示不可用</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2879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P-ZLTC-SCOS-FYCB-007-20-001</w:t>
            </w:r>
          </w:p>
        </w:tc>
      </w:tr>
      <w:tr w14:paraId="6088C71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4D7A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0C66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接收订单客户和产品成本视图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247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7B07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036113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输出：销售订单、客户、产品、交付和来源生产成本分析条件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5814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销售负责人在SCOS查看订单、客户和产品的制造成本、交付成本、成本贡献及来源批次</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212B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退货或跨期订单按有效事件和版本展示</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39C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P-ZLTC-SCOS-FYCB-007-30-001</w:t>
            </w:r>
          </w:p>
        </w:tc>
      </w:tr>
      <w:tr w14:paraId="55C06818">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2E1E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0093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接收供应商和采购成本视图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AE18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FA8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4BBA1A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输出：供应商、原料、采购批次、采购价格和成本贡献分析条件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6200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采购负责人在SCOS查看供应商和采购批次对生产批次及销售订单的原料成本贡献、价格差异和用量差异</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AD34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供应商贡献按实际采购批次和谱系计算</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B38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P-ZLTC-SCOS-FYCB-007-40-001</w:t>
            </w:r>
          </w:p>
        </w:tc>
      </w:tr>
      <w:tr w14:paraId="3F89AD5F">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F89B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331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执行跨维度钻取和差异分析</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5599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13AB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输入：生产、销售和采购三类分析条件；</w:t>
            </w:r>
          </w:p>
          <w:p w14:paraId="1A8B56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输出：订单、客户、供应商、产品和成本要素组合指标</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D81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SCOS汇合三个角色的分析条件，执行维度组合、时间筛选、要素拆分及销售订单至采购批次的反向追溯</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B7D0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筛选条件只改变展示范围，不改变底层成本结果</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CC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P-ZLTC-SCOS-FYCB-007-50-001</w:t>
            </w:r>
          </w:p>
        </w:tc>
      </w:tr>
      <w:tr w14:paraId="408F817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CAD9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1AE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生成多维成本分析结果</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B22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输入：跨维度指标和三类角色视图；</w:t>
            </w:r>
          </w:p>
          <w:p w14:paraId="40F6EB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AA05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SCOS生成生产、销售、采购角色视图、追溯路径、差异指标、成本版本和数据完整性状态</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BEA3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待映射维度与不可用指标单独展示</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5B08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P-ZLTC-SCOS-FYCB-007-60-001</w:t>
            </w:r>
          </w:p>
        </w:tc>
      </w:tr>
      <w:tr w14:paraId="75EAF39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E41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61B6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持久化分析快照和导出记录</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A9E6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C75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输入：SCOS生成的多维成本分析结果；</w:t>
            </w:r>
          </w:p>
          <w:p w14:paraId="603FCA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输出：分析快照、看板和导出记录</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3402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数据中台保存分析条件、数据版本、指标结果和导出记录，供三个角色持续追溯</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1FC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底层成本更新后生成新快照并保留历史引用</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16F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P-ZLTC-SCOS-FYCB-007-70-001</w:t>
            </w:r>
          </w:p>
        </w:tc>
      </w:tr>
      <w:tr w14:paraId="5239A800">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4FFC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3C1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25F9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ABF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18E5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本次分析完成</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FFA7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DA0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4FC3B83C">
      <w:pPr>
        <w:rPr>
          <w:rFonts w:hint="default"/>
          <w:lang w:val="en-US" w:eastAsia="zh-CN"/>
        </w:rPr>
      </w:pPr>
    </w:p>
    <w:p w14:paraId="55A63052">
      <w:pPr>
        <w:pStyle w:val="6"/>
        <w:bidi w:val="0"/>
        <w:rPr>
          <w:rFonts w:hint="default"/>
          <w:b/>
          <w:bCs/>
          <w:lang w:val="en-US" w:eastAsia="zh-CN"/>
        </w:rPr>
      </w:pPr>
      <w:r>
        <w:rPr>
          <w:rFonts w:hint="default"/>
          <w:b/>
          <w:bCs/>
          <w:lang w:val="en-US" w:eastAsia="zh-CN"/>
        </w:rPr>
        <w:t>成本计算规则异常识别、校验和修正流程</w:t>
      </w:r>
    </w:p>
    <w:p w14:paraId="5EE8D45E">
      <w:pPr>
        <w:rPr>
          <w:rFonts w:hint="default"/>
          <w:lang w:val="en-US" w:eastAsia="zh-CN"/>
        </w:rPr>
      </w:pPr>
      <w:r>
        <w:rPr>
          <w:rFonts w:hint="default"/>
          <w:lang w:val="en-US" w:eastAsia="zh-CN"/>
        </w:rPr>
        <w:drawing>
          <wp:inline distT="0" distB="0" distL="114300" distR="114300">
            <wp:extent cx="5270500" cy="1108710"/>
            <wp:effectExtent l="0" t="0" r="12700" b="8890"/>
            <wp:docPr id="62" name="图片 62" descr="业务蓝图_成本计算规则异常识别、校验和修正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业务蓝图_成本计算规则异常识别、校验和修正流程_优化"/>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270500" cy="1108710"/>
                    </a:xfrm>
                    <a:prstGeom prst="rect">
                      <a:avLst/>
                    </a:prstGeom>
                  </pic:spPr>
                </pic:pic>
              </a:graphicData>
            </a:graphic>
          </wp:inline>
        </w:drawing>
      </w:r>
    </w:p>
    <w:tbl>
      <w:tblPr>
        <w:tblStyle w:val="31"/>
        <w:tblW w:w="5800" w:type="pct"/>
        <w:tblInd w:w="-7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1"/>
        <w:gridCol w:w="1062"/>
        <w:gridCol w:w="940"/>
        <w:gridCol w:w="1773"/>
        <w:gridCol w:w="2356"/>
        <w:gridCol w:w="1570"/>
        <w:gridCol w:w="1514"/>
      </w:tblGrid>
      <w:tr w14:paraId="14C331D7">
        <w:trPr>
          <w:tblHeader/>
        </w:trPr>
        <w:tc>
          <w:tcPr>
            <w:tcW w:w="4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C6DD0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2685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8693E6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8D48C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9E761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13C46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4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9B8C2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E4AD331">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00C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07C2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5E4D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F3DB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输入：成本计算异常或迟到更正数据</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8F57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SCOS在批次、谱系或成本计算中发现异常时启动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13E2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1025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F03FD91">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635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B98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提供更正数据和补充证据</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F1C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67A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输入：SCOS异常取数请求；</w:t>
            </w:r>
          </w:p>
          <w:p w14:paraId="42A521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输出：更正事件、计量、主数据或成本事实</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AA2E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数据中台按原数据版本返回更正记录、来源时间和替代关系，不覆盖原始数据</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24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无法补充时明确缺失范围和数据质量</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905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P-ZLTC-SCOS-FYCB-008-10-001</w:t>
            </w:r>
          </w:p>
        </w:tc>
      </w:tr>
      <w:tr w14:paraId="608A831E">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B66F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6190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比对原结果和更正数据版本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9E3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9AA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输入：原结果、原始快照和更正数据；</w:t>
            </w:r>
          </w:p>
          <w:p w14:paraId="7D9772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输出：字段差异、时间边界差异和版本关系</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61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SCOS核对事件、计量、主数据、成本事实和规则的变更项，识别真正需要重算的差异</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98F7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无实质变化的数据不触发全链重算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3970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P-ZLTC-SCOS-FYCB-008-20-001</w:t>
            </w:r>
          </w:p>
        </w:tc>
      </w:tr>
      <w:tr w14:paraId="1F54FC2B">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D2E4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6E9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识别异常类型和影响范围</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66B0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FC0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输入：版本差异、批次谱系和成本规则；</w:t>
            </w:r>
          </w:p>
          <w:p w14:paraId="370FFE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输出：异常批次、关系、费用池、订单和受影响后代</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4DD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SCOS区分时间、路线、计量、批次、动因、重复成本和成本映射异常，定位最早受影响节点</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5A6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未受影响结果继续可用，异常范围标记待更新</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E20B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P-ZLTC-SCOS-FYCB-008-30-001</w:t>
            </w:r>
          </w:p>
        </w:tc>
      </w:tr>
      <w:tr w14:paraId="61E86EB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3502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29CB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判断证据和规则是否足以重算</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9070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D9C7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输入：异常记录、补充证据和现行规则；</w:t>
            </w:r>
          </w:p>
          <w:p w14:paraId="18F153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输出：可重算判断及证据优先级</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2469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依次判断独立计量、称重转罐、罐差、体积密度及已维护备选规则是否可用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291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N：进入50补充口径；Y：进入60重算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A919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P-ZLTC-SCOS-FYCB-008-40-001</w:t>
            </w:r>
          </w:p>
        </w:tc>
      </w:tr>
      <w:tr w14:paraId="5B49FDBF">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00CA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E296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补充业务事实或维护参考规则</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0ED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63DB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输入：证据不足或规则缺失事项；</w:t>
            </w:r>
          </w:p>
          <w:p w14:paraId="1CBF30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输出：成本映射、备选动因或继续待确认说明</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6AA5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财务负责人在SCOS维护成本映射和费用池参考口径，并引用已记录的生产业务事实</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D8CD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仍不足时保持待确认，不强行计算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0AC1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P-ZLTC-SCOS-FYCB-008-50-001</w:t>
            </w:r>
          </w:p>
        </w:tc>
      </w:tr>
      <w:tr w14:paraId="2F36F37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5680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E84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从最早受影响节点重新计算</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225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F9B5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输入：补充证据和修正规则；</w:t>
            </w:r>
          </w:p>
          <w:p w14:paraId="03BBB4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输出：新批次、谱系、批次成本和订单成本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8189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SCOS保留原版本，从最早受影响节点重建关系并逐级刷新全部下游后代</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D315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重算失败时保留上一可用版本并记录失败原因</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5E27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P-ZLTC-SCOS-FYCB-008-60-001</w:t>
            </w:r>
          </w:p>
        </w:tc>
      </w:tr>
      <w:tr w14:paraId="24A3ED3D">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080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411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校验重算差异和影响后代</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0E3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0CE7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输入：新旧结果和影响范围；</w:t>
            </w:r>
          </w:p>
          <w:p w14:paraId="6D92ED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输出：数量差异、成本差异、状态变化和后代覆盖检查</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49E7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SCOS确认重算范围完整、数量与成本变化可解释、未受影响对象未被改写</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FB52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超出预期范围时返回30重新定位</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FD68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P-ZLTC-SCOS-FYCB-008-70-001</w:t>
            </w:r>
          </w:p>
        </w:tc>
      </w:tr>
      <w:tr w14:paraId="6F5387DE">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66E0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1F5B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生成成本规则修正结果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7959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278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输入：通过校验的重算结果和差异说明；</w:t>
            </w:r>
          </w:p>
          <w:p w14:paraId="4B8A6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输出：规则调整、替代关系和成本修正结果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615F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SCOS形成调整前后规则、影响范围、差异、业务说明、新结果版本和历史引用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58E3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不生成实际财务调整凭证</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5B53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P-ZLTC-SCOS-FYCB-008-80-001</w:t>
            </w:r>
          </w:p>
        </w:tc>
      </w:tr>
      <w:tr w14:paraId="046F2587">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5229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E92A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持久化规则调整和结果版本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AF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860F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输入：SCOS生成的成本规则修正结果</w:t>
            </w:r>
          </w:p>
          <w:p w14:paraId="66F78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；输出：规则调整和成本参考版本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99E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数据中台保存修正结果、新旧版本关系及受影响对象索引</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28A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历史结果只读保留，不原地覆盖</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266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P-ZLTC-SCOS-FYCB-008-90-001</w:t>
            </w:r>
          </w:p>
        </w:tc>
      </w:tr>
      <w:tr w14:paraId="0916D93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4E54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1E05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CDAC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A60C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输出：已持久化的可追溯修正结果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04E6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异常修正完成</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AB0A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C3E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C998CF9">
      <w:pPr>
        <w:rPr>
          <w:rFonts w:hint="default"/>
          <w:lang w:val="en-US" w:eastAsia="zh-CN"/>
        </w:rPr>
      </w:pPr>
    </w:p>
    <w:p w14:paraId="5B05FA6A">
      <w:pPr>
        <w:pStyle w:val="6"/>
        <w:bidi w:val="0"/>
        <w:rPr>
          <w:rFonts w:hint="default"/>
          <w:b/>
          <w:bCs/>
          <w:lang w:val="en-US" w:eastAsia="zh-CN"/>
        </w:rPr>
      </w:pPr>
      <w:r>
        <w:rPr>
          <w:rFonts w:hint="default"/>
          <w:b/>
          <w:bCs/>
          <w:lang w:val="en-US" w:eastAsia="zh-CN"/>
        </w:rPr>
        <w:t>成本异常识别和预警流程</w:t>
      </w:r>
    </w:p>
    <w:p w14:paraId="4D9F934A">
      <w:pPr>
        <w:rPr>
          <w:rFonts w:hint="default"/>
          <w:lang w:val="en-US" w:eastAsia="zh-CN"/>
        </w:rPr>
      </w:pPr>
    </w:p>
    <w:p w14:paraId="7485C74A">
      <w:pPr>
        <w:rPr>
          <w:rFonts w:hint="default"/>
          <w:lang w:val="en-US" w:eastAsia="zh-CN"/>
        </w:rPr>
      </w:pPr>
    </w:p>
    <w:p w14:paraId="4D95ECC4">
      <w:pPr>
        <w:rPr>
          <w:rFonts w:hint="default"/>
          <w:lang w:val="en-US" w:eastAsia="zh-CN"/>
        </w:rPr>
      </w:pPr>
      <w:r>
        <w:rPr>
          <w:rFonts w:hint="default"/>
          <w:lang w:val="en-US" w:eastAsia="zh-CN"/>
        </w:rPr>
        <w:drawing>
          <wp:inline distT="0" distB="0" distL="114300" distR="114300">
            <wp:extent cx="5253990" cy="1017270"/>
            <wp:effectExtent l="0" t="0" r="3810" b="24130"/>
            <wp:docPr id="63" name="图片 63" descr="业务蓝图_成本异常识别和预警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业务蓝图_成本异常识别和预警流程_优化"/>
                    <pic:cNvPicPr>
                      <a:picLocks noChangeAspect="1"/>
                    </pic:cNvPicPr>
                  </pic:nvPicPr>
                  <pic:blipFill>
                    <a:blip r:embed="rId64">
                      <a:extLst>
                        <a:ext uri="{96DAC541-7B7A-43D3-8B79-37D633B846F1}">
                          <asvg:svgBlip xmlns:asvg="http://schemas.microsoft.com/office/drawing/2016/SVG/main" r:embed="rId65"/>
                        </a:ext>
                      </a:extLst>
                    </a:blip>
                    <a:stretch>
                      <a:fillRect/>
                    </a:stretch>
                  </pic:blipFill>
                  <pic:spPr>
                    <a:xfrm>
                      <a:off x="0" y="0"/>
                      <a:ext cx="5253990" cy="1017270"/>
                    </a:xfrm>
                    <a:prstGeom prst="rect">
                      <a:avLst/>
                    </a:prstGeom>
                  </pic:spPr>
                </pic:pic>
              </a:graphicData>
            </a:graphic>
          </wp:inline>
        </w:drawing>
      </w:r>
    </w:p>
    <w:p w14:paraId="5FB85A9F">
      <w:pPr>
        <w:rPr>
          <w:rFonts w:hint="default"/>
          <w:lang w:val="en-US" w:eastAsia="zh-CN"/>
        </w:rPr>
      </w:pPr>
    </w:p>
    <w:tbl>
      <w:tblPr>
        <w:tblStyle w:val="31"/>
        <w:tblW w:w="6038" w:type="pct"/>
        <w:tblInd w:w="-90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2"/>
        <w:gridCol w:w="1011"/>
        <w:gridCol w:w="970"/>
        <w:gridCol w:w="1664"/>
        <w:gridCol w:w="2183"/>
        <w:gridCol w:w="1612"/>
        <w:gridCol w:w="2190"/>
      </w:tblGrid>
      <w:tr w14:paraId="30910623">
        <w:trPr>
          <w:tblHeader/>
        </w:trPr>
        <w:tc>
          <w:tcPr>
            <w:tcW w:w="42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8E77D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6CCA66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60620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40472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3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A5B10E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E0032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2CEFB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AFAA6FB">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4D7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2D45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22B2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270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输入：新成本参考版本或周期监测任务</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7349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SCOS在成本结果更新或周期任务触发时启动异常识别</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7DC9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22DD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636D75C">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C61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505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加载成本版本和预警规则</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0BD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082A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输入：批次、生产订单、销售订单、费用池成本和阈值版本；</w:t>
            </w:r>
          </w:p>
          <w:p w14:paraId="2A3518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输出：监测范围与基准</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A9B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SCOS锁定本次监测使用的成本版本、时间范围、对象范围、比较基准和规则阈值</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E4A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阈值未维护时只计算变化，不自动判定异常</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522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P-ZLTC-SCOS-FYCB-009-10-001</w:t>
            </w:r>
          </w:p>
        </w:tc>
      </w:tr>
      <w:tr w14:paraId="114915AA">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60DF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B34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计算成本变化和异常指标</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A96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AD9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输入：监测范围与基准；</w:t>
            </w:r>
          </w:p>
          <w:p w14:paraId="56555A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输出：价格、用量、收率、能耗、单位成本和分摊变化</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AC84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SCOS按产线、产品、订单、客户、供应商和时间比较当前结果与规则阈值及历史趋势</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0B42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低可信度关系和不可用单位成本单独标识</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9497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P-ZLTC-SCOS-FYCB-009-20-001</w:t>
            </w:r>
          </w:p>
        </w:tc>
      </w:tr>
      <w:tr w14:paraId="1FD46691">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8F1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33D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判断是否形成成本预警</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849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6581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输入：异常指标、阈值和数据可信度；</w:t>
            </w:r>
          </w:p>
          <w:p w14:paraId="5461D7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输出：预警判断和初始等级</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EE94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SCOS识别明显突变、未分摊费用、低可信度关系、单位成本不可用和成本结构异常</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54E9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Y：进入40定位异常；N：直接进入60生成无预警监测结果</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871E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P-ZLTC-SCOS-FYCB-009-30-001</w:t>
            </w:r>
          </w:p>
        </w:tc>
      </w:tr>
      <w:tr w14:paraId="22D5841B">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ED10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FEBA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定位异常来源和影响对象</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3A0B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F6F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输入：预警指标、批次谱系和订单成本；</w:t>
            </w:r>
          </w:p>
          <w:p w14:paraId="320084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输出：异常来源、受影响批次、产品、订单、客户和供应商</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1A4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SCOS沿谱系分解原料价格、用量、收率、能耗、共享设备、费用池、损失和交付费用贡献</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B37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无法定位时标记待分析，不输出确定性责任结论</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8FB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P-ZLTC-SCOS-FYCB-009-40-001</w:t>
            </w:r>
          </w:p>
        </w:tc>
      </w:tr>
      <w:tr w14:paraId="078D1E6C">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1154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010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生成角色化成本预警内容</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24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C79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输入：异常来源、影响对象和等级；</w:t>
            </w:r>
          </w:p>
          <w:p w14:paraId="17312D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输出：生产、销售、采购和财务关注的预警内容及追溯入口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E9C9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SCOS按异常对象生成角色化提示，同一异常保留一个主记录并配置多个查看视图</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5CD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提示只用于关注和追溯，不自动认定损失</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7E8F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P-ZLTC-SCOS-FYCB-009-50-001</w:t>
            </w:r>
          </w:p>
        </w:tc>
      </w:tr>
      <w:tr w14:paraId="48B96497">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541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F410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生成成本监测和预警结果</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862C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B0E2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输入：预警内容或无预警判断；</w:t>
            </w:r>
          </w:p>
          <w:p w14:paraId="71AD57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输出：本轮监测结果、预警状态和追溯入口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84B7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SCOS统一生成监测批次、指标快照、预警等级、异常对象、角色视图、开放状态和更新时间</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DB7F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无预警时保存正常监测结果，有预警时保存开放预警</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C04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P-ZLTC-SCOS-FYCB-009-60-001</w:t>
            </w:r>
          </w:p>
        </w:tc>
      </w:tr>
      <w:tr w14:paraId="7747E24D">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879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B43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持久化成本监测预警结果</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8E7A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B65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输入：SCOS生成的成本监测和预警结果；</w:t>
            </w:r>
          </w:p>
          <w:p w14:paraId="33DF7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输出：监测结果及预警版本</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88C9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数据中台保存指标快照、预警主记录、角色视图、状态和历史变化</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603F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状态变化形成新记录，不覆盖历史结果</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D401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P-ZLTC-SCOS-FYCB-009-70-001</w:t>
            </w:r>
          </w:p>
        </w:tc>
      </w:tr>
      <w:tr w14:paraId="1D1C03E1">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E08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36DF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0973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DB8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输出：已持久化的成本监测预警及追溯入口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D5C4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本轮异常识别完成</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B5B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AB8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1C1141D">
      <w:pPr>
        <w:rPr>
          <w:rFonts w:hint="default"/>
          <w:lang w:val="en-US" w:eastAsia="zh-CN"/>
        </w:rPr>
      </w:pPr>
    </w:p>
    <w:p w14:paraId="6C918C22">
      <w:pPr>
        <w:pStyle w:val="4"/>
        <w:ind w:left="161" w:leftChars="0" w:firstLineChars="0"/>
        <w:rPr>
          <w:rFonts w:hint="eastAsia" w:ascii="黑体" w:hAnsi="黑体" w:eastAsia="黑体" w:cs="黑体"/>
          <w:b/>
          <w:bCs w:val="0"/>
          <w:highlight w:val="none"/>
          <w:lang w:val="en-US" w:eastAsia="zh-CN"/>
        </w:rPr>
      </w:pPr>
      <w:bookmarkStart w:id="16" w:name="_Toc1126804772"/>
      <w:bookmarkStart w:id="17" w:name="_系统边界与分工"/>
      <w:r>
        <w:rPr>
          <w:rFonts w:hint="eastAsia" w:ascii="黑体" w:hAnsi="黑体" w:eastAsia="黑体" w:cs="黑体"/>
          <w:b/>
          <w:bCs w:val="0"/>
          <w:highlight w:val="none"/>
        </w:rPr>
        <w:t>系统边界与分工</w:t>
      </w:r>
      <w:bookmarkEnd w:id="16"/>
    </w:p>
    <w:bookmarkEnd w:id="17"/>
    <w:tbl>
      <w:tblPr>
        <w:tblStyle w:val="31"/>
        <w:tblW w:w="10617" w:type="dxa"/>
        <w:jc w:val="center"/>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autofit"/>
        <w:tblCellMar>
          <w:top w:w="0" w:type="dxa"/>
          <w:left w:w="10" w:type="dxa"/>
          <w:bottom w:w="0" w:type="dxa"/>
          <w:right w:w="10" w:type="dxa"/>
        </w:tblCellMar>
      </w:tblPr>
      <w:tblGrid>
        <w:gridCol w:w="1154"/>
        <w:gridCol w:w="3743"/>
        <w:gridCol w:w="3785"/>
        <w:gridCol w:w="1935"/>
      </w:tblGrid>
      <w:tr w14:paraId="7C35B840">
        <w:trPr>
          <w:trHeight w:val="406" w:hRule="atLeast"/>
          <w:tblHeader/>
          <w:jc w:val="center"/>
        </w:trPr>
        <w:tc>
          <w:tcPr>
            <w:tcW w:w="1154" w:type="dxa"/>
            <w:shd w:val="clear" w:color="auto" w:fill="auto"/>
            <w:noWrap w:val="0"/>
            <w:tcMar>
              <w:top w:w="-1" w:type="dxa"/>
              <w:left w:w="-1" w:type="dxa"/>
              <w:bottom w:w="-1" w:type="dxa"/>
              <w:right w:w="-1" w:type="dxa"/>
            </w:tcMar>
            <w:vAlign w:val="center"/>
          </w:tcPr>
          <w:p w14:paraId="291607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系统</w:t>
            </w:r>
          </w:p>
        </w:tc>
        <w:tc>
          <w:tcPr>
            <w:tcW w:w="3743" w:type="dxa"/>
            <w:shd w:val="clear" w:color="auto" w:fill="auto"/>
            <w:noWrap w:val="0"/>
            <w:tcMar>
              <w:top w:w="-1" w:type="dxa"/>
              <w:left w:w="-1" w:type="dxa"/>
              <w:bottom w:w="-1" w:type="dxa"/>
              <w:right w:w="-1" w:type="dxa"/>
            </w:tcMar>
            <w:vAlign w:val="center"/>
          </w:tcPr>
          <w:p w14:paraId="1A1FD9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SCOS 职责</w:t>
            </w:r>
          </w:p>
        </w:tc>
        <w:tc>
          <w:tcPr>
            <w:tcW w:w="3785" w:type="dxa"/>
            <w:shd w:val="clear" w:color="auto" w:fill="auto"/>
            <w:noWrap w:val="0"/>
            <w:tcMar>
              <w:top w:w="-1" w:type="dxa"/>
              <w:left w:w="-1" w:type="dxa"/>
              <w:bottom w:w="-1" w:type="dxa"/>
              <w:right w:w="-1" w:type="dxa"/>
            </w:tcMar>
            <w:vAlign w:val="center"/>
          </w:tcPr>
          <w:p w14:paraId="49645F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外部系统职责</w:t>
            </w:r>
          </w:p>
        </w:tc>
        <w:tc>
          <w:tcPr>
            <w:tcW w:w="1935" w:type="dxa"/>
            <w:shd w:val="clear" w:color="auto" w:fill="auto"/>
            <w:noWrap w:val="0"/>
            <w:tcMar>
              <w:top w:w="-1" w:type="dxa"/>
              <w:left w:w="-1" w:type="dxa"/>
              <w:bottom w:w="-1" w:type="dxa"/>
              <w:right w:w="-1" w:type="dxa"/>
            </w:tcMar>
            <w:vAlign w:val="center"/>
          </w:tcPr>
          <w:p w14:paraId="1E24B0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协同方式</w:t>
            </w:r>
          </w:p>
        </w:tc>
      </w:tr>
      <w:tr w14:paraId="1524290A">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232716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SAP</w:t>
            </w:r>
          </w:p>
        </w:tc>
        <w:tc>
          <w:tcPr>
            <w:tcW w:w="3743" w:type="dxa"/>
            <w:shd w:val="clear" w:color="auto" w:fill="auto"/>
            <w:noWrap w:val="0"/>
            <w:tcMar>
              <w:top w:w="-1" w:type="dxa"/>
              <w:left w:w="-1" w:type="dxa"/>
              <w:bottom w:w="-1" w:type="dxa"/>
              <w:right w:w="-1" w:type="dxa"/>
            </w:tcMar>
            <w:vAlign w:val="center"/>
          </w:tcPr>
          <w:p w14:paraId="0AA9807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接收 SAP 推送的</w:t>
            </w:r>
            <w:r>
              <w:rPr>
                <w:rFonts w:hint="eastAsia" w:ascii="宋体" w:hAnsi="宋体" w:eastAsia="宋体" w:cs="宋体"/>
                <w:i w:val="0"/>
                <w:iCs w:val="0"/>
                <w:color w:val="auto"/>
                <w:kern w:val="0"/>
                <w:sz w:val="18"/>
                <w:szCs w:val="18"/>
                <w:u w:val="none"/>
                <w:lang w:val="en-US" w:eastAsia="zh-CN" w:bidi="ar"/>
              </w:rPr>
              <w:t>主数据与</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，作为生产需求计算、生产计划制定、成本核算、</w:t>
            </w:r>
            <w:r>
              <w:rPr>
                <w:rFonts w:hint="eastAsia" w:ascii="宋体" w:hAnsi="宋体" w:cs="宋体"/>
                <w:i w:val="0"/>
                <w:iCs w:val="0"/>
                <w:color w:val="000000"/>
                <w:kern w:val="0"/>
                <w:sz w:val="18"/>
                <w:szCs w:val="18"/>
                <w:u w:val="none"/>
                <w:lang w:val="en-US" w:eastAsia="zh-CN" w:bidi="ar"/>
              </w:rPr>
              <w:t>安全</w:t>
            </w:r>
            <w:r>
              <w:rPr>
                <w:rFonts w:hint="eastAsia" w:ascii="宋体" w:hAnsi="宋体" w:eastAsia="宋体" w:cs="宋体"/>
                <w:i w:val="0"/>
                <w:iCs w:val="0"/>
                <w:color w:val="000000"/>
                <w:kern w:val="0"/>
                <w:sz w:val="18"/>
                <w:szCs w:val="18"/>
                <w:u w:val="none"/>
                <w:lang w:val="en-US" w:eastAsia="zh-CN" w:bidi="ar"/>
              </w:rPr>
              <w:t>库存</w:t>
            </w:r>
            <w:r>
              <w:rPr>
                <w:rFonts w:hint="eastAsia" w:ascii="宋体" w:hAnsi="宋体" w:cs="宋体"/>
                <w:i w:val="0"/>
                <w:iCs w:val="0"/>
                <w:color w:val="000000"/>
                <w:kern w:val="0"/>
                <w:sz w:val="18"/>
                <w:szCs w:val="18"/>
                <w:u w:val="none"/>
                <w:lang w:val="en-US" w:eastAsia="zh-CN" w:bidi="ar"/>
              </w:rPr>
              <w:t>优化</w:t>
            </w:r>
            <w:r>
              <w:rPr>
                <w:rFonts w:hint="eastAsia" w:ascii="宋体" w:hAnsi="宋体" w:eastAsia="宋体" w:cs="宋体"/>
                <w:i w:val="0"/>
                <w:iCs w:val="0"/>
                <w:color w:val="000000"/>
                <w:kern w:val="0"/>
                <w:sz w:val="18"/>
                <w:szCs w:val="18"/>
                <w:u w:val="none"/>
                <w:lang w:val="en-US" w:eastAsia="zh-CN" w:bidi="ar"/>
              </w:rPr>
              <w:t>的核心依据；</w:t>
            </w:r>
          </w:p>
        </w:tc>
        <w:tc>
          <w:tcPr>
            <w:tcW w:w="3785" w:type="dxa"/>
            <w:shd w:val="clear" w:color="auto" w:fill="auto"/>
            <w:noWrap w:val="0"/>
            <w:tcMar>
              <w:top w:w="-1" w:type="dxa"/>
              <w:left w:w="-1" w:type="dxa"/>
              <w:bottom w:w="-1" w:type="dxa"/>
              <w:right w:w="-1" w:type="dxa"/>
            </w:tcMar>
            <w:vAlign w:val="center"/>
          </w:tcPr>
          <w:p w14:paraId="34FF89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1.向 SCOS 推送物料、供应商、客户、仓库、储罐、生产设备等主数据，以及物料 BOM、成本 BOM、制造 BOM 等基础数据；</w:t>
            </w:r>
          </w:p>
        </w:tc>
        <w:tc>
          <w:tcPr>
            <w:tcW w:w="1935" w:type="dxa"/>
            <w:shd w:val="clear" w:color="auto" w:fill="auto"/>
            <w:noWrap w:val="0"/>
            <w:tcMar>
              <w:top w:w="-1" w:type="dxa"/>
              <w:left w:w="-1" w:type="dxa"/>
              <w:bottom w:w="-1" w:type="dxa"/>
              <w:right w:w="-1" w:type="dxa"/>
            </w:tcMar>
            <w:vAlign w:val="center"/>
          </w:tcPr>
          <w:p w14:paraId="48FB73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 → SCOS：定时/实时同步主数据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w:t>
            </w:r>
          </w:p>
        </w:tc>
      </w:tr>
      <w:tr w14:paraId="5F62FC17">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75C628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5E16AC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2.基于需求测算与计划排程结果，向 SAP 回传</w:t>
            </w:r>
            <w:r>
              <w:rPr>
                <w:rFonts w:hint="eastAsia" w:ascii="宋体" w:hAnsi="宋体" w:cs="宋体"/>
                <w:i w:val="0"/>
                <w:iCs w:val="0"/>
                <w:color w:val="000000"/>
                <w:kern w:val="0"/>
                <w:sz w:val="18"/>
                <w:szCs w:val="18"/>
                <w:u w:val="none"/>
                <w:lang w:val="en-US" w:eastAsia="zh-CN" w:bidi="ar"/>
              </w:rPr>
              <w:t>确认后</w:t>
            </w:r>
            <w:r>
              <w:rPr>
                <w:rFonts w:hint="eastAsia" w:ascii="宋体" w:hAnsi="宋体" w:eastAsia="宋体" w:cs="宋体"/>
                <w:i w:val="0"/>
                <w:iCs w:val="0"/>
                <w:color w:val="000000"/>
                <w:kern w:val="0"/>
                <w:sz w:val="18"/>
                <w:szCs w:val="18"/>
                <w:u w:val="none"/>
                <w:lang w:val="en-US" w:eastAsia="zh-CN" w:bidi="ar"/>
              </w:rPr>
              <w:t>的生产订单、原辅包采购订单；</w:t>
            </w:r>
          </w:p>
        </w:tc>
        <w:tc>
          <w:tcPr>
            <w:tcW w:w="3785" w:type="dxa"/>
            <w:shd w:val="clear" w:color="auto" w:fill="auto"/>
            <w:noWrap w:val="0"/>
            <w:tcMar>
              <w:top w:w="-1" w:type="dxa"/>
              <w:left w:w="-1" w:type="dxa"/>
              <w:bottom w:w="-1" w:type="dxa"/>
              <w:right w:w="-1" w:type="dxa"/>
            </w:tcMar>
            <w:vAlign w:val="center"/>
          </w:tcPr>
          <w:p w14:paraId="0A948D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2.提供历史交易、历史出货数据、原料价格、未清订单、原辅包在途、库存、费用池、应收应付、设备折旧等业务数据；</w:t>
            </w:r>
          </w:p>
        </w:tc>
        <w:tc>
          <w:tcPr>
            <w:tcW w:w="1935" w:type="dxa"/>
            <w:shd w:val="clear" w:color="auto" w:fill="auto"/>
            <w:noWrap w:val="0"/>
            <w:tcMar>
              <w:top w:w="-1" w:type="dxa"/>
              <w:left w:w="-1" w:type="dxa"/>
              <w:bottom w:w="-1" w:type="dxa"/>
              <w:right w:w="-1" w:type="dxa"/>
            </w:tcMar>
            <w:vAlign w:val="center"/>
          </w:tcPr>
          <w:p w14:paraId="20BDA9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 → SAP：</w:t>
            </w:r>
            <w:r>
              <w:rPr>
                <w:rFonts w:hint="eastAsia" w:ascii="宋体" w:hAnsi="宋体" w:cs="宋体"/>
                <w:i w:val="0"/>
                <w:iCs w:val="0"/>
                <w:color w:val="000000"/>
                <w:kern w:val="0"/>
                <w:sz w:val="18"/>
                <w:szCs w:val="18"/>
                <w:u w:val="none"/>
                <w:lang w:val="en-US" w:eastAsia="zh-CN" w:bidi="ar"/>
              </w:rPr>
              <w:t>确认</w:t>
            </w:r>
            <w:r>
              <w:rPr>
                <w:rFonts w:hint="eastAsia" w:ascii="宋体" w:hAnsi="宋体" w:eastAsia="宋体" w:cs="宋体"/>
                <w:i w:val="0"/>
                <w:iCs w:val="0"/>
                <w:color w:val="000000"/>
                <w:kern w:val="0"/>
                <w:sz w:val="18"/>
                <w:szCs w:val="18"/>
                <w:u w:val="none"/>
                <w:lang w:val="en-US" w:eastAsia="zh-CN" w:bidi="ar"/>
              </w:rPr>
              <w:t>后回传生产订单、采购订单</w:t>
            </w:r>
            <w:r>
              <w:rPr>
                <w:rFonts w:hint="eastAsia" w:ascii="宋体" w:hAnsi="宋体" w:cs="宋体"/>
                <w:i w:val="0"/>
                <w:iCs w:val="0"/>
                <w:color w:val="000000"/>
                <w:kern w:val="0"/>
                <w:sz w:val="18"/>
                <w:szCs w:val="18"/>
                <w:u w:val="none"/>
                <w:lang w:val="en-US" w:eastAsia="zh-CN" w:bidi="ar"/>
              </w:rPr>
              <w:t>；</w:t>
            </w:r>
          </w:p>
        </w:tc>
      </w:tr>
      <w:tr w14:paraId="7F79A45D">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430C62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WMS</w:t>
            </w:r>
          </w:p>
        </w:tc>
        <w:tc>
          <w:tcPr>
            <w:tcW w:w="3743" w:type="dxa"/>
            <w:shd w:val="clear" w:color="auto" w:fill="auto"/>
            <w:noWrap w:val="0"/>
            <w:tcMar>
              <w:top w:w="-1" w:type="dxa"/>
              <w:left w:w="-1" w:type="dxa"/>
              <w:bottom w:w="-1" w:type="dxa"/>
              <w:right w:w="-1" w:type="dxa"/>
            </w:tcMar>
            <w:vAlign w:val="center"/>
          </w:tcPr>
          <w:p w14:paraId="00ADED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lang w:val="en-US"/>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WMS 回传的</w:t>
            </w:r>
            <w:r>
              <w:rPr>
                <w:rFonts w:hint="eastAsia" w:ascii="宋体" w:hAnsi="宋体" w:cs="宋体"/>
                <w:b w:val="0"/>
                <w:bCs w:val="0"/>
                <w:i w:val="0"/>
                <w:iCs w:val="0"/>
                <w:color w:val="000000"/>
                <w:kern w:val="0"/>
                <w:sz w:val="18"/>
                <w:szCs w:val="18"/>
                <w:u w:val="none"/>
                <w:lang w:val="en-US" w:eastAsia="zh-CN" w:bidi="ar"/>
              </w:rPr>
              <w:t>原辅包在库量、原辅包安全库存、入库原料批次</w:t>
            </w:r>
            <w:r>
              <w:rPr>
                <w:rFonts w:hint="eastAsia" w:ascii="宋体" w:hAnsi="宋体" w:eastAsia="宋体" w:cs="宋体"/>
                <w:b w:val="0"/>
                <w:bCs w:val="0"/>
                <w:i w:val="0"/>
                <w:iCs w:val="0"/>
                <w:color w:val="000000"/>
                <w:kern w:val="0"/>
                <w:sz w:val="18"/>
                <w:szCs w:val="18"/>
                <w:u w:val="none"/>
                <w:lang w:val="en-US" w:eastAsia="zh-CN" w:bidi="ar"/>
              </w:rPr>
              <w:t>数据</w:t>
            </w:r>
            <w:r>
              <w:rPr>
                <w:rFonts w:hint="eastAsia" w:ascii="宋体" w:hAnsi="宋体" w:cs="宋体"/>
                <w:b w:val="0"/>
                <w:bCs w:val="0"/>
                <w:i w:val="0"/>
                <w:iCs w:val="0"/>
                <w:color w:val="000000"/>
                <w:kern w:val="0"/>
                <w:sz w:val="18"/>
                <w:szCs w:val="18"/>
                <w:u w:val="none"/>
                <w:lang w:val="en-US" w:eastAsia="zh-CN" w:bidi="ar"/>
              </w:rPr>
              <w:t>，用于</w:t>
            </w:r>
            <w:r>
              <w:rPr>
                <w:rFonts w:hint="eastAsia" w:ascii="宋体" w:hAnsi="宋体" w:eastAsia="宋体" w:cs="宋体"/>
                <w:i w:val="0"/>
                <w:iCs w:val="0"/>
                <w:color w:val="000000"/>
                <w:kern w:val="0"/>
                <w:sz w:val="18"/>
                <w:szCs w:val="18"/>
                <w:u w:val="none"/>
                <w:lang w:val="en-US" w:eastAsia="zh-CN" w:bidi="ar"/>
              </w:rPr>
              <w:t>安全库存计算与产线计划排程</w:t>
            </w:r>
            <w:r>
              <w:rPr>
                <w:rFonts w:hint="eastAsia" w:ascii="宋体" w:hAnsi="宋体" w:eastAsia="宋体" w:cs="宋体"/>
                <w:b w:val="0"/>
                <w:bCs w:val="0"/>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3B8B1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.实时回传原辅包、半成品、成品的库存数量、</w:t>
            </w:r>
            <w:r>
              <w:rPr>
                <w:rFonts w:hint="eastAsia" w:ascii="宋体" w:hAnsi="宋体" w:cs="宋体"/>
                <w:i w:val="0"/>
                <w:iCs w:val="0"/>
                <w:color w:val="000000"/>
                <w:kern w:val="0"/>
                <w:sz w:val="18"/>
                <w:szCs w:val="18"/>
                <w:u w:val="none"/>
                <w:lang w:val="en-US" w:eastAsia="zh-CN" w:bidi="ar"/>
              </w:rPr>
              <w:t>安全库存、入库原料批次</w:t>
            </w:r>
            <w:r>
              <w:rPr>
                <w:rFonts w:hint="eastAsia" w:ascii="宋体" w:hAnsi="宋体" w:eastAsia="宋体" w:cs="宋体"/>
                <w:i w:val="0"/>
                <w:iCs w:val="0"/>
                <w:color w:val="000000"/>
                <w:kern w:val="0"/>
                <w:sz w:val="18"/>
                <w:szCs w:val="18"/>
                <w:u w:val="none"/>
                <w:lang w:val="en-US" w:eastAsia="zh-CN" w:bidi="ar"/>
              </w:rPr>
              <w:t>；</w:t>
            </w:r>
          </w:p>
        </w:tc>
        <w:tc>
          <w:tcPr>
            <w:tcW w:w="1935" w:type="dxa"/>
            <w:shd w:val="clear" w:color="auto" w:fill="auto"/>
            <w:noWrap w:val="0"/>
            <w:tcMar>
              <w:top w:w="-1" w:type="dxa"/>
              <w:left w:w="-1" w:type="dxa"/>
              <w:bottom w:w="-1" w:type="dxa"/>
              <w:right w:w="-1" w:type="dxa"/>
            </w:tcMar>
            <w:vAlign w:val="center"/>
          </w:tcPr>
          <w:p w14:paraId="035095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WMS → SCOS：实时同步库存数据</w:t>
            </w:r>
            <w:r>
              <w:rPr>
                <w:rFonts w:hint="eastAsia" w:ascii="宋体" w:hAnsi="宋体" w:cs="宋体"/>
                <w:i w:val="0"/>
                <w:iCs w:val="0"/>
                <w:color w:val="000000"/>
                <w:kern w:val="0"/>
                <w:sz w:val="18"/>
                <w:szCs w:val="18"/>
                <w:u w:val="none"/>
                <w:lang w:val="en-US" w:eastAsia="zh-CN" w:bidi="ar"/>
              </w:rPr>
              <w:t>、安全库存与入库原料批次；</w:t>
            </w:r>
          </w:p>
        </w:tc>
      </w:tr>
      <w:tr w14:paraId="49413DBF">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0E8CD6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675324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.基于生产、采购、配送计划，向WMS下发生产领料、</w:t>
            </w:r>
            <w:r>
              <w:rPr>
                <w:rFonts w:hint="eastAsia" w:ascii="宋体" w:hAnsi="宋体" w:cs="宋体"/>
                <w:b/>
                <w:bCs/>
                <w:i w:val="0"/>
                <w:iCs w:val="0"/>
                <w:color w:val="000000"/>
                <w:kern w:val="0"/>
                <w:sz w:val="18"/>
                <w:szCs w:val="18"/>
                <w:u w:val="none"/>
                <w:lang w:val="en-US" w:eastAsia="zh-CN" w:bidi="ar"/>
              </w:rPr>
              <w:t>玉</w:t>
            </w:r>
            <w:r>
              <w:rPr>
                <w:rFonts w:hint="eastAsia" w:ascii="宋体" w:hAnsi="宋体" w:cs="宋体"/>
                <w:b w:val="0"/>
                <w:bCs w:val="0"/>
                <w:i w:val="0"/>
                <w:iCs w:val="0"/>
                <w:color w:val="000000"/>
                <w:kern w:val="0"/>
                <w:sz w:val="18"/>
                <w:szCs w:val="18"/>
                <w:u w:val="none"/>
                <w:lang w:val="en-US" w:eastAsia="zh-CN" w:bidi="ar"/>
              </w:rPr>
              <w:t>米淀粉</w:t>
            </w:r>
            <w:r>
              <w:rPr>
                <w:rFonts w:hint="eastAsia" w:ascii="宋体" w:hAnsi="宋体" w:eastAsia="宋体" w:cs="宋体"/>
                <w:b w:val="0"/>
                <w:bCs w:val="0"/>
                <w:i w:val="0"/>
                <w:iCs w:val="0"/>
                <w:color w:val="000000"/>
                <w:kern w:val="0"/>
                <w:sz w:val="18"/>
                <w:szCs w:val="18"/>
                <w:u w:val="none"/>
                <w:lang w:val="en-US" w:eastAsia="zh-CN" w:bidi="ar"/>
              </w:rPr>
              <w:t>日投料等仓</w:t>
            </w:r>
            <w:r>
              <w:rPr>
                <w:rFonts w:hint="eastAsia" w:ascii="宋体" w:hAnsi="宋体" w:eastAsia="宋体" w:cs="宋体"/>
                <w:i w:val="0"/>
                <w:iCs w:val="0"/>
                <w:color w:val="000000"/>
                <w:kern w:val="0"/>
                <w:sz w:val="18"/>
                <w:szCs w:val="18"/>
                <w:u w:val="none"/>
                <w:lang w:val="en-US" w:eastAsia="zh-CN" w:bidi="ar"/>
              </w:rPr>
              <w:t>储作业指令；</w:t>
            </w:r>
          </w:p>
        </w:tc>
        <w:tc>
          <w:tcPr>
            <w:tcW w:w="3785" w:type="dxa"/>
            <w:shd w:val="clear" w:color="auto" w:fill="auto"/>
            <w:noWrap w:val="0"/>
            <w:tcMar>
              <w:top w:w="-1" w:type="dxa"/>
              <w:left w:w="-1" w:type="dxa"/>
              <w:bottom w:w="-1" w:type="dxa"/>
              <w:right w:w="-1" w:type="dxa"/>
            </w:tcMar>
            <w:vAlign w:val="center"/>
          </w:tcPr>
          <w:p w14:paraId="3DF047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w:t>
            </w:r>
            <w:r>
              <w:rPr>
                <w:rFonts w:hint="eastAsia" w:ascii="宋体" w:hAnsi="宋体" w:cs="宋体"/>
                <w:b w:val="0"/>
                <w:bCs w:val="0"/>
                <w:i w:val="0"/>
                <w:iCs w:val="0"/>
                <w:color w:val="000000"/>
                <w:kern w:val="0"/>
                <w:sz w:val="18"/>
                <w:szCs w:val="18"/>
                <w:u w:val="none"/>
                <w:lang w:val="en-US" w:eastAsia="zh-CN" w:bidi="ar"/>
              </w:rPr>
              <w:t>玉米淀粉</w:t>
            </w:r>
            <w:r>
              <w:rPr>
                <w:rFonts w:hint="eastAsia" w:ascii="宋体" w:hAnsi="宋体" w:eastAsia="宋体" w:cs="宋体"/>
                <w:b w:val="0"/>
                <w:bCs w:val="0"/>
                <w:i w:val="0"/>
                <w:iCs w:val="0"/>
                <w:color w:val="000000"/>
                <w:kern w:val="0"/>
                <w:sz w:val="18"/>
                <w:szCs w:val="18"/>
                <w:u w:val="none"/>
                <w:lang w:val="en-US" w:eastAsia="zh-CN" w:bidi="ar"/>
              </w:rPr>
              <w:t>日投料等</w:t>
            </w:r>
            <w:r>
              <w:rPr>
                <w:rFonts w:hint="eastAsia" w:ascii="宋体" w:hAnsi="宋体" w:eastAsia="宋体" w:cs="宋体"/>
                <w:i w:val="0"/>
                <w:iCs w:val="0"/>
                <w:color w:val="000000"/>
                <w:kern w:val="0"/>
                <w:sz w:val="18"/>
                <w:szCs w:val="18"/>
                <w:u w:val="none"/>
                <w:lang w:val="en-US" w:eastAsia="zh-CN" w:bidi="ar"/>
              </w:rPr>
              <w:t>仓储作业指令，执行库内作业；</w:t>
            </w:r>
          </w:p>
        </w:tc>
        <w:tc>
          <w:tcPr>
            <w:tcW w:w="1935" w:type="dxa"/>
            <w:shd w:val="clear" w:color="auto" w:fill="auto"/>
            <w:noWrap w:val="0"/>
            <w:tcMar>
              <w:top w:w="-1" w:type="dxa"/>
              <w:left w:w="-1" w:type="dxa"/>
              <w:bottom w:w="-1" w:type="dxa"/>
              <w:right w:w="-1" w:type="dxa"/>
            </w:tcMar>
            <w:vAlign w:val="center"/>
          </w:tcPr>
          <w:p w14:paraId="758360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WMS：实时推送仓储作业指令；</w:t>
            </w:r>
          </w:p>
        </w:tc>
      </w:tr>
      <w:tr w14:paraId="6765D31A">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957E1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TMS</w:t>
            </w:r>
          </w:p>
        </w:tc>
        <w:tc>
          <w:tcPr>
            <w:tcW w:w="3743" w:type="dxa"/>
            <w:shd w:val="clear" w:color="auto" w:fill="auto"/>
            <w:noWrap w:val="0"/>
            <w:tcMar>
              <w:top w:w="-1" w:type="dxa"/>
              <w:left w:w="-1" w:type="dxa"/>
              <w:bottom w:w="-1" w:type="dxa"/>
              <w:right w:w="-1" w:type="dxa"/>
            </w:tcMar>
            <w:vAlign w:val="center"/>
          </w:tcPr>
          <w:p w14:paraId="381A4D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.接收TMS回传的</w:t>
            </w:r>
            <w:r>
              <w:rPr>
                <w:rFonts w:hint="eastAsia" w:ascii="宋体" w:hAnsi="宋体" w:cs="宋体"/>
                <w:b w:val="0"/>
                <w:bCs w:val="0"/>
                <w:i w:val="0"/>
                <w:iCs w:val="0"/>
                <w:color w:val="000000"/>
                <w:kern w:val="0"/>
                <w:sz w:val="18"/>
                <w:szCs w:val="18"/>
                <w:u w:val="none"/>
                <w:lang w:val="en-US" w:eastAsia="zh-CN" w:bidi="ar"/>
              </w:rPr>
              <w:t>淀粉到货计划、车次批次、成品</w:t>
            </w:r>
            <w:r>
              <w:rPr>
                <w:rFonts w:hint="eastAsia" w:ascii="宋体" w:hAnsi="宋体" w:eastAsia="宋体" w:cs="宋体"/>
                <w:b w:val="0"/>
                <w:bCs w:val="0"/>
                <w:i w:val="0"/>
                <w:iCs w:val="0"/>
                <w:color w:val="000000"/>
                <w:kern w:val="0"/>
                <w:sz w:val="18"/>
                <w:szCs w:val="18"/>
                <w:u w:val="none"/>
                <w:lang w:val="en-US" w:eastAsia="zh-CN" w:bidi="ar"/>
              </w:rPr>
              <w:t>在途</w:t>
            </w:r>
            <w:r>
              <w:rPr>
                <w:rFonts w:hint="eastAsia" w:ascii="宋体" w:hAnsi="宋体" w:cs="宋体"/>
                <w:b w:val="0"/>
                <w:bCs w:val="0"/>
                <w:i w:val="0"/>
                <w:iCs w:val="0"/>
                <w:color w:val="000000"/>
                <w:kern w:val="0"/>
                <w:sz w:val="18"/>
                <w:szCs w:val="18"/>
                <w:u w:val="none"/>
                <w:lang w:val="en-US" w:eastAsia="zh-CN" w:bidi="ar"/>
              </w:rPr>
              <w:t>与</w:t>
            </w:r>
            <w:r>
              <w:rPr>
                <w:rFonts w:hint="eastAsia" w:ascii="宋体" w:hAnsi="宋体" w:eastAsia="宋体" w:cs="宋体"/>
                <w:b w:val="0"/>
                <w:bCs w:val="0"/>
                <w:i w:val="0"/>
                <w:iCs w:val="0"/>
                <w:color w:val="000000"/>
                <w:kern w:val="0"/>
                <w:sz w:val="18"/>
                <w:szCs w:val="18"/>
                <w:u w:val="none"/>
                <w:lang w:val="en-US" w:eastAsia="zh-CN" w:bidi="ar"/>
              </w:rPr>
              <w:t>运输数据</w:t>
            </w:r>
            <w:r>
              <w:rPr>
                <w:rFonts w:hint="eastAsia" w:ascii="宋体" w:hAnsi="宋体" w:cs="宋体"/>
                <w:b w:val="0"/>
                <w:bCs w:val="0"/>
                <w:i w:val="0"/>
                <w:iCs w:val="0"/>
                <w:color w:val="000000"/>
                <w:kern w:val="0"/>
                <w:sz w:val="18"/>
                <w:szCs w:val="18"/>
                <w:u w:val="none"/>
                <w:lang w:val="en-US" w:eastAsia="zh-CN" w:bidi="ar"/>
              </w:rPr>
              <w:t>，并完成</w:t>
            </w:r>
            <w:r>
              <w:rPr>
                <w:rFonts w:hint="eastAsia" w:ascii="宋体" w:hAnsi="宋体" w:cs="宋体"/>
                <w:i w:val="0"/>
                <w:iCs w:val="0"/>
                <w:color w:val="000000"/>
                <w:kern w:val="0"/>
                <w:sz w:val="18"/>
                <w:szCs w:val="18"/>
                <w:u w:val="none"/>
                <w:lang w:val="en-US" w:eastAsia="zh-CN" w:bidi="ar"/>
              </w:rPr>
              <w:t>交货准时率计算；</w:t>
            </w:r>
          </w:p>
        </w:tc>
        <w:tc>
          <w:tcPr>
            <w:tcW w:w="3785" w:type="dxa"/>
            <w:shd w:val="clear" w:color="auto" w:fill="auto"/>
            <w:noWrap w:val="0"/>
            <w:tcMar>
              <w:top w:w="-1" w:type="dxa"/>
              <w:left w:w="-1" w:type="dxa"/>
              <w:bottom w:w="-1" w:type="dxa"/>
              <w:right w:w="-1" w:type="dxa"/>
            </w:tcMar>
            <w:vAlign w:val="center"/>
          </w:tcPr>
          <w:p w14:paraId="2B1B2D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.向 SCOS 推送</w:t>
            </w:r>
            <w:r>
              <w:rPr>
                <w:rFonts w:hint="eastAsia" w:ascii="宋体" w:hAnsi="宋体" w:cs="宋体"/>
                <w:b w:val="0"/>
                <w:bCs w:val="0"/>
                <w:i w:val="0"/>
                <w:iCs w:val="0"/>
                <w:color w:val="000000"/>
                <w:kern w:val="0"/>
                <w:sz w:val="18"/>
                <w:szCs w:val="18"/>
                <w:u w:val="none"/>
                <w:lang w:val="en-US" w:eastAsia="zh-CN" w:bidi="ar"/>
              </w:rPr>
              <w:t>淀粉到货计划、车次批次、</w:t>
            </w:r>
            <w:r>
              <w:rPr>
                <w:rFonts w:hint="eastAsia" w:ascii="宋体" w:hAnsi="宋体" w:eastAsia="宋体" w:cs="宋体"/>
                <w:b w:val="0"/>
                <w:bCs w:val="0"/>
                <w:i w:val="0"/>
                <w:iCs w:val="0"/>
                <w:color w:val="000000"/>
                <w:kern w:val="0"/>
                <w:sz w:val="18"/>
                <w:szCs w:val="18"/>
                <w:u w:val="none"/>
                <w:lang w:val="en-US" w:eastAsia="zh-CN" w:bidi="ar"/>
              </w:rPr>
              <w:t>运输节点、</w:t>
            </w:r>
            <w:r>
              <w:rPr>
                <w:rFonts w:hint="eastAsia" w:ascii="宋体" w:hAnsi="宋体" w:cs="宋体"/>
                <w:b w:val="0"/>
                <w:bCs w:val="0"/>
                <w:i w:val="0"/>
                <w:iCs w:val="0"/>
                <w:color w:val="000000"/>
                <w:kern w:val="0"/>
                <w:sz w:val="18"/>
                <w:szCs w:val="18"/>
                <w:u w:val="none"/>
                <w:lang w:val="en-US" w:eastAsia="zh-CN" w:bidi="ar"/>
              </w:rPr>
              <w:t>成品</w:t>
            </w:r>
            <w:r>
              <w:rPr>
                <w:rFonts w:hint="eastAsia" w:ascii="宋体" w:hAnsi="宋体" w:eastAsia="宋体" w:cs="宋体"/>
                <w:b w:val="0"/>
                <w:bCs w:val="0"/>
                <w:i w:val="0"/>
                <w:iCs w:val="0"/>
                <w:color w:val="000000"/>
                <w:kern w:val="0"/>
                <w:sz w:val="18"/>
                <w:szCs w:val="18"/>
                <w:u w:val="none"/>
                <w:lang w:val="en-US" w:eastAsia="zh-CN" w:bidi="ar"/>
              </w:rPr>
              <w:t>在途、预计到货/发货时间；</w:t>
            </w:r>
          </w:p>
        </w:tc>
        <w:tc>
          <w:tcPr>
            <w:tcW w:w="1935" w:type="dxa"/>
            <w:shd w:val="clear" w:color="auto" w:fill="auto"/>
            <w:noWrap w:val="0"/>
            <w:tcMar>
              <w:top w:w="-1" w:type="dxa"/>
              <w:left w:w="-1" w:type="dxa"/>
              <w:bottom w:w="-1" w:type="dxa"/>
              <w:right w:w="-1" w:type="dxa"/>
            </w:tcMar>
            <w:vAlign w:val="center"/>
          </w:tcPr>
          <w:p w14:paraId="457998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TMS → SCOS：实时同步</w:t>
            </w:r>
            <w:r>
              <w:rPr>
                <w:rFonts w:hint="eastAsia" w:ascii="宋体" w:hAnsi="宋体" w:cs="宋体"/>
                <w:i w:val="0"/>
                <w:iCs w:val="0"/>
                <w:color w:val="000000"/>
                <w:kern w:val="0"/>
                <w:sz w:val="18"/>
                <w:szCs w:val="18"/>
                <w:u w:val="none"/>
                <w:lang w:val="en-US" w:eastAsia="zh-CN" w:bidi="ar"/>
              </w:rPr>
              <w:t>淀粉到货计划、车次批次</w:t>
            </w:r>
            <w:r>
              <w:rPr>
                <w:rFonts w:hint="eastAsia" w:ascii="宋体" w:hAnsi="宋体" w:eastAsia="宋体" w:cs="宋体"/>
                <w:i w:val="0"/>
                <w:iCs w:val="0"/>
                <w:color w:val="000000"/>
                <w:kern w:val="0"/>
                <w:sz w:val="18"/>
                <w:szCs w:val="18"/>
                <w:u w:val="none"/>
                <w:lang w:val="en-US" w:eastAsia="zh-CN" w:bidi="ar"/>
              </w:rPr>
              <w:t>与运输执行数据</w:t>
            </w:r>
          </w:p>
        </w:tc>
      </w:tr>
      <w:tr w14:paraId="0FD10D99">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D2363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7E79F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.向TMS推送原辅包到厂需求计划与运输需求；</w:t>
            </w:r>
          </w:p>
        </w:tc>
        <w:tc>
          <w:tcPr>
            <w:tcW w:w="3785" w:type="dxa"/>
            <w:shd w:val="clear" w:color="auto" w:fill="auto"/>
            <w:noWrap w:val="0"/>
            <w:tcMar>
              <w:top w:w="-1" w:type="dxa"/>
              <w:left w:w="-1" w:type="dxa"/>
              <w:bottom w:w="-1" w:type="dxa"/>
              <w:right w:w="-1" w:type="dxa"/>
            </w:tcMar>
            <w:vAlign w:val="center"/>
          </w:tcPr>
          <w:p w14:paraId="307F49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下发的原辅包到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计划，生成物流任务并调度执行；</w:t>
            </w:r>
          </w:p>
        </w:tc>
        <w:tc>
          <w:tcPr>
            <w:tcW w:w="1935" w:type="dxa"/>
            <w:shd w:val="clear" w:color="auto" w:fill="auto"/>
            <w:noWrap w:val="0"/>
            <w:tcMar>
              <w:top w:w="-1" w:type="dxa"/>
              <w:left w:w="-1" w:type="dxa"/>
              <w:bottom w:w="-1" w:type="dxa"/>
              <w:right w:w="-1" w:type="dxa"/>
            </w:tcMar>
            <w:vAlign w:val="center"/>
          </w:tcPr>
          <w:p w14:paraId="6649AB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TMS：实时推送</w:t>
            </w:r>
            <w:r>
              <w:rPr>
                <w:rFonts w:hint="eastAsia" w:ascii="宋体" w:hAnsi="宋体" w:cs="宋体"/>
                <w:i w:val="0"/>
                <w:iCs w:val="0"/>
                <w:color w:val="000000"/>
                <w:kern w:val="0"/>
                <w:sz w:val="18"/>
                <w:szCs w:val="18"/>
                <w:u w:val="none"/>
                <w:lang w:val="en-US" w:eastAsia="zh-CN" w:bidi="ar"/>
              </w:rPr>
              <w:t>原辅包</w:t>
            </w:r>
            <w:r>
              <w:rPr>
                <w:rFonts w:hint="eastAsia" w:ascii="宋体" w:hAnsi="宋体" w:eastAsia="宋体" w:cs="宋体"/>
                <w:i w:val="0"/>
                <w:iCs w:val="0"/>
                <w:color w:val="000000"/>
                <w:kern w:val="0"/>
                <w:sz w:val="18"/>
                <w:szCs w:val="18"/>
                <w:u w:val="none"/>
                <w:lang w:val="en-US" w:eastAsia="zh-CN" w:bidi="ar"/>
              </w:rPr>
              <w:t>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计划与</w:t>
            </w:r>
            <w:r>
              <w:rPr>
                <w:rFonts w:hint="eastAsia" w:ascii="宋体" w:hAnsi="宋体" w:cs="宋体"/>
                <w:i w:val="0"/>
                <w:iCs w:val="0"/>
                <w:color w:val="000000"/>
                <w:kern w:val="0"/>
                <w:sz w:val="18"/>
                <w:szCs w:val="18"/>
                <w:u w:val="none"/>
                <w:lang w:val="en-US" w:eastAsia="zh-CN" w:bidi="ar"/>
              </w:rPr>
              <w:t>发运</w:t>
            </w:r>
            <w:r>
              <w:rPr>
                <w:rFonts w:hint="eastAsia" w:ascii="宋体" w:hAnsi="宋体" w:eastAsia="宋体" w:cs="宋体"/>
                <w:i w:val="0"/>
                <w:iCs w:val="0"/>
                <w:color w:val="000000"/>
                <w:kern w:val="0"/>
                <w:sz w:val="18"/>
                <w:szCs w:val="18"/>
                <w:u w:val="none"/>
                <w:lang w:val="en-US" w:eastAsia="zh-CN" w:bidi="ar"/>
              </w:rPr>
              <w:t>需求；</w:t>
            </w:r>
          </w:p>
        </w:tc>
      </w:tr>
      <w:tr w14:paraId="59E3153D">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57B87C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QMS</w:t>
            </w:r>
          </w:p>
        </w:tc>
        <w:tc>
          <w:tcPr>
            <w:tcW w:w="3743" w:type="dxa"/>
            <w:shd w:val="clear" w:color="auto" w:fill="auto"/>
            <w:noWrap w:val="0"/>
            <w:tcMar>
              <w:top w:w="-1" w:type="dxa"/>
              <w:left w:w="-1" w:type="dxa"/>
              <w:bottom w:w="-1" w:type="dxa"/>
              <w:right w:w="-1" w:type="dxa"/>
            </w:tcMar>
            <w:vAlign w:val="center"/>
          </w:tcPr>
          <w:p w14:paraId="585E76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 QMS 推送的来料质检结果与供应商交货考核数据；</w:t>
            </w:r>
          </w:p>
        </w:tc>
        <w:tc>
          <w:tcPr>
            <w:tcW w:w="3785" w:type="dxa"/>
            <w:shd w:val="clear" w:color="auto" w:fill="auto"/>
            <w:noWrap w:val="0"/>
            <w:tcMar>
              <w:top w:w="-1" w:type="dxa"/>
              <w:left w:w="-1" w:type="dxa"/>
              <w:bottom w:w="-1" w:type="dxa"/>
              <w:right w:w="-1" w:type="dxa"/>
            </w:tcMar>
            <w:vAlign w:val="center"/>
          </w:tcPr>
          <w:p w14:paraId="253785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推送来料质检报告与质量异常信息；</w:t>
            </w:r>
          </w:p>
        </w:tc>
        <w:tc>
          <w:tcPr>
            <w:tcW w:w="1935" w:type="dxa"/>
            <w:shd w:val="clear" w:color="auto" w:fill="auto"/>
            <w:noWrap w:val="0"/>
            <w:tcMar>
              <w:top w:w="-1" w:type="dxa"/>
              <w:left w:w="-1" w:type="dxa"/>
              <w:bottom w:w="-1" w:type="dxa"/>
              <w:right w:w="-1" w:type="dxa"/>
            </w:tcMar>
            <w:vAlign w:val="center"/>
          </w:tcPr>
          <w:p w14:paraId="41FD12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QMS → SCOS：实时推送质检结果与供应商交货考核数据；</w:t>
            </w:r>
          </w:p>
        </w:tc>
      </w:tr>
      <w:tr w14:paraId="340FF013">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3A444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6013E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2.将质量信息纳入采购策略优化、供应商评估与生产计划调整；</w:t>
            </w:r>
          </w:p>
        </w:tc>
        <w:tc>
          <w:tcPr>
            <w:tcW w:w="3785" w:type="dxa"/>
            <w:shd w:val="clear" w:color="auto" w:fill="auto"/>
            <w:noWrap w:val="0"/>
            <w:tcMar>
              <w:top w:w="-1" w:type="dxa"/>
              <w:left w:w="-1" w:type="dxa"/>
              <w:bottom w:w="-1" w:type="dxa"/>
              <w:right w:w="-1" w:type="dxa"/>
            </w:tcMar>
            <w:vAlign w:val="center"/>
          </w:tcPr>
          <w:p w14:paraId="3A9D71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2.提供供应商准时率、质量、产能、MOQ 等交货考核数据；</w:t>
            </w:r>
          </w:p>
        </w:tc>
        <w:tc>
          <w:tcPr>
            <w:tcW w:w="1935" w:type="dxa"/>
            <w:shd w:val="clear" w:color="auto" w:fill="auto"/>
            <w:noWrap w:val="0"/>
            <w:tcMar>
              <w:top w:w="-1" w:type="dxa"/>
              <w:left w:w="-1" w:type="dxa"/>
              <w:bottom w:w="-1" w:type="dxa"/>
              <w:right w:w="-1" w:type="dxa"/>
            </w:tcMar>
            <w:vAlign w:val="center"/>
          </w:tcPr>
          <w:p w14:paraId="1E4CAE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1458C116">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E9924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MES</w:t>
            </w:r>
          </w:p>
        </w:tc>
        <w:tc>
          <w:tcPr>
            <w:tcW w:w="3743" w:type="dxa"/>
            <w:shd w:val="clear" w:color="auto" w:fill="auto"/>
            <w:noWrap w:val="0"/>
            <w:tcMar>
              <w:top w:w="-1" w:type="dxa"/>
              <w:left w:w="-1" w:type="dxa"/>
              <w:bottom w:w="-1" w:type="dxa"/>
              <w:right w:w="-1" w:type="dxa"/>
            </w:tcMar>
            <w:vAlign w:val="center"/>
          </w:tcPr>
          <w:p w14:paraId="164AF4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MES 回传的生产</w:t>
            </w:r>
            <w:r>
              <w:rPr>
                <w:rFonts w:hint="eastAsia" w:ascii="宋体" w:hAnsi="宋体" w:cs="宋体"/>
                <w:i w:val="0"/>
                <w:iCs w:val="0"/>
                <w:color w:val="000000"/>
                <w:kern w:val="0"/>
                <w:sz w:val="18"/>
                <w:szCs w:val="18"/>
                <w:u w:val="none"/>
                <w:lang w:val="en-US" w:eastAsia="zh-CN" w:bidi="ar"/>
              </w:rPr>
              <w:t>进度</w:t>
            </w:r>
            <w:r>
              <w:rPr>
                <w:rFonts w:hint="eastAsia" w:ascii="宋体" w:hAnsi="宋体" w:eastAsia="宋体" w:cs="宋体"/>
                <w:i w:val="0"/>
                <w:iCs w:val="0"/>
                <w:color w:val="000000"/>
                <w:kern w:val="0"/>
                <w:sz w:val="18"/>
                <w:szCs w:val="18"/>
                <w:u w:val="none"/>
                <w:lang w:val="en-US" w:eastAsia="zh-CN" w:bidi="ar"/>
              </w:rPr>
              <w:t>报工</w:t>
            </w:r>
            <w:r>
              <w:rPr>
                <w:rFonts w:hint="eastAsia" w:ascii="宋体" w:hAnsi="宋体" w:cs="宋体"/>
                <w:i w:val="0"/>
                <w:iCs w:val="0"/>
                <w:color w:val="000000"/>
                <w:kern w:val="0"/>
                <w:sz w:val="18"/>
                <w:szCs w:val="18"/>
                <w:u w:val="none"/>
                <w:lang w:val="en-US" w:eastAsia="zh-CN" w:bidi="ar"/>
              </w:rPr>
              <w:t>与生产批次</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基于生产进度报工与生产实绩滚动调整生产计划，开展成本分摊与产能分析</w:t>
            </w:r>
            <w:r>
              <w:rPr>
                <w:rFonts w:hint="eastAsia" w:ascii="宋体" w:hAnsi="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15DF70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.实时回传生产进度报工</w:t>
            </w:r>
            <w:r>
              <w:rPr>
                <w:rFonts w:hint="eastAsia" w:ascii="宋体" w:hAnsi="宋体" w:cs="宋体"/>
                <w:i w:val="0"/>
                <w:iCs w:val="0"/>
                <w:color w:val="000000"/>
                <w:kern w:val="0"/>
                <w:sz w:val="18"/>
                <w:szCs w:val="18"/>
                <w:u w:val="none"/>
                <w:lang w:val="en-US" w:eastAsia="zh-CN" w:bidi="ar"/>
              </w:rPr>
              <w:t>与生产</w:t>
            </w:r>
            <w:r>
              <w:rPr>
                <w:rFonts w:hint="eastAsia" w:ascii="宋体" w:hAnsi="宋体" w:eastAsia="宋体" w:cs="宋体"/>
                <w:i w:val="0"/>
                <w:iCs w:val="0"/>
                <w:color w:val="000000"/>
                <w:kern w:val="0"/>
                <w:sz w:val="18"/>
                <w:szCs w:val="18"/>
                <w:u w:val="none"/>
                <w:lang w:val="en-US" w:eastAsia="zh-CN" w:bidi="ar"/>
              </w:rPr>
              <w:t>批次数据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同步生产异常与过程质量数据；</w:t>
            </w:r>
          </w:p>
        </w:tc>
        <w:tc>
          <w:tcPr>
            <w:tcW w:w="1935" w:type="dxa"/>
            <w:shd w:val="clear" w:color="auto" w:fill="auto"/>
            <w:noWrap w:val="0"/>
            <w:tcMar>
              <w:top w:w="-1" w:type="dxa"/>
              <w:left w:w="-1" w:type="dxa"/>
              <w:bottom w:w="-1" w:type="dxa"/>
              <w:right w:w="-1" w:type="dxa"/>
            </w:tcMar>
            <w:vAlign w:val="center"/>
          </w:tcPr>
          <w:p w14:paraId="66D8AF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MES → SCOS：实时同步生产报工与</w:t>
            </w:r>
            <w:r>
              <w:rPr>
                <w:rFonts w:hint="eastAsia" w:ascii="宋体" w:hAnsi="宋体" w:cs="宋体"/>
                <w:i w:val="0"/>
                <w:iCs w:val="0"/>
                <w:color w:val="000000"/>
                <w:kern w:val="0"/>
                <w:sz w:val="18"/>
                <w:szCs w:val="18"/>
                <w:u w:val="none"/>
                <w:lang w:val="en-US" w:eastAsia="zh-CN" w:bidi="ar"/>
              </w:rPr>
              <w:t>批次</w:t>
            </w:r>
            <w:r>
              <w:rPr>
                <w:rFonts w:hint="eastAsia" w:ascii="宋体" w:hAnsi="宋体" w:eastAsia="宋体" w:cs="宋体"/>
                <w:i w:val="0"/>
                <w:iCs w:val="0"/>
                <w:color w:val="000000"/>
                <w:kern w:val="0"/>
                <w:sz w:val="18"/>
                <w:szCs w:val="18"/>
                <w:u w:val="none"/>
                <w:lang w:val="en-US" w:eastAsia="zh-CN" w:bidi="ar"/>
              </w:rPr>
              <w:t>数据</w:t>
            </w:r>
          </w:p>
        </w:tc>
      </w:tr>
      <w:tr w14:paraId="49A3B045">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5F37E0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586CDF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 MES 下发生产订单</w:t>
            </w:r>
            <w:r>
              <w:rPr>
                <w:rFonts w:hint="eastAsia" w:ascii="宋体" w:hAnsi="宋体" w:cs="宋体"/>
                <w:i w:val="0"/>
                <w:iCs w:val="0"/>
                <w:color w:val="000000"/>
                <w:kern w:val="0"/>
                <w:sz w:val="18"/>
                <w:szCs w:val="18"/>
                <w:u w:val="none"/>
                <w:lang w:val="en-US" w:eastAsia="zh-CN" w:bidi="ar"/>
              </w:rPr>
              <w:t>与</w:t>
            </w:r>
            <w:r>
              <w:rPr>
                <w:rFonts w:hint="eastAsia" w:ascii="宋体" w:hAnsi="宋体" w:eastAsia="宋体" w:cs="宋体"/>
                <w:i w:val="0"/>
                <w:iCs w:val="0"/>
                <w:color w:val="000000"/>
                <w:kern w:val="0"/>
                <w:sz w:val="18"/>
                <w:szCs w:val="18"/>
                <w:u w:val="none"/>
                <w:lang w:val="en-US" w:eastAsia="zh-CN" w:bidi="ar"/>
              </w:rPr>
              <w:t>日排产计划</w:t>
            </w:r>
            <w:r>
              <w:rPr>
                <w:rFonts w:hint="eastAsia" w:ascii="宋体" w:hAnsi="宋体" w:cs="宋体"/>
                <w:i w:val="0"/>
                <w:iCs w:val="0"/>
                <w:color w:val="000000"/>
                <w:kern w:val="0"/>
                <w:sz w:val="18"/>
                <w:szCs w:val="18"/>
                <w:u w:val="none"/>
                <w:lang w:val="en-US" w:eastAsia="zh-CN" w:bidi="ar"/>
              </w:rPr>
              <w:t>信息</w:t>
            </w:r>
            <w:r>
              <w:rPr>
                <w:rFonts w:hint="eastAsia" w:ascii="宋体" w:hAnsi="宋体" w:eastAsia="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DD046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下发的生产订单与排程指令，组织车间生产执行；</w:t>
            </w:r>
          </w:p>
        </w:tc>
        <w:tc>
          <w:tcPr>
            <w:tcW w:w="1935" w:type="dxa"/>
            <w:shd w:val="clear" w:color="auto" w:fill="auto"/>
            <w:noWrap w:val="0"/>
            <w:tcMar>
              <w:top w:w="-1" w:type="dxa"/>
              <w:left w:w="-1" w:type="dxa"/>
              <w:bottom w:w="-1" w:type="dxa"/>
              <w:right w:w="-1" w:type="dxa"/>
            </w:tcMar>
            <w:vAlign w:val="center"/>
          </w:tcPr>
          <w:p w14:paraId="7EE513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MES：实时推送生产订单与排产指令；</w:t>
            </w:r>
          </w:p>
        </w:tc>
      </w:tr>
      <w:tr w14:paraId="6555C049">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3E8FB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CRM</w:t>
            </w:r>
          </w:p>
        </w:tc>
        <w:tc>
          <w:tcPr>
            <w:tcW w:w="3743" w:type="dxa"/>
            <w:shd w:val="clear" w:color="auto" w:fill="auto"/>
            <w:noWrap w:val="0"/>
            <w:tcMar>
              <w:top w:w="-1" w:type="dxa"/>
              <w:left w:w="-1" w:type="dxa"/>
              <w:bottom w:w="-1" w:type="dxa"/>
              <w:right w:w="-1" w:type="dxa"/>
            </w:tcMar>
            <w:vAlign w:val="center"/>
          </w:tcPr>
          <w:p w14:paraId="3A108A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接收 CRM 输出的</w:t>
            </w:r>
            <w:r>
              <w:rPr>
                <w:rFonts w:hint="eastAsia" w:ascii="宋体" w:hAnsi="宋体" w:cs="宋体"/>
                <w:i w:val="0"/>
                <w:iCs w:val="0"/>
                <w:color w:val="000000"/>
                <w:kern w:val="0"/>
                <w:sz w:val="18"/>
                <w:szCs w:val="18"/>
                <w:u w:val="none"/>
                <w:lang w:val="en-US" w:eastAsia="zh-CN" w:bidi="ar"/>
              </w:rPr>
              <w:t>每月及</w:t>
            </w:r>
            <w:r>
              <w:rPr>
                <w:rFonts w:hint="eastAsia" w:ascii="宋体" w:hAnsi="宋体" w:eastAsia="宋体" w:cs="宋体"/>
                <w:i w:val="0"/>
                <w:iCs w:val="0"/>
                <w:color w:val="000000"/>
                <w:kern w:val="0"/>
                <w:sz w:val="18"/>
                <w:szCs w:val="18"/>
                <w:u w:val="none"/>
                <w:lang w:val="en-US" w:eastAsia="zh-CN" w:bidi="ar"/>
              </w:rPr>
              <w:t>每日出货计划，作为生产需求量测算、安全库存优化、日度生产排程的核心输入依据；</w:t>
            </w:r>
          </w:p>
        </w:tc>
        <w:tc>
          <w:tcPr>
            <w:tcW w:w="3785" w:type="dxa"/>
            <w:shd w:val="clear" w:color="auto" w:fill="auto"/>
            <w:noWrap w:val="0"/>
            <w:tcMar>
              <w:top w:w="-1" w:type="dxa"/>
              <w:left w:w="-1" w:type="dxa"/>
              <w:bottom w:w="-1" w:type="dxa"/>
              <w:right w:w="-1" w:type="dxa"/>
            </w:tcMar>
            <w:vAlign w:val="center"/>
          </w:tcPr>
          <w:p w14:paraId="6B287C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维护客户销售订单</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向 SCOS 推送</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p>
        </w:tc>
        <w:tc>
          <w:tcPr>
            <w:tcW w:w="1935" w:type="dxa"/>
            <w:shd w:val="clear" w:color="auto" w:fill="auto"/>
            <w:noWrap w:val="0"/>
            <w:tcMar>
              <w:top w:w="-1" w:type="dxa"/>
              <w:left w:w="-1" w:type="dxa"/>
              <w:bottom w:w="-1" w:type="dxa"/>
              <w:right w:w="-1" w:type="dxa"/>
            </w:tcMar>
            <w:vAlign w:val="center"/>
          </w:tcPr>
          <w:p w14:paraId="2CEAD4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 xml:space="preserve"> → SCOS：实时同步</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p>
        </w:tc>
      </w:tr>
      <w:tr w14:paraId="3427A549">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462DEC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435BA1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输出成品月生产计划、月销售订单至 CRM，为 CRM 编制每日出货计划、匹配销售交付节奏提供产能与生产进度约束</w:t>
            </w:r>
          </w:p>
        </w:tc>
        <w:tc>
          <w:tcPr>
            <w:tcW w:w="3785" w:type="dxa"/>
            <w:shd w:val="clear" w:color="auto" w:fill="auto"/>
            <w:noWrap w:val="0"/>
            <w:tcMar>
              <w:top w:w="-1" w:type="dxa"/>
              <w:left w:w="-1" w:type="dxa"/>
              <w:bottom w:w="-1" w:type="dxa"/>
              <w:right w:w="-1" w:type="dxa"/>
            </w:tcMar>
            <w:vAlign w:val="center"/>
          </w:tcPr>
          <w:p w14:paraId="53B11F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接收 SCOS 下发的成品月生产计划、月销售订单表，结合销售订单、客户交付要求编制并输出每日出货计划；</w:t>
            </w:r>
          </w:p>
        </w:tc>
        <w:tc>
          <w:tcPr>
            <w:tcW w:w="1935" w:type="dxa"/>
            <w:shd w:val="clear" w:color="auto" w:fill="auto"/>
            <w:noWrap w:val="0"/>
            <w:tcMar>
              <w:top w:w="-1" w:type="dxa"/>
              <w:left w:w="-1" w:type="dxa"/>
              <w:bottom w:w="-1" w:type="dxa"/>
              <w:right w:w="-1" w:type="dxa"/>
            </w:tcMar>
            <w:vAlign w:val="center"/>
          </w:tcPr>
          <w:p w14:paraId="4AA7A9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 xml:space="preserve">SCOS → </w:t>
            </w: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：实时推送成品月生产计划、月销售订单；</w:t>
            </w:r>
          </w:p>
        </w:tc>
      </w:tr>
      <w:tr w14:paraId="751F8D41">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6A87FB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default" w:ascii="宋体" w:hAnsi="宋体" w:eastAsia="宋体" w:cs="宋体"/>
                <w:b/>
                <w:bCs/>
                <w:i w:val="0"/>
                <w:iCs w:val="0"/>
                <w:color w:val="000000"/>
                <w:kern w:val="0"/>
                <w:sz w:val="18"/>
                <w:szCs w:val="18"/>
                <w:u w:val="none"/>
                <w:lang w:val="en-US" w:eastAsia="zh-CN" w:bidi="ar"/>
              </w:rPr>
            </w:pPr>
            <w:r>
              <w:rPr>
                <w:rFonts w:hint="eastAsia" w:ascii="宋体" w:hAnsi="宋体" w:cs="宋体"/>
                <w:b/>
                <w:bCs/>
                <w:i w:val="0"/>
                <w:iCs w:val="0"/>
                <w:color w:val="000000"/>
                <w:kern w:val="0"/>
                <w:sz w:val="18"/>
                <w:szCs w:val="18"/>
                <w:u w:val="none"/>
                <w:lang w:val="en-US" w:eastAsia="zh-CN" w:bidi="ar"/>
              </w:rPr>
              <w:t>CON</w:t>
            </w:r>
          </w:p>
        </w:tc>
        <w:tc>
          <w:tcPr>
            <w:tcW w:w="3743" w:type="dxa"/>
            <w:shd w:val="clear" w:color="auto" w:fill="auto"/>
            <w:noWrap w:val="0"/>
            <w:tcMar>
              <w:top w:w="-1" w:type="dxa"/>
              <w:left w:w="-1" w:type="dxa"/>
              <w:bottom w:w="-1" w:type="dxa"/>
              <w:right w:w="-1" w:type="dxa"/>
            </w:tcMar>
            <w:vAlign w:val="center"/>
          </w:tcPr>
          <w:p w14:paraId="0CA728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1.接收合同系统推送的生效采购、</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合同及核心条款信息</w:t>
            </w:r>
            <w:r>
              <w:rPr>
                <w:rFonts w:hint="eastAsia" w:ascii="宋体" w:hAnsi="宋体" w:cs="宋体"/>
                <w:i w:val="0"/>
                <w:iCs w:val="0"/>
                <w:color w:val="000000"/>
                <w:kern w:val="0"/>
                <w:sz w:val="18"/>
                <w:szCs w:val="18"/>
                <w:u w:val="none"/>
                <w:lang w:val="en-US" w:eastAsia="zh-CN" w:bidi="ar"/>
              </w:rPr>
              <w:t>；并</w:t>
            </w:r>
            <w:r>
              <w:rPr>
                <w:rFonts w:hint="eastAsia" w:ascii="宋体" w:hAnsi="宋体" w:eastAsia="宋体" w:cs="宋体"/>
                <w:i w:val="0"/>
                <w:iCs w:val="0"/>
                <w:color w:val="000000"/>
                <w:kern w:val="0"/>
                <w:sz w:val="18"/>
                <w:szCs w:val="18"/>
                <w:u w:val="none"/>
                <w:lang w:val="en-US" w:eastAsia="zh-CN" w:bidi="ar"/>
              </w:rPr>
              <w:t>基于合同约定的价格、交期、MOQ 等条款开展计划排程与采购执行；</w:t>
            </w:r>
          </w:p>
        </w:tc>
        <w:tc>
          <w:tcPr>
            <w:tcW w:w="3785" w:type="dxa"/>
            <w:shd w:val="clear" w:color="auto" w:fill="auto"/>
            <w:noWrap w:val="0"/>
            <w:tcMar>
              <w:top w:w="-1" w:type="dxa"/>
              <w:left w:w="-1" w:type="dxa"/>
              <w:bottom w:w="-1" w:type="dxa"/>
              <w:right w:w="-1" w:type="dxa"/>
            </w:tcMar>
            <w:vAlign w:val="center"/>
          </w:tcPr>
          <w:p w14:paraId="509AF4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合同、合同变更与终止状态；</w:t>
            </w:r>
          </w:p>
        </w:tc>
        <w:tc>
          <w:tcPr>
            <w:tcW w:w="1935" w:type="dxa"/>
            <w:shd w:val="clear" w:color="auto" w:fill="auto"/>
            <w:noWrap w:val="0"/>
            <w:tcMar>
              <w:top w:w="-1" w:type="dxa"/>
              <w:left w:w="-1" w:type="dxa"/>
              <w:bottom w:w="-1" w:type="dxa"/>
              <w:right w:w="-1" w:type="dxa"/>
            </w:tcMar>
            <w:vAlign w:val="center"/>
          </w:tcPr>
          <w:p w14:paraId="1078B9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合同系统 → SCOS：同步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合同数据、状态与条款；</w:t>
            </w:r>
          </w:p>
        </w:tc>
      </w:tr>
      <w:tr w14:paraId="1E85BBAF">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2C84AC2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7755CF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.向合同系统同步玉米淀粉采购方案、原辅包采购需求。</w:t>
            </w:r>
          </w:p>
        </w:tc>
        <w:tc>
          <w:tcPr>
            <w:tcW w:w="3785" w:type="dxa"/>
            <w:shd w:val="clear" w:color="auto" w:fill="auto"/>
            <w:noWrap w:val="0"/>
            <w:tcMar>
              <w:top w:w="-1" w:type="dxa"/>
              <w:left w:w="-1" w:type="dxa"/>
              <w:bottom w:w="-1" w:type="dxa"/>
              <w:right w:w="-1" w:type="dxa"/>
            </w:tcMar>
            <w:vAlign w:val="center"/>
          </w:tcPr>
          <w:p w14:paraId="3770B5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回传的玉米淀粉采购方案、原辅包采购需求</w:t>
            </w:r>
            <w:r>
              <w:rPr>
                <w:rFonts w:hint="eastAsia" w:ascii="宋体" w:hAnsi="宋体" w:cs="宋体"/>
                <w:i w:val="0"/>
                <w:iCs w:val="0"/>
                <w:color w:val="000000"/>
                <w:kern w:val="0"/>
                <w:sz w:val="18"/>
                <w:szCs w:val="18"/>
                <w:u w:val="none"/>
                <w:lang w:val="en-US" w:eastAsia="zh-CN" w:bidi="ar"/>
              </w:rPr>
              <w:t>及</w:t>
            </w:r>
            <w:r>
              <w:rPr>
                <w:rFonts w:hint="eastAsia" w:ascii="宋体" w:hAnsi="宋体" w:eastAsia="宋体" w:cs="宋体"/>
                <w:i w:val="0"/>
                <w:iCs w:val="0"/>
                <w:color w:val="000000"/>
                <w:kern w:val="0"/>
                <w:sz w:val="18"/>
                <w:szCs w:val="18"/>
                <w:u w:val="none"/>
                <w:lang w:val="en-US" w:eastAsia="zh-CN" w:bidi="ar"/>
              </w:rPr>
              <w:t>合同执行数据。</w:t>
            </w:r>
          </w:p>
        </w:tc>
        <w:tc>
          <w:tcPr>
            <w:tcW w:w="1935" w:type="dxa"/>
            <w:shd w:val="clear" w:color="auto" w:fill="auto"/>
            <w:noWrap w:val="0"/>
            <w:tcMar>
              <w:top w:w="-1" w:type="dxa"/>
              <w:left w:w="-1" w:type="dxa"/>
              <w:bottom w:w="-1" w:type="dxa"/>
              <w:right w:w="-1" w:type="dxa"/>
            </w:tcMar>
            <w:vAlign w:val="center"/>
          </w:tcPr>
          <w:p w14:paraId="7DA139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合同系统：回传玉米淀粉采购方案、原辅包采购需求</w:t>
            </w:r>
            <w:r>
              <w:rPr>
                <w:rFonts w:hint="eastAsia" w:ascii="宋体" w:hAnsi="宋体" w:cs="宋体"/>
                <w:i w:val="0"/>
                <w:iCs w:val="0"/>
                <w:color w:val="000000"/>
                <w:kern w:val="0"/>
                <w:sz w:val="18"/>
                <w:szCs w:val="18"/>
                <w:u w:val="none"/>
                <w:lang w:val="en-US" w:eastAsia="zh-CN" w:bidi="ar"/>
              </w:rPr>
              <w:t>；</w:t>
            </w:r>
          </w:p>
        </w:tc>
      </w:tr>
    </w:tbl>
    <w:p w14:paraId="470C488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410DBE9">
      <w:pPr>
        <w:pStyle w:val="3"/>
        <w:bidi w:val="0"/>
        <w:rPr>
          <w:rFonts w:hint="eastAsia" w:ascii="黑体" w:hAnsi="黑体" w:eastAsia="黑体" w:cs="黑体"/>
          <w:lang w:val="en-US" w:eastAsia="zh-CN"/>
        </w:rPr>
      </w:pPr>
      <w:bookmarkStart w:id="18" w:name="_Toc1697003758"/>
      <w:bookmarkStart w:id="19" w:name="_功能架构"/>
      <w:r>
        <w:rPr>
          <w:rFonts w:hint="eastAsia" w:ascii="黑体" w:hAnsi="黑体" w:eastAsia="黑体" w:cs="黑体"/>
          <w:lang w:val="en-US" w:eastAsia="zh-CN"/>
        </w:rPr>
        <w:t>功能架构</w:t>
      </w:r>
      <w:bookmarkEnd w:id="18"/>
    </w:p>
    <w:bookmarkEnd w:id="19"/>
    <w:p w14:paraId="06740E84">
      <w:pPr>
        <w:jc w:val="both"/>
        <w:rPr>
          <w:rFonts w:hint="default"/>
          <w:lang w:val="en-US" w:eastAsia="zh-CN"/>
        </w:rPr>
      </w:pPr>
      <w:r>
        <w:drawing>
          <wp:inline distT="0" distB="0" distL="114300" distR="114300">
            <wp:extent cx="5436870" cy="3896360"/>
            <wp:effectExtent l="0" t="0" r="2413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6"/>
                    <a:stretch>
                      <a:fillRect/>
                    </a:stretch>
                  </pic:blipFill>
                  <pic:spPr>
                    <a:xfrm>
                      <a:off x="0" y="0"/>
                      <a:ext cx="5436870" cy="3896360"/>
                    </a:xfrm>
                    <a:prstGeom prst="rect">
                      <a:avLst/>
                    </a:prstGeom>
                    <a:noFill/>
                    <a:ln>
                      <a:noFill/>
                    </a:ln>
                  </pic:spPr>
                </pic:pic>
              </a:graphicData>
            </a:graphic>
          </wp:inline>
        </w:drawing>
      </w:r>
    </w:p>
    <w:p w14:paraId="3F2AF9F7">
      <w:pPr>
        <w:rPr>
          <w:rFonts w:hint="eastAsia"/>
          <w:lang w:val="en-US" w:eastAsia="zh-CN"/>
        </w:rPr>
      </w:pPr>
    </w:p>
    <w:tbl>
      <w:tblPr>
        <w:tblStyle w:val="31"/>
        <w:tblW w:w="108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72"/>
        <w:gridCol w:w="1472"/>
        <w:gridCol w:w="2115"/>
        <w:gridCol w:w="3054"/>
        <w:gridCol w:w="1098"/>
        <w:gridCol w:w="907"/>
        <w:gridCol w:w="873"/>
      </w:tblGrid>
      <w:tr w14:paraId="41BBE85F">
        <w:trPr>
          <w:trHeight w:val="0" w:hRule="atLeast"/>
          <w:tblHeader/>
          <w:jc w:val="center"/>
        </w:trPr>
        <w:tc>
          <w:tcPr>
            <w:tcW w:w="1372" w:type="dxa"/>
            <w:shd w:val="clear" w:color="auto" w:fill="FFFFFF" w:themeFill="background1"/>
            <w:noWrap w:val="0"/>
            <w:tcMar>
              <w:top w:w="-1" w:type="dxa"/>
              <w:left w:w="-1" w:type="dxa"/>
              <w:bottom w:w="-1" w:type="dxa"/>
              <w:right w:w="-1" w:type="dxa"/>
            </w:tcMar>
            <w:vAlign w:val="center"/>
          </w:tcPr>
          <w:p w14:paraId="3D95AF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一级功能模块</w:t>
            </w:r>
          </w:p>
        </w:tc>
        <w:tc>
          <w:tcPr>
            <w:tcW w:w="1472" w:type="dxa"/>
            <w:shd w:val="clear" w:color="auto" w:fill="FFFFFF" w:themeFill="background1"/>
            <w:noWrap w:val="0"/>
            <w:tcMar>
              <w:top w:w="-1" w:type="dxa"/>
              <w:left w:w="-1" w:type="dxa"/>
              <w:bottom w:w="-1" w:type="dxa"/>
              <w:right w:w="-1" w:type="dxa"/>
            </w:tcMar>
            <w:vAlign w:val="center"/>
          </w:tcPr>
          <w:p w14:paraId="3168046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二级功能模块</w:t>
            </w:r>
          </w:p>
        </w:tc>
        <w:tc>
          <w:tcPr>
            <w:tcW w:w="2115" w:type="dxa"/>
            <w:shd w:val="clear" w:color="auto" w:fill="FFFFFF" w:themeFill="background1"/>
            <w:noWrap w:val="0"/>
            <w:tcMar>
              <w:top w:w="-1" w:type="dxa"/>
              <w:left w:w="-1" w:type="dxa"/>
              <w:bottom w:w="-1" w:type="dxa"/>
              <w:right w:w="-1" w:type="dxa"/>
            </w:tcMar>
            <w:vAlign w:val="center"/>
          </w:tcPr>
          <w:p w14:paraId="1CDBDC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功能编号</w:t>
            </w:r>
          </w:p>
        </w:tc>
        <w:tc>
          <w:tcPr>
            <w:tcW w:w="3054" w:type="dxa"/>
            <w:shd w:val="clear" w:color="auto" w:fill="FFFFFF" w:themeFill="background1"/>
            <w:noWrap w:val="0"/>
            <w:tcMar>
              <w:top w:w="-1" w:type="dxa"/>
              <w:left w:w="-1" w:type="dxa"/>
              <w:bottom w:w="-1" w:type="dxa"/>
              <w:right w:w="-1" w:type="dxa"/>
            </w:tcMar>
            <w:vAlign w:val="center"/>
          </w:tcPr>
          <w:p w14:paraId="55B8FA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功能描述</w:t>
            </w:r>
          </w:p>
        </w:tc>
        <w:tc>
          <w:tcPr>
            <w:tcW w:w="1098" w:type="dxa"/>
            <w:shd w:val="clear" w:color="auto" w:fill="FFFFFF" w:themeFill="background1"/>
            <w:noWrap w:val="0"/>
            <w:tcMar>
              <w:top w:w="-1" w:type="dxa"/>
              <w:left w:w="-1" w:type="dxa"/>
              <w:bottom w:w="-1" w:type="dxa"/>
              <w:right w:w="-1" w:type="dxa"/>
            </w:tcMar>
            <w:vAlign w:val="center"/>
          </w:tcPr>
          <w:p w14:paraId="5A5403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输入数据来源</w:t>
            </w:r>
          </w:p>
        </w:tc>
        <w:tc>
          <w:tcPr>
            <w:tcW w:w="907" w:type="dxa"/>
            <w:shd w:val="clear" w:color="auto" w:fill="FFFFFF" w:themeFill="background1"/>
            <w:noWrap w:val="0"/>
            <w:tcMar>
              <w:top w:w="-1" w:type="dxa"/>
              <w:left w:w="-1" w:type="dxa"/>
              <w:bottom w:w="-1" w:type="dxa"/>
              <w:right w:w="-1" w:type="dxa"/>
            </w:tcMar>
            <w:vAlign w:val="center"/>
          </w:tcPr>
          <w:p w14:paraId="25CC4BB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输出结果去向</w:t>
            </w:r>
          </w:p>
        </w:tc>
        <w:tc>
          <w:tcPr>
            <w:tcW w:w="873" w:type="dxa"/>
            <w:shd w:val="clear" w:color="auto" w:fill="FFFFFF" w:themeFill="background1"/>
            <w:noWrap w:val="0"/>
            <w:tcMar>
              <w:top w:w="-1" w:type="dxa"/>
              <w:left w:w="-1" w:type="dxa"/>
              <w:bottom w:w="-1" w:type="dxa"/>
              <w:right w:w="-1" w:type="dxa"/>
            </w:tcMar>
            <w:vAlign w:val="center"/>
          </w:tcPr>
          <w:p w14:paraId="11B2F6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协同系统</w:t>
            </w:r>
          </w:p>
        </w:tc>
      </w:tr>
      <w:tr w14:paraId="2565D404">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11ABB26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安全库存优化管理</w:t>
            </w:r>
          </w:p>
        </w:tc>
        <w:tc>
          <w:tcPr>
            <w:tcW w:w="1472" w:type="dxa"/>
            <w:shd w:val="clear" w:color="auto" w:fill="auto"/>
            <w:noWrap w:val="0"/>
            <w:tcMar>
              <w:top w:w="-1" w:type="dxa"/>
              <w:left w:w="-1" w:type="dxa"/>
              <w:bottom w:w="-1" w:type="dxa"/>
              <w:right w:w="-1" w:type="dxa"/>
            </w:tcMar>
            <w:vAlign w:val="center"/>
          </w:tcPr>
          <w:p w14:paraId="2244DB1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安全库存优化参数</w:t>
            </w:r>
          </w:p>
        </w:tc>
        <w:tc>
          <w:tcPr>
            <w:tcW w:w="2115" w:type="dxa"/>
            <w:shd w:val="clear" w:color="auto" w:fill="auto"/>
            <w:noWrap w:val="0"/>
            <w:tcMar>
              <w:top w:w="-1" w:type="dxa"/>
              <w:left w:w="-1" w:type="dxa"/>
              <w:bottom w:w="-1" w:type="dxa"/>
              <w:right w:w="-1" w:type="dxa"/>
            </w:tcMar>
            <w:vAlign w:val="center"/>
          </w:tcPr>
          <w:p w14:paraId="7551684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F-ZLTC-SCOS-AQKCYH-001</w:t>
            </w:r>
          </w:p>
        </w:tc>
        <w:tc>
          <w:tcPr>
            <w:tcW w:w="3054" w:type="dxa"/>
            <w:shd w:val="clear" w:color="auto" w:fill="auto"/>
            <w:noWrap w:val="0"/>
            <w:tcMar>
              <w:top w:w="-1" w:type="dxa"/>
              <w:left w:w="-1" w:type="dxa"/>
              <w:bottom w:w="-1" w:type="dxa"/>
              <w:right w:w="-1" w:type="dxa"/>
            </w:tcMar>
            <w:vAlign w:val="center"/>
          </w:tcPr>
          <w:p w14:paraId="7D2CEC8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维护服务水平、需求波动系数、补货周期、提前期等安全库存计算参数，支持参数调优与多场景模拟测算。</w:t>
            </w:r>
          </w:p>
        </w:tc>
        <w:tc>
          <w:tcPr>
            <w:tcW w:w="1098" w:type="dxa"/>
            <w:shd w:val="clear" w:color="auto" w:fill="auto"/>
            <w:noWrap w:val="0"/>
            <w:tcMar>
              <w:top w:w="-1" w:type="dxa"/>
              <w:left w:w="-1" w:type="dxa"/>
              <w:bottom w:w="-1" w:type="dxa"/>
              <w:right w:w="-1" w:type="dxa"/>
            </w:tcMar>
            <w:vAlign w:val="center"/>
          </w:tcPr>
          <w:p w14:paraId="74E564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历史需求数据、服务水平目标、补货策略</w:t>
            </w:r>
          </w:p>
        </w:tc>
        <w:tc>
          <w:tcPr>
            <w:tcW w:w="907" w:type="dxa"/>
            <w:shd w:val="clear" w:color="auto" w:fill="auto"/>
            <w:noWrap w:val="0"/>
            <w:tcMar>
              <w:top w:w="-1" w:type="dxa"/>
              <w:left w:w="-1" w:type="dxa"/>
              <w:bottom w:w="-1" w:type="dxa"/>
              <w:right w:w="-1" w:type="dxa"/>
            </w:tcMar>
            <w:vAlign w:val="center"/>
          </w:tcPr>
          <w:p w14:paraId="24C5D02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调整后的安全库存优化参数</w:t>
            </w:r>
          </w:p>
        </w:tc>
        <w:tc>
          <w:tcPr>
            <w:tcW w:w="873" w:type="dxa"/>
            <w:shd w:val="clear" w:color="auto" w:fill="auto"/>
            <w:noWrap w:val="0"/>
            <w:tcMar>
              <w:top w:w="-1" w:type="dxa"/>
              <w:left w:w="-1" w:type="dxa"/>
              <w:bottom w:w="-1" w:type="dxa"/>
              <w:right w:w="-1" w:type="dxa"/>
            </w:tcMar>
            <w:vAlign w:val="center"/>
          </w:tcPr>
          <w:p w14:paraId="0689455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B995B9E">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2DEFBCF">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6DFFDDB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w:t>
            </w:r>
          </w:p>
        </w:tc>
        <w:tc>
          <w:tcPr>
            <w:tcW w:w="2115" w:type="dxa"/>
            <w:shd w:val="clear" w:color="auto" w:fill="auto"/>
            <w:noWrap w:val="0"/>
            <w:tcMar>
              <w:top w:w="-1" w:type="dxa"/>
              <w:left w:w="-1" w:type="dxa"/>
              <w:bottom w:w="-1" w:type="dxa"/>
              <w:right w:w="-1" w:type="dxa"/>
            </w:tcMar>
            <w:vAlign w:val="center"/>
          </w:tcPr>
          <w:p w14:paraId="7882C41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F-ZLTC-SCOS-AQKCYH-002</w:t>
            </w:r>
          </w:p>
        </w:tc>
        <w:tc>
          <w:tcPr>
            <w:tcW w:w="3054" w:type="dxa"/>
            <w:shd w:val="clear" w:color="auto" w:fill="auto"/>
            <w:noWrap w:val="0"/>
            <w:tcMar>
              <w:top w:w="-1" w:type="dxa"/>
              <w:left w:w="-1" w:type="dxa"/>
              <w:bottom w:w="-1" w:type="dxa"/>
              <w:right w:w="-1" w:type="dxa"/>
            </w:tcMar>
            <w:vAlign w:val="center"/>
          </w:tcPr>
          <w:p w14:paraId="6079281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基于需求波动规律与补货周期，分别执行月度、日度安全库存优化计算，输出各物料安全库存水位。</w:t>
            </w:r>
          </w:p>
        </w:tc>
        <w:tc>
          <w:tcPr>
            <w:tcW w:w="1098" w:type="dxa"/>
            <w:shd w:val="clear" w:color="auto" w:fill="auto"/>
            <w:noWrap w:val="0"/>
            <w:tcMar>
              <w:top w:w="-1" w:type="dxa"/>
              <w:left w:w="-1" w:type="dxa"/>
              <w:bottom w:w="-1" w:type="dxa"/>
              <w:right w:w="-1" w:type="dxa"/>
            </w:tcMar>
            <w:vAlign w:val="center"/>
          </w:tcPr>
          <w:p w14:paraId="384B006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需求预测、历史波动数据、补货周期</w:t>
            </w:r>
          </w:p>
        </w:tc>
        <w:tc>
          <w:tcPr>
            <w:tcW w:w="907" w:type="dxa"/>
            <w:shd w:val="clear" w:color="auto" w:fill="auto"/>
            <w:noWrap w:val="0"/>
            <w:tcMar>
              <w:top w:w="-1" w:type="dxa"/>
              <w:left w:w="-1" w:type="dxa"/>
              <w:bottom w:w="-1" w:type="dxa"/>
              <w:right w:w="-1" w:type="dxa"/>
            </w:tcMar>
            <w:vAlign w:val="center"/>
          </w:tcPr>
          <w:p w14:paraId="221D3BB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库存计划表</w:t>
            </w:r>
          </w:p>
        </w:tc>
        <w:tc>
          <w:tcPr>
            <w:tcW w:w="873" w:type="dxa"/>
            <w:shd w:val="clear" w:color="auto" w:fill="auto"/>
            <w:noWrap w:val="0"/>
            <w:tcMar>
              <w:top w:w="-1" w:type="dxa"/>
              <w:left w:w="-1" w:type="dxa"/>
              <w:bottom w:w="-1" w:type="dxa"/>
              <w:right w:w="-1" w:type="dxa"/>
            </w:tcMar>
            <w:vAlign w:val="center"/>
          </w:tcPr>
          <w:p w14:paraId="5C3403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697B212A">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2AF69D56">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541999E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w:t>
            </w:r>
          </w:p>
        </w:tc>
        <w:tc>
          <w:tcPr>
            <w:tcW w:w="2115" w:type="dxa"/>
            <w:shd w:val="clear" w:color="auto" w:fill="auto"/>
            <w:noWrap w:val="0"/>
            <w:tcMar>
              <w:top w:w="-1" w:type="dxa"/>
              <w:left w:w="-1" w:type="dxa"/>
              <w:bottom w:w="-1" w:type="dxa"/>
              <w:right w:w="-1" w:type="dxa"/>
            </w:tcMar>
            <w:vAlign w:val="center"/>
          </w:tcPr>
          <w:p w14:paraId="61A805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F-ZLTC-SCOS-AQKCYH-003</w:t>
            </w:r>
          </w:p>
        </w:tc>
        <w:tc>
          <w:tcPr>
            <w:tcW w:w="3054" w:type="dxa"/>
            <w:shd w:val="clear" w:color="auto" w:fill="auto"/>
            <w:noWrap w:val="0"/>
            <w:tcMar>
              <w:top w:w="-1" w:type="dxa"/>
              <w:left w:w="-1" w:type="dxa"/>
              <w:bottom w:w="-1" w:type="dxa"/>
              <w:right w:w="-1" w:type="dxa"/>
            </w:tcMar>
            <w:vAlign w:val="center"/>
          </w:tcPr>
          <w:p w14:paraId="748857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结合实时库存、安全库存水位与需求计划，自动计算补货时间与补货数量，生成补货建议，驱动采购计划与生产计划调整。</w:t>
            </w:r>
          </w:p>
        </w:tc>
        <w:tc>
          <w:tcPr>
            <w:tcW w:w="1098" w:type="dxa"/>
            <w:shd w:val="clear" w:color="auto" w:fill="auto"/>
            <w:noWrap w:val="0"/>
            <w:tcMar>
              <w:top w:w="-1" w:type="dxa"/>
              <w:left w:w="-1" w:type="dxa"/>
              <w:bottom w:w="-1" w:type="dxa"/>
              <w:right w:w="-1" w:type="dxa"/>
            </w:tcMar>
            <w:vAlign w:val="center"/>
          </w:tcPr>
          <w:p w14:paraId="059C1FB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实时库存数据、安全库存、需求计划</w:t>
            </w:r>
          </w:p>
        </w:tc>
        <w:tc>
          <w:tcPr>
            <w:tcW w:w="907" w:type="dxa"/>
            <w:shd w:val="clear" w:color="auto" w:fill="auto"/>
            <w:noWrap w:val="0"/>
            <w:tcMar>
              <w:top w:w="-1" w:type="dxa"/>
              <w:left w:w="-1" w:type="dxa"/>
              <w:bottom w:w="-1" w:type="dxa"/>
              <w:right w:w="-1" w:type="dxa"/>
            </w:tcMar>
            <w:vAlign w:val="center"/>
          </w:tcPr>
          <w:p w14:paraId="2A46ADE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补货计划表</w:t>
            </w:r>
          </w:p>
        </w:tc>
        <w:tc>
          <w:tcPr>
            <w:tcW w:w="873" w:type="dxa"/>
            <w:shd w:val="clear" w:color="auto" w:fill="auto"/>
            <w:noWrap w:val="0"/>
            <w:tcMar>
              <w:top w:w="-1" w:type="dxa"/>
              <w:left w:w="-1" w:type="dxa"/>
              <w:bottom w:w="-1" w:type="dxa"/>
              <w:right w:w="-1" w:type="dxa"/>
            </w:tcMar>
            <w:vAlign w:val="center"/>
          </w:tcPr>
          <w:p w14:paraId="7262761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2B8EEE9">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6A5A89D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采购优化管理</w:t>
            </w:r>
          </w:p>
        </w:tc>
        <w:tc>
          <w:tcPr>
            <w:tcW w:w="1472" w:type="dxa"/>
            <w:shd w:val="clear" w:color="auto" w:fill="auto"/>
            <w:noWrap w:val="0"/>
            <w:tcMar>
              <w:top w:w="-1" w:type="dxa"/>
              <w:left w:w="-1" w:type="dxa"/>
              <w:bottom w:w="-1" w:type="dxa"/>
              <w:right w:w="-1" w:type="dxa"/>
            </w:tcMar>
            <w:vAlign w:val="center"/>
          </w:tcPr>
          <w:p w14:paraId="76BC3A4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供应商及价格资料库</w:t>
            </w:r>
          </w:p>
        </w:tc>
        <w:tc>
          <w:tcPr>
            <w:tcW w:w="2115" w:type="dxa"/>
            <w:shd w:val="clear" w:color="auto" w:fill="auto"/>
            <w:noWrap w:val="0"/>
            <w:tcMar>
              <w:top w:w="-1" w:type="dxa"/>
              <w:left w:w="-1" w:type="dxa"/>
              <w:bottom w:w="-1" w:type="dxa"/>
              <w:right w:w="-1" w:type="dxa"/>
            </w:tcMar>
            <w:vAlign w:val="center"/>
          </w:tcPr>
          <w:p w14:paraId="35DCFD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F-ZLTC-SCOS-CGYH-001</w:t>
            </w:r>
          </w:p>
        </w:tc>
        <w:tc>
          <w:tcPr>
            <w:tcW w:w="3054" w:type="dxa"/>
            <w:shd w:val="clear" w:color="auto" w:fill="auto"/>
            <w:noWrap w:val="0"/>
            <w:tcMar>
              <w:top w:w="-1" w:type="dxa"/>
              <w:left w:w="-1" w:type="dxa"/>
              <w:bottom w:w="-1" w:type="dxa"/>
              <w:right w:w="-1" w:type="dxa"/>
            </w:tcMar>
            <w:vAlign w:val="center"/>
          </w:tcPr>
          <w:p w14:paraId="465DF3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维护供应商基础信息、产能、MOQ、交货考核数据与历史价格信息，形成采购决策基础资料库，支撑供应商评估与价格对比。</w:t>
            </w:r>
          </w:p>
        </w:tc>
        <w:tc>
          <w:tcPr>
            <w:tcW w:w="1098" w:type="dxa"/>
            <w:shd w:val="clear" w:color="auto" w:fill="auto"/>
            <w:noWrap w:val="0"/>
            <w:tcMar>
              <w:top w:w="-1" w:type="dxa"/>
              <w:left w:w="-1" w:type="dxa"/>
              <w:bottom w:w="-1" w:type="dxa"/>
              <w:right w:w="-1" w:type="dxa"/>
            </w:tcMar>
            <w:vAlign w:val="center"/>
          </w:tcPr>
          <w:p w14:paraId="2A56367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QMS 供应商考核数据、SAP 价格数据</w:t>
            </w:r>
          </w:p>
        </w:tc>
        <w:tc>
          <w:tcPr>
            <w:tcW w:w="907" w:type="dxa"/>
            <w:shd w:val="clear" w:color="auto" w:fill="auto"/>
            <w:noWrap w:val="0"/>
            <w:tcMar>
              <w:top w:w="-1" w:type="dxa"/>
              <w:left w:w="-1" w:type="dxa"/>
              <w:bottom w:w="-1" w:type="dxa"/>
              <w:right w:w="-1" w:type="dxa"/>
            </w:tcMar>
            <w:vAlign w:val="center"/>
          </w:tcPr>
          <w:p w14:paraId="32C30AA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供应商资料库、价格资料库</w:t>
            </w:r>
          </w:p>
        </w:tc>
        <w:tc>
          <w:tcPr>
            <w:tcW w:w="873" w:type="dxa"/>
            <w:shd w:val="clear" w:color="auto" w:fill="auto"/>
            <w:noWrap w:val="0"/>
            <w:tcMar>
              <w:top w:w="-1" w:type="dxa"/>
              <w:left w:w="-1" w:type="dxa"/>
              <w:bottom w:w="-1" w:type="dxa"/>
              <w:right w:w="-1" w:type="dxa"/>
            </w:tcMar>
            <w:vAlign w:val="center"/>
          </w:tcPr>
          <w:p w14:paraId="683D9C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3409A6F6">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5F9D9E3">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4A502EC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采购优化参数</w:t>
            </w:r>
          </w:p>
        </w:tc>
        <w:tc>
          <w:tcPr>
            <w:tcW w:w="2115" w:type="dxa"/>
            <w:shd w:val="clear" w:color="auto" w:fill="auto"/>
            <w:noWrap w:val="0"/>
            <w:tcMar>
              <w:top w:w="-1" w:type="dxa"/>
              <w:left w:w="-1" w:type="dxa"/>
              <w:bottom w:w="-1" w:type="dxa"/>
              <w:right w:w="-1" w:type="dxa"/>
            </w:tcMar>
            <w:vAlign w:val="center"/>
          </w:tcPr>
          <w:p w14:paraId="46E80C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F-ZLTC-SCOS-CGYH-002</w:t>
            </w:r>
          </w:p>
        </w:tc>
        <w:tc>
          <w:tcPr>
            <w:tcW w:w="3054" w:type="dxa"/>
            <w:shd w:val="clear" w:color="auto" w:fill="auto"/>
            <w:noWrap w:val="0"/>
            <w:tcMar>
              <w:top w:w="-1" w:type="dxa"/>
              <w:left w:w="-1" w:type="dxa"/>
              <w:bottom w:w="-1" w:type="dxa"/>
              <w:right w:w="-1" w:type="dxa"/>
            </w:tcMar>
            <w:vAlign w:val="center"/>
          </w:tcPr>
          <w:p w14:paraId="676D86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维护采购批量、订货周期、价格、运输成本等优化参数，支撑采购策略计算与多方案寻优。</w:t>
            </w:r>
          </w:p>
        </w:tc>
        <w:tc>
          <w:tcPr>
            <w:tcW w:w="1098" w:type="dxa"/>
            <w:shd w:val="clear" w:color="auto" w:fill="auto"/>
            <w:noWrap w:val="0"/>
            <w:tcMar>
              <w:top w:w="-1" w:type="dxa"/>
              <w:left w:w="-1" w:type="dxa"/>
              <w:bottom w:w="-1" w:type="dxa"/>
              <w:right w:w="-1" w:type="dxa"/>
            </w:tcMar>
            <w:vAlign w:val="center"/>
          </w:tcPr>
          <w:p w14:paraId="0FB5B82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采购业务规则、成本目标</w:t>
            </w:r>
          </w:p>
        </w:tc>
        <w:tc>
          <w:tcPr>
            <w:tcW w:w="907" w:type="dxa"/>
            <w:shd w:val="clear" w:color="auto" w:fill="auto"/>
            <w:noWrap w:val="0"/>
            <w:tcMar>
              <w:top w:w="-1" w:type="dxa"/>
              <w:left w:w="-1" w:type="dxa"/>
              <w:bottom w:w="-1" w:type="dxa"/>
              <w:right w:w="-1" w:type="dxa"/>
            </w:tcMar>
            <w:vAlign w:val="center"/>
          </w:tcPr>
          <w:p w14:paraId="6363D9F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调整后的采购优化参数</w:t>
            </w:r>
          </w:p>
        </w:tc>
        <w:tc>
          <w:tcPr>
            <w:tcW w:w="873" w:type="dxa"/>
            <w:shd w:val="clear" w:color="auto" w:fill="auto"/>
            <w:noWrap w:val="0"/>
            <w:tcMar>
              <w:top w:w="-1" w:type="dxa"/>
              <w:left w:w="-1" w:type="dxa"/>
              <w:bottom w:w="-1" w:type="dxa"/>
              <w:right w:w="-1" w:type="dxa"/>
            </w:tcMar>
            <w:vAlign w:val="center"/>
          </w:tcPr>
          <w:p w14:paraId="5A9D2CD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421889E5">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55414281">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71D3D8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采购计划</w:t>
            </w:r>
          </w:p>
        </w:tc>
        <w:tc>
          <w:tcPr>
            <w:tcW w:w="2115" w:type="dxa"/>
            <w:shd w:val="clear" w:color="auto" w:fill="auto"/>
            <w:noWrap w:val="0"/>
            <w:tcMar>
              <w:top w:w="-1" w:type="dxa"/>
              <w:left w:w="-1" w:type="dxa"/>
              <w:bottom w:w="-1" w:type="dxa"/>
              <w:right w:w="-1" w:type="dxa"/>
            </w:tcMar>
            <w:vAlign w:val="center"/>
          </w:tcPr>
          <w:p w14:paraId="7ADBDAE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F-ZLTC-SCOS-CGYH-003</w:t>
            </w:r>
          </w:p>
        </w:tc>
        <w:tc>
          <w:tcPr>
            <w:tcW w:w="3054" w:type="dxa"/>
            <w:shd w:val="clear" w:color="auto" w:fill="auto"/>
            <w:noWrap w:val="0"/>
            <w:tcMar>
              <w:top w:w="-1" w:type="dxa"/>
              <w:left w:w="-1" w:type="dxa"/>
              <w:bottom w:w="-1" w:type="dxa"/>
              <w:right w:w="-1" w:type="dxa"/>
            </w:tcMar>
            <w:vAlign w:val="center"/>
          </w:tcPr>
          <w:p w14:paraId="044109F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基于原辅包需求计划、库存预警，选择原辅包采购需求期间，并完成汇总，支持线上审批流程管理。</w:t>
            </w:r>
          </w:p>
        </w:tc>
        <w:tc>
          <w:tcPr>
            <w:tcW w:w="1098" w:type="dxa"/>
            <w:shd w:val="clear" w:color="auto" w:fill="auto"/>
            <w:noWrap w:val="0"/>
            <w:tcMar>
              <w:top w:w="-1" w:type="dxa"/>
              <w:left w:w="-1" w:type="dxa"/>
              <w:bottom w:w="-1" w:type="dxa"/>
              <w:right w:w="-1" w:type="dxa"/>
            </w:tcMar>
            <w:vAlign w:val="center"/>
          </w:tcPr>
          <w:p w14:paraId="52330FF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原辅包需求计划</w:t>
            </w:r>
          </w:p>
        </w:tc>
        <w:tc>
          <w:tcPr>
            <w:tcW w:w="907" w:type="dxa"/>
            <w:shd w:val="clear" w:color="auto" w:fill="auto"/>
            <w:noWrap w:val="0"/>
            <w:tcMar>
              <w:top w:w="-1" w:type="dxa"/>
              <w:left w:w="-1" w:type="dxa"/>
              <w:bottom w:w="-1" w:type="dxa"/>
              <w:right w:w="-1" w:type="dxa"/>
            </w:tcMar>
            <w:vAlign w:val="center"/>
          </w:tcPr>
          <w:p w14:paraId="77BC45B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原辅包采购需求</w:t>
            </w:r>
          </w:p>
        </w:tc>
        <w:tc>
          <w:tcPr>
            <w:tcW w:w="873" w:type="dxa"/>
            <w:shd w:val="clear" w:color="auto" w:fill="auto"/>
            <w:noWrap w:val="0"/>
            <w:tcMar>
              <w:top w:w="-1" w:type="dxa"/>
              <w:left w:w="-1" w:type="dxa"/>
              <w:bottom w:w="-1" w:type="dxa"/>
              <w:right w:w="-1" w:type="dxa"/>
            </w:tcMar>
            <w:vAlign w:val="center"/>
          </w:tcPr>
          <w:p w14:paraId="562AB5B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CON、SAP</w:t>
            </w:r>
          </w:p>
        </w:tc>
      </w:tr>
      <w:tr w14:paraId="59DD7836">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473C45">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4F4A720">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w:t>
            </w:r>
          </w:p>
        </w:tc>
        <w:tc>
          <w:tcPr>
            <w:tcW w:w="2115" w:type="dxa"/>
            <w:shd w:val="clear" w:color="auto" w:fill="auto"/>
            <w:noWrap w:val="0"/>
            <w:tcMar>
              <w:top w:w="-1" w:type="dxa"/>
              <w:left w:w="-1" w:type="dxa"/>
              <w:bottom w:w="-1" w:type="dxa"/>
              <w:right w:w="-1" w:type="dxa"/>
            </w:tcMar>
            <w:vAlign w:val="center"/>
          </w:tcPr>
          <w:p w14:paraId="3CB672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6F440982">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基于原辅包采购需求生成采购计划，审批通过后推送至合同系统，最终完成SAP采购订单创建。</w:t>
            </w:r>
          </w:p>
        </w:tc>
        <w:tc>
          <w:tcPr>
            <w:tcW w:w="1098" w:type="dxa"/>
            <w:shd w:val="clear" w:color="auto" w:fill="auto"/>
            <w:noWrap w:val="0"/>
            <w:tcMar>
              <w:top w:w="-1" w:type="dxa"/>
              <w:left w:w="-1" w:type="dxa"/>
              <w:bottom w:w="-1" w:type="dxa"/>
              <w:right w:w="-1" w:type="dxa"/>
            </w:tcMar>
            <w:vAlign w:val="center"/>
          </w:tcPr>
          <w:p w14:paraId="14B880BC">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采购计划</w:t>
            </w:r>
          </w:p>
        </w:tc>
        <w:tc>
          <w:tcPr>
            <w:tcW w:w="907" w:type="dxa"/>
            <w:shd w:val="clear" w:color="auto" w:fill="auto"/>
            <w:noWrap w:val="0"/>
            <w:tcMar>
              <w:top w:w="-1" w:type="dxa"/>
              <w:left w:w="-1" w:type="dxa"/>
              <w:bottom w:w="-1" w:type="dxa"/>
              <w:right w:w="-1" w:type="dxa"/>
            </w:tcMar>
            <w:vAlign w:val="center"/>
          </w:tcPr>
          <w:p w14:paraId="1112EF85">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采购申请单</w:t>
            </w:r>
          </w:p>
        </w:tc>
        <w:tc>
          <w:tcPr>
            <w:tcW w:w="873" w:type="dxa"/>
            <w:shd w:val="clear" w:color="auto" w:fill="auto"/>
            <w:noWrap w:val="0"/>
            <w:tcMar>
              <w:top w:w="-1" w:type="dxa"/>
              <w:left w:w="-1" w:type="dxa"/>
              <w:bottom w:w="-1" w:type="dxa"/>
              <w:right w:w="-1" w:type="dxa"/>
            </w:tcMar>
            <w:vAlign w:val="center"/>
          </w:tcPr>
          <w:p w14:paraId="5A793A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CON、SAP</w:t>
            </w:r>
          </w:p>
        </w:tc>
      </w:tr>
      <w:tr w14:paraId="64A050E0">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8B3017">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0ECD5D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要货计划</w:t>
            </w:r>
          </w:p>
        </w:tc>
        <w:tc>
          <w:tcPr>
            <w:tcW w:w="2115" w:type="dxa"/>
            <w:shd w:val="clear" w:color="auto" w:fill="auto"/>
            <w:noWrap w:val="0"/>
            <w:tcMar>
              <w:top w:w="-1" w:type="dxa"/>
              <w:left w:w="-1" w:type="dxa"/>
              <w:bottom w:w="-1" w:type="dxa"/>
              <w:right w:w="-1" w:type="dxa"/>
            </w:tcMar>
            <w:vAlign w:val="center"/>
          </w:tcPr>
          <w:p w14:paraId="68B2DD9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3812C4C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基于当前的原料库存和在途库存，根据已下的原料采购单并还未执行的采购单，综合生产所需要的原料到厂需求而创建的要货计划。</w:t>
            </w:r>
          </w:p>
        </w:tc>
        <w:tc>
          <w:tcPr>
            <w:tcW w:w="1098" w:type="dxa"/>
            <w:shd w:val="clear" w:color="auto" w:fill="auto"/>
            <w:noWrap w:val="0"/>
            <w:tcMar>
              <w:top w:w="-1" w:type="dxa"/>
              <w:left w:w="-1" w:type="dxa"/>
              <w:bottom w:w="-1" w:type="dxa"/>
              <w:right w:w="-1" w:type="dxa"/>
            </w:tcMar>
            <w:vAlign w:val="center"/>
          </w:tcPr>
          <w:p w14:paraId="56BEE22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采购订单、</w:t>
            </w:r>
          </w:p>
          <w:p w14:paraId="0110E69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WMS、TMS</w:t>
            </w:r>
          </w:p>
        </w:tc>
        <w:tc>
          <w:tcPr>
            <w:tcW w:w="907" w:type="dxa"/>
            <w:shd w:val="clear" w:color="auto" w:fill="auto"/>
            <w:noWrap w:val="0"/>
            <w:tcMar>
              <w:top w:w="-1" w:type="dxa"/>
              <w:left w:w="-1" w:type="dxa"/>
              <w:bottom w:w="-1" w:type="dxa"/>
              <w:right w:w="-1" w:type="dxa"/>
            </w:tcMar>
            <w:vAlign w:val="center"/>
          </w:tcPr>
          <w:p w14:paraId="677BD3D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要货申请单</w:t>
            </w:r>
          </w:p>
        </w:tc>
        <w:tc>
          <w:tcPr>
            <w:tcW w:w="873" w:type="dxa"/>
            <w:shd w:val="clear" w:color="auto" w:fill="auto"/>
            <w:noWrap w:val="0"/>
            <w:tcMar>
              <w:top w:w="-1" w:type="dxa"/>
              <w:left w:w="-1" w:type="dxa"/>
              <w:bottom w:w="-1" w:type="dxa"/>
              <w:right w:w="-1" w:type="dxa"/>
            </w:tcMar>
            <w:vAlign w:val="center"/>
          </w:tcPr>
          <w:p w14:paraId="18D2456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CON、SAP</w:t>
            </w:r>
          </w:p>
        </w:tc>
      </w:tr>
      <w:tr w14:paraId="2C99DA41">
        <w:trPr>
          <w:trHeight w:val="0" w:hRule="atLeast"/>
          <w:jc w:val="center"/>
        </w:trPr>
        <w:tc>
          <w:tcPr>
            <w:tcW w:w="1372" w:type="dxa"/>
            <w:shd w:val="clear" w:color="auto" w:fill="auto"/>
            <w:noWrap w:val="0"/>
            <w:tcMar>
              <w:top w:w="-1" w:type="dxa"/>
              <w:left w:w="-1" w:type="dxa"/>
              <w:bottom w:w="-1" w:type="dxa"/>
              <w:right w:w="-1" w:type="dxa"/>
            </w:tcMar>
            <w:vAlign w:val="center"/>
          </w:tcPr>
          <w:p w14:paraId="2F2E300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成本分摊管理</w:t>
            </w:r>
          </w:p>
        </w:tc>
        <w:tc>
          <w:tcPr>
            <w:tcW w:w="1472" w:type="dxa"/>
            <w:shd w:val="clear" w:color="auto" w:fill="auto"/>
            <w:noWrap w:val="0"/>
            <w:tcMar>
              <w:top w:w="-1" w:type="dxa"/>
              <w:left w:w="-1" w:type="dxa"/>
              <w:bottom w:w="-1" w:type="dxa"/>
              <w:right w:w="-1" w:type="dxa"/>
            </w:tcMar>
            <w:vAlign w:val="center"/>
          </w:tcPr>
          <w:p w14:paraId="69D357B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多维利润分析报表</w:t>
            </w:r>
          </w:p>
        </w:tc>
        <w:tc>
          <w:tcPr>
            <w:tcW w:w="2115" w:type="dxa"/>
            <w:shd w:val="clear" w:color="auto" w:fill="auto"/>
            <w:noWrap w:val="0"/>
            <w:tcMar>
              <w:top w:w="-1" w:type="dxa"/>
              <w:left w:w="-1" w:type="dxa"/>
              <w:bottom w:w="-1" w:type="dxa"/>
              <w:right w:w="-1" w:type="dxa"/>
            </w:tcMar>
            <w:vAlign w:val="center"/>
          </w:tcPr>
          <w:p w14:paraId="3CAD717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F-ZLTC-SCOS-CBFT-001</w:t>
            </w:r>
          </w:p>
        </w:tc>
        <w:tc>
          <w:tcPr>
            <w:tcW w:w="3054" w:type="dxa"/>
            <w:shd w:val="clear" w:color="auto" w:fill="auto"/>
            <w:noWrap w:val="0"/>
            <w:tcMar>
              <w:top w:w="-1" w:type="dxa"/>
              <w:left w:w="-1" w:type="dxa"/>
              <w:bottom w:w="-1" w:type="dxa"/>
              <w:right w:w="-1" w:type="dxa"/>
            </w:tcMar>
            <w:vAlign w:val="center"/>
          </w:tcPr>
          <w:p w14:paraId="588730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按订单、产品、供应商、客户多维度归集生产批次成本与费用，完成成本分摊与利润统计，输出多维度成本利润分析报表。</w:t>
            </w:r>
          </w:p>
        </w:tc>
        <w:tc>
          <w:tcPr>
            <w:tcW w:w="1098" w:type="dxa"/>
            <w:shd w:val="clear" w:color="auto" w:fill="auto"/>
            <w:noWrap w:val="0"/>
            <w:tcMar>
              <w:top w:w="-1" w:type="dxa"/>
              <w:left w:w="-1" w:type="dxa"/>
              <w:bottom w:w="-1" w:type="dxa"/>
              <w:right w:w="-1" w:type="dxa"/>
            </w:tcMar>
            <w:vAlign w:val="center"/>
          </w:tcPr>
          <w:p w14:paraId="0333A53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WMS入库原料批次、MES 生产批次数据、TMS车次批次</w:t>
            </w:r>
          </w:p>
        </w:tc>
        <w:tc>
          <w:tcPr>
            <w:tcW w:w="907" w:type="dxa"/>
            <w:shd w:val="clear" w:color="auto" w:fill="auto"/>
            <w:noWrap w:val="0"/>
            <w:tcMar>
              <w:top w:w="-1" w:type="dxa"/>
              <w:left w:w="-1" w:type="dxa"/>
              <w:bottom w:w="-1" w:type="dxa"/>
              <w:right w:w="-1" w:type="dxa"/>
            </w:tcMar>
            <w:vAlign w:val="center"/>
          </w:tcPr>
          <w:p w14:paraId="16C126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多维度成本利润分析报表</w:t>
            </w:r>
          </w:p>
        </w:tc>
        <w:tc>
          <w:tcPr>
            <w:tcW w:w="873" w:type="dxa"/>
            <w:shd w:val="clear" w:color="auto" w:fill="auto"/>
            <w:noWrap w:val="0"/>
            <w:tcMar>
              <w:top w:w="-1" w:type="dxa"/>
              <w:left w:w="-1" w:type="dxa"/>
              <w:bottom w:w="-1" w:type="dxa"/>
              <w:right w:w="-1" w:type="dxa"/>
            </w:tcMar>
            <w:vAlign w:val="center"/>
          </w:tcPr>
          <w:p w14:paraId="715119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WMS、MES、TMS</w:t>
            </w:r>
          </w:p>
        </w:tc>
      </w:tr>
      <w:tr w14:paraId="0C2F6079">
        <w:trPr>
          <w:trHeight w:val="0" w:hRule="atLeast"/>
          <w:jc w:val="center"/>
        </w:trPr>
        <w:tc>
          <w:tcPr>
            <w:tcW w:w="1372" w:type="dxa"/>
            <w:shd w:val="clear" w:color="auto" w:fill="auto"/>
            <w:noWrap w:val="0"/>
            <w:tcMar>
              <w:top w:w="-1" w:type="dxa"/>
              <w:left w:w="-1" w:type="dxa"/>
              <w:bottom w:w="-1" w:type="dxa"/>
              <w:right w:w="-1" w:type="dxa"/>
            </w:tcMar>
            <w:vAlign w:val="center"/>
          </w:tcPr>
          <w:p w14:paraId="3AB8794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供应链驾驶舱</w:t>
            </w:r>
          </w:p>
        </w:tc>
        <w:tc>
          <w:tcPr>
            <w:tcW w:w="1472" w:type="dxa"/>
            <w:shd w:val="clear" w:color="auto" w:fill="auto"/>
            <w:noWrap w:val="0"/>
            <w:tcMar>
              <w:top w:w="-1" w:type="dxa"/>
              <w:left w:w="-1" w:type="dxa"/>
              <w:bottom w:w="-1" w:type="dxa"/>
              <w:right w:w="-1" w:type="dxa"/>
            </w:tcMar>
            <w:vAlign w:val="center"/>
          </w:tcPr>
          <w:p w14:paraId="14F4687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供应链驾驶舱</w:t>
            </w:r>
          </w:p>
        </w:tc>
        <w:tc>
          <w:tcPr>
            <w:tcW w:w="2115" w:type="dxa"/>
            <w:shd w:val="clear" w:color="auto" w:fill="auto"/>
            <w:noWrap w:val="0"/>
            <w:tcMar>
              <w:top w:w="-1" w:type="dxa"/>
              <w:left w:w="-1" w:type="dxa"/>
              <w:bottom w:w="-1" w:type="dxa"/>
              <w:right w:w="-1" w:type="dxa"/>
            </w:tcMar>
            <w:vAlign w:val="center"/>
          </w:tcPr>
          <w:p w14:paraId="14A741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F-ZLTC-SCOS-GYLJSC-001</w:t>
            </w:r>
          </w:p>
        </w:tc>
        <w:tc>
          <w:tcPr>
            <w:tcW w:w="3054" w:type="dxa"/>
            <w:shd w:val="clear" w:color="auto" w:fill="auto"/>
            <w:noWrap w:val="0"/>
            <w:tcMar>
              <w:top w:w="-1" w:type="dxa"/>
              <w:left w:w="-1" w:type="dxa"/>
              <w:bottom w:w="-1" w:type="dxa"/>
              <w:right w:w="-1" w:type="dxa"/>
            </w:tcMar>
            <w:vAlign w:val="center"/>
          </w:tcPr>
          <w:p w14:paraId="0BD0A2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聚合产销、储运、资金、环保全链路业务数据，计算供应链 KPI 与健康度并分级预警，支持数据钻取定位异常原因，辅助供应链决策。</w:t>
            </w:r>
          </w:p>
        </w:tc>
        <w:tc>
          <w:tcPr>
            <w:tcW w:w="1098" w:type="dxa"/>
            <w:shd w:val="clear" w:color="auto" w:fill="auto"/>
            <w:noWrap w:val="0"/>
            <w:tcMar>
              <w:top w:w="-1" w:type="dxa"/>
              <w:left w:w="-1" w:type="dxa"/>
              <w:bottom w:w="-1" w:type="dxa"/>
              <w:right w:w="-1" w:type="dxa"/>
            </w:tcMar>
            <w:vAlign w:val="center"/>
          </w:tcPr>
          <w:p w14:paraId="7125B8B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全模块业务数据、KPI 计算模型</w:t>
            </w:r>
          </w:p>
        </w:tc>
        <w:tc>
          <w:tcPr>
            <w:tcW w:w="907" w:type="dxa"/>
            <w:shd w:val="clear" w:color="auto" w:fill="auto"/>
            <w:noWrap w:val="0"/>
            <w:tcMar>
              <w:top w:w="-1" w:type="dxa"/>
              <w:left w:w="-1" w:type="dxa"/>
              <w:bottom w:w="-1" w:type="dxa"/>
              <w:right w:w="-1" w:type="dxa"/>
            </w:tcMar>
            <w:vAlign w:val="center"/>
          </w:tcPr>
          <w:p w14:paraId="3C3BDC1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KPI 可视化看板、预警信息、决策建议</w:t>
            </w:r>
          </w:p>
        </w:tc>
        <w:tc>
          <w:tcPr>
            <w:tcW w:w="873" w:type="dxa"/>
            <w:shd w:val="clear" w:color="auto" w:fill="auto"/>
            <w:noWrap w:val="0"/>
            <w:tcMar>
              <w:top w:w="-1" w:type="dxa"/>
              <w:left w:w="-1" w:type="dxa"/>
              <w:bottom w:w="-1" w:type="dxa"/>
              <w:right w:w="-1" w:type="dxa"/>
            </w:tcMar>
            <w:vAlign w:val="center"/>
          </w:tcPr>
          <w:p w14:paraId="78A0FEF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bl>
    <w:p w14:paraId="7F8C7B92">
      <w:pPr>
        <w:pStyle w:val="5"/>
        <w:numPr>
          <w:ilvl w:val="0"/>
          <w:numId w:val="0"/>
        </w:numPr>
        <w:topLinePunct w:val="0"/>
        <w:rPr>
          <w:rFonts w:hint="default" w:ascii="Times New Roman" w:hAnsi="Times New Roman" w:eastAsia="宋体" w:cs="Times New Roman"/>
          <w:color w:val="000000"/>
          <w:kern w:val="2"/>
          <w:sz w:val="24"/>
          <w:lang w:val="en-US" w:eastAsia="zh-CN" w:bidi="ar-SA"/>
        </w:rPr>
      </w:pPr>
    </w:p>
    <w:p w14:paraId="298AF08F">
      <w:pPr>
        <w:pStyle w:val="3"/>
        <w:bidi w:val="0"/>
        <w:rPr>
          <w:rFonts w:hint="eastAsia" w:ascii="黑体" w:hAnsi="黑体" w:eastAsia="黑体" w:cs="黑体"/>
          <w:lang w:val="en-US" w:eastAsia="zh-CN"/>
        </w:rPr>
      </w:pPr>
      <w:bookmarkStart w:id="20" w:name="_Toc298913976"/>
      <w:bookmarkStart w:id="21" w:name="_Toc811844899"/>
      <w:bookmarkStart w:id="22" w:name="_SCOS角色权限矩阵"/>
      <w:bookmarkStart w:id="23" w:name="_PLM角色权限矩阵"/>
      <w:r>
        <w:rPr>
          <w:rFonts w:hint="eastAsia" w:ascii="黑体" w:hAnsi="黑体" w:eastAsia="黑体" w:cs="黑体"/>
          <w:lang w:val="en-US" w:eastAsia="zh-CN"/>
        </w:rPr>
        <w:t>SCOS角色权限矩阵</w:t>
      </w:r>
      <w:bookmarkEnd w:id="20"/>
      <w:bookmarkEnd w:id="21"/>
    </w:p>
    <w:bookmarkEnd w:id="22"/>
    <w:bookmarkEnd w:id="23"/>
    <w:p w14:paraId="3FA09038">
      <w:pPr>
        <w:pStyle w:val="4"/>
        <w:bidi w:val="0"/>
        <w:ind w:left="161" w:leftChars="0" w:firstLineChars="0"/>
        <w:rPr>
          <w:rFonts w:hint="eastAsia" w:ascii="黑体" w:hAnsi="黑体" w:eastAsia="黑体" w:cs="黑体"/>
          <w:lang w:val="en-US" w:eastAsia="zh-CN"/>
        </w:rPr>
      </w:pPr>
      <w:bookmarkStart w:id="24" w:name="_Toc1713608102"/>
      <w:r>
        <w:rPr>
          <w:rFonts w:hint="eastAsia" w:ascii="黑体" w:hAnsi="黑体" w:eastAsia="黑体" w:cs="黑体"/>
          <w:lang w:val="en-US" w:eastAsia="zh-CN"/>
        </w:rPr>
        <w:t>角色定义</w:t>
      </w:r>
      <w:bookmarkEnd w:id="24"/>
    </w:p>
    <w:tbl>
      <w:tblPr>
        <w:tblStyle w:val="79"/>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1540"/>
        <w:gridCol w:w="1322"/>
        <w:gridCol w:w="5134"/>
      </w:tblGrid>
      <w:tr w14:paraId="5A2D3125">
        <w:trPr>
          <w:trHeight w:val="399" w:hRule="atLeast"/>
          <w:tblHeader/>
          <w:jc w:val="center"/>
        </w:trPr>
        <w:tc>
          <w:tcPr>
            <w:tcW w:w="1322" w:type="dxa"/>
            <w:shd w:val="clear" w:color="auto" w:fill="FFFFFF" w:themeFill="background1"/>
            <w:vAlign w:val="center"/>
          </w:tcPr>
          <w:p w14:paraId="77943E9B">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角色编号</w:t>
            </w:r>
          </w:p>
        </w:tc>
        <w:tc>
          <w:tcPr>
            <w:tcW w:w="1540" w:type="dxa"/>
            <w:shd w:val="clear" w:color="auto" w:fill="FFFFFF" w:themeFill="background1"/>
            <w:vAlign w:val="center"/>
          </w:tcPr>
          <w:p w14:paraId="5B20DDB7">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角色名称</w:t>
            </w:r>
          </w:p>
        </w:tc>
        <w:tc>
          <w:tcPr>
            <w:tcW w:w="1322" w:type="dxa"/>
            <w:shd w:val="clear" w:color="auto" w:fill="FFFFFF" w:themeFill="background1"/>
            <w:vAlign w:val="center"/>
          </w:tcPr>
          <w:p w14:paraId="70AC8ABE">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所属部门</w:t>
            </w:r>
          </w:p>
        </w:tc>
        <w:tc>
          <w:tcPr>
            <w:tcW w:w="5134" w:type="dxa"/>
            <w:shd w:val="clear" w:color="auto" w:fill="FFFFFF" w:themeFill="background1"/>
            <w:vAlign w:val="center"/>
          </w:tcPr>
          <w:p w14:paraId="7D18C270">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SCOS职责概述</w:t>
            </w:r>
          </w:p>
        </w:tc>
      </w:tr>
      <w:tr w14:paraId="2961BF50">
        <w:trPr>
          <w:trHeight w:val="369" w:hRule="atLeast"/>
          <w:jc w:val="center"/>
        </w:trPr>
        <w:tc>
          <w:tcPr>
            <w:tcW w:w="1322" w:type="dxa"/>
            <w:vAlign w:val="center"/>
          </w:tcPr>
          <w:p w14:paraId="6D722EB5">
            <w:pPr>
              <w:keepNext w:val="0"/>
              <w:keepLines w:val="0"/>
              <w:widowControl/>
              <w:suppressLineNumbers w:val="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R01</w:t>
            </w:r>
          </w:p>
        </w:tc>
        <w:tc>
          <w:tcPr>
            <w:tcW w:w="1540" w:type="dxa"/>
            <w:shd w:val="clear" w:color="auto" w:fill="auto"/>
            <w:vAlign w:val="center"/>
          </w:tcPr>
          <w:p w14:paraId="258029E1">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总经理</w:t>
            </w:r>
          </w:p>
        </w:tc>
        <w:tc>
          <w:tcPr>
            <w:tcW w:w="1322" w:type="dxa"/>
            <w:shd w:val="clear" w:color="auto" w:fill="auto"/>
            <w:vAlign w:val="center"/>
          </w:tcPr>
          <w:p w14:paraId="4F8176A5">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管理层</w:t>
            </w:r>
          </w:p>
        </w:tc>
        <w:tc>
          <w:tcPr>
            <w:tcW w:w="5134" w:type="dxa"/>
            <w:shd w:val="clear" w:color="auto" w:fill="auto"/>
            <w:vAlign w:val="center"/>
          </w:tcPr>
          <w:p w14:paraId="2013FB3C">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次年经营方案制定、跨部门资源统筹</w:t>
            </w:r>
          </w:p>
        </w:tc>
      </w:tr>
      <w:tr w14:paraId="5CE3F5FF">
        <w:trPr>
          <w:trHeight w:val="369" w:hRule="atLeast"/>
          <w:jc w:val="center"/>
        </w:trPr>
        <w:tc>
          <w:tcPr>
            <w:tcW w:w="1322" w:type="dxa"/>
            <w:vAlign w:val="center"/>
          </w:tcPr>
          <w:p w14:paraId="4DD68C48">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R02</w:t>
            </w:r>
          </w:p>
        </w:tc>
        <w:tc>
          <w:tcPr>
            <w:tcW w:w="1540" w:type="dxa"/>
            <w:shd w:val="clear" w:color="auto" w:fill="auto"/>
            <w:vAlign w:val="center"/>
          </w:tcPr>
          <w:p w14:paraId="3CE83E1E">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销售员</w:t>
            </w:r>
          </w:p>
        </w:tc>
        <w:tc>
          <w:tcPr>
            <w:tcW w:w="1322" w:type="dxa"/>
            <w:shd w:val="clear" w:color="auto" w:fill="auto"/>
            <w:vAlign w:val="center"/>
          </w:tcPr>
          <w:p w14:paraId="68298E12">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销售部</w:t>
            </w:r>
          </w:p>
        </w:tc>
        <w:tc>
          <w:tcPr>
            <w:tcW w:w="5134" w:type="dxa"/>
            <w:shd w:val="clear" w:color="auto" w:fill="auto"/>
            <w:vAlign w:val="center"/>
          </w:tcPr>
          <w:p w14:paraId="075B56D4">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销售计划维护、投标及零售合同签订与维护、销售订单创建与更新、客户需求采集、客户反馈收集</w:t>
            </w:r>
          </w:p>
        </w:tc>
      </w:tr>
      <w:tr w14:paraId="143A4C58">
        <w:trPr>
          <w:trHeight w:val="930" w:hRule="atLeast"/>
          <w:jc w:val="center"/>
        </w:trPr>
        <w:tc>
          <w:tcPr>
            <w:tcW w:w="1322" w:type="dxa"/>
            <w:shd w:val="clear" w:color="auto" w:fill="auto"/>
            <w:vAlign w:val="center"/>
          </w:tcPr>
          <w:p w14:paraId="1D684689">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R03</w:t>
            </w:r>
          </w:p>
        </w:tc>
        <w:tc>
          <w:tcPr>
            <w:tcW w:w="1540" w:type="dxa"/>
            <w:shd w:val="clear" w:color="auto" w:fill="auto"/>
            <w:vAlign w:val="center"/>
          </w:tcPr>
          <w:p w14:paraId="7704E719">
            <w:pPr>
              <w:keepNext w:val="0"/>
              <w:keepLines w:val="0"/>
              <w:widowControl/>
              <w:suppressLineNumbers w:val="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销售负责人</w:t>
            </w:r>
          </w:p>
        </w:tc>
        <w:tc>
          <w:tcPr>
            <w:tcW w:w="1322" w:type="dxa"/>
            <w:shd w:val="clear" w:color="auto" w:fill="auto"/>
            <w:vAlign w:val="center"/>
          </w:tcPr>
          <w:p w14:paraId="60B20248">
            <w:pPr>
              <w:keepNext w:val="0"/>
              <w:keepLines w:val="0"/>
              <w:widowControl/>
              <w:suppressLineNumbers w:val="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销售部</w:t>
            </w:r>
          </w:p>
        </w:tc>
        <w:tc>
          <w:tcPr>
            <w:tcW w:w="5134" w:type="dxa"/>
            <w:shd w:val="clear" w:color="auto" w:fill="auto"/>
            <w:vAlign w:val="center"/>
          </w:tcPr>
          <w:p w14:paraId="6AA4AB51">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年度销售计划复核、统筹全渠道市场拓展与业绩目标达成</w:t>
            </w:r>
          </w:p>
        </w:tc>
      </w:tr>
      <w:tr w14:paraId="6FBD532C">
        <w:trPr>
          <w:trHeight w:val="930" w:hRule="atLeast"/>
          <w:jc w:val="center"/>
        </w:trPr>
        <w:tc>
          <w:tcPr>
            <w:tcW w:w="1322" w:type="dxa"/>
            <w:shd w:val="clear" w:color="auto" w:fill="auto"/>
            <w:vAlign w:val="center"/>
          </w:tcPr>
          <w:p w14:paraId="65705F6A">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R04</w:t>
            </w:r>
          </w:p>
        </w:tc>
        <w:tc>
          <w:tcPr>
            <w:tcW w:w="1540" w:type="dxa"/>
            <w:shd w:val="clear" w:color="auto" w:fill="auto"/>
            <w:vAlign w:val="center"/>
          </w:tcPr>
          <w:p w14:paraId="72466658">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财务专员</w:t>
            </w:r>
          </w:p>
        </w:tc>
        <w:tc>
          <w:tcPr>
            <w:tcW w:w="1322" w:type="dxa"/>
            <w:shd w:val="clear" w:color="auto" w:fill="auto"/>
            <w:vAlign w:val="center"/>
          </w:tcPr>
          <w:p w14:paraId="7EAF6B13">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财务部</w:t>
            </w:r>
          </w:p>
        </w:tc>
        <w:tc>
          <w:tcPr>
            <w:tcW w:w="5134" w:type="dxa"/>
            <w:shd w:val="clear" w:color="auto" w:fill="auto"/>
            <w:vAlign w:val="center"/>
          </w:tcPr>
          <w:p w14:paraId="19A5EFCA">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成本分摊总表、各模块的成本表、时间维度的成本查询、供应商/客户的纬度成本查询、订单成本查询、产品维度的成本查询、批次明细纬度的成本查询</w:t>
            </w:r>
          </w:p>
        </w:tc>
      </w:tr>
      <w:tr w14:paraId="21E8E7CD">
        <w:trPr>
          <w:trHeight w:val="930" w:hRule="atLeast"/>
          <w:jc w:val="center"/>
        </w:trPr>
        <w:tc>
          <w:tcPr>
            <w:tcW w:w="1322" w:type="dxa"/>
            <w:shd w:val="clear" w:color="auto" w:fill="auto"/>
            <w:vAlign w:val="center"/>
          </w:tcPr>
          <w:p w14:paraId="6696B366">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R05</w:t>
            </w:r>
          </w:p>
        </w:tc>
        <w:tc>
          <w:tcPr>
            <w:tcW w:w="1540" w:type="dxa"/>
            <w:shd w:val="clear" w:color="auto" w:fill="auto"/>
            <w:vAlign w:val="center"/>
          </w:tcPr>
          <w:p w14:paraId="1D8706E8">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财务负责人</w:t>
            </w:r>
          </w:p>
        </w:tc>
        <w:tc>
          <w:tcPr>
            <w:tcW w:w="1322" w:type="dxa"/>
            <w:shd w:val="clear" w:color="auto" w:fill="auto"/>
            <w:vAlign w:val="center"/>
          </w:tcPr>
          <w:p w14:paraId="77814D03">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财务部</w:t>
            </w:r>
          </w:p>
        </w:tc>
        <w:tc>
          <w:tcPr>
            <w:tcW w:w="5134" w:type="dxa"/>
            <w:shd w:val="clear" w:color="auto" w:fill="auto"/>
            <w:vAlign w:val="center"/>
          </w:tcPr>
          <w:p w14:paraId="481E4255">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成本分摊总表、各模块的成本表、时间维度的成本查询、供应商/客户的纬度成本查询、订单成本查询、产品维度的成本查询、批次明细纬度的成本查询</w:t>
            </w:r>
          </w:p>
        </w:tc>
      </w:tr>
      <w:tr w14:paraId="4EFC76ED">
        <w:trPr>
          <w:trHeight w:val="930" w:hRule="atLeast"/>
          <w:jc w:val="center"/>
        </w:trPr>
        <w:tc>
          <w:tcPr>
            <w:tcW w:w="1322" w:type="dxa"/>
            <w:shd w:val="clear" w:color="auto" w:fill="auto"/>
            <w:vAlign w:val="center"/>
          </w:tcPr>
          <w:p w14:paraId="680C281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R06</w:t>
            </w:r>
          </w:p>
        </w:tc>
        <w:tc>
          <w:tcPr>
            <w:tcW w:w="1540" w:type="dxa"/>
            <w:shd w:val="clear" w:color="auto" w:fill="auto"/>
            <w:vAlign w:val="center"/>
          </w:tcPr>
          <w:p w14:paraId="0C0DF6E9">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计划专员</w:t>
            </w:r>
          </w:p>
        </w:tc>
        <w:tc>
          <w:tcPr>
            <w:tcW w:w="1322" w:type="dxa"/>
            <w:shd w:val="clear" w:color="auto" w:fill="auto"/>
            <w:vAlign w:val="center"/>
          </w:tcPr>
          <w:p w14:paraId="07710DF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计划部</w:t>
            </w:r>
          </w:p>
        </w:tc>
        <w:tc>
          <w:tcPr>
            <w:tcW w:w="5134" w:type="dxa"/>
            <w:shd w:val="clear" w:color="auto" w:fill="auto"/>
            <w:vAlign w:val="center"/>
          </w:tcPr>
          <w:p w14:paraId="338DA30D">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维护生产日历、月度/日度生产排程微调、原辅包需求计划/生产计划/到厂需求计划/玉米淀粉投料需求维护与综合计划统筹、</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库存计划的计划管理、采购计划的计划管理、要货计划的计划管理、驾驶舱的沙盘推演、</w:t>
            </w:r>
          </w:p>
        </w:tc>
      </w:tr>
      <w:tr w14:paraId="15E73624">
        <w:trPr>
          <w:trHeight w:val="659" w:hRule="atLeast"/>
          <w:jc w:val="center"/>
        </w:trPr>
        <w:tc>
          <w:tcPr>
            <w:tcW w:w="1322" w:type="dxa"/>
            <w:vAlign w:val="center"/>
          </w:tcPr>
          <w:p w14:paraId="54192298">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R07</w:t>
            </w:r>
          </w:p>
        </w:tc>
        <w:tc>
          <w:tcPr>
            <w:tcW w:w="1540" w:type="dxa"/>
            <w:shd w:val="clear" w:color="auto" w:fill="auto"/>
            <w:vAlign w:val="center"/>
          </w:tcPr>
          <w:p w14:paraId="5ADF2DF4">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计划负责人</w:t>
            </w:r>
          </w:p>
        </w:tc>
        <w:tc>
          <w:tcPr>
            <w:tcW w:w="1322" w:type="dxa"/>
            <w:shd w:val="clear" w:color="auto" w:fill="auto"/>
            <w:vAlign w:val="center"/>
          </w:tcPr>
          <w:p w14:paraId="61B001ED">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计划部</w:t>
            </w:r>
          </w:p>
        </w:tc>
        <w:tc>
          <w:tcPr>
            <w:tcW w:w="5134" w:type="dxa"/>
            <w:shd w:val="clear" w:color="auto" w:fill="auto"/>
            <w:vAlign w:val="center"/>
          </w:tcPr>
          <w:p w14:paraId="0FAE8939">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原辅包需求计划/生产计划/到厂需求计划复核、</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库存计划、采购计划、要货计划、驾驶舱的沙盘推演  的复核</w:t>
            </w:r>
          </w:p>
        </w:tc>
      </w:tr>
      <w:tr w14:paraId="5283B9F9">
        <w:trPr>
          <w:trHeight w:val="369" w:hRule="atLeast"/>
          <w:jc w:val="center"/>
        </w:trPr>
        <w:tc>
          <w:tcPr>
            <w:tcW w:w="1322" w:type="dxa"/>
            <w:vAlign w:val="center"/>
          </w:tcPr>
          <w:p w14:paraId="6F2B62AD">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R08</w:t>
            </w:r>
          </w:p>
        </w:tc>
        <w:tc>
          <w:tcPr>
            <w:tcW w:w="1540" w:type="dxa"/>
            <w:shd w:val="clear" w:color="auto" w:fill="auto"/>
            <w:vAlign w:val="center"/>
          </w:tcPr>
          <w:p w14:paraId="1B1058D6">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生产负责人</w:t>
            </w:r>
          </w:p>
        </w:tc>
        <w:tc>
          <w:tcPr>
            <w:tcW w:w="1322" w:type="dxa"/>
            <w:shd w:val="clear" w:color="auto" w:fill="auto"/>
            <w:vAlign w:val="center"/>
          </w:tcPr>
          <w:p w14:paraId="75BFE65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生产部</w:t>
            </w:r>
          </w:p>
        </w:tc>
        <w:tc>
          <w:tcPr>
            <w:tcW w:w="5134" w:type="dxa"/>
            <w:shd w:val="clear" w:color="auto" w:fill="auto"/>
            <w:vAlign w:val="center"/>
          </w:tcPr>
          <w:p w14:paraId="3697BEB6">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年度生产计划复核，生产订单复核与订单发行、量产转化跟进、</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各批次各纬度的成本查询</w:t>
            </w:r>
          </w:p>
        </w:tc>
      </w:tr>
      <w:tr w14:paraId="349E3823">
        <w:trPr>
          <w:trHeight w:val="659" w:hRule="atLeast"/>
          <w:jc w:val="center"/>
        </w:trPr>
        <w:tc>
          <w:tcPr>
            <w:tcW w:w="1322" w:type="dxa"/>
            <w:vAlign w:val="center"/>
          </w:tcPr>
          <w:p w14:paraId="0E5B1ADF">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R07</w:t>
            </w:r>
          </w:p>
        </w:tc>
        <w:tc>
          <w:tcPr>
            <w:tcW w:w="1540" w:type="dxa"/>
            <w:shd w:val="clear" w:color="auto" w:fill="auto"/>
            <w:vAlign w:val="center"/>
          </w:tcPr>
          <w:p w14:paraId="60A95D9F">
            <w:pPr>
              <w:keepNext w:val="0"/>
              <w:keepLines w:val="0"/>
              <w:widowControl/>
              <w:suppressLineNumbers w:val="0"/>
              <w:tabs>
                <w:tab w:val="center" w:pos="662"/>
              </w:tabs>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B050"/>
                <w:kern w:val="0"/>
                <w:sz w:val="18"/>
                <w:szCs w:val="18"/>
                <w:u w:val="none"/>
                <w:lang w:val="en-US" w:eastAsia="zh-CN" w:bidi="ar"/>
              </w:rPr>
              <w:t>采购员</w:t>
            </w:r>
            <w:r>
              <w:rPr>
                <w:rFonts w:hint="eastAsia" w:ascii="宋体" w:hAnsi="宋体" w:eastAsia="宋体" w:cs="宋体"/>
                <w:i w:val="0"/>
                <w:iCs w:val="0"/>
                <w:color w:val="00B050"/>
                <w:kern w:val="0"/>
                <w:sz w:val="18"/>
                <w:szCs w:val="18"/>
                <w:u w:val="none"/>
                <w:lang w:val="en-US" w:eastAsia="zh-CN" w:bidi="ar"/>
              </w:rPr>
              <w:tab/>
            </w:r>
          </w:p>
        </w:tc>
        <w:tc>
          <w:tcPr>
            <w:tcW w:w="1322" w:type="dxa"/>
            <w:shd w:val="clear" w:color="auto" w:fill="auto"/>
            <w:vAlign w:val="center"/>
          </w:tcPr>
          <w:p w14:paraId="5D71F63D">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供应链</w:t>
            </w:r>
          </w:p>
        </w:tc>
        <w:tc>
          <w:tcPr>
            <w:tcW w:w="5134" w:type="dxa"/>
            <w:shd w:val="clear" w:color="auto" w:fill="auto"/>
            <w:vAlign w:val="center"/>
          </w:tcPr>
          <w:p w14:paraId="536A9B42">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原辅包需求计划表确认、供应商与价格维护、优化参数调整、选择需求期间、物料寻样/到货跟进、</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要货计划</w:t>
            </w:r>
          </w:p>
        </w:tc>
      </w:tr>
      <w:tr w14:paraId="1C5782A5">
        <w:trPr>
          <w:trHeight w:val="659" w:hRule="atLeast"/>
          <w:jc w:val="center"/>
        </w:trPr>
        <w:tc>
          <w:tcPr>
            <w:tcW w:w="1322" w:type="dxa"/>
            <w:vAlign w:val="center"/>
          </w:tcPr>
          <w:p w14:paraId="1A1DA81F">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R09</w:t>
            </w:r>
          </w:p>
        </w:tc>
        <w:tc>
          <w:tcPr>
            <w:tcW w:w="1540" w:type="dxa"/>
            <w:shd w:val="clear" w:color="auto" w:fill="auto"/>
            <w:vAlign w:val="center"/>
          </w:tcPr>
          <w:p w14:paraId="6F2CCD7C">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采购负责人</w:t>
            </w:r>
          </w:p>
        </w:tc>
        <w:tc>
          <w:tcPr>
            <w:tcW w:w="1322" w:type="dxa"/>
            <w:shd w:val="clear" w:color="auto" w:fill="auto"/>
            <w:vAlign w:val="center"/>
          </w:tcPr>
          <w:p w14:paraId="4D7992A3">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供应链</w:t>
            </w:r>
          </w:p>
        </w:tc>
        <w:tc>
          <w:tcPr>
            <w:tcW w:w="5134" w:type="dxa"/>
            <w:shd w:val="clear" w:color="auto" w:fill="auto"/>
            <w:vAlign w:val="center"/>
          </w:tcPr>
          <w:p w14:paraId="64C5B375">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采购合同确认、原辅包采购需求审批、采购计划的需求查看、</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各批次各纬度的成本查询</w:t>
            </w:r>
          </w:p>
        </w:tc>
      </w:tr>
      <w:tr w14:paraId="0B3BDF33">
        <w:trPr>
          <w:trHeight w:val="659" w:hRule="atLeast"/>
          <w:jc w:val="center"/>
        </w:trPr>
        <w:tc>
          <w:tcPr>
            <w:tcW w:w="1322" w:type="dxa"/>
            <w:vAlign w:val="center"/>
          </w:tcPr>
          <w:p w14:paraId="3810EDA6">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R10</w:t>
            </w:r>
          </w:p>
        </w:tc>
        <w:tc>
          <w:tcPr>
            <w:tcW w:w="1540" w:type="dxa"/>
            <w:shd w:val="clear" w:color="auto" w:fill="auto"/>
            <w:vAlign w:val="center"/>
          </w:tcPr>
          <w:p w14:paraId="54609F02">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系统管理员</w:t>
            </w:r>
          </w:p>
        </w:tc>
        <w:tc>
          <w:tcPr>
            <w:tcW w:w="1322" w:type="dxa"/>
            <w:shd w:val="clear" w:color="auto" w:fill="auto"/>
            <w:vAlign w:val="center"/>
          </w:tcPr>
          <w:p w14:paraId="2FDBBE5C">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IT</w:t>
            </w:r>
          </w:p>
        </w:tc>
        <w:tc>
          <w:tcPr>
            <w:tcW w:w="5134" w:type="dxa"/>
            <w:shd w:val="clear" w:color="auto" w:fill="auto"/>
            <w:vAlign w:val="center"/>
          </w:tcPr>
          <w:p w14:paraId="77CFE762">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系统配置、权限管理、流程建模</w:t>
            </w:r>
          </w:p>
        </w:tc>
      </w:tr>
    </w:tbl>
    <w:p w14:paraId="77EF6618">
      <w:pPr>
        <w:pStyle w:val="5"/>
        <w:rPr>
          <w:rFonts w:hint="eastAsia"/>
          <w:lang w:val="en-US" w:eastAsia="zh-CN"/>
        </w:rPr>
      </w:pPr>
    </w:p>
    <w:p w14:paraId="1BBF8784">
      <w:pPr>
        <w:pStyle w:val="4"/>
        <w:bidi w:val="0"/>
        <w:ind w:left="161" w:leftChars="0" w:firstLineChars="0"/>
        <w:rPr>
          <w:rFonts w:hint="eastAsia" w:ascii="黑体" w:hAnsi="黑体" w:eastAsia="黑体" w:cs="黑体"/>
          <w:lang w:val="en-US" w:eastAsia="zh-CN"/>
        </w:rPr>
      </w:pPr>
      <w:bookmarkStart w:id="25" w:name="_Toc26518"/>
      <w:bookmarkStart w:id="26" w:name="_Toc708180397"/>
      <w:r>
        <w:rPr>
          <w:rFonts w:hint="eastAsia" w:ascii="黑体" w:hAnsi="黑体" w:eastAsia="黑体" w:cs="黑体"/>
          <w:lang w:val="en-US" w:eastAsia="zh-CN"/>
        </w:rPr>
        <w:t>权限矩阵</w:t>
      </w:r>
      <w:bookmarkEnd w:id="25"/>
      <w:bookmarkEnd w:id="26"/>
    </w:p>
    <w:tbl>
      <w:tblPr>
        <w:tblStyle w:val="31"/>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7"/>
        <w:gridCol w:w="1191"/>
        <w:gridCol w:w="713"/>
        <w:gridCol w:w="675"/>
        <w:gridCol w:w="740"/>
        <w:gridCol w:w="713"/>
        <w:gridCol w:w="750"/>
        <w:gridCol w:w="675"/>
        <w:gridCol w:w="675"/>
        <w:gridCol w:w="1880"/>
      </w:tblGrid>
      <w:tr w14:paraId="29D751BE">
        <w:trPr>
          <w:trHeight w:val="0" w:hRule="atLeast"/>
          <w:tblHeader/>
          <w:jc w:val="center"/>
        </w:trPr>
        <w:tc>
          <w:tcPr>
            <w:tcW w:w="1347" w:type="dxa"/>
            <w:shd w:val="clear" w:color="auto" w:fill="FFFFFF" w:themeFill="background1"/>
            <w:noWrap w:val="0"/>
            <w:tcMar>
              <w:top w:w="-1" w:type="dxa"/>
              <w:left w:w="-1" w:type="dxa"/>
              <w:bottom w:w="-1" w:type="dxa"/>
              <w:right w:w="-1" w:type="dxa"/>
            </w:tcMar>
            <w:vAlign w:val="center"/>
          </w:tcPr>
          <w:p w14:paraId="59DF0751">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功能对象</w:t>
            </w:r>
          </w:p>
        </w:tc>
        <w:tc>
          <w:tcPr>
            <w:tcW w:w="1191" w:type="dxa"/>
            <w:shd w:val="clear" w:color="auto" w:fill="FFFFFF" w:themeFill="background1"/>
            <w:noWrap w:val="0"/>
            <w:tcMar>
              <w:top w:w="-1" w:type="dxa"/>
              <w:left w:w="-1" w:type="dxa"/>
              <w:bottom w:w="-1" w:type="dxa"/>
              <w:right w:w="-1" w:type="dxa"/>
            </w:tcMar>
            <w:vAlign w:val="center"/>
          </w:tcPr>
          <w:p w14:paraId="18B5AF2D">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sz w:val="18"/>
                <w:szCs w:val="18"/>
              </w:rPr>
              <w:t>角色</w:t>
            </w:r>
            <w:r>
              <w:rPr>
                <w:rFonts w:hint="eastAsia" w:ascii="宋体" w:hAnsi="宋体" w:eastAsia="宋体" w:cs="宋体"/>
                <w:b/>
                <w:bCs/>
                <w:sz w:val="18"/>
                <w:szCs w:val="18"/>
                <w:lang w:val="en-US" w:eastAsia="zh-CN"/>
              </w:rPr>
              <w:t>名称</w:t>
            </w:r>
          </w:p>
        </w:tc>
        <w:tc>
          <w:tcPr>
            <w:tcW w:w="713" w:type="dxa"/>
            <w:shd w:val="clear" w:color="auto" w:fill="FFFFFF" w:themeFill="background1"/>
            <w:noWrap w:val="0"/>
            <w:tcMar>
              <w:top w:w="-1" w:type="dxa"/>
              <w:left w:w="-1" w:type="dxa"/>
              <w:bottom w:w="-1" w:type="dxa"/>
              <w:right w:w="-1" w:type="dxa"/>
            </w:tcMar>
            <w:vAlign w:val="center"/>
          </w:tcPr>
          <w:p w14:paraId="648062D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创建</w:t>
            </w:r>
          </w:p>
        </w:tc>
        <w:tc>
          <w:tcPr>
            <w:tcW w:w="675" w:type="dxa"/>
            <w:shd w:val="clear" w:color="auto" w:fill="FFFFFF" w:themeFill="background1"/>
            <w:noWrap w:val="0"/>
            <w:tcMar>
              <w:top w:w="-1" w:type="dxa"/>
              <w:left w:w="-1" w:type="dxa"/>
              <w:bottom w:w="-1" w:type="dxa"/>
              <w:right w:w="-1" w:type="dxa"/>
            </w:tcMar>
            <w:vAlign w:val="center"/>
          </w:tcPr>
          <w:p w14:paraId="5920886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浏览</w:t>
            </w:r>
          </w:p>
        </w:tc>
        <w:tc>
          <w:tcPr>
            <w:tcW w:w="740" w:type="dxa"/>
            <w:shd w:val="clear" w:color="auto" w:fill="FFFFFF" w:themeFill="background1"/>
            <w:noWrap w:val="0"/>
            <w:tcMar>
              <w:top w:w="-1" w:type="dxa"/>
              <w:left w:w="-1" w:type="dxa"/>
              <w:bottom w:w="-1" w:type="dxa"/>
              <w:right w:w="-1" w:type="dxa"/>
            </w:tcMar>
            <w:vAlign w:val="center"/>
          </w:tcPr>
          <w:p w14:paraId="0FACF2B8">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编辑</w:t>
            </w:r>
          </w:p>
        </w:tc>
        <w:tc>
          <w:tcPr>
            <w:tcW w:w="713" w:type="dxa"/>
            <w:shd w:val="clear" w:color="auto" w:fill="FFFFFF" w:themeFill="background1"/>
            <w:noWrap w:val="0"/>
            <w:tcMar>
              <w:top w:w="-1" w:type="dxa"/>
              <w:left w:w="-1" w:type="dxa"/>
              <w:bottom w:w="-1" w:type="dxa"/>
              <w:right w:w="-1" w:type="dxa"/>
            </w:tcMar>
            <w:vAlign w:val="center"/>
          </w:tcPr>
          <w:p w14:paraId="6FEA1B82">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打印</w:t>
            </w:r>
          </w:p>
        </w:tc>
        <w:tc>
          <w:tcPr>
            <w:tcW w:w="750" w:type="dxa"/>
            <w:shd w:val="clear" w:color="auto" w:fill="FFFFFF" w:themeFill="background1"/>
            <w:noWrap w:val="0"/>
            <w:tcMar>
              <w:top w:w="-1" w:type="dxa"/>
              <w:left w:w="-1" w:type="dxa"/>
              <w:bottom w:w="-1" w:type="dxa"/>
              <w:right w:w="-1" w:type="dxa"/>
            </w:tcMar>
            <w:vAlign w:val="center"/>
          </w:tcPr>
          <w:p w14:paraId="6CDF9F1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复核</w:t>
            </w:r>
          </w:p>
        </w:tc>
        <w:tc>
          <w:tcPr>
            <w:tcW w:w="675" w:type="dxa"/>
            <w:shd w:val="clear" w:color="auto" w:fill="FFFFFF" w:themeFill="background1"/>
            <w:noWrap w:val="0"/>
            <w:tcMar>
              <w:top w:w="-1" w:type="dxa"/>
              <w:left w:w="-1" w:type="dxa"/>
              <w:bottom w:w="-1" w:type="dxa"/>
              <w:right w:w="-1" w:type="dxa"/>
            </w:tcMar>
            <w:vAlign w:val="center"/>
          </w:tcPr>
          <w:p w14:paraId="12E2CD9C">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删除</w:t>
            </w:r>
          </w:p>
        </w:tc>
        <w:tc>
          <w:tcPr>
            <w:tcW w:w="675" w:type="dxa"/>
            <w:shd w:val="clear" w:color="auto" w:fill="FFFFFF" w:themeFill="background1"/>
            <w:noWrap w:val="0"/>
            <w:tcMar>
              <w:top w:w="-1" w:type="dxa"/>
              <w:left w:w="-1" w:type="dxa"/>
              <w:bottom w:w="-1" w:type="dxa"/>
              <w:right w:w="-1" w:type="dxa"/>
            </w:tcMar>
            <w:vAlign w:val="center"/>
          </w:tcPr>
          <w:p w14:paraId="5707A23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下载</w:t>
            </w:r>
          </w:p>
        </w:tc>
        <w:tc>
          <w:tcPr>
            <w:tcW w:w="1880" w:type="dxa"/>
            <w:shd w:val="clear" w:color="auto" w:fill="FFFFFF" w:themeFill="background1"/>
            <w:noWrap w:val="0"/>
            <w:tcMar>
              <w:top w:w="-1" w:type="dxa"/>
              <w:left w:w="-1" w:type="dxa"/>
              <w:bottom w:w="-1" w:type="dxa"/>
              <w:right w:w="-1" w:type="dxa"/>
            </w:tcMar>
            <w:vAlign w:val="center"/>
          </w:tcPr>
          <w:p w14:paraId="2C567039">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数据权限隔离规则</w:t>
            </w:r>
          </w:p>
        </w:tc>
      </w:tr>
      <w:tr w14:paraId="0682107C">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17FB0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安全库存优化参数</w:t>
            </w:r>
          </w:p>
        </w:tc>
        <w:tc>
          <w:tcPr>
            <w:tcW w:w="1191" w:type="dxa"/>
            <w:shd w:val="clear" w:color="auto" w:fill="auto"/>
            <w:noWrap w:val="0"/>
            <w:tcMar>
              <w:top w:w="-1" w:type="dxa"/>
              <w:left w:w="-1" w:type="dxa"/>
              <w:bottom w:w="-1" w:type="dxa"/>
              <w:right w:w="-1" w:type="dxa"/>
            </w:tcMar>
            <w:vAlign w:val="center"/>
          </w:tcPr>
          <w:p w14:paraId="33B205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A748D5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4E77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C23AAF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98DD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4118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135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1F65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637526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21C575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7BA1F5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97DAF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BCF32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45DC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16E0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F5B4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EEC5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E45C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A8BD5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EF9A37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012A6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19382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C5920B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E309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1E0A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15CD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28D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F8F600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C259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F331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2E580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C801C0">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51B581A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0C3AE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1E3C621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3D08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103F22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B450B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E319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AD795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FB94F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994BE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61F76F3">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7BA4F12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58AAFA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7DD422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1DAAB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E85C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C8591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F2BB8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CBCB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3933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C862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7F062EF">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37EA44C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65F62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6F0E40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EAF1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95426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83386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A664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71999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2530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4F113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3698F29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8A6AC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2A88400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2157C9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9B3A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07B02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FAD0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30AD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D2B28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6876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C4100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23EEF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114A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D051C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5C09D19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0A0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78C2C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41B4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00A7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9EDAC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CA040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7FC58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511838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E8A66E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D6E24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ECBEE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2A8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24257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5BB58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7B2CE8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CE29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3C1B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D74E16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3431F5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A25B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AD0E60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0D3510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207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C1C9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D50E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29F95F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F50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E24E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7B77F2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CE5491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D6689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A1980D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DBF1D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8BBE5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780E4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393509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2C66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FA86D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7684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88879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86D78CC">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A24A71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rPr>
            </w:pPr>
            <w:r>
              <w:rPr>
                <w:rFonts w:hint="eastAsia" w:ascii="宋体" w:hAnsi="宋体" w:eastAsia="宋体" w:cs="宋体"/>
                <w:b w:val="0"/>
                <w:bCs w:val="0"/>
                <w:sz w:val="18"/>
                <w:szCs w:val="18"/>
                <w:lang w:val="en-US" w:eastAsia="zh-CN"/>
              </w:rPr>
              <w:t>库存计划</w:t>
            </w:r>
          </w:p>
        </w:tc>
        <w:tc>
          <w:tcPr>
            <w:tcW w:w="1191" w:type="dxa"/>
            <w:shd w:val="clear" w:color="auto" w:fill="auto"/>
            <w:noWrap w:val="0"/>
            <w:tcMar>
              <w:top w:w="-1" w:type="dxa"/>
              <w:left w:w="-1" w:type="dxa"/>
              <w:bottom w:w="-1" w:type="dxa"/>
              <w:right w:w="-1" w:type="dxa"/>
            </w:tcMar>
            <w:vAlign w:val="center"/>
          </w:tcPr>
          <w:p w14:paraId="3EDD73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BD605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3878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47DF5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44E2E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5CD3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9EA3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32EDF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B985E5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4A62FA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A56E0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D3808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59C1C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7E4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5BF4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2675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E82B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3843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5C7D9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CEC4B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F7D7F2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3660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D38A4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7B3AD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67368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8904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8E98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DFB51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C3577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0D09F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82649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562D2D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3FB9C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3C1B9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575F132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C4F4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39D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54208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70D0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BB02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725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5B72C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E3A05B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24E81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433FE7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6025D11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A308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A553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3091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8CF92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9A3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6EE42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366E8D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FABA48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4D7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B63F77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6B568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3042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911F9E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279F4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AE5A0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F5CF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6DD1C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1AC0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36F39E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B5C4F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22EC252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61040B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278FF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A853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1447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620C42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67948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0860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54DC1B4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04A94C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DCD6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98FCD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1647D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FCD1D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55BC2E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65B0B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6045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242F4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5562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911B2B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0FEFD0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BA3FA0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A9690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0BB7D0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BDCB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08F7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3469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F9D5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7F00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8A4EB6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2E8AD8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EF3985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58D6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AA1A8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4673F6A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1433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D9D3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82DC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A930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878F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F9F4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0F1F61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0E75EE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71643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52F7D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0549A9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B83C4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AE12CA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2F5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F78FE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E2ED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F0A4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9E233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24259E35">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3D9CC2EF">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auto"/>
                <w:sz w:val="18"/>
                <w:szCs w:val="18"/>
                <w:lang w:val="en-US" w:eastAsia="zh-CN"/>
              </w:rPr>
              <w:t>补货计划</w:t>
            </w:r>
          </w:p>
        </w:tc>
        <w:tc>
          <w:tcPr>
            <w:tcW w:w="1191" w:type="dxa"/>
            <w:shd w:val="clear" w:color="auto" w:fill="auto"/>
            <w:noWrap w:val="0"/>
            <w:tcMar>
              <w:top w:w="-1" w:type="dxa"/>
              <w:left w:w="-1" w:type="dxa"/>
              <w:bottom w:w="-1" w:type="dxa"/>
              <w:right w:w="-1" w:type="dxa"/>
            </w:tcMar>
            <w:vAlign w:val="center"/>
          </w:tcPr>
          <w:p w14:paraId="0A60342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5E8D37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2D9D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FD6F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897F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0F9C7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C1FB9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5BE2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C7B834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F1B2C6">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D4E3EC5">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9840E0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734A5E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109F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CF4C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23FD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0C484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CB2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70F32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8AB30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1C914BA">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081C35C2">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B0D7B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ADDC7D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EE0F6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9769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1F38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E5360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43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BA395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08A9F1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A0792A4">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81F36D9">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CDF0A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81031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04094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73B92F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5C735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4A9B11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A6E48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4A3FD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B72741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6D5CD60">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64798F">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16CAF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102CF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7BD8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3C4E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0F67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39706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F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D5671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77CADE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8B481F2">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1D8AE04">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9B45B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86A03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A9ED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0266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A44E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F6A41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EFA23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48C6C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2D483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7765B4E">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6E932ED">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DDB50B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34BF7DA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0F08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D29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E349C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17734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23B3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6F8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F18944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A845856">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8E2D21">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F50B0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E4EB1A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AFA3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6EAB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BF42A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7DA03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2227A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454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580CC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DA91960">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9A37AF2">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74F84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745F9B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21C8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2E3D5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E49563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454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65BF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4FB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47D2EE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7745FBB">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42A3A821">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2CB522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42575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D15B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EA3EB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9BB3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FFD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F9232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B2182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59CB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80A4019">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1875E3F8">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B99E4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B17F6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0EA3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D6B8CB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4D84F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A599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E18D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20B6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15A471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E935752">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58378F2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供应商及价格资料库</w:t>
            </w:r>
          </w:p>
        </w:tc>
        <w:tc>
          <w:tcPr>
            <w:tcW w:w="1191" w:type="dxa"/>
            <w:shd w:val="clear" w:color="auto" w:fill="auto"/>
            <w:noWrap w:val="0"/>
            <w:tcMar>
              <w:top w:w="-1" w:type="dxa"/>
              <w:left w:w="-1" w:type="dxa"/>
              <w:bottom w:w="-1" w:type="dxa"/>
              <w:right w:w="-1" w:type="dxa"/>
            </w:tcMar>
            <w:vAlign w:val="center"/>
          </w:tcPr>
          <w:p w14:paraId="6A2DC1C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0AEB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47E3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02796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9C56B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DF0D7E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31C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4E8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E52F0B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F752E6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427A0C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C069C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78DB9E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F2CC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A6AD3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C6EC27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FF8B5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CFBA1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18881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6008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8E2A20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3A19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4A81EA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7075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7888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EA9E95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49DC9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CEF60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D7AB50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3260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6DE4F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4E9021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A71D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AC456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DB287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A85A0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DE52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60A4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7B2A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4857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E616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98E534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2D1925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ADB4F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1CDD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3C6E4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7BED6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26C539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B489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4A99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91F3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5F50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BC6A4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64AEC5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CB71E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29F6F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01D2A0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653E5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08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537E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A5041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C168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3A0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6944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82D447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4042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8CB0E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3EC7B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6B5AB9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9F8A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8CB1E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4BB6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9E05F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25595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A88C97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3B1570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E0CEB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DF0AF6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62539BA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5675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78ECA3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2BD77E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D9EB4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1A83E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B0274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F58302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59D9EE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CC4D0F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ED9D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24632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6ED5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77DC6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4F26CB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2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CA550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CBEC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6DCDD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378D28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73E15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3C78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AB6F8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F2226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680F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B22D5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465F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DF8A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F45E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CB3D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2D225E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22B1D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A2F83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026022E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7106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7A0F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FFFB6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9B18DA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F585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3469F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EC15C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484F5D9B">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558F2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val="en-US" w:eastAsia="zh-CN"/>
              </w:rPr>
              <w:t>采购</w:t>
            </w:r>
            <w:r>
              <w:rPr>
                <w:rFonts w:hint="eastAsia" w:ascii="宋体" w:hAnsi="宋体" w:eastAsia="宋体" w:cs="宋体"/>
                <w:b w:val="0"/>
                <w:bCs w:val="0"/>
                <w:sz w:val="18"/>
                <w:szCs w:val="18"/>
              </w:rPr>
              <w:t>优化参数</w:t>
            </w:r>
          </w:p>
        </w:tc>
        <w:tc>
          <w:tcPr>
            <w:tcW w:w="1191" w:type="dxa"/>
            <w:shd w:val="clear" w:color="auto" w:fill="auto"/>
            <w:noWrap w:val="0"/>
            <w:tcMar>
              <w:top w:w="-1" w:type="dxa"/>
              <w:left w:w="-1" w:type="dxa"/>
              <w:bottom w:w="-1" w:type="dxa"/>
              <w:right w:w="-1" w:type="dxa"/>
            </w:tcMar>
            <w:vAlign w:val="center"/>
          </w:tcPr>
          <w:p w14:paraId="7F435A8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787E9E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056D4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F3B11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E1527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F9674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ABEF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41AD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A9539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4D385E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5316D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36BC6F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5C4E35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485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8AEA4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3114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6F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CF680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390A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927D2C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427813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A15A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FA188A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0E4377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446AC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347FB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3D9D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A3DF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AAF01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79A8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433236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ED72E0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589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7ED802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C59D07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C3C2C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7EBFB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62AA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6A97C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D616FC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7399B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0987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CBFBDF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1CC438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852F2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035DF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9AF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BEAB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E2CF2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8A7C6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8882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29B49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29D3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3A14FD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F5AF2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8762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AFC64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53A60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4769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14587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0A6F5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B04E54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371B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460F8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75DB18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C2026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9DB7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631A5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471F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FD865F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E745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F2B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C1F3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414A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00BED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DC5C03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8937FF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1F537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06CA61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D2D28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180EC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41F9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C8F96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FC14A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B845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EF7DD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A1B7E5D">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B55D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7FCD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0CB6F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72D9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AC0E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7DE3EB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98FA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4928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7C05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4913A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31CB591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39CB4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F6FB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1107FE9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972A5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33743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72D2A7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D1FE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7A0C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8189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0721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9E4FDC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554E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290977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23024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1A85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EA3A9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EC7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BCBE7D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D21C7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5AEB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3985E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53646BDE">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3BD447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计划</w:t>
            </w:r>
          </w:p>
        </w:tc>
        <w:tc>
          <w:tcPr>
            <w:tcW w:w="1191" w:type="dxa"/>
            <w:shd w:val="clear" w:color="auto" w:fill="auto"/>
            <w:noWrap w:val="0"/>
            <w:tcMar>
              <w:top w:w="-1" w:type="dxa"/>
              <w:left w:w="-1" w:type="dxa"/>
              <w:bottom w:w="-1" w:type="dxa"/>
              <w:right w:w="-1" w:type="dxa"/>
            </w:tcMar>
            <w:vAlign w:val="center"/>
          </w:tcPr>
          <w:p w14:paraId="2141C0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29285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19F29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266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BE349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35B2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899F5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1766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1F3E65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1A73F3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957B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75BAF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0DE6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DCDC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50AD0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72A50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5B65A3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1AA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D5E2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B32E4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6D1467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FA8407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AE8B9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0A4859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E5B2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820FC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333B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083E5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E8287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ABF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7A55E5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A5606C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A5D2C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2E6E03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0A5B137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FDC3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598F0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EA598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5149D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EB1E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4369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0E9496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43EFBC4">
        <w:trPr>
          <w:trHeight w:val="90" w:hRule="atLeast"/>
          <w:jc w:val="center"/>
        </w:trPr>
        <w:tc>
          <w:tcPr>
            <w:tcW w:w="1347" w:type="dxa"/>
            <w:vMerge w:val="continue"/>
            <w:shd w:val="clear" w:color="auto" w:fill="auto"/>
            <w:noWrap w:val="0"/>
            <w:tcMar>
              <w:top w:w="-1" w:type="dxa"/>
              <w:left w:w="-1" w:type="dxa"/>
              <w:bottom w:w="-1" w:type="dxa"/>
              <w:right w:w="-1" w:type="dxa"/>
            </w:tcMar>
            <w:vAlign w:val="top"/>
          </w:tcPr>
          <w:p w14:paraId="36D43C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ED8983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EF11A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0C8C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7774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8D0C8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C7DC0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6161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7C510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FBEAB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47F576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1F8C4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D7BDF3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639D4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35C4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0FFC3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CA31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AD3EB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0784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F2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54BCDC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0E1F91C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3FCCD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094154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10EAF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4793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625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F691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11F64C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3EE8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D6C4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C7972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A46CC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9FD052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629E75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2C68134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289F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2AD5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A73E56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9C284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466B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E33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E73E56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B4EEE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4D25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14DF9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C0AE3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331B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293C1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D59E2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09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07809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8002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143CED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DFA62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3A8A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9EEC28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4594D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6BC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84226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E956E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D2459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7653A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8132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E2A7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A55C40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ECC2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0A253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9AEE7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BC3EA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581D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90A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AF01E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524B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69FC7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7679CF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C6B8598">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663158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申请</w:t>
            </w:r>
          </w:p>
        </w:tc>
        <w:tc>
          <w:tcPr>
            <w:tcW w:w="1191" w:type="dxa"/>
            <w:shd w:val="clear" w:color="auto" w:fill="auto"/>
            <w:noWrap w:val="0"/>
            <w:tcMar>
              <w:top w:w="-1" w:type="dxa"/>
              <w:left w:w="-1" w:type="dxa"/>
              <w:bottom w:w="-1" w:type="dxa"/>
              <w:right w:w="-1" w:type="dxa"/>
            </w:tcMar>
            <w:vAlign w:val="center"/>
          </w:tcPr>
          <w:p w14:paraId="11406B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B4D7F2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7F6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D6E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47C4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A427E4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C90CA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EE102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1854C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9AF57A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B6CA8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D0F4C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26387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4BD4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3E6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5DA9F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5AEF3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47CC6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1B0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B09C47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E3E084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57EB4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A399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E9A25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2BEE4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CCB4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5E8EC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2725EF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CBF7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708DC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116818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F00EA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607E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E6E23C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3687D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F289D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6200D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CB729C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692B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766532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368D8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202A6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E67DF8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EDBD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6F1456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6938CE6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631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F534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625C1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E806D7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EE646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DD42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FE45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DA6FCE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349C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4264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F1DEA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0B511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3FAC47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A444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60A8E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EA42C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9E134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41A6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54E862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2150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1814D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929425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0C9C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733F6E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402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07928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6BBD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5C2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8BF639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27D4F7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3D80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AB518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22335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DD7E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99BCD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1243A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BBE1E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B3B77E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E39D5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91360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8DAC9ED">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AE99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C149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F130E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FAEA1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DBAC04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7541F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7391B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957AC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4545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00F803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092D102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DDC6D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534C4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C93C9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4099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90F0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3DA27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7C1A4D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6AC4A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C770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8FF1D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通过后推送至SAP系统生成正式采购订单</w:t>
            </w:r>
          </w:p>
        </w:tc>
      </w:tr>
      <w:tr w14:paraId="4B36105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A78A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63777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76252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8E8B0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834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866A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4E3FA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1E86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9EDC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3FA7F6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664F9B7A">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95A074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要货计划</w:t>
            </w:r>
          </w:p>
        </w:tc>
        <w:tc>
          <w:tcPr>
            <w:tcW w:w="1191" w:type="dxa"/>
            <w:shd w:val="clear" w:color="auto" w:fill="auto"/>
            <w:noWrap w:val="0"/>
            <w:tcMar>
              <w:top w:w="-1" w:type="dxa"/>
              <w:left w:w="-1" w:type="dxa"/>
              <w:bottom w:w="-1" w:type="dxa"/>
              <w:right w:w="-1" w:type="dxa"/>
            </w:tcMar>
            <w:vAlign w:val="center"/>
          </w:tcPr>
          <w:p w14:paraId="291BC0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471F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76C8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F8266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AB1A5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B34E0E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47D8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3354F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F7AC9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22DEE13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783F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BCBCEE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2B128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3C299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32B55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A6D59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39FD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1D2B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9E86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DF7C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0B9D6E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34A7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C8778A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3A0031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9C18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BBB3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B0B0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B6C58B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CE9E5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259E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C9986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90339C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B569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1F4EE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5687E41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C01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C04BD8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D1F0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EE7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EB7DB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DDF0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AFD3C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7F0067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E7E22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5B7B4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5FDDA9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8EC6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B960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2AC668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1D8F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54D56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8FB4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C57C0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09FD1D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DC5CE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9C7B7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75FC39C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F640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0D3E1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FEBE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355CB4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DF63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64F7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847767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918003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CCC4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60721B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C1682D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4047E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D6A01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23388B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0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490AA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14432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1A63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2851F94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5210F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16D4E4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325A3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CCAC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C6740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0380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F12E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C1C96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8682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43F450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017555D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1A197B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8B7A7B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1F2B1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67B7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D69E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422C1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85D46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6A8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550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1CB2EE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085AFE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F521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150E1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8495CB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004D0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B057F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CBD77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0AF07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1758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B257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CE8D4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通过后推送至SAP系统生成正式采购订单</w:t>
            </w:r>
          </w:p>
        </w:tc>
      </w:tr>
      <w:tr w14:paraId="552BBA7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FCAA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88D72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557391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314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DCA3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9DC81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FF08D6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4219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08595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C004A1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5F89E8AD">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5193E5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color w:val="FF0000"/>
                <w:sz w:val="18"/>
                <w:szCs w:val="18"/>
              </w:rPr>
              <w:t>生产报工</w:t>
            </w:r>
            <w:r>
              <w:rPr>
                <w:rFonts w:hint="eastAsia" w:ascii="宋体" w:hAnsi="宋体" w:eastAsia="宋体" w:cs="宋体"/>
                <w:b w:val="0"/>
                <w:bCs w:val="0"/>
                <w:color w:val="FF0000"/>
                <w:sz w:val="18"/>
                <w:szCs w:val="18"/>
                <w:lang w:val="en-US" w:eastAsia="zh-CN"/>
              </w:rPr>
              <w:t>管理</w:t>
            </w:r>
          </w:p>
        </w:tc>
        <w:tc>
          <w:tcPr>
            <w:tcW w:w="1191" w:type="dxa"/>
            <w:shd w:val="clear" w:color="auto" w:fill="auto"/>
            <w:noWrap w:val="0"/>
            <w:tcMar>
              <w:top w:w="-1" w:type="dxa"/>
              <w:left w:w="-1" w:type="dxa"/>
              <w:bottom w:w="-1" w:type="dxa"/>
              <w:right w:w="-1" w:type="dxa"/>
            </w:tcMar>
            <w:vAlign w:val="center"/>
          </w:tcPr>
          <w:p w14:paraId="1E5C5A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CD78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A3C2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83F1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D07C3E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B0A7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E85D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657C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46A957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9BC57B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9E7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AADBD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BAA52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C34A5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F455F5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6A0AC1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6960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8EA5E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3F5F3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9F440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6B9B32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3B4C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F72D2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4BBBCA2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20BA8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969F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014B12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25EE2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F437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99E1D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3E4E15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3CC6B0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F7A95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BB719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2A15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A92CC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ABF1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B84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117C7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37D8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4845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6CE1D2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B21DF3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9A8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0E20B8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4FC9F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A815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D2D79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832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994069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2B12C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5ECF8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0F782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D64F0A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0CC95A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3128E0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89F48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31D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E858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D564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2BB91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30F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4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93982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由MES自动报工生成，SCOS仅做状态同步</w:t>
            </w:r>
          </w:p>
        </w:tc>
      </w:tr>
      <w:tr w14:paraId="58D08F5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97BF28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952FD7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采购员</w:t>
            </w:r>
          </w:p>
        </w:tc>
        <w:tc>
          <w:tcPr>
            <w:tcW w:w="713" w:type="dxa"/>
            <w:shd w:val="clear" w:color="auto" w:fill="auto"/>
            <w:noWrap w:val="0"/>
            <w:tcMar>
              <w:top w:w="-1" w:type="dxa"/>
              <w:left w:w="-1" w:type="dxa"/>
              <w:bottom w:w="-1" w:type="dxa"/>
              <w:right w:w="-1" w:type="dxa"/>
            </w:tcMar>
            <w:vAlign w:val="center"/>
          </w:tcPr>
          <w:p w14:paraId="669BDE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81A2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1E21F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0B2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65670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D82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032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BE70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0C36CA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4BA24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A7E550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03DF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43B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8CA11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8F165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2843D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4BC4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4D7B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24DF5D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CB9EBF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8F5C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73B076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4C580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7D07E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ECF3B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0034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0B21E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0245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9E31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A1F5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3B711BA0">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6F9AE3A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多维利润分析报表</w:t>
            </w:r>
          </w:p>
        </w:tc>
        <w:tc>
          <w:tcPr>
            <w:tcW w:w="1191" w:type="dxa"/>
            <w:shd w:val="clear" w:color="auto" w:fill="auto"/>
            <w:noWrap w:val="0"/>
            <w:tcMar>
              <w:top w:w="-1" w:type="dxa"/>
              <w:left w:w="-1" w:type="dxa"/>
              <w:bottom w:w="-1" w:type="dxa"/>
              <w:right w:w="-1" w:type="dxa"/>
            </w:tcMar>
            <w:vAlign w:val="center"/>
          </w:tcPr>
          <w:p w14:paraId="767F83E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90139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E669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E2B34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06B26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9C4A5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7D18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2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A8910D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9CF922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173350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1C7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16F6AC3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CEC1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E3489E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0C4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9928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B1583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9D9C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D7563F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04C248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FAA1D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8C928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34F87E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2E2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6FA70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2455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C81A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1C824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6E30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43A1CA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58C418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236030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B7E18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469FD6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677E3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193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F52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11ED35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EEDA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F7D9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C4DE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AB61F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9CEA9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D7B1F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C08CB4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A479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0481F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841F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002E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82BA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749CA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ABAC7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7A6F5F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6C20A9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CEFE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1D7F7F0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C2A1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ACAB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5D91B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2579C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966C9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E254C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F60233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9E04C8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77215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80821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5BF185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FAD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57F2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DE41F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905E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9F43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FE89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66F99C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DD0965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F6AA76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4F973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4891D0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5CB2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D19C8C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7791E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79E0C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3AEA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847E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6800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2FA51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E28254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BEDE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13B37E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AAD7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98E5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FC1B3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D75D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183D2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1687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B176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A14C5A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C016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067611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342D7F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5BCA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37F64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93CF6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A0312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B20A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96E7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64008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DC7125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367D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AF5BA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D4C7A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42B2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85EF1C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5631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E8DB1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13B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433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5685F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66F77885">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CCB235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供应链驾驶舱</w:t>
            </w:r>
          </w:p>
        </w:tc>
        <w:tc>
          <w:tcPr>
            <w:tcW w:w="1191" w:type="dxa"/>
            <w:shd w:val="clear" w:color="auto" w:fill="auto"/>
            <w:noWrap w:val="0"/>
            <w:tcMar>
              <w:top w:w="-1" w:type="dxa"/>
              <w:left w:w="-1" w:type="dxa"/>
              <w:bottom w:w="-1" w:type="dxa"/>
              <w:right w:w="-1" w:type="dxa"/>
            </w:tcMar>
            <w:vAlign w:val="center"/>
          </w:tcPr>
          <w:p w14:paraId="3351EE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E400C6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E2B1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315CF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70E9B2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35B4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B7AF5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54C2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64FD68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28E7740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12DF4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D70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330E72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EFF0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B269E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94DD6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CBFF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F9FC7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6FF7D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EE797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4F87887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42F0A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B29C9F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CEB1FC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88B9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24375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9D3E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808EC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999F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9183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7B71E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3EC32F4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76E715">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80822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04E52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20A0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F29B8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897EA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496B0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B2DF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4DFC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C326B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24D197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D2063F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EAE3ED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7A8550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1027F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09AA0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DF48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5155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08DC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A178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A8B9C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5BC74B2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EA80AD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5E006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494023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19FE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24E3A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DF9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EC3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C7C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36CF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5E527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A221C2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016929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7AE6A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40EA7B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B63BE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15D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84AD2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9C7373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27B803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716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422E2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1EED9F2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3CDE4B9">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2AF9A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F8594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D57CB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36A7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0DBEA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0F481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36F83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2E7D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E86E2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188714B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DDABA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5CF7F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208273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D96E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891D7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67D1B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CF777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B798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F46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C1217A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45D200C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6AFA3D">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B32394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2C23FC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A52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C1CCE7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7C505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6804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A5B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3414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FFD428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540E3F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02E0A1B">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8A3F4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FE718C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E9AC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43F87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8D83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CFCBB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4952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2728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890C74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bl>
    <w:p w14:paraId="26C5C0EB">
      <w:pPr>
        <w:pStyle w:val="5"/>
        <w:rPr>
          <w:rFonts w:hint="eastAsia"/>
        </w:rPr>
      </w:pPr>
    </w:p>
    <w:p w14:paraId="5558B335">
      <w:pPr>
        <w:pStyle w:val="3"/>
        <w:bidi w:val="0"/>
        <w:rPr>
          <w:rFonts w:hint="eastAsia" w:ascii="黑体" w:hAnsi="黑体" w:eastAsia="黑体" w:cs="黑体"/>
        </w:rPr>
      </w:pPr>
      <w:bookmarkStart w:id="27" w:name="_Toc14744"/>
      <w:bookmarkStart w:id="28" w:name="_Toc1033560705"/>
      <w:bookmarkStart w:id="29" w:name="_SCOS业务规则清单"/>
      <w:r>
        <w:rPr>
          <w:rFonts w:hint="eastAsia" w:ascii="黑体" w:hAnsi="黑体" w:eastAsia="黑体" w:cs="黑体"/>
          <w:lang w:val="en-US" w:eastAsia="zh-CN"/>
        </w:rPr>
        <w:t>SCOS业务规则清单</w:t>
      </w:r>
      <w:bookmarkEnd w:id="27"/>
      <w:bookmarkEnd w:id="28"/>
    </w:p>
    <w:bookmarkEnd w:id="29"/>
    <w:tbl>
      <w:tblPr>
        <w:tblStyle w:val="31"/>
        <w:tblW w:w="108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944"/>
        <w:gridCol w:w="945"/>
        <w:gridCol w:w="966"/>
        <w:gridCol w:w="955"/>
        <w:gridCol w:w="1098"/>
        <w:gridCol w:w="1406"/>
        <w:gridCol w:w="1088"/>
        <w:gridCol w:w="1460"/>
      </w:tblGrid>
      <w:tr w14:paraId="00117B41">
        <w:trPr>
          <w:trHeight w:val="586" w:hRule="atLeast"/>
          <w:tblHeader/>
          <w:jc w:val="center"/>
        </w:trPr>
        <w:tc>
          <w:tcPr>
            <w:tcW w:w="2944" w:type="dxa"/>
            <w:tcBorders>
              <w:top w:val="nil"/>
              <w:left w:val="nil"/>
              <w:bottom w:val="nil"/>
              <w:right w:val="nil"/>
            </w:tcBorders>
            <w:shd w:val="clear" w:color="auto" w:fill="auto"/>
            <w:vAlign w:val="center"/>
          </w:tcPr>
          <w:p w14:paraId="4E6CA675">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规则编号</w:t>
            </w:r>
          </w:p>
        </w:tc>
        <w:tc>
          <w:tcPr>
            <w:tcW w:w="945" w:type="dxa"/>
            <w:tcBorders>
              <w:top w:val="nil"/>
              <w:left w:val="nil"/>
              <w:bottom w:val="nil"/>
              <w:right w:val="nil"/>
            </w:tcBorders>
            <w:shd w:val="clear" w:color="auto" w:fill="auto"/>
            <w:vAlign w:val="center"/>
          </w:tcPr>
          <w:p w14:paraId="7E2E1751">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规则名称</w:t>
            </w:r>
          </w:p>
        </w:tc>
        <w:tc>
          <w:tcPr>
            <w:tcW w:w="966" w:type="dxa"/>
            <w:tcBorders>
              <w:top w:val="nil"/>
              <w:left w:val="nil"/>
              <w:bottom w:val="nil"/>
              <w:right w:val="nil"/>
            </w:tcBorders>
            <w:shd w:val="clear" w:color="auto" w:fill="auto"/>
            <w:vAlign w:val="center"/>
          </w:tcPr>
          <w:p w14:paraId="23EDE628">
            <w:pPr>
              <w:keepNext w:val="0"/>
              <w:keepLines w:val="0"/>
              <w:suppressLineNumbers w:val="0"/>
              <w:spacing w:before="20" w:beforeAutospacing="0" w:after="20" w:afterAutospacing="0"/>
              <w:ind w:left="0" w:right="0"/>
              <w:rPr>
                <w:rFonts w:hint="eastAsia" w:ascii="宋体" w:hAnsi="宋体" w:eastAsia="宋体" w:cs="宋体"/>
                <w:b/>
                <w:bCs/>
                <w:i w:val="0"/>
                <w:iCs w:val="0"/>
                <w:color w:val="FF0000"/>
                <w:sz w:val="18"/>
                <w:szCs w:val="18"/>
                <w:u w:val="none"/>
              </w:rPr>
            </w:pPr>
            <w:r>
              <w:rPr>
                <w:rFonts w:hint="eastAsia" w:ascii="宋体" w:hAnsi="宋体" w:eastAsia="宋体" w:cs="宋体"/>
                <w:b/>
                <w:bCs/>
                <w:color w:val="auto"/>
                <w:sz w:val="18"/>
                <w:szCs w:val="18"/>
                <w:highlight w:val="none"/>
              </w:rPr>
              <w:t>所属模块</w:t>
            </w:r>
          </w:p>
        </w:tc>
        <w:tc>
          <w:tcPr>
            <w:tcW w:w="955" w:type="dxa"/>
            <w:tcBorders>
              <w:top w:val="nil"/>
              <w:left w:val="nil"/>
              <w:bottom w:val="nil"/>
              <w:right w:val="nil"/>
            </w:tcBorders>
            <w:shd w:val="clear" w:color="auto" w:fill="auto"/>
            <w:vAlign w:val="center"/>
          </w:tcPr>
          <w:p w14:paraId="0E9C9666">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适用场景</w:t>
            </w:r>
          </w:p>
        </w:tc>
        <w:tc>
          <w:tcPr>
            <w:tcW w:w="1098" w:type="dxa"/>
            <w:tcBorders>
              <w:top w:val="nil"/>
              <w:left w:val="nil"/>
              <w:bottom w:val="nil"/>
              <w:right w:val="nil"/>
            </w:tcBorders>
            <w:shd w:val="clear" w:color="auto" w:fill="auto"/>
            <w:vAlign w:val="center"/>
          </w:tcPr>
          <w:p w14:paraId="6B77B724">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触发条件</w:t>
            </w:r>
          </w:p>
        </w:tc>
        <w:tc>
          <w:tcPr>
            <w:tcW w:w="1406" w:type="dxa"/>
            <w:tcBorders>
              <w:top w:val="nil"/>
              <w:left w:val="nil"/>
              <w:bottom w:val="nil"/>
              <w:right w:val="nil"/>
            </w:tcBorders>
            <w:shd w:val="clear" w:color="auto" w:fill="auto"/>
            <w:vAlign w:val="center"/>
          </w:tcPr>
          <w:p w14:paraId="71C3055C">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执行逻辑</w:t>
            </w:r>
          </w:p>
        </w:tc>
        <w:tc>
          <w:tcPr>
            <w:tcW w:w="1088" w:type="dxa"/>
            <w:tcBorders>
              <w:top w:val="nil"/>
              <w:left w:val="nil"/>
              <w:bottom w:val="nil"/>
              <w:right w:val="nil"/>
            </w:tcBorders>
            <w:shd w:val="clear" w:color="auto" w:fill="auto"/>
            <w:vAlign w:val="center"/>
          </w:tcPr>
          <w:p w14:paraId="3E50B21F">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输出结果</w:t>
            </w:r>
          </w:p>
        </w:tc>
        <w:tc>
          <w:tcPr>
            <w:tcW w:w="1460" w:type="dxa"/>
            <w:tcBorders>
              <w:top w:val="nil"/>
              <w:left w:val="nil"/>
              <w:bottom w:val="nil"/>
              <w:right w:val="nil"/>
            </w:tcBorders>
            <w:shd w:val="clear" w:color="auto" w:fill="auto"/>
            <w:vAlign w:val="center"/>
          </w:tcPr>
          <w:p w14:paraId="4598F9FB">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关联系统</w:t>
            </w:r>
          </w:p>
        </w:tc>
      </w:tr>
      <w:tr w14:paraId="0810D4B7">
        <w:trPr>
          <w:cantSplit/>
          <w:trHeight w:val="0" w:hRule="atLeast"/>
          <w:jc w:val="center"/>
        </w:trPr>
        <w:tc>
          <w:tcPr>
            <w:tcW w:w="2944" w:type="dxa"/>
            <w:tcBorders>
              <w:top w:val="nil"/>
              <w:left w:val="nil"/>
              <w:bottom w:val="nil"/>
              <w:right w:val="nil"/>
            </w:tcBorders>
            <w:shd w:val="clear" w:color="auto" w:fill="auto"/>
            <w:vAlign w:val="center"/>
          </w:tcPr>
          <w:p w14:paraId="75F7002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P-ZLTC-SCOS-KCYH-001-10-001</w:t>
            </w:r>
          </w:p>
        </w:tc>
        <w:tc>
          <w:tcPr>
            <w:tcW w:w="945" w:type="dxa"/>
            <w:tcBorders>
              <w:top w:val="nil"/>
              <w:left w:val="nil"/>
              <w:bottom w:val="nil"/>
              <w:right w:val="nil"/>
            </w:tcBorders>
            <w:shd w:val="clear" w:color="auto" w:fill="auto"/>
            <w:vAlign w:val="center"/>
          </w:tcPr>
          <w:p w14:paraId="34A1086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形成下月需求与库存策略计算范围规则</w:t>
            </w:r>
          </w:p>
        </w:tc>
        <w:tc>
          <w:tcPr>
            <w:tcW w:w="966" w:type="dxa"/>
            <w:tcBorders>
              <w:top w:val="nil"/>
              <w:left w:val="nil"/>
              <w:bottom w:val="nil"/>
              <w:right w:val="nil"/>
            </w:tcBorders>
            <w:shd w:val="clear" w:color="auto" w:fill="auto"/>
            <w:vAlign w:val="center"/>
          </w:tcPr>
          <w:p w14:paraId="76B393D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3DD433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08F79B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每月25日开始制定下月成品库存策略和总补充计划时</w:t>
            </w:r>
          </w:p>
        </w:tc>
        <w:tc>
          <w:tcPr>
            <w:tcW w:w="1406" w:type="dxa"/>
            <w:tcBorders>
              <w:top w:val="nil"/>
              <w:left w:val="nil"/>
              <w:bottom w:val="nil"/>
              <w:right w:val="nil"/>
            </w:tcBorders>
            <w:shd w:val="clear" w:color="auto" w:fill="auto"/>
            <w:vAlign w:val="center"/>
          </w:tcPr>
          <w:p w14:paraId="20FC8D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对月度出货总量进行日度分解；数据缺失或状态异常时，暂不进入正式计算并提示库存计划员处理。</w:t>
            </w:r>
          </w:p>
        </w:tc>
        <w:tc>
          <w:tcPr>
            <w:tcW w:w="1088" w:type="dxa"/>
            <w:tcBorders>
              <w:top w:val="nil"/>
              <w:left w:val="nil"/>
              <w:bottom w:val="nil"/>
              <w:right w:val="nil"/>
            </w:tcBorders>
            <w:shd w:val="clear" w:color="auto" w:fill="auto"/>
            <w:vAlign w:val="center"/>
          </w:tcPr>
          <w:p w14:paraId="2B30061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各成品的日度计划需求和策略计算范围</w:t>
            </w:r>
          </w:p>
        </w:tc>
        <w:tc>
          <w:tcPr>
            <w:tcW w:w="1460" w:type="dxa"/>
            <w:tcBorders>
              <w:top w:val="nil"/>
              <w:left w:val="nil"/>
              <w:bottom w:val="nil"/>
              <w:right w:val="nil"/>
            </w:tcBorders>
            <w:shd w:val="clear" w:color="auto" w:fill="auto"/>
            <w:vAlign w:val="center"/>
          </w:tcPr>
          <w:p w14:paraId="7AFE974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3B8E461">
        <w:trPr>
          <w:cantSplit/>
          <w:trHeight w:val="0" w:hRule="atLeast"/>
          <w:jc w:val="center"/>
        </w:trPr>
        <w:tc>
          <w:tcPr>
            <w:tcW w:w="2944" w:type="dxa"/>
            <w:tcBorders>
              <w:top w:val="nil"/>
              <w:left w:val="nil"/>
              <w:bottom w:val="nil"/>
              <w:right w:val="nil"/>
            </w:tcBorders>
            <w:shd w:val="clear" w:color="auto" w:fill="auto"/>
            <w:vAlign w:val="center"/>
          </w:tcPr>
          <w:p w14:paraId="45A4BA4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P-ZLTC-SCOS-KCYH-001-20-001</w:t>
            </w:r>
          </w:p>
        </w:tc>
        <w:tc>
          <w:tcPr>
            <w:tcW w:w="945" w:type="dxa"/>
            <w:tcBorders>
              <w:top w:val="nil"/>
              <w:left w:val="nil"/>
              <w:bottom w:val="nil"/>
              <w:right w:val="nil"/>
            </w:tcBorders>
            <w:shd w:val="clear" w:color="auto" w:fill="auto"/>
            <w:vAlign w:val="center"/>
          </w:tcPr>
          <w:p w14:paraId="7771C92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生成月度库存策略规则</w:t>
            </w:r>
          </w:p>
        </w:tc>
        <w:tc>
          <w:tcPr>
            <w:tcW w:w="966" w:type="dxa"/>
            <w:tcBorders>
              <w:top w:val="nil"/>
              <w:left w:val="nil"/>
              <w:bottom w:val="nil"/>
              <w:right w:val="nil"/>
            </w:tcBorders>
            <w:shd w:val="clear" w:color="auto" w:fill="auto"/>
            <w:vAlign w:val="center"/>
          </w:tcPr>
          <w:p w14:paraId="4422C86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F9F8C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5447829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各成品的日度计划需求和策略计算范围形成后</w:t>
            </w:r>
          </w:p>
        </w:tc>
        <w:tc>
          <w:tcPr>
            <w:tcW w:w="1406" w:type="dxa"/>
            <w:tcBorders>
              <w:top w:val="nil"/>
              <w:left w:val="nil"/>
              <w:bottom w:val="nil"/>
              <w:right w:val="nil"/>
            </w:tcBorders>
            <w:shd w:val="clear" w:color="auto" w:fill="auto"/>
            <w:vAlign w:val="center"/>
          </w:tcPr>
          <w:p w14:paraId="0411BB5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结合各成品的需求、库存和补货周期，测算安全库存、补货触发点及目标库存；容量不足时给出可执行建议，并提示供货风险。</w:t>
            </w:r>
          </w:p>
        </w:tc>
        <w:tc>
          <w:tcPr>
            <w:tcW w:w="1088" w:type="dxa"/>
            <w:tcBorders>
              <w:top w:val="nil"/>
              <w:left w:val="nil"/>
              <w:bottom w:val="nil"/>
              <w:right w:val="nil"/>
            </w:tcBorders>
            <w:shd w:val="clear" w:color="auto" w:fill="auto"/>
            <w:vAlign w:val="center"/>
          </w:tcPr>
          <w:p w14:paraId="77250B8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安全库存、再订货点、目标库存、下月总补充量及建议入库节奏</w:t>
            </w:r>
          </w:p>
        </w:tc>
        <w:tc>
          <w:tcPr>
            <w:tcW w:w="1460" w:type="dxa"/>
            <w:tcBorders>
              <w:top w:val="nil"/>
              <w:left w:val="nil"/>
              <w:bottom w:val="nil"/>
              <w:right w:val="nil"/>
            </w:tcBorders>
            <w:shd w:val="clear" w:color="auto" w:fill="auto"/>
            <w:vAlign w:val="center"/>
          </w:tcPr>
          <w:p w14:paraId="300D1AD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00A017A">
        <w:trPr>
          <w:cantSplit/>
          <w:trHeight w:val="0" w:hRule="atLeast"/>
          <w:jc w:val="center"/>
        </w:trPr>
        <w:tc>
          <w:tcPr>
            <w:tcW w:w="2944" w:type="dxa"/>
            <w:tcBorders>
              <w:top w:val="nil"/>
              <w:left w:val="nil"/>
              <w:bottom w:val="nil"/>
              <w:right w:val="nil"/>
            </w:tcBorders>
            <w:shd w:val="clear" w:color="auto" w:fill="auto"/>
            <w:vAlign w:val="center"/>
          </w:tcPr>
          <w:p w14:paraId="2065A4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P-ZLTC-SCOS-KCYH-001-30-001</w:t>
            </w:r>
          </w:p>
        </w:tc>
        <w:tc>
          <w:tcPr>
            <w:tcW w:w="945" w:type="dxa"/>
            <w:tcBorders>
              <w:top w:val="nil"/>
              <w:left w:val="nil"/>
              <w:bottom w:val="nil"/>
              <w:right w:val="nil"/>
            </w:tcBorders>
            <w:shd w:val="clear" w:color="auto" w:fill="auto"/>
            <w:vAlign w:val="center"/>
          </w:tcPr>
          <w:p w14:paraId="46407C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评审库存策略规则</w:t>
            </w:r>
          </w:p>
        </w:tc>
        <w:tc>
          <w:tcPr>
            <w:tcW w:w="966" w:type="dxa"/>
            <w:tcBorders>
              <w:top w:val="nil"/>
              <w:left w:val="nil"/>
              <w:bottom w:val="nil"/>
              <w:right w:val="nil"/>
            </w:tcBorders>
            <w:shd w:val="clear" w:color="auto" w:fill="auto"/>
            <w:vAlign w:val="center"/>
          </w:tcPr>
          <w:p w14:paraId="7954E6F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EAEFCE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316B5D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安全库存、再订货点、目标库存、下月总补充量及建议入库节奏形成并具备评审条件后</w:t>
            </w:r>
          </w:p>
        </w:tc>
        <w:tc>
          <w:tcPr>
            <w:tcW w:w="1406" w:type="dxa"/>
            <w:tcBorders>
              <w:top w:val="nil"/>
              <w:left w:val="nil"/>
              <w:bottom w:val="nil"/>
              <w:right w:val="nil"/>
            </w:tcBorders>
            <w:shd w:val="clear" w:color="auto" w:fill="auto"/>
            <w:vAlign w:val="center"/>
          </w:tcPr>
          <w:p w14:paraId="28B0DFC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复核服务水平、生产补充周期、容量约束和月度补充总量；参数或业务条件需要修改时，可重新计算。</w:t>
            </w:r>
          </w:p>
        </w:tc>
        <w:tc>
          <w:tcPr>
            <w:tcW w:w="1088" w:type="dxa"/>
            <w:tcBorders>
              <w:top w:val="nil"/>
              <w:left w:val="nil"/>
              <w:bottom w:val="nil"/>
              <w:right w:val="nil"/>
            </w:tcBorders>
            <w:shd w:val="clear" w:color="auto" w:fill="auto"/>
            <w:vAlign w:val="center"/>
          </w:tcPr>
          <w:p w14:paraId="405269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拟定成品库存策略</w:t>
            </w:r>
          </w:p>
        </w:tc>
        <w:tc>
          <w:tcPr>
            <w:tcW w:w="1460" w:type="dxa"/>
            <w:tcBorders>
              <w:top w:val="nil"/>
              <w:left w:val="nil"/>
              <w:bottom w:val="nil"/>
              <w:right w:val="nil"/>
            </w:tcBorders>
            <w:shd w:val="clear" w:color="auto" w:fill="auto"/>
            <w:vAlign w:val="center"/>
          </w:tcPr>
          <w:p w14:paraId="647F5EF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85DFE1F">
        <w:trPr>
          <w:cantSplit/>
          <w:trHeight w:val="0" w:hRule="atLeast"/>
          <w:jc w:val="center"/>
        </w:trPr>
        <w:tc>
          <w:tcPr>
            <w:tcW w:w="2944" w:type="dxa"/>
            <w:tcBorders>
              <w:top w:val="nil"/>
              <w:left w:val="nil"/>
              <w:bottom w:val="nil"/>
              <w:right w:val="nil"/>
            </w:tcBorders>
            <w:shd w:val="clear" w:color="auto" w:fill="auto"/>
            <w:vAlign w:val="center"/>
          </w:tcPr>
          <w:p w14:paraId="1FD436B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P-ZLTC-SCOS-KCYH-001-40-001</w:t>
            </w:r>
          </w:p>
        </w:tc>
        <w:tc>
          <w:tcPr>
            <w:tcW w:w="945" w:type="dxa"/>
            <w:tcBorders>
              <w:top w:val="nil"/>
              <w:left w:val="nil"/>
              <w:bottom w:val="nil"/>
              <w:right w:val="nil"/>
            </w:tcBorders>
            <w:shd w:val="clear" w:color="auto" w:fill="auto"/>
            <w:vAlign w:val="center"/>
          </w:tcPr>
          <w:p w14:paraId="105035B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确认月度库存策略规则</w:t>
            </w:r>
          </w:p>
        </w:tc>
        <w:tc>
          <w:tcPr>
            <w:tcW w:w="966" w:type="dxa"/>
            <w:tcBorders>
              <w:top w:val="nil"/>
              <w:left w:val="nil"/>
              <w:bottom w:val="nil"/>
              <w:right w:val="nil"/>
            </w:tcBorders>
            <w:shd w:val="clear" w:color="auto" w:fill="auto"/>
            <w:vAlign w:val="center"/>
          </w:tcPr>
          <w:p w14:paraId="5B89310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59A64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3C076D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成品库存策略形成并具备评审条件后</w:t>
            </w:r>
          </w:p>
        </w:tc>
        <w:tc>
          <w:tcPr>
            <w:tcW w:w="1406" w:type="dxa"/>
            <w:tcBorders>
              <w:top w:val="nil"/>
              <w:left w:val="nil"/>
              <w:bottom w:val="nil"/>
              <w:right w:val="nil"/>
            </w:tcBorders>
            <w:shd w:val="clear" w:color="auto" w:fill="auto"/>
            <w:vAlign w:val="center"/>
          </w:tcPr>
          <w:p w14:paraId="06F05CC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系统校验必要参数、容量和补充量范围；未确认时退回调整；确认通过后继续处理。</w:t>
            </w:r>
          </w:p>
        </w:tc>
        <w:tc>
          <w:tcPr>
            <w:tcW w:w="1088" w:type="dxa"/>
            <w:tcBorders>
              <w:top w:val="nil"/>
              <w:left w:val="nil"/>
              <w:bottom w:val="nil"/>
              <w:right w:val="nil"/>
            </w:tcBorders>
            <w:shd w:val="clear" w:color="auto" w:fill="auto"/>
            <w:vAlign w:val="center"/>
          </w:tcPr>
          <w:p w14:paraId="40D0053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66157B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0A0D87">
        <w:trPr>
          <w:cantSplit/>
          <w:trHeight w:val="0" w:hRule="atLeast"/>
          <w:jc w:val="center"/>
        </w:trPr>
        <w:tc>
          <w:tcPr>
            <w:tcW w:w="2944" w:type="dxa"/>
            <w:tcBorders>
              <w:top w:val="nil"/>
              <w:left w:val="nil"/>
              <w:bottom w:val="nil"/>
              <w:right w:val="nil"/>
            </w:tcBorders>
            <w:shd w:val="clear" w:color="auto" w:fill="auto"/>
            <w:vAlign w:val="center"/>
          </w:tcPr>
          <w:p w14:paraId="42D229D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P-ZLTC-SCOS-KCYH-001-50-001</w:t>
            </w:r>
          </w:p>
        </w:tc>
        <w:tc>
          <w:tcPr>
            <w:tcW w:w="945" w:type="dxa"/>
            <w:tcBorders>
              <w:top w:val="nil"/>
              <w:left w:val="nil"/>
              <w:bottom w:val="nil"/>
              <w:right w:val="nil"/>
            </w:tcBorders>
            <w:shd w:val="clear" w:color="auto" w:fill="auto"/>
            <w:vAlign w:val="center"/>
          </w:tcPr>
          <w:p w14:paraId="5154DE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审批月度库存策略规则</w:t>
            </w:r>
          </w:p>
        </w:tc>
        <w:tc>
          <w:tcPr>
            <w:tcW w:w="966" w:type="dxa"/>
            <w:tcBorders>
              <w:top w:val="nil"/>
              <w:left w:val="nil"/>
              <w:bottom w:val="nil"/>
              <w:right w:val="nil"/>
            </w:tcBorders>
            <w:shd w:val="clear" w:color="auto" w:fill="auto"/>
            <w:vAlign w:val="center"/>
          </w:tcPr>
          <w:p w14:paraId="0836D9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8F6DE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4425CF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确认月度库存策略通过时</w:t>
            </w:r>
          </w:p>
        </w:tc>
        <w:tc>
          <w:tcPr>
            <w:tcW w:w="1406" w:type="dxa"/>
            <w:tcBorders>
              <w:top w:val="nil"/>
              <w:left w:val="nil"/>
              <w:bottom w:val="nil"/>
              <w:right w:val="nil"/>
            </w:tcBorders>
            <w:shd w:val="clear" w:color="auto" w:fill="auto"/>
            <w:vAlign w:val="center"/>
          </w:tcPr>
          <w:p w14:paraId="62B30E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审核策略合理性及关键约束；审批未通过时退回补充或修改；审批通过后继续处理。</w:t>
            </w:r>
          </w:p>
        </w:tc>
        <w:tc>
          <w:tcPr>
            <w:tcW w:w="1088" w:type="dxa"/>
            <w:tcBorders>
              <w:top w:val="nil"/>
              <w:left w:val="nil"/>
              <w:bottom w:val="nil"/>
              <w:right w:val="nil"/>
            </w:tcBorders>
            <w:shd w:val="clear" w:color="auto" w:fill="auto"/>
            <w:vAlign w:val="center"/>
          </w:tcPr>
          <w:p w14:paraId="613E6F5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5E5C98C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341546E">
        <w:trPr>
          <w:cantSplit/>
          <w:trHeight w:val="0" w:hRule="atLeast"/>
          <w:jc w:val="center"/>
        </w:trPr>
        <w:tc>
          <w:tcPr>
            <w:tcW w:w="2944" w:type="dxa"/>
            <w:tcBorders>
              <w:top w:val="nil"/>
              <w:left w:val="nil"/>
              <w:bottom w:val="nil"/>
              <w:right w:val="nil"/>
            </w:tcBorders>
            <w:shd w:val="clear" w:color="auto" w:fill="auto"/>
            <w:vAlign w:val="center"/>
          </w:tcPr>
          <w:p w14:paraId="6EB7A01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P-ZLTC-SCOS-KCYH-001-60-001</w:t>
            </w:r>
          </w:p>
        </w:tc>
        <w:tc>
          <w:tcPr>
            <w:tcW w:w="945" w:type="dxa"/>
            <w:tcBorders>
              <w:top w:val="nil"/>
              <w:left w:val="nil"/>
              <w:bottom w:val="nil"/>
              <w:right w:val="nil"/>
            </w:tcBorders>
            <w:shd w:val="clear" w:color="auto" w:fill="auto"/>
            <w:vAlign w:val="center"/>
          </w:tcPr>
          <w:p w14:paraId="356CFD4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发布月度库存策略与总补充计划规则</w:t>
            </w:r>
          </w:p>
        </w:tc>
        <w:tc>
          <w:tcPr>
            <w:tcW w:w="966" w:type="dxa"/>
            <w:tcBorders>
              <w:top w:val="nil"/>
              <w:left w:val="nil"/>
              <w:bottom w:val="nil"/>
              <w:right w:val="nil"/>
            </w:tcBorders>
            <w:shd w:val="clear" w:color="auto" w:fill="auto"/>
            <w:vAlign w:val="center"/>
          </w:tcPr>
          <w:p w14:paraId="2892BE6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59835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6878860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审批月度库存策略通过时</w:t>
            </w:r>
          </w:p>
        </w:tc>
        <w:tc>
          <w:tcPr>
            <w:tcW w:w="1406" w:type="dxa"/>
            <w:tcBorders>
              <w:top w:val="nil"/>
              <w:left w:val="nil"/>
              <w:bottom w:val="nil"/>
              <w:right w:val="nil"/>
            </w:tcBorders>
            <w:shd w:val="clear" w:color="auto" w:fill="auto"/>
            <w:vAlign w:val="center"/>
          </w:tcPr>
          <w:p w14:paraId="419D54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策略发布后在月内作为日度库存监控基准；发布失败时保留待发布状态并支持重试。</w:t>
            </w:r>
          </w:p>
        </w:tc>
        <w:tc>
          <w:tcPr>
            <w:tcW w:w="1088" w:type="dxa"/>
            <w:tcBorders>
              <w:top w:val="nil"/>
              <w:left w:val="nil"/>
              <w:bottom w:val="nil"/>
              <w:right w:val="nil"/>
            </w:tcBorders>
            <w:shd w:val="clear" w:color="auto" w:fill="auto"/>
            <w:vAlign w:val="center"/>
          </w:tcPr>
          <w:p w14:paraId="2ECAB3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已发布的安全库存、再订货点、目标库存、月度总补充计划及版本</w:t>
            </w:r>
          </w:p>
        </w:tc>
        <w:tc>
          <w:tcPr>
            <w:tcW w:w="1460" w:type="dxa"/>
            <w:tcBorders>
              <w:top w:val="nil"/>
              <w:left w:val="nil"/>
              <w:bottom w:val="nil"/>
              <w:right w:val="nil"/>
            </w:tcBorders>
            <w:shd w:val="clear" w:color="auto" w:fill="auto"/>
            <w:vAlign w:val="center"/>
          </w:tcPr>
          <w:p w14:paraId="6989FBE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65DF43C">
        <w:trPr>
          <w:cantSplit/>
          <w:trHeight w:val="0" w:hRule="atLeast"/>
          <w:jc w:val="center"/>
        </w:trPr>
        <w:tc>
          <w:tcPr>
            <w:tcW w:w="2944" w:type="dxa"/>
            <w:tcBorders>
              <w:top w:val="nil"/>
              <w:left w:val="nil"/>
              <w:bottom w:val="nil"/>
              <w:right w:val="nil"/>
            </w:tcBorders>
            <w:shd w:val="clear" w:color="auto" w:fill="auto"/>
            <w:vAlign w:val="center"/>
          </w:tcPr>
          <w:p w14:paraId="7DB45D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P-ZLTC-SCOS-KCYH-001-70-001</w:t>
            </w:r>
          </w:p>
        </w:tc>
        <w:tc>
          <w:tcPr>
            <w:tcW w:w="945" w:type="dxa"/>
            <w:tcBorders>
              <w:top w:val="nil"/>
              <w:left w:val="nil"/>
              <w:bottom w:val="nil"/>
              <w:right w:val="nil"/>
            </w:tcBorders>
            <w:shd w:val="clear" w:color="auto" w:fill="auto"/>
            <w:vAlign w:val="center"/>
          </w:tcPr>
          <w:p w14:paraId="4E105D0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进入周度计划分解规则</w:t>
            </w:r>
          </w:p>
        </w:tc>
        <w:tc>
          <w:tcPr>
            <w:tcW w:w="966" w:type="dxa"/>
            <w:tcBorders>
              <w:top w:val="nil"/>
              <w:left w:val="nil"/>
              <w:bottom w:val="nil"/>
              <w:right w:val="nil"/>
            </w:tcBorders>
            <w:shd w:val="clear" w:color="auto" w:fill="auto"/>
            <w:vAlign w:val="center"/>
          </w:tcPr>
          <w:p w14:paraId="6EF1293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3F5DB8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12C2287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安全库存、再订货点、目标库存、月度总补充计划及版本形成后</w:t>
            </w:r>
          </w:p>
        </w:tc>
        <w:tc>
          <w:tcPr>
            <w:tcW w:w="1406" w:type="dxa"/>
            <w:tcBorders>
              <w:top w:val="nil"/>
              <w:left w:val="nil"/>
              <w:bottom w:val="nil"/>
              <w:right w:val="nil"/>
            </w:tcBorders>
            <w:shd w:val="clear" w:color="auto" w:fill="auto"/>
            <w:vAlign w:val="center"/>
          </w:tcPr>
          <w:p w14:paraId="1AFAABF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将月度总补充量作为总量控制口径；月度策略或总量未发布时，不得作为正式周计划基准。</w:t>
            </w:r>
          </w:p>
        </w:tc>
        <w:tc>
          <w:tcPr>
            <w:tcW w:w="1088" w:type="dxa"/>
            <w:tcBorders>
              <w:top w:val="nil"/>
              <w:left w:val="nil"/>
              <w:bottom w:val="nil"/>
              <w:right w:val="nil"/>
            </w:tcBorders>
            <w:shd w:val="clear" w:color="auto" w:fill="auto"/>
            <w:vAlign w:val="center"/>
          </w:tcPr>
          <w:p w14:paraId="30822F5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周度计划分解基准</w:t>
            </w:r>
          </w:p>
        </w:tc>
        <w:tc>
          <w:tcPr>
            <w:tcW w:w="1460" w:type="dxa"/>
            <w:tcBorders>
              <w:top w:val="nil"/>
              <w:left w:val="nil"/>
              <w:bottom w:val="nil"/>
              <w:right w:val="nil"/>
            </w:tcBorders>
            <w:shd w:val="clear" w:color="auto" w:fill="auto"/>
            <w:vAlign w:val="center"/>
          </w:tcPr>
          <w:p w14:paraId="4A40426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152739F">
        <w:trPr>
          <w:cantSplit/>
          <w:trHeight w:val="0" w:hRule="atLeast"/>
          <w:jc w:val="center"/>
        </w:trPr>
        <w:tc>
          <w:tcPr>
            <w:tcW w:w="2944" w:type="dxa"/>
            <w:tcBorders>
              <w:top w:val="nil"/>
              <w:left w:val="nil"/>
              <w:bottom w:val="nil"/>
              <w:right w:val="nil"/>
            </w:tcBorders>
            <w:shd w:val="clear" w:color="auto" w:fill="auto"/>
            <w:vAlign w:val="center"/>
          </w:tcPr>
          <w:p w14:paraId="608226A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P-ZLTC-SCOS-KCYH-002-10-001</w:t>
            </w:r>
          </w:p>
        </w:tc>
        <w:tc>
          <w:tcPr>
            <w:tcW w:w="945" w:type="dxa"/>
            <w:tcBorders>
              <w:top w:val="nil"/>
              <w:left w:val="nil"/>
              <w:bottom w:val="nil"/>
              <w:right w:val="nil"/>
            </w:tcBorders>
            <w:shd w:val="clear" w:color="auto" w:fill="auto"/>
            <w:vAlign w:val="center"/>
          </w:tcPr>
          <w:p w14:paraId="0ECC9B0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汇集周计划输入数据规则</w:t>
            </w:r>
          </w:p>
        </w:tc>
        <w:tc>
          <w:tcPr>
            <w:tcW w:w="966" w:type="dxa"/>
            <w:tcBorders>
              <w:top w:val="nil"/>
              <w:left w:val="nil"/>
              <w:bottom w:val="nil"/>
              <w:right w:val="nil"/>
            </w:tcBorders>
            <w:shd w:val="clear" w:color="auto" w:fill="auto"/>
            <w:vAlign w:val="center"/>
          </w:tcPr>
          <w:p w14:paraId="3CA087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F4ADC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458440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每周五开始制定周度生产补充计划，一次性面向未来4周进行计算时</w:t>
            </w:r>
          </w:p>
        </w:tc>
        <w:tc>
          <w:tcPr>
            <w:tcW w:w="1406" w:type="dxa"/>
            <w:tcBorders>
              <w:top w:val="nil"/>
              <w:left w:val="nil"/>
              <w:bottom w:val="nil"/>
              <w:right w:val="nil"/>
            </w:tcBorders>
            <w:shd w:val="clear" w:color="auto" w:fill="auto"/>
            <w:vAlign w:val="center"/>
          </w:tcPr>
          <w:p w14:paraId="04EC07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通过统一数据服务层提供本次计算所需的最新业务数据；数据缺失、过期或状态冲突时，暂不生成正式建议并提示人工核实。</w:t>
            </w:r>
          </w:p>
        </w:tc>
        <w:tc>
          <w:tcPr>
            <w:tcW w:w="1088" w:type="dxa"/>
            <w:tcBorders>
              <w:top w:val="nil"/>
              <w:left w:val="nil"/>
              <w:bottom w:val="nil"/>
              <w:right w:val="nil"/>
            </w:tcBorders>
            <w:shd w:val="clear" w:color="auto" w:fill="auto"/>
            <w:vAlign w:val="center"/>
          </w:tcPr>
          <w:p w14:paraId="3DAFB4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未来4周生产补充计算数据集</w:t>
            </w:r>
          </w:p>
        </w:tc>
        <w:tc>
          <w:tcPr>
            <w:tcW w:w="1460" w:type="dxa"/>
            <w:tcBorders>
              <w:top w:val="nil"/>
              <w:left w:val="nil"/>
              <w:bottom w:val="nil"/>
              <w:right w:val="nil"/>
            </w:tcBorders>
            <w:shd w:val="clear" w:color="auto" w:fill="auto"/>
            <w:vAlign w:val="center"/>
          </w:tcPr>
          <w:p w14:paraId="06A043E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171F0C">
        <w:trPr>
          <w:cantSplit/>
          <w:trHeight w:val="0" w:hRule="atLeast"/>
          <w:jc w:val="center"/>
        </w:trPr>
        <w:tc>
          <w:tcPr>
            <w:tcW w:w="2944" w:type="dxa"/>
            <w:tcBorders>
              <w:top w:val="nil"/>
              <w:left w:val="nil"/>
              <w:bottom w:val="nil"/>
              <w:right w:val="nil"/>
            </w:tcBorders>
            <w:shd w:val="clear" w:color="auto" w:fill="auto"/>
            <w:vAlign w:val="center"/>
          </w:tcPr>
          <w:p w14:paraId="60FADDD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P-ZLTC-SCOS-KCYH-002-20-001</w:t>
            </w:r>
          </w:p>
        </w:tc>
        <w:tc>
          <w:tcPr>
            <w:tcW w:w="945" w:type="dxa"/>
            <w:tcBorders>
              <w:top w:val="nil"/>
              <w:left w:val="nil"/>
              <w:bottom w:val="nil"/>
              <w:right w:val="nil"/>
            </w:tcBorders>
            <w:shd w:val="clear" w:color="auto" w:fill="auto"/>
            <w:vAlign w:val="center"/>
          </w:tcPr>
          <w:p w14:paraId="30FE55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生成未来4周日度生产补充量规则</w:t>
            </w:r>
          </w:p>
        </w:tc>
        <w:tc>
          <w:tcPr>
            <w:tcW w:w="966" w:type="dxa"/>
            <w:tcBorders>
              <w:top w:val="nil"/>
              <w:left w:val="nil"/>
              <w:bottom w:val="nil"/>
              <w:right w:val="nil"/>
            </w:tcBorders>
            <w:shd w:val="clear" w:color="auto" w:fill="auto"/>
            <w:vAlign w:val="center"/>
          </w:tcPr>
          <w:p w14:paraId="5E1DF9A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550B4D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74BE82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未来4周生产补充计算数据集形成后</w:t>
            </w:r>
          </w:p>
        </w:tc>
        <w:tc>
          <w:tcPr>
            <w:tcW w:w="1406" w:type="dxa"/>
            <w:tcBorders>
              <w:top w:val="nil"/>
              <w:left w:val="nil"/>
              <w:bottom w:val="nil"/>
              <w:right w:val="nil"/>
            </w:tcBorders>
            <w:shd w:val="clear" w:color="auto" w:fill="auto"/>
            <w:vAlign w:val="center"/>
          </w:tcPr>
          <w:p w14:paraId="53D34D6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每周五一次性向后计算4周；周界严格采用周六至下周五；某日无需新增补充时，日度生产补充量可为0。</w:t>
            </w:r>
          </w:p>
        </w:tc>
        <w:tc>
          <w:tcPr>
            <w:tcW w:w="1088" w:type="dxa"/>
            <w:tcBorders>
              <w:top w:val="nil"/>
              <w:left w:val="nil"/>
              <w:bottom w:val="nil"/>
              <w:right w:val="nil"/>
            </w:tcBorders>
            <w:shd w:val="clear" w:color="auto" w:fill="auto"/>
            <w:vAlign w:val="center"/>
          </w:tcPr>
          <w:p w14:paraId="4D5AA17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各成品未来4周的日度生产补充量</w:t>
            </w:r>
          </w:p>
        </w:tc>
        <w:tc>
          <w:tcPr>
            <w:tcW w:w="1460" w:type="dxa"/>
            <w:tcBorders>
              <w:top w:val="nil"/>
              <w:left w:val="nil"/>
              <w:bottom w:val="nil"/>
              <w:right w:val="nil"/>
            </w:tcBorders>
            <w:shd w:val="clear" w:color="auto" w:fill="auto"/>
            <w:vAlign w:val="center"/>
          </w:tcPr>
          <w:p w14:paraId="04BE9E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DCCB8A0">
        <w:trPr>
          <w:cantSplit/>
          <w:trHeight w:val="0" w:hRule="atLeast"/>
          <w:jc w:val="center"/>
        </w:trPr>
        <w:tc>
          <w:tcPr>
            <w:tcW w:w="2944" w:type="dxa"/>
            <w:tcBorders>
              <w:top w:val="nil"/>
              <w:left w:val="nil"/>
              <w:bottom w:val="nil"/>
              <w:right w:val="nil"/>
            </w:tcBorders>
            <w:shd w:val="clear" w:color="auto" w:fill="auto"/>
            <w:vAlign w:val="center"/>
          </w:tcPr>
          <w:p w14:paraId="6B7AF00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P-ZLTC-SCOS-KCYH-002-30-001</w:t>
            </w:r>
          </w:p>
        </w:tc>
        <w:tc>
          <w:tcPr>
            <w:tcW w:w="945" w:type="dxa"/>
            <w:tcBorders>
              <w:top w:val="nil"/>
              <w:left w:val="nil"/>
              <w:bottom w:val="nil"/>
              <w:right w:val="nil"/>
            </w:tcBorders>
            <w:shd w:val="clear" w:color="auto" w:fill="auto"/>
            <w:vAlign w:val="center"/>
          </w:tcPr>
          <w:p w14:paraId="72A0DBE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汇总4周周度生产补充建议规则</w:t>
            </w:r>
          </w:p>
        </w:tc>
        <w:tc>
          <w:tcPr>
            <w:tcW w:w="966" w:type="dxa"/>
            <w:tcBorders>
              <w:top w:val="nil"/>
              <w:left w:val="nil"/>
              <w:bottom w:val="nil"/>
              <w:right w:val="nil"/>
            </w:tcBorders>
            <w:shd w:val="clear" w:color="auto" w:fill="auto"/>
            <w:vAlign w:val="center"/>
          </w:tcPr>
          <w:p w14:paraId="32FB271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6D2A3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5717AF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各成品未来4周的日度生产补充量形成后</w:t>
            </w:r>
          </w:p>
        </w:tc>
        <w:tc>
          <w:tcPr>
            <w:tcW w:w="1406" w:type="dxa"/>
            <w:tcBorders>
              <w:top w:val="nil"/>
              <w:left w:val="nil"/>
              <w:bottom w:val="nil"/>
              <w:right w:val="nil"/>
            </w:tcBorders>
            <w:shd w:val="clear" w:color="auto" w:fill="auto"/>
            <w:vAlign w:val="center"/>
          </w:tcPr>
          <w:p w14:paraId="26A5EF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对每个“周六至下周五”周期内的日度生产补充量进行加和；日度结果缺失或周期归属异常时，不生成对应周的正式汇总结果并提示校验。</w:t>
            </w:r>
          </w:p>
        </w:tc>
        <w:tc>
          <w:tcPr>
            <w:tcW w:w="1088" w:type="dxa"/>
            <w:tcBorders>
              <w:top w:val="nil"/>
              <w:left w:val="nil"/>
              <w:bottom w:val="nil"/>
              <w:right w:val="nil"/>
            </w:tcBorders>
            <w:shd w:val="clear" w:color="auto" w:fill="auto"/>
            <w:vAlign w:val="center"/>
          </w:tcPr>
          <w:p w14:paraId="40EE34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未来4周各成品的周度生产补充建议</w:t>
            </w:r>
          </w:p>
        </w:tc>
        <w:tc>
          <w:tcPr>
            <w:tcW w:w="1460" w:type="dxa"/>
            <w:tcBorders>
              <w:top w:val="nil"/>
              <w:left w:val="nil"/>
              <w:bottom w:val="nil"/>
              <w:right w:val="nil"/>
            </w:tcBorders>
            <w:shd w:val="clear" w:color="auto" w:fill="auto"/>
            <w:vAlign w:val="center"/>
          </w:tcPr>
          <w:p w14:paraId="0B2940C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1EA71BC">
        <w:trPr>
          <w:cantSplit/>
          <w:trHeight w:val="0" w:hRule="atLeast"/>
          <w:jc w:val="center"/>
        </w:trPr>
        <w:tc>
          <w:tcPr>
            <w:tcW w:w="2944" w:type="dxa"/>
            <w:tcBorders>
              <w:top w:val="nil"/>
              <w:left w:val="nil"/>
              <w:bottom w:val="nil"/>
              <w:right w:val="nil"/>
            </w:tcBorders>
            <w:shd w:val="clear" w:color="auto" w:fill="auto"/>
            <w:vAlign w:val="center"/>
          </w:tcPr>
          <w:p w14:paraId="09AB68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P-ZLTC-SCOS-KCYH-002-40-001</w:t>
            </w:r>
          </w:p>
        </w:tc>
        <w:tc>
          <w:tcPr>
            <w:tcW w:w="945" w:type="dxa"/>
            <w:tcBorders>
              <w:top w:val="nil"/>
              <w:left w:val="nil"/>
              <w:bottom w:val="nil"/>
              <w:right w:val="nil"/>
            </w:tcBorders>
            <w:shd w:val="clear" w:color="auto" w:fill="auto"/>
            <w:vAlign w:val="center"/>
          </w:tcPr>
          <w:p w14:paraId="54A1FA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评审4周周度生产补充建议规则</w:t>
            </w:r>
          </w:p>
        </w:tc>
        <w:tc>
          <w:tcPr>
            <w:tcW w:w="966" w:type="dxa"/>
            <w:tcBorders>
              <w:top w:val="nil"/>
              <w:left w:val="nil"/>
              <w:bottom w:val="nil"/>
              <w:right w:val="nil"/>
            </w:tcBorders>
            <w:shd w:val="clear" w:color="auto" w:fill="auto"/>
            <w:vAlign w:val="center"/>
          </w:tcPr>
          <w:p w14:paraId="1632743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9F3F1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3FCE8C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未来4周各成品的周度生产补充建议形成并具备评审条件后</w:t>
            </w:r>
          </w:p>
        </w:tc>
        <w:tc>
          <w:tcPr>
            <w:tcW w:w="1406" w:type="dxa"/>
            <w:tcBorders>
              <w:top w:val="nil"/>
              <w:left w:val="nil"/>
              <w:bottom w:val="nil"/>
              <w:right w:val="nil"/>
            </w:tcBorders>
            <w:shd w:val="clear" w:color="auto" w:fill="auto"/>
            <w:vAlign w:val="center"/>
          </w:tcPr>
          <w:p w14:paraId="63703AE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复核未来4周补货总量、各周及每日分配、月度剩余可补充量和已排程安排；业务条件或建议数量需要修改时，可重新计算日度生产补充量。</w:t>
            </w:r>
          </w:p>
        </w:tc>
        <w:tc>
          <w:tcPr>
            <w:tcW w:w="1088" w:type="dxa"/>
            <w:tcBorders>
              <w:top w:val="nil"/>
              <w:left w:val="nil"/>
              <w:bottom w:val="nil"/>
              <w:right w:val="nil"/>
            </w:tcBorders>
            <w:shd w:val="clear" w:color="auto" w:fill="auto"/>
            <w:vAlign w:val="center"/>
          </w:tcPr>
          <w:p w14:paraId="2059E00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拟定4周周度生产补充建议</w:t>
            </w:r>
          </w:p>
        </w:tc>
        <w:tc>
          <w:tcPr>
            <w:tcW w:w="1460" w:type="dxa"/>
            <w:tcBorders>
              <w:top w:val="nil"/>
              <w:left w:val="nil"/>
              <w:bottom w:val="nil"/>
              <w:right w:val="nil"/>
            </w:tcBorders>
            <w:shd w:val="clear" w:color="auto" w:fill="auto"/>
            <w:vAlign w:val="center"/>
          </w:tcPr>
          <w:p w14:paraId="62D97C8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54C1834">
        <w:trPr>
          <w:cantSplit/>
          <w:trHeight w:val="0" w:hRule="atLeast"/>
          <w:jc w:val="center"/>
        </w:trPr>
        <w:tc>
          <w:tcPr>
            <w:tcW w:w="2944" w:type="dxa"/>
            <w:tcBorders>
              <w:top w:val="nil"/>
              <w:left w:val="nil"/>
              <w:bottom w:val="nil"/>
              <w:right w:val="nil"/>
            </w:tcBorders>
            <w:shd w:val="clear" w:color="auto" w:fill="auto"/>
            <w:vAlign w:val="center"/>
          </w:tcPr>
          <w:p w14:paraId="4EEA51C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P-ZLTC-SCOS-KCYH-002-50-001</w:t>
            </w:r>
          </w:p>
        </w:tc>
        <w:tc>
          <w:tcPr>
            <w:tcW w:w="945" w:type="dxa"/>
            <w:tcBorders>
              <w:top w:val="nil"/>
              <w:left w:val="nil"/>
              <w:bottom w:val="nil"/>
              <w:right w:val="nil"/>
            </w:tcBorders>
            <w:shd w:val="clear" w:color="auto" w:fill="auto"/>
            <w:vAlign w:val="center"/>
          </w:tcPr>
          <w:p w14:paraId="297CAC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确认周度生产补充建议规则</w:t>
            </w:r>
          </w:p>
        </w:tc>
        <w:tc>
          <w:tcPr>
            <w:tcW w:w="966" w:type="dxa"/>
            <w:tcBorders>
              <w:top w:val="nil"/>
              <w:left w:val="nil"/>
              <w:bottom w:val="nil"/>
              <w:right w:val="nil"/>
            </w:tcBorders>
            <w:shd w:val="clear" w:color="auto" w:fill="auto"/>
            <w:vAlign w:val="center"/>
          </w:tcPr>
          <w:p w14:paraId="26CC641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A87800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0C7727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4周周度生产补充建议形成并具备评审条件后</w:t>
            </w:r>
          </w:p>
        </w:tc>
        <w:tc>
          <w:tcPr>
            <w:tcW w:w="1406" w:type="dxa"/>
            <w:tcBorders>
              <w:top w:val="nil"/>
              <w:left w:val="nil"/>
              <w:bottom w:val="nil"/>
              <w:right w:val="nil"/>
            </w:tcBorders>
            <w:shd w:val="clear" w:color="auto" w:fill="auto"/>
            <w:vAlign w:val="center"/>
          </w:tcPr>
          <w:p w14:paraId="4B3C7A6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校验4周汇总结果与日度明细一致，且已排程量未被重复计入；未确认时退回调整；确认通过后继续处理。</w:t>
            </w:r>
          </w:p>
        </w:tc>
        <w:tc>
          <w:tcPr>
            <w:tcW w:w="1088" w:type="dxa"/>
            <w:tcBorders>
              <w:top w:val="nil"/>
              <w:left w:val="nil"/>
              <w:bottom w:val="nil"/>
              <w:right w:val="nil"/>
            </w:tcBorders>
            <w:shd w:val="clear" w:color="auto" w:fill="auto"/>
            <w:vAlign w:val="center"/>
          </w:tcPr>
          <w:p w14:paraId="203B3B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库存侧确认结论</w:t>
            </w:r>
          </w:p>
        </w:tc>
        <w:tc>
          <w:tcPr>
            <w:tcW w:w="1460" w:type="dxa"/>
            <w:tcBorders>
              <w:top w:val="nil"/>
              <w:left w:val="nil"/>
              <w:bottom w:val="nil"/>
              <w:right w:val="nil"/>
            </w:tcBorders>
            <w:shd w:val="clear" w:color="auto" w:fill="auto"/>
            <w:vAlign w:val="center"/>
          </w:tcPr>
          <w:p w14:paraId="4078BCF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331EEA6">
        <w:trPr>
          <w:cantSplit/>
          <w:trHeight w:val="0" w:hRule="atLeast"/>
          <w:jc w:val="center"/>
        </w:trPr>
        <w:tc>
          <w:tcPr>
            <w:tcW w:w="2944" w:type="dxa"/>
            <w:tcBorders>
              <w:top w:val="nil"/>
              <w:left w:val="nil"/>
              <w:bottom w:val="nil"/>
              <w:right w:val="nil"/>
            </w:tcBorders>
            <w:shd w:val="clear" w:color="auto" w:fill="auto"/>
            <w:vAlign w:val="center"/>
          </w:tcPr>
          <w:p w14:paraId="6DDE2B0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P-ZLTC-SCOS-KCYH-002-60-001</w:t>
            </w:r>
          </w:p>
        </w:tc>
        <w:tc>
          <w:tcPr>
            <w:tcW w:w="945" w:type="dxa"/>
            <w:tcBorders>
              <w:top w:val="nil"/>
              <w:left w:val="nil"/>
              <w:bottom w:val="nil"/>
              <w:right w:val="nil"/>
            </w:tcBorders>
            <w:shd w:val="clear" w:color="auto" w:fill="auto"/>
            <w:vAlign w:val="center"/>
          </w:tcPr>
          <w:p w14:paraId="74C482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确认生产排程承接安排规则</w:t>
            </w:r>
          </w:p>
        </w:tc>
        <w:tc>
          <w:tcPr>
            <w:tcW w:w="966" w:type="dxa"/>
            <w:tcBorders>
              <w:top w:val="nil"/>
              <w:left w:val="nil"/>
              <w:bottom w:val="nil"/>
              <w:right w:val="nil"/>
            </w:tcBorders>
            <w:shd w:val="clear" w:color="auto" w:fill="auto"/>
            <w:vAlign w:val="center"/>
          </w:tcPr>
          <w:p w14:paraId="25289A5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1A633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30FBF5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确认周度生产补充建议通过时</w:t>
            </w:r>
          </w:p>
        </w:tc>
        <w:tc>
          <w:tcPr>
            <w:tcW w:w="1406" w:type="dxa"/>
            <w:tcBorders>
              <w:top w:val="nil"/>
              <w:left w:val="nil"/>
              <w:bottom w:val="nil"/>
              <w:right w:val="nil"/>
            </w:tcBorders>
            <w:shd w:val="clear" w:color="auto" w:fill="auto"/>
            <w:vAlign w:val="center"/>
          </w:tcPr>
          <w:p w14:paraId="71C1853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核对产能、设备、原料、工艺及已确认任务，判断补货建议能否纳入生产排程；无法承接时，应明确受影响周次、可承接数量及约束原因。</w:t>
            </w:r>
          </w:p>
        </w:tc>
        <w:tc>
          <w:tcPr>
            <w:tcW w:w="1088" w:type="dxa"/>
            <w:tcBorders>
              <w:top w:val="nil"/>
              <w:left w:val="nil"/>
              <w:bottom w:val="nil"/>
              <w:right w:val="nil"/>
            </w:tcBorders>
            <w:shd w:val="clear" w:color="auto" w:fill="auto"/>
            <w:vAlign w:val="center"/>
          </w:tcPr>
          <w:p w14:paraId="7A5328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生产排程承接意见</w:t>
            </w:r>
          </w:p>
        </w:tc>
        <w:tc>
          <w:tcPr>
            <w:tcW w:w="1460" w:type="dxa"/>
            <w:tcBorders>
              <w:top w:val="nil"/>
              <w:left w:val="nil"/>
              <w:bottom w:val="nil"/>
              <w:right w:val="nil"/>
            </w:tcBorders>
            <w:shd w:val="clear" w:color="auto" w:fill="auto"/>
            <w:vAlign w:val="center"/>
          </w:tcPr>
          <w:p w14:paraId="0F669AE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BB4DF3E">
        <w:trPr>
          <w:cantSplit/>
          <w:trHeight w:val="0" w:hRule="atLeast"/>
          <w:jc w:val="center"/>
        </w:trPr>
        <w:tc>
          <w:tcPr>
            <w:tcW w:w="2944" w:type="dxa"/>
            <w:tcBorders>
              <w:top w:val="nil"/>
              <w:left w:val="nil"/>
              <w:bottom w:val="nil"/>
              <w:right w:val="nil"/>
            </w:tcBorders>
            <w:shd w:val="clear" w:color="auto" w:fill="auto"/>
            <w:vAlign w:val="center"/>
          </w:tcPr>
          <w:p w14:paraId="2B78864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P-ZLTC-SCOS-KCYH-002-70-001</w:t>
            </w:r>
          </w:p>
        </w:tc>
        <w:tc>
          <w:tcPr>
            <w:tcW w:w="945" w:type="dxa"/>
            <w:tcBorders>
              <w:top w:val="nil"/>
              <w:left w:val="nil"/>
              <w:bottom w:val="nil"/>
              <w:right w:val="nil"/>
            </w:tcBorders>
            <w:shd w:val="clear" w:color="auto" w:fill="auto"/>
            <w:vAlign w:val="center"/>
          </w:tcPr>
          <w:p w14:paraId="43CD5B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确认纳入生产排程规则</w:t>
            </w:r>
          </w:p>
        </w:tc>
        <w:tc>
          <w:tcPr>
            <w:tcW w:w="966" w:type="dxa"/>
            <w:tcBorders>
              <w:top w:val="nil"/>
              <w:left w:val="nil"/>
              <w:bottom w:val="nil"/>
              <w:right w:val="nil"/>
            </w:tcBorders>
            <w:shd w:val="clear" w:color="auto" w:fill="auto"/>
            <w:vAlign w:val="center"/>
          </w:tcPr>
          <w:p w14:paraId="4F9DA5A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34BFC7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56BA32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生产排程承接意见形成并具备评审条件后</w:t>
            </w:r>
          </w:p>
        </w:tc>
        <w:tc>
          <w:tcPr>
            <w:tcW w:w="1406" w:type="dxa"/>
            <w:tcBorders>
              <w:top w:val="nil"/>
              <w:left w:val="nil"/>
              <w:bottom w:val="nil"/>
              <w:right w:val="nil"/>
            </w:tcBorders>
            <w:shd w:val="clear" w:color="auto" w:fill="auto"/>
            <w:vAlign w:val="center"/>
          </w:tcPr>
          <w:p w14:paraId="1E32F6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判断并确认周度生产补充建议是否纳入生产排程；未确认时退回协调承接安排；确认通过后继续处理。</w:t>
            </w:r>
          </w:p>
        </w:tc>
        <w:tc>
          <w:tcPr>
            <w:tcW w:w="1088" w:type="dxa"/>
            <w:tcBorders>
              <w:top w:val="nil"/>
              <w:left w:val="nil"/>
              <w:bottom w:val="nil"/>
              <w:right w:val="nil"/>
            </w:tcBorders>
            <w:shd w:val="clear" w:color="auto" w:fill="auto"/>
            <w:vAlign w:val="center"/>
          </w:tcPr>
          <w:p w14:paraId="4FC54E0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纳入生产排程的确认结论</w:t>
            </w:r>
          </w:p>
        </w:tc>
        <w:tc>
          <w:tcPr>
            <w:tcW w:w="1460" w:type="dxa"/>
            <w:tcBorders>
              <w:top w:val="nil"/>
              <w:left w:val="nil"/>
              <w:bottom w:val="nil"/>
              <w:right w:val="nil"/>
            </w:tcBorders>
            <w:shd w:val="clear" w:color="auto" w:fill="auto"/>
            <w:vAlign w:val="center"/>
          </w:tcPr>
          <w:p w14:paraId="7CE7F0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4A38815">
        <w:trPr>
          <w:cantSplit/>
          <w:trHeight w:val="0" w:hRule="atLeast"/>
          <w:jc w:val="center"/>
        </w:trPr>
        <w:tc>
          <w:tcPr>
            <w:tcW w:w="2944" w:type="dxa"/>
            <w:tcBorders>
              <w:top w:val="nil"/>
              <w:left w:val="nil"/>
              <w:bottom w:val="nil"/>
              <w:right w:val="nil"/>
            </w:tcBorders>
            <w:shd w:val="clear" w:color="auto" w:fill="auto"/>
            <w:vAlign w:val="center"/>
          </w:tcPr>
          <w:p w14:paraId="249CF9B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P-ZLTC-SCOS-KCYH-002-80-001</w:t>
            </w:r>
          </w:p>
        </w:tc>
        <w:tc>
          <w:tcPr>
            <w:tcW w:w="945" w:type="dxa"/>
            <w:tcBorders>
              <w:top w:val="nil"/>
              <w:left w:val="nil"/>
              <w:bottom w:val="nil"/>
              <w:right w:val="nil"/>
            </w:tcBorders>
            <w:shd w:val="clear" w:color="auto" w:fill="auto"/>
            <w:vAlign w:val="center"/>
          </w:tcPr>
          <w:p w14:paraId="494FF2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锁定第1周生产补充量规则</w:t>
            </w:r>
          </w:p>
        </w:tc>
        <w:tc>
          <w:tcPr>
            <w:tcW w:w="966" w:type="dxa"/>
            <w:tcBorders>
              <w:top w:val="nil"/>
              <w:left w:val="nil"/>
              <w:bottom w:val="nil"/>
              <w:right w:val="nil"/>
            </w:tcBorders>
            <w:shd w:val="clear" w:color="auto" w:fill="auto"/>
            <w:vAlign w:val="center"/>
          </w:tcPr>
          <w:p w14:paraId="19707E0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7ACA8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70CA1F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确认纳入生产排程通过时</w:t>
            </w:r>
          </w:p>
        </w:tc>
        <w:tc>
          <w:tcPr>
            <w:tcW w:w="1406" w:type="dxa"/>
            <w:tcBorders>
              <w:top w:val="nil"/>
              <w:left w:val="nil"/>
              <w:bottom w:val="nil"/>
              <w:right w:val="nil"/>
            </w:tcBorders>
            <w:shd w:val="clear" w:color="auto" w:fill="auto"/>
            <w:vAlign w:val="center"/>
          </w:tcPr>
          <w:p w14:paraId="290EA7A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锁定第1周（周六至下周五）的生产补充量；锁定失败时不进入发布，并保留待锁定状态及失败原因。</w:t>
            </w:r>
          </w:p>
        </w:tc>
        <w:tc>
          <w:tcPr>
            <w:tcW w:w="1088" w:type="dxa"/>
            <w:tcBorders>
              <w:top w:val="nil"/>
              <w:left w:val="nil"/>
              <w:bottom w:val="nil"/>
              <w:right w:val="nil"/>
            </w:tcBorders>
            <w:shd w:val="clear" w:color="auto" w:fill="auto"/>
            <w:vAlign w:val="center"/>
          </w:tcPr>
          <w:p w14:paraId="746723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锁定的第1周生产补充量及锁定状态</w:t>
            </w:r>
          </w:p>
        </w:tc>
        <w:tc>
          <w:tcPr>
            <w:tcW w:w="1460" w:type="dxa"/>
            <w:tcBorders>
              <w:top w:val="nil"/>
              <w:left w:val="nil"/>
              <w:bottom w:val="nil"/>
              <w:right w:val="nil"/>
            </w:tcBorders>
            <w:shd w:val="clear" w:color="auto" w:fill="auto"/>
            <w:vAlign w:val="center"/>
          </w:tcPr>
          <w:p w14:paraId="4D44921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FFB81F6">
        <w:trPr>
          <w:cantSplit/>
          <w:trHeight w:val="0" w:hRule="atLeast"/>
          <w:jc w:val="center"/>
        </w:trPr>
        <w:tc>
          <w:tcPr>
            <w:tcW w:w="2944" w:type="dxa"/>
            <w:tcBorders>
              <w:top w:val="nil"/>
              <w:left w:val="nil"/>
              <w:bottom w:val="nil"/>
              <w:right w:val="nil"/>
            </w:tcBorders>
            <w:shd w:val="clear" w:color="auto" w:fill="auto"/>
            <w:vAlign w:val="center"/>
          </w:tcPr>
          <w:p w14:paraId="3443B68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P-ZLTC-SCOS-KCYH-002-90-001</w:t>
            </w:r>
          </w:p>
        </w:tc>
        <w:tc>
          <w:tcPr>
            <w:tcW w:w="945" w:type="dxa"/>
            <w:tcBorders>
              <w:top w:val="nil"/>
              <w:left w:val="nil"/>
              <w:bottom w:val="nil"/>
              <w:right w:val="nil"/>
            </w:tcBorders>
            <w:shd w:val="clear" w:color="auto" w:fill="auto"/>
            <w:vAlign w:val="center"/>
          </w:tcPr>
          <w:p w14:paraId="347C36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发布周度生产补货计划规则</w:t>
            </w:r>
          </w:p>
        </w:tc>
        <w:tc>
          <w:tcPr>
            <w:tcW w:w="966" w:type="dxa"/>
            <w:tcBorders>
              <w:top w:val="nil"/>
              <w:left w:val="nil"/>
              <w:bottom w:val="nil"/>
              <w:right w:val="nil"/>
            </w:tcBorders>
            <w:shd w:val="clear" w:color="auto" w:fill="auto"/>
            <w:vAlign w:val="center"/>
          </w:tcPr>
          <w:p w14:paraId="1924193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CC4610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349720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锁定的第1周生产补充量及锁定状态完成确认后</w:t>
            </w:r>
          </w:p>
        </w:tc>
        <w:tc>
          <w:tcPr>
            <w:tcW w:w="1406" w:type="dxa"/>
            <w:tcBorders>
              <w:top w:val="nil"/>
              <w:left w:val="nil"/>
              <w:bottom w:val="nil"/>
              <w:right w:val="nil"/>
            </w:tcBorders>
            <w:shd w:val="clear" w:color="auto" w:fill="auto"/>
            <w:vAlign w:val="center"/>
          </w:tcPr>
          <w:p w14:paraId="1EC11A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发布第1周周度生产补货计划；发布或下发失败时保留待发布状态，已锁定的第1周生产补充量不得修改。</w:t>
            </w:r>
          </w:p>
        </w:tc>
        <w:tc>
          <w:tcPr>
            <w:tcW w:w="1088" w:type="dxa"/>
            <w:tcBorders>
              <w:top w:val="nil"/>
              <w:left w:val="nil"/>
              <w:bottom w:val="nil"/>
              <w:right w:val="nil"/>
            </w:tcBorders>
            <w:shd w:val="clear" w:color="auto" w:fill="auto"/>
            <w:vAlign w:val="center"/>
          </w:tcPr>
          <w:p w14:paraId="22E6B1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已发布的第1周周度生产补货计划、锁定状态及版本</w:t>
            </w:r>
          </w:p>
        </w:tc>
        <w:tc>
          <w:tcPr>
            <w:tcW w:w="1460" w:type="dxa"/>
            <w:tcBorders>
              <w:top w:val="nil"/>
              <w:left w:val="nil"/>
              <w:bottom w:val="nil"/>
              <w:right w:val="nil"/>
            </w:tcBorders>
            <w:shd w:val="clear" w:color="auto" w:fill="auto"/>
            <w:vAlign w:val="center"/>
          </w:tcPr>
          <w:p w14:paraId="5EE086F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4597BC">
        <w:trPr>
          <w:cantSplit/>
          <w:trHeight w:val="0" w:hRule="atLeast"/>
          <w:jc w:val="center"/>
        </w:trPr>
        <w:tc>
          <w:tcPr>
            <w:tcW w:w="2944" w:type="dxa"/>
            <w:tcBorders>
              <w:top w:val="nil"/>
              <w:left w:val="nil"/>
              <w:bottom w:val="nil"/>
              <w:right w:val="nil"/>
            </w:tcBorders>
            <w:shd w:val="clear" w:color="auto" w:fill="auto"/>
            <w:vAlign w:val="center"/>
          </w:tcPr>
          <w:p w14:paraId="051B165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P-ZLTC-SCOS-KCYH-003-10-001</w:t>
            </w:r>
          </w:p>
        </w:tc>
        <w:tc>
          <w:tcPr>
            <w:tcW w:w="945" w:type="dxa"/>
            <w:tcBorders>
              <w:top w:val="nil"/>
              <w:left w:val="nil"/>
              <w:bottom w:val="nil"/>
              <w:right w:val="nil"/>
            </w:tcBorders>
            <w:shd w:val="clear" w:color="auto" w:fill="auto"/>
            <w:vAlign w:val="center"/>
          </w:tcPr>
          <w:p w14:paraId="3A30A8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汇集日度库存、需求、4周补充建议与排程状态规则</w:t>
            </w:r>
          </w:p>
        </w:tc>
        <w:tc>
          <w:tcPr>
            <w:tcW w:w="966" w:type="dxa"/>
            <w:tcBorders>
              <w:top w:val="nil"/>
              <w:left w:val="nil"/>
              <w:bottom w:val="nil"/>
              <w:right w:val="nil"/>
            </w:tcBorders>
            <w:shd w:val="clear" w:color="auto" w:fill="auto"/>
            <w:vAlign w:val="center"/>
          </w:tcPr>
          <w:p w14:paraId="4C6E2E4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575E7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6B9750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系统每日定时运行时</w:t>
            </w:r>
          </w:p>
        </w:tc>
        <w:tc>
          <w:tcPr>
            <w:tcW w:w="1406" w:type="dxa"/>
            <w:tcBorders>
              <w:top w:val="nil"/>
              <w:left w:val="nil"/>
              <w:bottom w:val="nil"/>
              <w:right w:val="nil"/>
            </w:tcBorders>
            <w:shd w:val="clear" w:color="auto" w:fill="auto"/>
            <w:vAlign w:val="center"/>
          </w:tcPr>
          <w:p w14:paraId="6FCC732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汇集库存、需求、未来4周补货建议、排程状态及储罐可用状态；数据缺失、过期或状态冲突时标记数据风险，提示人工核实。</w:t>
            </w:r>
          </w:p>
        </w:tc>
        <w:tc>
          <w:tcPr>
            <w:tcW w:w="1088" w:type="dxa"/>
            <w:tcBorders>
              <w:top w:val="nil"/>
              <w:left w:val="nil"/>
              <w:bottom w:val="nil"/>
              <w:right w:val="nil"/>
            </w:tcBorders>
            <w:shd w:val="clear" w:color="auto" w:fill="auto"/>
            <w:vAlign w:val="center"/>
          </w:tcPr>
          <w:p w14:paraId="18BE6EB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未来4周日度库存监控数据集</w:t>
            </w:r>
          </w:p>
        </w:tc>
        <w:tc>
          <w:tcPr>
            <w:tcW w:w="1460" w:type="dxa"/>
            <w:tcBorders>
              <w:top w:val="nil"/>
              <w:left w:val="nil"/>
              <w:bottom w:val="nil"/>
              <w:right w:val="nil"/>
            </w:tcBorders>
            <w:shd w:val="clear" w:color="auto" w:fill="auto"/>
            <w:vAlign w:val="center"/>
          </w:tcPr>
          <w:p w14:paraId="039A5E1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SCOS/SAP/WMS/QMS/LIMS</w:t>
            </w:r>
          </w:p>
        </w:tc>
      </w:tr>
      <w:tr w14:paraId="5E4407F2">
        <w:trPr>
          <w:cantSplit/>
          <w:trHeight w:val="0" w:hRule="atLeast"/>
          <w:jc w:val="center"/>
        </w:trPr>
        <w:tc>
          <w:tcPr>
            <w:tcW w:w="2944" w:type="dxa"/>
            <w:tcBorders>
              <w:top w:val="nil"/>
              <w:left w:val="nil"/>
              <w:bottom w:val="nil"/>
              <w:right w:val="nil"/>
            </w:tcBorders>
            <w:shd w:val="clear" w:color="auto" w:fill="auto"/>
            <w:vAlign w:val="center"/>
          </w:tcPr>
          <w:p w14:paraId="38BB1FE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P-ZLTC-SCOS-KCYH-003-20-001</w:t>
            </w:r>
          </w:p>
        </w:tc>
        <w:tc>
          <w:tcPr>
            <w:tcW w:w="945" w:type="dxa"/>
            <w:tcBorders>
              <w:top w:val="nil"/>
              <w:left w:val="nil"/>
              <w:bottom w:val="nil"/>
              <w:right w:val="nil"/>
            </w:tcBorders>
            <w:shd w:val="clear" w:color="auto" w:fill="auto"/>
            <w:vAlign w:val="center"/>
          </w:tcPr>
          <w:p w14:paraId="29A25F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滚动测算未来4周日度库存水位规则</w:t>
            </w:r>
          </w:p>
        </w:tc>
        <w:tc>
          <w:tcPr>
            <w:tcW w:w="966" w:type="dxa"/>
            <w:tcBorders>
              <w:top w:val="nil"/>
              <w:left w:val="nil"/>
              <w:bottom w:val="nil"/>
              <w:right w:val="nil"/>
            </w:tcBorders>
            <w:shd w:val="clear" w:color="auto" w:fill="auto"/>
            <w:vAlign w:val="center"/>
          </w:tcPr>
          <w:p w14:paraId="5293B56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24D69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381270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未来4周日度库存监控数据集形成后</w:t>
            </w:r>
          </w:p>
        </w:tc>
        <w:tc>
          <w:tcPr>
            <w:tcW w:w="1406" w:type="dxa"/>
            <w:tcBorders>
              <w:top w:val="nil"/>
              <w:left w:val="nil"/>
              <w:bottom w:val="nil"/>
              <w:right w:val="nil"/>
            </w:tcBorders>
            <w:shd w:val="clear" w:color="auto" w:fill="auto"/>
            <w:vAlign w:val="center"/>
          </w:tcPr>
          <w:p w14:paraId="1F453BD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按日测算未来4周预计库存，综合现有库存、需求和计划入库量；数据不足以形成可靠测算时，输出数据风险和受影响日期，不生成误导性的库存结论。</w:t>
            </w:r>
          </w:p>
        </w:tc>
        <w:tc>
          <w:tcPr>
            <w:tcW w:w="1088" w:type="dxa"/>
            <w:tcBorders>
              <w:top w:val="nil"/>
              <w:left w:val="nil"/>
              <w:bottom w:val="nil"/>
              <w:right w:val="nil"/>
            </w:tcBorders>
            <w:shd w:val="clear" w:color="auto" w:fill="auto"/>
            <w:vAlign w:val="center"/>
          </w:tcPr>
          <w:p w14:paraId="60B675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未来4周日度库存轨迹</w:t>
            </w:r>
          </w:p>
        </w:tc>
        <w:tc>
          <w:tcPr>
            <w:tcW w:w="1460" w:type="dxa"/>
            <w:tcBorders>
              <w:top w:val="nil"/>
              <w:left w:val="nil"/>
              <w:bottom w:val="nil"/>
              <w:right w:val="nil"/>
            </w:tcBorders>
            <w:shd w:val="clear" w:color="auto" w:fill="auto"/>
            <w:vAlign w:val="center"/>
          </w:tcPr>
          <w:p w14:paraId="6449112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B284387">
        <w:trPr>
          <w:cantSplit/>
          <w:trHeight w:val="0" w:hRule="atLeast"/>
          <w:jc w:val="center"/>
        </w:trPr>
        <w:tc>
          <w:tcPr>
            <w:tcW w:w="2944" w:type="dxa"/>
            <w:tcBorders>
              <w:top w:val="nil"/>
              <w:left w:val="nil"/>
              <w:bottom w:val="nil"/>
              <w:right w:val="nil"/>
            </w:tcBorders>
            <w:shd w:val="clear" w:color="auto" w:fill="auto"/>
            <w:vAlign w:val="center"/>
          </w:tcPr>
          <w:p w14:paraId="7486E6A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P-ZLTC-SCOS-KCYH-003-30-001</w:t>
            </w:r>
          </w:p>
        </w:tc>
        <w:tc>
          <w:tcPr>
            <w:tcW w:w="945" w:type="dxa"/>
            <w:tcBorders>
              <w:top w:val="nil"/>
              <w:left w:val="nil"/>
              <w:bottom w:val="nil"/>
              <w:right w:val="nil"/>
            </w:tcBorders>
            <w:shd w:val="clear" w:color="auto" w:fill="auto"/>
            <w:vAlign w:val="center"/>
          </w:tcPr>
          <w:p w14:paraId="50A10F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判断是否存在库存风险规则</w:t>
            </w:r>
          </w:p>
        </w:tc>
        <w:tc>
          <w:tcPr>
            <w:tcW w:w="966" w:type="dxa"/>
            <w:tcBorders>
              <w:top w:val="nil"/>
              <w:left w:val="nil"/>
              <w:bottom w:val="nil"/>
              <w:right w:val="nil"/>
            </w:tcBorders>
            <w:shd w:val="clear" w:color="auto" w:fill="auto"/>
            <w:vAlign w:val="center"/>
          </w:tcPr>
          <w:p w14:paraId="6299DB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0946E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76C88DC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每日库存预测更新，或库存、需求、排程发生关键变化时</w:t>
            </w:r>
          </w:p>
        </w:tc>
        <w:tc>
          <w:tcPr>
            <w:tcW w:w="1406" w:type="dxa"/>
            <w:tcBorders>
              <w:top w:val="nil"/>
              <w:left w:val="nil"/>
              <w:bottom w:val="nil"/>
              <w:right w:val="nil"/>
            </w:tcBorders>
            <w:shd w:val="clear" w:color="auto" w:fill="auto"/>
            <w:vAlign w:val="center"/>
          </w:tcPr>
          <w:p w14:paraId="1F9334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逐日判断预计可用库存是否低于安全库存，以及计划生产入库是否会使成品库存超过对应储罐的有效容量；任一越界时记录风险类型、日期和缺口或超量，两项均未越界时记录正常状态。</w:t>
            </w:r>
          </w:p>
        </w:tc>
        <w:tc>
          <w:tcPr>
            <w:tcW w:w="1088" w:type="dxa"/>
            <w:tcBorders>
              <w:top w:val="nil"/>
              <w:left w:val="nil"/>
              <w:bottom w:val="nil"/>
              <w:right w:val="nil"/>
            </w:tcBorders>
            <w:shd w:val="clear" w:color="auto" w:fill="auto"/>
            <w:vAlign w:val="center"/>
          </w:tcPr>
          <w:p w14:paraId="63C94F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库存风险判断、风险类型、日期及缺口或超量</w:t>
            </w:r>
          </w:p>
        </w:tc>
        <w:tc>
          <w:tcPr>
            <w:tcW w:w="1460" w:type="dxa"/>
            <w:tcBorders>
              <w:top w:val="nil"/>
              <w:left w:val="nil"/>
              <w:bottom w:val="nil"/>
              <w:right w:val="nil"/>
            </w:tcBorders>
            <w:shd w:val="clear" w:color="auto" w:fill="auto"/>
            <w:vAlign w:val="center"/>
          </w:tcPr>
          <w:p w14:paraId="71F9FC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3BA932">
        <w:trPr>
          <w:cantSplit/>
          <w:trHeight w:val="0" w:hRule="atLeast"/>
          <w:jc w:val="center"/>
        </w:trPr>
        <w:tc>
          <w:tcPr>
            <w:tcW w:w="2944" w:type="dxa"/>
            <w:tcBorders>
              <w:top w:val="nil"/>
              <w:left w:val="nil"/>
              <w:bottom w:val="nil"/>
              <w:right w:val="nil"/>
            </w:tcBorders>
            <w:shd w:val="clear" w:color="auto" w:fill="auto"/>
            <w:vAlign w:val="center"/>
          </w:tcPr>
          <w:p w14:paraId="3BC10FD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P-ZLTC-SCOS-KCYH-003-40-001</w:t>
            </w:r>
          </w:p>
        </w:tc>
        <w:tc>
          <w:tcPr>
            <w:tcW w:w="945" w:type="dxa"/>
            <w:tcBorders>
              <w:top w:val="nil"/>
              <w:left w:val="nil"/>
              <w:bottom w:val="nil"/>
              <w:right w:val="nil"/>
            </w:tcBorders>
            <w:shd w:val="clear" w:color="auto" w:fill="auto"/>
            <w:vAlign w:val="center"/>
          </w:tcPr>
          <w:p w14:paraId="08BB60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判断风险是否位于锁定期规则</w:t>
            </w:r>
          </w:p>
        </w:tc>
        <w:tc>
          <w:tcPr>
            <w:tcW w:w="966" w:type="dxa"/>
            <w:tcBorders>
              <w:top w:val="nil"/>
              <w:left w:val="nil"/>
              <w:bottom w:val="nil"/>
              <w:right w:val="nil"/>
            </w:tcBorders>
            <w:shd w:val="clear" w:color="auto" w:fill="auto"/>
            <w:vAlign w:val="center"/>
          </w:tcPr>
          <w:p w14:paraId="1812FD6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0E599A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0A0BB9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存在库存风险时</w:t>
            </w:r>
          </w:p>
        </w:tc>
        <w:tc>
          <w:tcPr>
            <w:tcW w:w="1406" w:type="dxa"/>
            <w:tcBorders>
              <w:top w:val="nil"/>
              <w:left w:val="nil"/>
              <w:bottom w:val="nil"/>
              <w:right w:val="nil"/>
            </w:tcBorders>
            <w:shd w:val="clear" w:color="auto" w:fill="auto"/>
            <w:vAlign w:val="center"/>
          </w:tcPr>
          <w:p w14:paraId="760D0DB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依据周度流程确定的期间判断风险是否发生在第1周锁定期；按风险所在周期采取相应措施。</w:t>
            </w:r>
          </w:p>
        </w:tc>
        <w:tc>
          <w:tcPr>
            <w:tcW w:w="1088" w:type="dxa"/>
            <w:tcBorders>
              <w:top w:val="nil"/>
              <w:left w:val="nil"/>
              <w:bottom w:val="nil"/>
              <w:right w:val="nil"/>
            </w:tcBorders>
            <w:shd w:val="clear" w:color="auto" w:fill="auto"/>
            <w:vAlign w:val="center"/>
          </w:tcPr>
          <w:p w14:paraId="56F8FD0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风险所属期间</w:t>
            </w:r>
          </w:p>
        </w:tc>
        <w:tc>
          <w:tcPr>
            <w:tcW w:w="1460" w:type="dxa"/>
            <w:tcBorders>
              <w:top w:val="nil"/>
              <w:left w:val="nil"/>
              <w:bottom w:val="nil"/>
              <w:right w:val="nil"/>
            </w:tcBorders>
            <w:shd w:val="clear" w:color="auto" w:fill="auto"/>
            <w:vAlign w:val="center"/>
          </w:tcPr>
          <w:p w14:paraId="375D02B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88F7165">
        <w:trPr>
          <w:cantSplit/>
          <w:trHeight w:val="0" w:hRule="atLeast"/>
          <w:jc w:val="center"/>
        </w:trPr>
        <w:tc>
          <w:tcPr>
            <w:tcW w:w="2944" w:type="dxa"/>
            <w:tcBorders>
              <w:top w:val="nil"/>
              <w:left w:val="nil"/>
              <w:bottom w:val="nil"/>
              <w:right w:val="nil"/>
            </w:tcBorders>
            <w:shd w:val="clear" w:color="auto" w:fill="auto"/>
            <w:vAlign w:val="center"/>
          </w:tcPr>
          <w:p w14:paraId="46F15D9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P-ZLTC-SCOS-KCYH-003-50-001</w:t>
            </w:r>
          </w:p>
        </w:tc>
        <w:tc>
          <w:tcPr>
            <w:tcW w:w="945" w:type="dxa"/>
            <w:tcBorders>
              <w:top w:val="nil"/>
              <w:left w:val="nil"/>
              <w:bottom w:val="nil"/>
              <w:right w:val="nil"/>
            </w:tcBorders>
            <w:shd w:val="clear" w:color="auto" w:fill="auto"/>
            <w:vAlign w:val="center"/>
          </w:tcPr>
          <w:p w14:paraId="7FD4D1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生成锁定期库存预警规则</w:t>
            </w:r>
          </w:p>
        </w:tc>
        <w:tc>
          <w:tcPr>
            <w:tcW w:w="966" w:type="dxa"/>
            <w:tcBorders>
              <w:top w:val="nil"/>
              <w:left w:val="nil"/>
              <w:bottom w:val="nil"/>
              <w:right w:val="nil"/>
            </w:tcBorders>
            <w:shd w:val="clear" w:color="auto" w:fill="auto"/>
            <w:vAlign w:val="center"/>
          </w:tcPr>
          <w:p w14:paraId="1DC7DD0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0BEDE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锁定期成品库存风险预警与处置</w:t>
            </w:r>
          </w:p>
        </w:tc>
        <w:tc>
          <w:tcPr>
            <w:tcW w:w="1098" w:type="dxa"/>
            <w:tcBorders>
              <w:top w:val="nil"/>
              <w:left w:val="nil"/>
              <w:bottom w:val="nil"/>
              <w:right w:val="nil"/>
            </w:tcBorders>
            <w:shd w:val="clear" w:color="auto" w:fill="auto"/>
            <w:vAlign w:val="center"/>
          </w:tcPr>
          <w:p w14:paraId="55E9110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库存风险发生在第1周锁定期内时</w:t>
            </w:r>
          </w:p>
        </w:tc>
        <w:tc>
          <w:tcPr>
            <w:tcW w:w="1406" w:type="dxa"/>
            <w:tcBorders>
              <w:top w:val="nil"/>
              <w:left w:val="nil"/>
              <w:bottom w:val="nil"/>
              <w:right w:val="nil"/>
            </w:tcBorders>
            <w:shd w:val="clear" w:color="auto" w:fill="auto"/>
            <w:vAlign w:val="center"/>
          </w:tcPr>
          <w:p w14:paraId="12AFCD6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对第1周锁定期内的安全库存不足或容量超限风险生成预警；即使风险持续或扩大，也不得直接修改第1周锁定的生产补充量。</w:t>
            </w:r>
          </w:p>
        </w:tc>
        <w:tc>
          <w:tcPr>
            <w:tcW w:w="1088" w:type="dxa"/>
            <w:tcBorders>
              <w:top w:val="nil"/>
              <w:left w:val="nil"/>
              <w:bottom w:val="nil"/>
              <w:right w:val="nil"/>
            </w:tcBorders>
            <w:shd w:val="clear" w:color="auto" w:fill="auto"/>
            <w:vAlign w:val="center"/>
          </w:tcPr>
          <w:p w14:paraId="25AC154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锁定期库存预警</w:t>
            </w:r>
          </w:p>
        </w:tc>
        <w:tc>
          <w:tcPr>
            <w:tcW w:w="1460" w:type="dxa"/>
            <w:tcBorders>
              <w:top w:val="nil"/>
              <w:left w:val="nil"/>
              <w:bottom w:val="nil"/>
              <w:right w:val="nil"/>
            </w:tcBorders>
            <w:shd w:val="clear" w:color="auto" w:fill="auto"/>
            <w:vAlign w:val="center"/>
          </w:tcPr>
          <w:p w14:paraId="26FC887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2C3CC73">
        <w:trPr>
          <w:cantSplit/>
          <w:trHeight w:val="0" w:hRule="atLeast"/>
          <w:jc w:val="center"/>
        </w:trPr>
        <w:tc>
          <w:tcPr>
            <w:tcW w:w="2944" w:type="dxa"/>
            <w:tcBorders>
              <w:top w:val="nil"/>
              <w:left w:val="nil"/>
              <w:bottom w:val="nil"/>
              <w:right w:val="nil"/>
            </w:tcBorders>
            <w:shd w:val="clear" w:color="auto" w:fill="auto"/>
            <w:vAlign w:val="center"/>
          </w:tcPr>
          <w:p w14:paraId="3F98F23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P-ZLTC-SCOS-KCYH-003-60-001</w:t>
            </w:r>
          </w:p>
        </w:tc>
        <w:tc>
          <w:tcPr>
            <w:tcW w:w="945" w:type="dxa"/>
            <w:tcBorders>
              <w:top w:val="nil"/>
              <w:left w:val="nil"/>
              <w:bottom w:val="nil"/>
              <w:right w:val="nil"/>
            </w:tcBorders>
            <w:shd w:val="clear" w:color="auto" w:fill="auto"/>
            <w:vAlign w:val="center"/>
          </w:tcPr>
          <w:p w14:paraId="5D29C8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记录库存预警并保持第1周锁定量不变规则</w:t>
            </w:r>
          </w:p>
        </w:tc>
        <w:tc>
          <w:tcPr>
            <w:tcW w:w="966" w:type="dxa"/>
            <w:tcBorders>
              <w:top w:val="nil"/>
              <w:left w:val="nil"/>
              <w:bottom w:val="nil"/>
              <w:right w:val="nil"/>
            </w:tcBorders>
            <w:shd w:val="clear" w:color="auto" w:fill="auto"/>
            <w:vAlign w:val="center"/>
          </w:tcPr>
          <w:p w14:paraId="641BB7E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AF82DE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锁定期成品库存风险预警与处置</w:t>
            </w:r>
          </w:p>
        </w:tc>
        <w:tc>
          <w:tcPr>
            <w:tcW w:w="1098" w:type="dxa"/>
            <w:tcBorders>
              <w:top w:val="nil"/>
              <w:left w:val="nil"/>
              <w:bottom w:val="nil"/>
              <w:right w:val="nil"/>
            </w:tcBorders>
            <w:shd w:val="clear" w:color="auto" w:fill="auto"/>
            <w:vAlign w:val="center"/>
          </w:tcPr>
          <w:p w14:paraId="2732E2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锁定期库存预警形成后</w:t>
            </w:r>
          </w:p>
        </w:tc>
        <w:tc>
          <w:tcPr>
            <w:tcW w:w="1406" w:type="dxa"/>
            <w:tcBorders>
              <w:top w:val="nil"/>
              <w:left w:val="nil"/>
              <w:bottom w:val="nil"/>
              <w:right w:val="nil"/>
            </w:tcBorders>
            <w:shd w:val="clear" w:color="auto" w:fill="auto"/>
            <w:vAlign w:val="center"/>
          </w:tcPr>
          <w:p w14:paraId="7B7D34F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保存库存预警、风险依据和处理状态；预警处理不解除锁定。</w:t>
            </w:r>
          </w:p>
        </w:tc>
        <w:tc>
          <w:tcPr>
            <w:tcW w:w="1088" w:type="dxa"/>
            <w:tcBorders>
              <w:top w:val="nil"/>
              <w:left w:val="nil"/>
              <w:bottom w:val="nil"/>
              <w:right w:val="nil"/>
            </w:tcBorders>
            <w:shd w:val="clear" w:color="auto" w:fill="auto"/>
            <w:vAlign w:val="center"/>
          </w:tcPr>
          <w:p w14:paraId="56F094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库存预警记录、锁定状态确认</w:t>
            </w:r>
          </w:p>
        </w:tc>
        <w:tc>
          <w:tcPr>
            <w:tcW w:w="1460" w:type="dxa"/>
            <w:tcBorders>
              <w:top w:val="nil"/>
              <w:left w:val="nil"/>
              <w:bottom w:val="nil"/>
              <w:right w:val="nil"/>
            </w:tcBorders>
            <w:shd w:val="clear" w:color="auto" w:fill="auto"/>
            <w:vAlign w:val="center"/>
          </w:tcPr>
          <w:p w14:paraId="6213001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EFFDD72">
        <w:trPr>
          <w:cantSplit/>
          <w:trHeight w:val="0" w:hRule="atLeast"/>
          <w:jc w:val="center"/>
        </w:trPr>
        <w:tc>
          <w:tcPr>
            <w:tcW w:w="2944" w:type="dxa"/>
            <w:tcBorders>
              <w:top w:val="nil"/>
              <w:left w:val="nil"/>
              <w:bottom w:val="nil"/>
              <w:right w:val="nil"/>
            </w:tcBorders>
            <w:shd w:val="clear" w:color="auto" w:fill="auto"/>
            <w:vAlign w:val="center"/>
          </w:tcPr>
          <w:p w14:paraId="4E7DC4C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P-ZLTC-SCOS-KCYH-003-70-001</w:t>
            </w:r>
          </w:p>
        </w:tc>
        <w:tc>
          <w:tcPr>
            <w:tcW w:w="945" w:type="dxa"/>
            <w:tcBorders>
              <w:top w:val="nil"/>
              <w:left w:val="nil"/>
              <w:bottom w:val="nil"/>
              <w:right w:val="nil"/>
            </w:tcBorders>
            <w:shd w:val="clear" w:color="auto" w:fill="auto"/>
            <w:vAlign w:val="center"/>
          </w:tcPr>
          <w:p w14:paraId="31261C8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生成库存预警并调整第2至第4周生产补货建议规则</w:t>
            </w:r>
          </w:p>
        </w:tc>
        <w:tc>
          <w:tcPr>
            <w:tcW w:w="966" w:type="dxa"/>
            <w:tcBorders>
              <w:top w:val="nil"/>
              <w:left w:val="nil"/>
              <w:bottom w:val="nil"/>
              <w:right w:val="nil"/>
            </w:tcBorders>
            <w:shd w:val="clear" w:color="auto" w:fill="auto"/>
            <w:vAlign w:val="center"/>
          </w:tcPr>
          <w:p w14:paraId="623981B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D0BEF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非锁定期库存风险预警与补货调整</w:t>
            </w:r>
          </w:p>
        </w:tc>
        <w:tc>
          <w:tcPr>
            <w:tcW w:w="1098" w:type="dxa"/>
            <w:tcBorders>
              <w:top w:val="nil"/>
              <w:left w:val="nil"/>
              <w:bottom w:val="nil"/>
              <w:right w:val="nil"/>
            </w:tcBorders>
            <w:shd w:val="clear" w:color="auto" w:fill="auto"/>
            <w:vAlign w:val="center"/>
          </w:tcPr>
          <w:p w14:paraId="5AF425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库存风险发生在第2至第4周时</w:t>
            </w:r>
          </w:p>
        </w:tc>
        <w:tc>
          <w:tcPr>
            <w:tcW w:w="1406" w:type="dxa"/>
            <w:tcBorders>
              <w:top w:val="nil"/>
              <w:left w:val="nil"/>
              <w:bottom w:val="nil"/>
              <w:right w:val="nil"/>
            </w:tcBorders>
            <w:shd w:val="clear" w:color="auto" w:fill="auto"/>
            <w:vAlign w:val="center"/>
          </w:tcPr>
          <w:p w14:paraId="54943E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对第2至第4周的安全库存不足或容量超限风险生成预警，按风险类型调整未锁定补货建议的日期和数量；扣除已有计划入库，保持第1周锁定量不变；无法消除的风险继续预警。</w:t>
            </w:r>
          </w:p>
        </w:tc>
        <w:tc>
          <w:tcPr>
            <w:tcW w:w="1088" w:type="dxa"/>
            <w:tcBorders>
              <w:top w:val="nil"/>
              <w:left w:val="nil"/>
              <w:bottom w:val="nil"/>
              <w:right w:val="nil"/>
            </w:tcBorders>
            <w:shd w:val="clear" w:color="auto" w:fill="auto"/>
            <w:vAlign w:val="center"/>
          </w:tcPr>
          <w:p w14:paraId="20D06C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第2至第4周库存预警和调整后的生产补货建议</w:t>
            </w:r>
          </w:p>
        </w:tc>
        <w:tc>
          <w:tcPr>
            <w:tcW w:w="1460" w:type="dxa"/>
            <w:tcBorders>
              <w:top w:val="nil"/>
              <w:left w:val="nil"/>
              <w:bottom w:val="nil"/>
              <w:right w:val="nil"/>
            </w:tcBorders>
            <w:shd w:val="clear" w:color="auto" w:fill="auto"/>
            <w:vAlign w:val="center"/>
          </w:tcPr>
          <w:p w14:paraId="4BD46B6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6DF711D">
        <w:trPr>
          <w:cantSplit/>
          <w:trHeight w:val="0" w:hRule="atLeast"/>
          <w:jc w:val="center"/>
        </w:trPr>
        <w:tc>
          <w:tcPr>
            <w:tcW w:w="2944" w:type="dxa"/>
            <w:tcBorders>
              <w:top w:val="nil"/>
              <w:left w:val="nil"/>
              <w:bottom w:val="nil"/>
              <w:right w:val="nil"/>
            </w:tcBorders>
            <w:shd w:val="clear" w:color="auto" w:fill="auto"/>
            <w:vAlign w:val="center"/>
          </w:tcPr>
          <w:p w14:paraId="4D15321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P-ZLTC-SCOS-KCYH-003-80-001</w:t>
            </w:r>
          </w:p>
        </w:tc>
        <w:tc>
          <w:tcPr>
            <w:tcW w:w="945" w:type="dxa"/>
            <w:tcBorders>
              <w:top w:val="nil"/>
              <w:left w:val="nil"/>
              <w:bottom w:val="nil"/>
              <w:right w:val="nil"/>
            </w:tcBorders>
            <w:shd w:val="clear" w:color="auto" w:fill="auto"/>
            <w:vAlign w:val="center"/>
          </w:tcPr>
          <w:p w14:paraId="042965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复核并提交生产补货调整建议规则</w:t>
            </w:r>
          </w:p>
        </w:tc>
        <w:tc>
          <w:tcPr>
            <w:tcW w:w="966" w:type="dxa"/>
            <w:tcBorders>
              <w:top w:val="nil"/>
              <w:left w:val="nil"/>
              <w:bottom w:val="nil"/>
              <w:right w:val="nil"/>
            </w:tcBorders>
            <w:shd w:val="clear" w:color="auto" w:fill="auto"/>
            <w:vAlign w:val="center"/>
          </w:tcPr>
          <w:p w14:paraId="723C41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B2313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445805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第2至第4周库存预警和调整后的生产补货建议形成并具备评审条件后</w:t>
            </w:r>
          </w:p>
        </w:tc>
        <w:tc>
          <w:tcPr>
            <w:tcW w:w="1406" w:type="dxa"/>
            <w:tcBorders>
              <w:top w:val="nil"/>
              <w:left w:val="nil"/>
              <w:bottom w:val="nil"/>
              <w:right w:val="nil"/>
            </w:tcBorders>
            <w:shd w:val="clear" w:color="auto" w:fill="auto"/>
            <w:vAlign w:val="center"/>
          </w:tcPr>
          <w:p w14:paraId="5AA8424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库存计划员复核调整原因、受影响周次、建议数量及风险；数据或建议不合理时，返回源数据核实并重新测算；未通过库存侧复核时不提交生产端。</w:t>
            </w:r>
          </w:p>
        </w:tc>
        <w:tc>
          <w:tcPr>
            <w:tcW w:w="1088" w:type="dxa"/>
            <w:tcBorders>
              <w:top w:val="nil"/>
              <w:left w:val="nil"/>
              <w:bottom w:val="nil"/>
              <w:right w:val="nil"/>
            </w:tcBorders>
            <w:shd w:val="clear" w:color="auto" w:fill="auto"/>
            <w:vAlign w:val="center"/>
          </w:tcPr>
          <w:p w14:paraId="0C3844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库存侧复核意见和待生产端确认的调整建议</w:t>
            </w:r>
          </w:p>
        </w:tc>
        <w:tc>
          <w:tcPr>
            <w:tcW w:w="1460" w:type="dxa"/>
            <w:tcBorders>
              <w:top w:val="nil"/>
              <w:left w:val="nil"/>
              <w:bottom w:val="nil"/>
              <w:right w:val="nil"/>
            </w:tcBorders>
            <w:shd w:val="clear" w:color="auto" w:fill="auto"/>
            <w:vAlign w:val="center"/>
          </w:tcPr>
          <w:p w14:paraId="73CA4F7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BCCDE27">
        <w:trPr>
          <w:cantSplit/>
          <w:trHeight w:val="0" w:hRule="atLeast"/>
          <w:jc w:val="center"/>
        </w:trPr>
        <w:tc>
          <w:tcPr>
            <w:tcW w:w="2944" w:type="dxa"/>
            <w:tcBorders>
              <w:top w:val="nil"/>
              <w:left w:val="nil"/>
              <w:bottom w:val="nil"/>
              <w:right w:val="nil"/>
            </w:tcBorders>
            <w:shd w:val="clear" w:color="auto" w:fill="auto"/>
            <w:vAlign w:val="center"/>
          </w:tcPr>
          <w:p w14:paraId="3B90ED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P-ZLTC-SCOS-KCYH-003-90-001</w:t>
            </w:r>
          </w:p>
        </w:tc>
        <w:tc>
          <w:tcPr>
            <w:tcW w:w="945" w:type="dxa"/>
            <w:tcBorders>
              <w:top w:val="nil"/>
              <w:left w:val="nil"/>
              <w:bottom w:val="nil"/>
              <w:right w:val="nil"/>
            </w:tcBorders>
            <w:shd w:val="clear" w:color="auto" w:fill="auto"/>
            <w:vAlign w:val="center"/>
          </w:tcPr>
          <w:p w14:paraId="4E0CD0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判断是否调整生产计划规则</w:t>
            </w:r>
          </w:p>
        </w:tc>
        <w:tc>
          <w:tcPr>
            <w:tcW w:w="966" w:type="dxa"/>
            <w:tcBorders>
              <w:top w:val="nil"/>
              <w:left w:val="nil"/>
              <w:bottom w:val="nil"/>
              <w:right w:val="nil"/>
            </w:tcBorders>
            <w:shd w:val="clear" w:color="auto" w:fill="auto"/>
            <w:vAlign w:val="center"/>
          </w:tcPr>
          <w:p w14:paraId="2987A37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4A157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644CC3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库存侧复核意见和待生产端确认的调整建议形成后</w:t>
            </w:r>
          </w:p>
        </w:tc>
        <w:tc>
          <w:tcPr>
            <w:tcW w:w="1406" w:type="dxa"/>
            <w:tcBorders>
              <w:top w:val="nil"/>
              <w:left w:val="nil"/>
              <w:bottom w:val="nil"/>
              <w:right w:val="nil"/>
            </w:tcBorders>
            <w:shd w:val="clear" w:color="auto" w:fill="auto"/>
            <w:vAlign w:val="center"/>
          </w:tcPr>
          <w:p w14:paraId="64D134B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结合产能、设备、原料、工艺和既有排程，判断是否调整生产计划；无需调整时记录原因，需要调整时协调生产排程。</w:t>
            </w:r>
          </w:p>
        </w:tc>
        <w:tc>
          <w:tcPr>
            <w:tcW w:w="1088" w:type="dxa"/>
            <w:tcBorders>
              <w:top w:val="nil"/>
              <w:left w:val="nil"/>
              <w:bottom w:val="nil"/>
              <w:right w:val="nil"/>
            </w:tcBorders>
            <w:shd w:val="clear" w:color="auto" w:fill="auto"/>
            <w:vAlign w:val="center"/>
          </w:tcPr>
          <w:p w14:paraId="0F00429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生产计划调整结论</w:t>
            </w:r>
          </w:p>
        </w:tc>
        <w:tc>
          <w:tcPr>
            <w:tcW w:w="1460" w:type="dxa"/>
            <w:tcBorders>
              <w:top w:val="nil"/>
              <w:left w:val="nil"/>
              <w:bottom w:val="nil"/>
              <w:right w:val="nil"/>
            </w:tcBorders>
            <w:shd w:val="clear" w:color="auto" w:fill="auto"/>
            <w:vAlign w:val="center"/>
          </w:tcPr>
          <w:p w14:paraId="290F22C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6FDC69">
        <w:trPr>
          <w:cantSplit/>
          <w:trHeight w:val="0" w:hRule="atLeast"/>
          <w:jc w:val="center"/>
        </w:trPr>
        <w:tc>
          <w:tcPr>
            <w:tcW w:w="2944" w:type="dxa"/>
            <w:tcBorders>
              <w:top w:val="nil"/>
              <w:left w:val="nil"/>
              <w:bottom w:val="nil"/>
              <w:right w:val="nil"/>
            </w:tcBorders>
            <w:shd w:val="clear" w:color="auto" w:fill="auto"/>
            <w:vAlign w:val="center"/>
          </w:tcPr>
          <w:p w14:paraId="18CA1CD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P-ZLTC-SCOS-KCYH-003-100-001</w:t>
            </w:r>
          </w:p>
        </w:tc>
        <w:tc>
          <w:tcPr>
            <w:tcW w:w="945" w:type="dxa"/>
            <w:tcBorders>
              <w:top w:val="nil"/>
              <w:left w:val="nil"/>
              <w:bottom w:val="nil"/>
              <w:right w:val="nil"/>
            </w:tcBorders>
            <w:shd w:val="clear" w:color="auto" w:fill="auto"/>
            <w:vAlign w:val="center"/>
          </w:tcPr>
          <w:p w14:paraId="29AFEA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反馈补货调整建议并进入生产排程规则</w:t>
            </w:r>
          </w:p>
        </w:tc>
        <w:tc>
          <w:tcPr>
            <w:tcW w:w="966" w:type="dxa"/>
            <w:tcBorders>
              <w:top w:val="nil"/>
              <w:left w:val="nil"/>
              <w:bottom w:val="nil"/>
              <w:right w:val="nil"/>
            </w:tcBorders>
            <w:shd w:val="clear" w:color="auto" w:fill="auto"/>
            <w:vAlign w:val="center"/>
          </w:tcPr>
          <w:p w14:paraId="0989925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6706B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062E7F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需要调整生产计划时</w:t>
            </w:r>
          </w:p>
        </w:tc>
        <w:tc>
          <w:tcPr>
            <w:tcW w:w="1406" w:type="dxa"/>
            <w:tcBorders>
              <w:top w:val="nil"/>
              <w:left w:val="nil"/>
              <w:bottom w:val="nil"/>
              <w:right w:val="nil"/>
            </w:tcBorders>
            <w:shd w:val="clear" w:color="auto" w:fill="auto"/>
            <w:vAlign w:val="center"/>
          </w:tcPr>
          <w:p w14:paraId="51A37EC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将采纳的补货调整建议交由生产排程处理；排程无法满足建议日期或数量时，更新未消除的库存风险并继续协调。</w:t>
            </w:r>
          </w:p>
        </w:tc>
        <w:tc>
          <w:tcPr>
            <w:tcW w:w="1088" w:type="dxa"/>
            <w:tcBorders>
              <w:top w:val="nil"/>
              <w:left w:val="nil"/>
              <w:bottom w:val="nil"/>
              <w:right w:val="nil"/>
            </w:tcBorders>
            <w:shd w:val="clear" w:color="auto" w:fill="auto"/>
            <w:vAlign w:val="center"/>
          </w:tcPr>
          <w:p w14:paraId="6DCF4A6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生产排程调整任务、计划生产数量和预计可用入库日期</w:t>
            </w:r>
          </w:p>
        </w:tc>
        <w:tc>
          <w:tcPr>
            <w:tcW w:w="1460" w:type="dxa"/>
            <w:tcBorders>
              <w:top w:val="nil"/>
              <w:left w:val="nil"/>
              <w:bottom w:val="nil"/>
              <w:right w:val="nil"/>
            </w:tcBorders>
            <w:shd w:val="clear" w:color="auto" w:fill="auto"/>
            <w:vAlign w:val="center"/>
          </w:tcPr>
          <w:p w14:paraId="4359219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F7543B">
        <w:trPr>
          <w:cantSplit/>
          <w:trHeight w:val="0" w:hRule="atLeast"/>
          <w:jc w:val="center"/>
        </w:trPr>
        <w:tc>
          <w:tcPr>
            <w:tcW w:w="2944" w:type="dxa"/>
            <w:tcBorders>
              <w:top w:val="nil"/>
              <w:left w:val="nil"/>
              <w:bottom w:val="nil"/>
              <w:right w:val="nil"/>
            </w:tcBorders>
            <w:shd w:val="clear" w:color="auto" w:fill="auto"/>
            <w:vAlign w:val="center"/>
          </w:tcPr>
          <w:p w14:paraId="33ACDC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P-ZLTC-SCOS-KCYH-004-10-001</w:t>
            </w:r>
          </w:p>
        </w:tc>
        <w:tc>
          <w:tcPr>
            <w:tcW w:w="945" w:type="dxa"/>
            <w:tcBorders>
              <w:top w:val="nil"/>
              <w:left w:val="nil"/>
              <w:bottom w:val="nil"/>
              <w:right w:val="nil"/>
            </w:tcBorders>
            <w:shd w:val="clear" w:color="auto" w:fill="auto"/>
            <w:vAlign w:val="center"/>
          </w:tcPr>
          <w:p w14:paraId="7C8140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提供重大变化信息规则</w:t>
            </w:r>
          </w:p>
        </w:tc>
        <w:tc>
          <w:tcPr>
            <w:tcW w:w="966" w:type="dxa"/>
            <w:tcBorders>
              <w:top w:val="nil"/>
              <w:left w:val="nil"/>
              <w:bottom w:val="nil"/>
              <w:right w:val="nil"/>
            </w:tcBorders>
            <w:shd w:val="clear" w:color="auto" w:fill="auto"/>
            <w:vAlign w:val="center"/>
          </w:tcPr>
          <w:p w14:paraId="053477B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285CF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0B2C648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需求计划重大变化、大客户订单变化、产线长期停机、储罐检修/不可用或生产补充周期明显延长时</w:t>
            </w:r>
          </w:p>
        </w:tc>
        <w:tc>
          <w:tcPr>
            <w:tcW w:w="1406" w:type="dxa"/>
            <w:tcBorders>
              <w:top w:val="nil"/>
              <w:left w:val="nil"/>
              <w:bottom w:val="nil"/>
              <w:right w:val="nil"/>
            </w:tcBorders>
            <w:shd w:val="clear" w:color="auto" w:fill="auto"/>
            <w:vAlign w:val="center"/>
          </w:tcPr>
          <w:p w14:paraId="29D633A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上游系统通过标准服务或业务事件提供变化信息；事件数据不完整时标记待核实，不自动改变正式策略。</w:t>
            </w:r>
          </w:p>
        </w:tc>
        <w:tc>
          <w:tcPr>
            <w:tcW w:w="1088" w:type="dxa"/>
            <w:tcBorders>
              <w:top w:val="nil"/>
              <w:left w:val="nil"/>
              <w:bottom w:val="nil"/>
              <w:right w:val="nil"/>
            </w:tcBorders>
            <w:shd w:val="clear" w:color="auto" w:fill="auto"/>
            <w:vAlign w:val="center"/>
          </w:tcPr>
          <w:p w14:paraId="5B4DFE4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重大变化事件</w:t>
            </w:r>
          </w:p>
        </w:tc>
        <w:tc>
          <w:tcPr>
            <w:tcW w:w="1460" w:type="dxa"/>
            <w:tcBorders>
              <w:top w:val="nil"/>
              <w:left w:val="nil"/>
              <w:bottom w:val="nil"/>
              <w:right w:val="nil"/>
            </w:tcBorders>
            <w:shd w:val="clear" w:color="auto" w:fill="auto"/>
            <w:vAlign w:val="center"/>
          </w:tcPr>
          <w:p w14:paraId="5083188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7DC6AF">
        <w:trPr>
          <w:cantSplit/>
          <w:trHeight w:val="0" w:hRule="atLeast"/>
          <w:jc w:val="center"/>
        </w:trPr>
        <w:tc>
          <w:tcPr>
            <w:tcW w:w="2944" w:type="dxa"/>
            <w:tcBorders>
              <w:top w:val="nil"/>
              <w:left w:val="nil"/>
              <w:bottom w:val="nil"/>
              <w:right w:val="nil"/>
            </w:tcBorders>
            <w:shd w:val="clear" w:color="auto" w:fill="auto"/>
            <w:vAlign w:val="center"/>
          </w:tcPr>
          <w:p w14:paraId="446484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P-ZLTC-SCOS-KCYH-004-20-001</w:t>
            </w:r>
          </w:p>
        </w:tc>
        <w:tc>
          <w:tcPr>
            <w:tcW w:w="945" w:type="dxa"/>
            <w:tcBorders>
              <w:top w:val="nil"/>
              <w:left w:val="nil"/>
              <w:bottom w:val="nil"/>
              <w:right w:val="nil"/>
            </w:tcBorders>
            <w:shd w:val="clear" w:color="auto" w:fill="auto"/>
            <w:vAlign w:val="center"/>
          </w:tcPr>
          <w:p w14:paraId="388AD24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识别策略影响规则</w:t>
            </w:r>
          </w:p>
        </w:tc>
        <w:tc>
          <w:tcPr>
            <w:tcW w:w="966" w:type="dxa"/>
            <w:tcBorders>
              <w:top w:val="nil"/>
              <w:left w:val="nil"/>
              <w:bottom w:val="nil"/>
              <w:right w:val="nil"/>
            </w:tcBorders>
            <w:shd w:val="clear" w:color="auto" w:fill="auto"/>
            <w:vAlign w:val="center"/>
          </w:tcPr>
          <w:p w14:paraId="0FD6DE0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F4336D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674AF06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重大变化事件形成后</w:t>
            </w:r>
          </w:p>
        </w:tc>
        <w:tc>
          <w:tcPr>
            <w:tcW w:w="1406" w:type="dxa"/>
            <w:tcBorders>
              <w:top w:val="nil"/>
              <w:left w:val="nil"/>
              <w:bottom w:val="nil"/>
              <w:right w:val="nil"/>
            </w:tcBorders>
            <w:shd w:val="clear" w:color="auto" w:fill="auto"/>
            <w:vAlign w:val="center"/>
          </w:tcPr>
          <w:p w14:paraId="3B5B36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识别受影响的成品、时间范围、服务水平、库存和容量风险；无法量化影响时，输出定性风险并提示人工复核。</w:t>
            </w:r>
          </w:p>
        </w:tc>
        <w:tc>
          <w:tcPr>
            <w:tcW w:w="1088" w:type="dxa"/>
            <w:tcBorders>
              <w:top w:val="nil"/>
              <w:left w:val="nil"/>
              <w:bottom w:val="nil"/>
              <w:right w:val="nil"/>
            </w:tcBorders>
            <w:shd w:val="clear" w:color="auto" w:fill="auto"/>
            <w:vAlign w:val="center"/>
          </w:tcPr>
          <w:p w14:paraId="4EC2DD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影响范围、风险和异常调整提示</w:t>
            </w:r>
          </w:p>
        </w:tc>
        <w:tc>
          <w:tcPr>
            <w:tcW w:w="1460" w:type="dxa"/>
            <w:tcBorders>
              <w:top w:val="nil"/>
              <w:left w:val="nil"/>
              <w:bottom w:val="nil"/>
              <w:right w:val="nil"/>
            </w:tcBorders>
            <w:shd w:val="clear" w:color="auto" w:fill="auto"/>
            <w:vAlign w:val="center"/>
          </w:tcPr>
          <w:p w14:paraId="19EF976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B907928">
        <w:trPr>
          <w:cantSplit/>
          <w:trHeight w:val="0" w:hRule="atLeast"/>
          <w:jc w:val="center"/>
        </w:trPr>
        <w:tc>
          <w:tcPr>
            <w:tcW w:w="2944" w:type="dxa"/>
            <w:tcBorders>
              <w:top w:val="nil"/>
              <w:left w:val="nil"/>
              <w:bottom w:val="nil"/>
              <w:right w:val="nil"/>
            </w:tcBorders>
            <w:shd w:val="clear" w:color="auto" w:fill="auto"/>
            <w:vAlign w:val="center"/>
          </w:tcPr>
          <w:p w14:paraId="149397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P-ZLTC-SCOS-KCYH-004-30-001</w:t>
            </w:r>
          </w:p>
        </w:tc>
        <w:tc>
          <w:tcPr>
            <w:tcW w:w="945" w:type="dxa"/>
            <w:tcBorders>
              <w:top w:val="nil"/>
              <w:left w:val="nil"/>
              <w:bottom w:val="nil"/>
              <w:right w:val="nil"/>
            </w:tcBorders>
            <w:shd w:val="clear" w:color="auto" w:fill="auto"/>
            <w:vAlign w:val="center"/>
          </w:tcPr>
          <w:p w14:paraId="425C82B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判断是否需要重新计算规则</w:t>
            </w:r>
          </w:p>
        </w:tc>
        <w:tc>
          <w:tcPr>
            <w:tcW w:w="966" w:type="dxa"/>
            <w:tcBorders>
              <w:top w:val="nil"/>
              <w:left w:val="nil"/>
              <w:bottom w:val="nil"/>
              <w:right w:val="nil"/>
            </w:tcBorders>
            <w:shd w:val="clear" w:color="auto" w:fill="auto"/>
            <w:vAlign w:val="center"/>
          </w:tcPr>
          <w:p w14:paraId="4BAA370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80ED95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063BEA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影响范围、风险和异常调整提示形成后</w:t>
            </w:r>
          </w:p>
        </w:tc>
        <w:tc>
          <w:tcPr>
            <w:tcW w:w="1406" w:type="dxa"/>
            <w:tcBorders>
              <w:top w:val="nil"/>
              <w:left w:val="nil"/>
              <w:bottom w:val="nil"/>
              <w:right w:val="nil"/>
            </w:tcBorders>
            <w:shd w:val="clear" w:color="auto" w:fill="auto"/>
            <w:vAlign w:val="center"/>
          </w:tcPr>
          <w:p w14:paraId="2A1D56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核实业务变化是否足以在月中改变已发布库存策略；不需要重新计算时保留当前策略并持续监控；需要重新计算时继续处理。</w:t>
            </w:r>
          </w:p>
        </w:tc>
        <w:tc>
          <w:tcPr>
            <w:tcW w:w="1088" w:type="dxa"/>
            <w:tcBorders>
              <w:top w:val="nil"/>
              <w:left w:val="nil"/>
              <w:bottom w:val="nil"/>
              <w:right w:val="nil"/>
            </w:tcBorders>
            <w:shd w:val="clear" w:color="auto" w:fill="auto"/>
            <w:vAlign w:val="center"/>
          </w:tcPr>
          <w:p w14:paraId="2EA944F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重新计算结论</w:t>
            </w:r>
          </w:p>
        </w:tc>
        <w:tc>
          <w:tcPr>
            <w:tcW w:w="1460" w:type="dxa"/>
            <w:tcBorders>
              <w:top w:val="nil"/>
              <w:left w:val="nil"/>
              <w:bottom w:val="nil"/>
              <w:right w:val="nil"/>
            </w:tcBorders>
            <w:shd w:val="clear" w:color="auto" w:fill="auto"/>
            <w:vAlign w:val="center"/>
          </w:tcPr>
          <w:p w14:paraId="08DD889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5474F30">
        <w:trPr>
          <w:cantSplit/>
          <w:trHeight w:val="0" w:hRule="atLeast"/>
          <w:jc w:val="center"/>
        </w:trPr>
        <w:tc>
          <w:tcPr>
            <w:tcW w:w="2944" w:type="dxa"/>
            <w:tcBorders>
              <w:top w:val="nil"/>
              <w:left w:val="nil"/>
              <w:bottom w:val="nil"/>
              <w:right w:val="nil"/>
            </w:tcBorders>
            <w:shd w:val="clear" w:color="auto" w:fill="auto"/>
            <w:vAlign w:val="center"/>
          </w:tcPr>
          <w:p w14:paraId="2890CC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P-ZLTC-SCOS-KCYH-004-40-001</w:t>
            </w:r>
          </w:p>
        </w:tc>
        <w:tc>
          <w:tcPr>
            <w:tcW w:w="945" w:type="dxa"/>
            <w:tcBorders>
              <w:top w:val="nil"/>
              <w:left w:val="nil"/>
              <w:bottom w:val="nil"/>
              <w:right w:val="nil"/>
            </w:tcBorders>
            <w:shd w:val="clear" w:color="auto" w:fill="auto"/>
            <w:vAlign w:val="center"/>
          </w:tcPr>
          <w:p w14:paraId="588124B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生成调整后库存策略规则</w:t>
            </w:r>
          </w:p>
        </w:tc>
        <w:tc>
          <w:tcPr>
            <w:tcW w:w="966" w:type="dxa"/>
            <w:tcBorders>
              <w:top w:val="nil"/>
              <w:left w:val="nil"/>
              <w:bottom w:val="nil"/>
              <w:right w:val="nil"/>
            </w:tcBorders>
            <w:shd w:val="clear" w:color="auto" w:fill="auto"/>
            <w:vAlign w:val="center"/>
          </w:tcPr>
          <w:p w14:paraId="365ECB8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CAD2A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3C2D752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需要重新计算时</w:t>
            </w:r>
          </w:p>
        </w:tc>
        <w:tc>
          <w:tcPr>
            <w:tcW w:w="1406" w:type="dxa"/>
            <w:tcBorders>
              <w:top w:val="nil"/>
              <w:left w:val="nil"/>
              <w:bottom w:val="nil"/>
              <w:right w:val="nil"/>
            </w:tcBorders>
            <w:shd w:val="clear" w:color="auto" w:fill="auto"/>
            <w:vAlign w:val="center"/>
          </w:tcPr>
          <w:p w14:paraId="2E3CA0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仅对受影响成品和时间范围重新计算；新策略受容量限制或仍无法满足目标服务水平时，明确标记不可完全消除的风险。</w:t>
            </w:r>
          </w:p>
        </w:tc>
        <w:tc>
          <w:tcPr>
            <w:tcW w:w="1088" w:type="dxa"/>
            <w:tcBorders>
              <w:top w:val="nil"/>
              <w:left w:val="nil"/>
              <w:bottom w:val="nil"/>
              <w:right w:val="nil"/>
            </w:tcBorders>
            <w:shd w:val="clear" w:color="auto" w:fill="auto"/>
            <w:vAlign w:val="center"/>
          </w:tcPr>
          <w:p w14:paraId="647AF2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调整后的安全库存、再订货点、目标库存、补充建议及调整前后差异</w:t>
            </w:r>
          </w:p>
        </w:tc>
        <w:tc>
          <w:tcPr>
            <w:tcW w:w="1460" w:type="dxa"/>
            <w:tcBorders>
              <w:top w:val="nil"/>
              <w:left w:val="nil"/>
              <w:bottom w:val="nil"/>
              <w:right w:val="nil"/>
            </w:tcBorders>
            <w:shd w:val="clear" w:color="auto" w:fill="auto"/>
            <w:vAlign w:val="center"/>
          </w:tcPr>
          <w:p w14:paraId="41D4F2A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7E7F6E">
        <w:trPr>
          <w:cantSplit/>
          <w:trHeight w:val="0" w:hRule="atLeast"/>
          <w:jc w:val="center"/>
        </w:trPr>
        <w:tc>
          <w:tcPr>
            <w:tcW w:w="2944" w:type="dxa"/>
            <w:tcBorders>
              <w:top w:val="nil"/>
              <w:left w:val="nil"/>
              <w:bottom w:val="nil"/>
              <w:right w:val="nil"/>
            </w:tcBorders>
            <w:shd w:val="clear" w:color="auto" w:fill="auto"/>
            <w:vAlign w:val="center"/>
          </w:tcPr>
          <w:p w14:paraId="493A778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P-ZLTC-SCOS-KCYH-004-50-001</w:t>
            </w:r>
          </w:p>
        </w:tc>
        <w:tc>
          <w:tcPr>
            <w:tcW w:w="945" w:type="dxa"/>
            <w:tcBorders>
              <w:top w:val="nil"/>
              <w:left w:val="nil"/>
              <w:bottom w:val="nil"/>
              <w:right w:val="nil"/>
            </w:tcBorders>
            <w:shd w:val="clear" w:color="auto" w:fill="auto"/>
            <w:vAlign w:val="center"/>
          </w:tcPr>
          <w:p w14:paraId="1649D73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评审库存策略异常调整方案规则</w:t>
            </w:r>
          </w:p>
        </w:tc>
        <w:tc>
          <w:tcPr>
            <w:tcW w:w="966" w:type="dxa"/>
            <w:tcBorders>
              <w:top w:val="nil"/>
              <w:left w:val="nil"/>
              <w:bottom w:val="nil"/>
              <w:right w:val="nil"/>
            </w:tcBorders>
            <w:shd w:val="clear" w:color="auto" w:fill="auto"/>
            <w:vAlign w:val="center"/>
          </w:tcPr>
          <w:p w14:paraId="10D7A5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2B1BB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0EF27B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调整后的安全库存、再订货点、目标库存、补充建议及调整前后差异形成并具备评审条件后</w:t>
            </w:r>
          </w:p>
        </w:tc>
        <w:tc>
          <w:tcPr>
            <w:tcW w:w="1406" w:type="dxa"/>
            <w:tcBorders>
              <w:top w:val="nil"/>
              <w:left w:val="nil"/>
              <w:bottom w:val="nil"/>
              <w:right w:val="nil"/>
            </w:tcBorders>
            <w:shd w:val="clear" w:color="auto" w:fill="auto"/>
            <w:vAlign w:val="center"/>
          </w:tcPr>
          <w:p w14:paraId="4C32133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确认调整原因、生效时间、影响范围及生产补货影响；依据不足时补充或保留当前策略。</w:t>
            </w:r>
          </w:p>
        </w:tc>
        <w:tc>
          <w:tcPr>
            <w:tcW w:w="1088" w:type="dxa"/>
            <w:tcBorders>
              <w:top w:val="nil"/>
              <w:left w:val="nil"/>
              <w:bottom w:val="nil"/>
              <w:right w:val="nil"/>
            </w:tcBorders>
            <w:shd w:val="clear" w:color="auto" w:fill="auto"/>
            <w:vAlign w:val="center"/>
          </w:tcPr>
          <w:p w14:paraId="3DF36D6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拟定策略调整方案</w:t>
            </w:r>
          </w:p>
        </w:tc>
        <w:tc>
          <w:tcPr>
            <w:tcW w:w="1460" w:type="dxa"/>
            <w:tcBorders>
              <w:top w:val="nil"/>
              <w:left w:val="nil"/>
              <w:bottom w:val="nil"/>
              <w:right w:val="nil"/>
            </w:tcBorders>
            <w:shd w:val="clear" w:color="auto" w:fill="auto"/>
            <w:vAlign w:val="center"/>
          </w:tcPr>
          <w:p w14:paraId="6CF11DC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DF5FCA">
        <w:trPr>
          <w:cantSplit/>
          <w:trHeight w:val="0" w:hRule="atLeast"/>
          <w:jc w:val="center"/>
        </w:trPr>
        <w:tc>
          <w:tcPr>
            <w:tcW w:w="2944" w:type="dxa"/>
            <w:tcBorders>
              <w:top w:val="nil"/>
              <w:left w:val="nil"/>
              <w:bottom w:val="nil"/>
              <w:right w:val="nil"/>
            </w:tcBorders>
            <w:shd w:val="clear" w:color="auto" w:fill="auto"/>
            <w:vAlign w:val="center"/>
          </w:tcPr>
          <w:p w14:paraId="288643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P-ZLTC-SCOS-KCYH-004-60-001</w:t>
            </w:r>
          </w:p>
        </w:tc>
        <w:tc>
          <w:tcPr>
            <w:tcW w:w="945" w:type="dxa"/>
            <w:tcBorders>
              <w:top w:val="nil"/>
              <w:left w:val="nil"/>
              <w:bottom w:val="nil"/>
              <w:right w:val="nil"/>
            </w:tcBorders>
            <w:shd w:val="clear" w:color="auto" w:fill="auto"/>
            <w:vAlign w:val="center"/>
          </w:tcPr>
          <w:p w14:paraId="46DCF2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审批策略异常调整规则</w:t>
            </w:r>
          </w:p>
        </w:tc>
        <w:tc>
          <w:tcPr>
            <w:tcW w:w="966" w:type="dxa"/>
            <w:tcBorders>
              <w:top w:val="nil"/>
              <w:left w:val="nil"/>
              <w:bottom w:val="nil"/>
              <w:right w:val="nil"/>
            </w:tcBorders>
            <w:shd w:val="clear" w:color="auto" w:fill="auto"/>
            <w:vAlign w:val="center"/>
          </w:tcPr>
          <w:p w14:paraId="1F29774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46B24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632577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相关方案完成业务确认并提交审批后</w:t>
            </w:r>
          </w:p>
        </w:tc>
        <w:tc>
          <w:tcPr>
            <w:tcW w:w="1406" w:type="dxa"/>
            <w:tcBorders>
              <w:top w:val="nil"/>
              <w:left w:val="nil"/>
              <w:bottom w:val="nil"/>
              <w:right w:val="nil"/>
            </w:tcBorders>
            <w:shd w:val="clear" w:color="auto" w:fill="auto"/>
            <w:vAlign w:val="center"/>
          </w:tcPr>
          <w:p w14:paraId="4203F39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审批月中改变库存策略的必要性、影响和生效范围；审批未通过时退回补充说明；审批通过后继续处理。</w:t>
            </w:r>
          </w:p>
        </w:tc>
        <w:tc>
          <w:tcPr>
            <w:tcW w:w="1088" w:type="dxa"/>
            <w:tcBorders>
              <w:top w:val="nil"/>
              <w:left w:val="nil"/>
              <w:bottom w:val="nil"/>
              <w:right w:val="nil"/>
            </w:tcBorders>
            <w:shd w:val="clear" w:color="auto" w:fill="auto"/>
            <w:vAlign w:val="center"/>
          </w:tcPr>
          <w:p w14:paraId="3C8895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2A1CFD6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96CAC4E">
        <w:trPr>
          <w:cantSplit/>
          <w:trHeight w:val="0" w:hRule="atLeast"/>
          <w:jc w:val="center"/>
        </w:trPr>
        <w:tc>
          <w:tcPr>
            <w:tcW w:w="2944" w:type="dxa"/>
            <w:tcBorders>
              <w:top w:val="nil"/>
              <w:left w:val="nil"/>
              <w:bottom w:val="nil"/>
              <w:right w:val="nil"/>
            </w:tcBorders>
            <w:shd w:val="clear" w:color="auto" w:fill="auto"/>
            <w:vAlign w:val="center"/>
          </w:tcPr>
          <w:p w14:paraId="5849C6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P-ZLTC-SCOS-KCYH-004-70-001</w:t>
            </w:r>
          </w:p>
        </w:tc>
        <w:tc>
          <w:tcPr>
            <w:tcW w:w="945" w:type="dxa"/>
            <w:tcBorders>
              <w:top w:val="nil"/>
              <w:left w:val="nil"/>
              <w:bottom w:val="nil"/>
              <w:right w:val="nil"/>
            </w:tcBorders>
            <w:shd w:val="clear" w:color="auto" w:fill="auto"/>
            <w:vAlign w:val="center"/>
          </w:tcPr>
          <w:p w14:paraId="7297F1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发布库存策略新版本规则</w:t>
            </w:r>
          </w:p>
        </w:tc>
        <w:tc>
          <w:tcPr>
            <w:tcW w:w="966" w:type="dxa"/>
            <w:tcBorders>
              <w:top w:val="nil"/>
              <w:left w:val="nil"/>
              <w:bottom w:val="nil"/>
              <w:right w:val="nil"/>
            </w:tcBorders>
            <w:shd w:val="clear" w:color="auto" w:fill="auto"/>
            <w:vAlign w:val="center"/>
          </w:tcPr>
          <w:p w14:paraId="19FA892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7AF852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31E9348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审批策略异常调整通过时</w:t>
            </w:r>
          </w:p>
        </w:tc>
        <w:tc>
          <w:tcPr>
            <w:tcW w:w="1406" w:type="dxa"/>
            <w:tcBorders>
              <w:top w:val="nil"/>
              <w:left w:val="nil"/>
              <w:bottom w:val="nil"/>
              <w:right w:val="nil"/>
            </w:tcBorders>
            <w:shd w:val="clear" w:color="auto" w:fill="auto"/>
            <w:vAlign w:val="center"/>
          </w:tcPr>
          <w:p w14:paraId="11D40A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发布新版本，并保留原策略、输入、参数、结果和审批记录；发布失败时保留待发布状态，原有效版本继续生效。</w:t>
            </w:r>
          </w:p>
        </w:tc>
        <w:tc>
          <w:tcPr>
            <w:tcW w:w="1088" w:type="dxa"/>
            <w:tcBorders>
              <w:top w:val="nil"/>
              <w:left w:val="nil"/>
              <w:bottom w:val="nil"/>
              <w:right w:val="nil"/>
            </w:tcBorders>
            <w:shd w:val="clear" w:color="auto" w:fill="auto"/>
            <w:vAlign w:val="center"/>
          </w:tcPr>
          <w:p w14:paraId="4DF58D4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库存策略新版本、调整记录及相关生产补充影响</w:t>
            </w:r>
          </w:p>
        </w:tc>
        <w:tc>
          <w:tcPr>
            <w:tcW w:w="1460" w:type="dxa"/>
            <w:tcBorders>
              <w:top w:val="nil"/>
              <w:left w:val="nil"/>
              <w:bottom w:val="nil"/>
              <w:right w:val="nil"/>
            </w:tcBorders>
            <w:shd w:val="clear" w:color="auto" w:fill="auto"/>
            <w:vAlign w:val="center"/>
          </w:tcPr>
          <w:p w14:paraId="27053C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B312928">
        <w:trPr>
          <w:cantSplit/>
          <w:trHeight w:val="0" w:hRule="atLeast"/>
          <w:jc w:val="center"/>
        </w:trPr>
        <w:tc>
          <w:tcPr>
            <w:tcW w:w="2944" w:type="dxa"/>
            <w:tcBorders>
              <w:top w:val="nil"/>
              <w:left w:val="nil"/>
              <w:bottom w:val="nil"/>
              <w:right w:val="nil"/>
            </w:tcBorders>
            <w:shd w:val="clear" w:color="auto" w:fill="auto"/>
            <w:vAlign w:val="center"/>
          </w:tcPr>
          <w:p w14:paraId="56FEE11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P-ZLTC-SCOS-KCYH-005-10-001</w:t>
            </w:r>
          </w:p>
        </w:tc>
        <w:tc>
          <w:tcPr>
            <w:tcW w:w="945" w:type="dxa"/>
            <w:tcBorders>
              <w:top w:val="nil"/>
              <w:left w:val="nil"/>
              <w:bottom w:val="nil"/>
              <w:right w:val="nil"/>
            </w:tcBorders>
            <w:shd w:val="clear" w:color="auto" w:fill="auto"/>
            <w:vAlign w:val="center"/>
          </w:tcPr>
          <w:p w14:paraId="714696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提供策略与实际库存执行数据规则</w:t>
            </w:r>
          </w:p>
        </w:tc>
        <w:tc>
          <w:tcPr>
            <w:tcW w:w="966" w:type="dxa"/>
            <w:tcBorders>
              <w:top w:val="nil"/>
              <w:left w:val="nil"/>
              <w:bottom w:val="nil"/>
              <w:right w:val="nil"/>
            </w:tcBorders>
            <w:shd w:val="clear" w:color="auto" w:fill="auto"/>
            <w:vAlign w:val="center"/>
          </w:tcPr>
          <w:p w14:paraId="220154C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26493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236EEB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系统按月或按管理周期发起库存健康度和策略有效性评价时</w:t>
            </w:r>
          </w:p>
        </w:tc>
        <w:tc>
          <w:tcPr>
            <w:tcW w:w="1406" w:type="dxa"/>
            <w:tcBorders>
              <w:top w:val="nil"/>
              <w:left w:val="nil"/>
              <w:bottom w:val="nil"/>
              <w:right w:val="nil"/>
            </w:tcBorders>
            <w:shd w:val="clear" w:color="auto" w:fill="auto"/>
            <w:vAlign w:val="center"/>
          </w:tcPr>
          <w:p w14:paraId="18C9CA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汇总已发布的策略目标和对应周期的实际库存数据；数据不完整时标记本期评价口径和不可评价指标。</w:t>
            </w:r>
          </w:p>
        </w:tc>
        <w:tc>
          <w:tcPr>
            <w:tcW w:w="1088" w:type="dxa"/>
            <w:tcBorders>
              <w:top w:val="nil"/>
              <w:left w:val="nil"/>
              <w:bottom w:val="nil"/>
              <w:right w:val="nil"/>
            </w:tcBorders>
            <w:shd w:val="clear" w:color="auto" w:fill="auto"/>
            <w:vAlign w:val="center"/>
          </w:tcPr>
          <w:p w14:paraId="6D1AEB6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库存绩效分析数据集</w:t>
            </w:r>
          </w:p>
        </w:tc>
        <w:tc>
          <w:tcPr>
            <w:tcW w:w="1460" w:type="dxa"/>
            <w:tcBorders>
              <w:top w:val="nil"/>
              <w:left w:val="nil"/>
              <w:bottom w:val="nil"/>
              <w:right w:val="nil"/>
            </w:tcBorders>
            <w:shd w:val="clear" w:color="auto" w:fill="auto"/>
            <w:vAlign w:val="center"/>
          </w:tcPr>
          <w:p w14:paraId="145768F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D50F5B4">
        <w:trPr>
          <w:cantSplit/>
          <w:trHeight w:val="0" w:hRule="atLeast"/>
          <w:jc w:val="center"/>
        </w:trPr>
        <w:tc>
          <w:tcPr>
            <w:tcW w:w="2944" w:type="dxa"/>
            <w:tcBorders>
              <w:top w:val="nil"/>
              <w:left w:val="nil"/>
              <w:bottom w:val="nil"/>
              <w:right w:val="nil"/>
            </w:tcBorders>
            <w:shd w:val="clear" w:color="auto" w:fill="auto"/>
            <w:vAlign w:val="center"/>
          </w:tcPr>
          <w:p w14:paraId="64B58D1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P-ZLTC-SCOS-KCYH-005-20-001</w:t>
            </w:r>
          </w:p>
        </w:tc>
        <w:tc>
          <w:tcPr>
            <w:tcW w:w="945" w:type="dxa"/>
            <w:tcBorders>
              <w:top w:val="nil"/>
              <w:left w:val="nil"/>
              <w:bottom w:val="nil"/>
              <w:right w:val="nil"/>
            </w:tcBorders>
            <w:shd w:val="clear" w:color="auto" w:fill="auto"/>
            <w:vAlign w:val="center"/>
          </w:tcPr>
          <w:p w14:paraId="7DD920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生成库存健康度评价规则</w:t>
            </w:r>
          </w:p>
        </w:tc>
        <w:tc>
          <w:tcPr>
            <w:tcW w:w="966" w:type="dxa"/>
            <w:tcBorders>
              <w:top w:val="nil"/>
              <w:left w:val="nil"/>
              <w:bottom w:val="nil"/>
              <w:right w:val="nil"/>
            </w:tcBorders>
            <w:shd w:val="clear" w:color="auto" w:fill="auto"/>
            <w:vAlign w:val="center"/>
          </w:tcPr>
          <w:p w14:paraId="53B79F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E1E3E9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4E64B5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库存绩效分析数据集形成后</w:t>
            </w:r>
          </w:p>
        </w:tc>
        <w:tc>
          <w:tcPr>
            <w:tcW w:w="1406" w:type="dxa"/>
            <w:tcBorders>
              <w:top w:val="nil"/>
              <w:left w:val="nil"/>
              <w:bottom w:val="nil"/>
              <w:right w:val="nil"/>
            </w:tcBorders>
            <w:shd w:val="clear" w:color="auto" w:fill="auto"/>
            <w:vAlign w:val="center"/>
          </w:tcPr>
          <w:p w14:paraId="3A3CDC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统计库存周转、订单满足、服务水平及缺货等指标；口径或数据周期不可比时，不输出误导性趋势结论。</w:t>
            </w:r>
          </w:p>
        </w:tc>
        <w:tc>
          <w:tcPr>
            <w:tcW w:w="1088" w:type="dxa"/>
            <w:tcBorders>
              <w:top w:val="nil"/>
              <w:left w:val="nil"/>
              <w:bottom w:val="nil"/>
              <w:right w:val="nil"/>
            </w:tcBorders>
            <w:shd w:val="clear" w:color="auto" w:fill="auto"/>
            <w:vAlign w:val="center"/>
          </w:tcPr>
          <w:p w14:paraId="04E6A86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库存健康度报告和策略有效性分析</w:t>
            </w:r>
          </w:p>
        </w:tc>
        <w:tc>
          <w:tcPr>
            <w:tcW w:w="1460" w:type="dxa"/>
            <w:tcBorders>
              <w:top w:val="nil"/>
              <w:left w:val="nil"/>
              <w:bottom w:val="nil"/>
              <w:right w:val="nil"/>
            </w:tcBorders>
            <w:shd w:val="clear" w:color="auto" w:fill="auto"/>
            <w:vAlign w:val="center"/>
          </w:tcPr>
          <w:p w14:paraId="38C3D75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E3FB2F5">
        <w:trPr>
          <w:cantSplit/>
          <w:trHeight w:val="0" w:hRule="atLeast"/>
          <w:jc w:val="center"/>
        </w:trPr>
        <w:tc>
          <w:tcPr>
            <w:tcW w:w="2944" w:type="dxa"/>
            <w:tcBorders>
              <w:top w:val="nil"/>
              <w:left w:val="nil"/>
              <w:bottom w:val="nil"/>
              <w:right w:val="nil"/>
            </w:tcBorders>
            <w:shd w:val="clear" w:color="auto" w:fill="auto"/>
            <w:vAlign w:val="center"/>
          </w:tcPr>
          <w:p w14:paraId="01E9827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P-ZLTC-SCOS-KCYH-005-30-001</w:t>
            </w:r>
          </w:p>
        </w:tc>
        <w:tc>
          <w:tcPr>
            <w:tcW w:w="945" w:type="dxa"/>
            <w:tcBorders>
              <w:top w:val="nil"/>
              <w:left w:val="nil"/>
              <w:bottom w:val="nil"/>
              <w:right w:val="nil"/>
            </w:tcBorders>
            <w:shd w:val="clear" w:color="auto" w:fill="auto"/>
            <w:vAlign w:val="center"/>
          </w:tcPr>
          <w:p w14:paraId="7687B8E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复核库存健康度与策略有效性规则</w:t>
            </w:r>
          </w:p>
        </w:tc>
        <w:tc>
          <w:tcPr>
            <w:tcW w:w="966" w:type="dxa"/>
            <w:tcBorders>
              <w:top w:val="nil"/>
              <w:left w:val="nil"/>
              <w:bottom w:val="nil"/>
              <w:right w:val="nil"/>
            </w:tcBorders>
            <w:shd w:val="clear" w:color="auto" w:fill="auto"/>
            <w:vAlign w:val="center"/>
          </w:tcPr>
          <w:p w14:paraId="47CC633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90814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1A650A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库存健康度报告和策略有效性分析形成并具备评审条件后</w:t>
            </w:r>
          </w:p>
        </w:tc>
        <w:tc>
          <w:tcPr>
            <w:tcW w:w="1406" w:type="dxa"/>
            <w:tcBorders>
              <w:top w:val="nil"/>
              <w:left w:val="nil"/>
              <w:bottom w:val="nil"/>
              <w:right w:val="nil"/>
            </w:tcBorders>
            <w:shd w:val="clear" w:color="auto" w:fill="auto"/>
            <w:vAlign w:val="center"/>
          </w:tcPr>
          <w:p w14:paraId="4E1E4D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分析库存参数、需求、生产补充执行和质量状态等差异原因；数据异常时返回源系统核实；执行问题转相应业务流程处理。</w:t>
            </w:r>
          </w:p>
        </w:tc>
        <w:tc>
          <w:tcPr>
            <w:tcW w:w="1088" w:type="dxa"/>
            <w:tcBorders>
              <w:top w:val="nil"/>
              <w:left w:val="nil"/>
              <w:bottom w:val="nil"/>
              <w:right w:val="nil"/>
            </w:tcBorders>
            <w:shd w:val="clear" w:color="auto" w:fill="auto"/>
            <w:vAlign w:val="center"/>
          </w:tcPr>
          <w:p w14:paraId="152FA3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复核结论</w:t>
            </w:r>
          </w:p>
        </w:tc>
        <w:tc>
          <w:tcPr>
            <w:tcW w:w="1460" w:type="dxa"/>
            <w:tcBorders>
              <w:top w:val="nil"/>
              <w:left w:val="nil"/>
              <w:bottom w:val="nil"/>
              <w:right w:val="nil"/>
            </w:tcBorders>
            <w:shd w:val="clear" w:color="auto" w:fill="auto"/>
            <w:vAlign w:val="center"/>
          </w:tcPr>
          <w:p w14:paraId="304F038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645DC8">
        <w:trPr>
          <w:cantSplit/>
          <w:trHeight w:val="0" w:hRule="atLeast"/>
          <w:jc w:val="center"/>
        </w:trPr>
        <w:tc>
          <w:tcPr>
            <w:tcW w:w="2944" w:type="dxa"/>
            <w:tcBorders>
              <w:top w:val="nil"/>
              <w:left w:val="nil"/>
              <w:bottom w:val="nil"/>
              <w:right w:val="nil"/>
            </w:tcBorders>
            <w:shd w:val="clear" w:color="auto" w:fill="auto"/>
            <w:vAlign w:val="center"/>
          </w:tcPr>
          <w:p w14:paraId="5AC0B99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P-ZLTC-SCOS-KCYH-005-40-001</w:t>
            </w:r>
          </w:p>
        </w:tc>
        <w:tc>
          <w:tcPr>
            <w:tcW w:w="945" w:type="dxa"/>
            <w:tcBorders>
              <w:top w:val="nil"/>
              <w:left w:val="nil"/>
              <w:bottom w:val="nil"/>
              <w:right w:val="nil"/>
            </w:tcBorders>
            <w:shd w:val="clear" w:color="auto" w:fill="auto"/>
            <w:vAlign w:val="center"/>
          </w:tcPr>
          <w:p w14:paraId="6429A0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判断是否需要改进策略规则</w:t>
            </w:r>
          </w:p>
        </w:tc>
        <w:tc>
          <w:tcPr>
            <w:tcW w:w="966" w:type="dxa"/>
            <w:tcBorders>
              <w:top w:val="nil"/>
              <w:left w:val="nil"/>
              <w:bottom w:val="nil"/>
              <w:right w:val="nil"/>
            </w:tcBorders>
            <w:shd w:val="clear" w:color="auto" w:fill="auto"/>
            <w:vAlign w:val="center"/>
          </w:tcPr>
          <w:p w14:paraId="1820642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BC409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54CCC8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复核结论形成后</w:t>
            </w:r>
          </w:p>
        </w:tc>
        <w:tc>
          <w:tcPr>
            <w:tcW w:w="1406" w:type="dxa"/>
            <w:tcBorders>
              <w:top w:val="nil"/>
              <w:left w:val="nil"/>
              <w:bottom w:val="nil"/>
              <w:right w:val="nil"/>
            </w:tcBorders>
            <w:shd w:val="clear" w:color="auto" w:fill="auto"/>
            <w:vAlign w:val="center"/>
          </w:tcPr>
          <w:p w14:paraId="10AD9B7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判断是否需要调整服务水平、安全系数或生产补充周期等参数；无参数改进建议时发布评价结论；需要改进策略时继续处理。</w:t>
            </w:r>
          </w:p>
        </w:tc>
        <w:tc>
          <w:tcPr>
            <w:tcW w:w="1088" w:type="dxa"/>
            <w:tcBorders>
              <w:top w:val="nil"/>
              <w:left w:val="nil"/>
              <w:bottom w:val="nil"/>
              <w:right w:val="nil"/>
            </w:tcBorders>
            <w:shd w:val="clear" w:color="auto" w:fill="auto"/>
            <w:vAlign w:val="center"/>
          </w:tcPr>
          <w:p w14:paraId="7C9E09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策略改进判断</w:t>
            </w:r>
          </w:p>
        </w:tc>
        <w:tc>
          <w:tcPr>
            <w:tcW w:w="1460" w:type="dxa"/>
            <w:tcBorders>
              <w:top w:val="nil"/>
              <w:left w:val="nil"/>
              <w:bottom w:val="nil"/>
              <w:right w:val="nil"/>
            </w:tcBorders>
            <w:shd w:val="clear" w:color="auto" w:fill="auto"/>
            <w:vAlign w:val="center"/>
          </w:tcPr>
          <w:p w14:paraId="78B8072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42E5500">
        <w:trPr>
          <w:cantSplit/>
          <w:trHeight w:val="0" w:hRule="atLeast"/>
          <w:jc w:val="center"/>
        </w:trPr>
        <w:tc>
          <w:tcPr>
            <w:tcW w:w="2944" w:type="dxa"/>
            <w:tcBorders>
              <w:top w:val="nil"/>
              <w:left w:val="nil"/>
              <w:bottom w:val="nil"/>
              <w:right w:val="nil"/>
            </w:tcBorders>
            <w:shd w:val="clear" w:color="auto" w:fill="auto"/>
            <w:vAlign w:val="center"/>
          </w:tcPr>
          <w:p w14:paraId="7CA941D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P-ZLTC-SCOS-KCYH-005-50-001</w:t>
            </w:r>
          </w:p>
        </w:tc>
        <w:tc>
          <w:tcPr>
            <w:tcW w:w="945" w:type="dxa"/>
            <w:tcBorders>
              <w:top w:val="nil"/>
              <w:left w:val="nil"/>
              <w:bottom w:val="nil"/>
              <w:right w:val="nil"/>
            </w:tcBorders>
            <w:shd w:val="clear" w:color="auto" w:fill="auto"/>
            <w:vAlign w:val="center"/>
          </w:tcPr>
          <w:p w14:paraId="0EE6F91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形成库存策略改进建议规则</w:t>
            </w:r>
          </w:p>
        </w:tc>
        <w:tc>
          <w:tcPr>
            <w:tcW w:w="966" w:type="dxa"/>
            <w:tcBorders>
              <w:top w:val="nil"/>
              <w:left w:val="nil"/>
              <w:bottom w:val="nil"/>
              <w:right w:val="nil"/>
            </w:tcBorders>
            <w:shd w:val="clear" w:color="auto" w:fill="auto"/>
            <w:vAlign w:val="center"/>
          </w:tcPr>
          <w:p w14:paraId="6327AE8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E9FC2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23BF169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需要改进策略时</w:t>
            </w:r>
          </w:p>
        </w:tc>
        <w:tc>
          <w:tcPr>
            <w:tcW w:w="1406" w:type="dxa"/>
            <w:tcBorders>
              <w:top w:val="nil"/>
              <w:left w:val="nil"/>
              <w:bottom w:val="nil"/>
              <w:right w:val="nil"/>
            </w:tcBorders>
            <w:shd w:val="clear" w:color="auto" w:fill="auto"/>
            <w:vAlign w:val="center"/>
          </w:tcPr>
          <w:p w14:paraId="3AF9F2F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说明拟调整对象、参数、原因、预期影响及建议生效周期；无法确定建议参数时，只形成待进一步验证的问题清单。</w:t>
            </w:r>
          </w:p>
        </w:tc>
        <w:tc>
          <w:tcPr>
            <w:tcW w:w="1088" w:type="dxa"/>
            <w:tcBorders>
              <w:top w:val="nil"/>
              <w:left w:val="nil"/>
              <w:bottom w:val="nil"/>
              <w:right w:val="nil"/>
            </w:tcBorders>
            <w:shd w:val="clear" w:color="auto" w:fill="auto"/>
            <w:vAlign w:val="center"/>
          </w:tcPr>
          <w:p w14:paraId="1729854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参数或策略改进建议</w:t>
            </w:r>
          </w:p>
        </w:tc>
        <w:tc>
          <w:tcPr>
            <w:tcW w:w="1460" w:type="dxa"/>
            <w:tcBorders>
              <w:top w:val="nil"/>
              <w:left w:val="nil"/>
              <w:bottom w:val="nil"/>
              <w:right w:val="nil"/>
            </w:tcBorders>
            <w:shd w:val="clear" w:color="auto" w:fill="auto"/>
            <w:vAlign w:val="center"/>
          </w:tcPr>
          <w:p w14:paraId="0614BAB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C42521">
        <w:trPr>
          <w:cantSplit/>
          <w:trHeight w:val="0" w:hRule="atLeast"/>
          <w:jc w:val="center"/>
        </w:trPr>
        <w:tc>
          <w:tcPr>
            <w:tcW w:w="2944" w:type="dxa"/>
            <w:tcBorders>
              <w:top w:val="nil"/>
              <w:left w:val="nil"/>
              <w:bottom w:val="nil"/>
              <w:right w:val="nil"/>
            </w:tcBorders>
            <w:shd w:val="clear" w:color="auto" w:fill="auto"/>
            <w:vAlign w:val="center"/>
          </w:tcPr>
          <w:p w14:paraId="5E12D03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P-ZLTC-SCOS-KCYH-005-60-001</w:t>
            </w:r>
          </w:p>
        </w:tc>
        <w:tc>
          <w:tcPr>
            <w:tcW w:w="945" w:type="dxa"/>
            <w:tcBorders>
              <w:top w:val="nil"/>
              <w:left w:val="nil"/>
              <w:bottom w:val="nil"/>
              <w:right w:val="nil"/>
            </w:tcBorders>
            <w:shd w:val="clear" w:color="auto" w:fill="auto"/>
            <w:vAlign w:val="center"/>
          </w:tcPr>
          <w:p w14:paraId="6410E5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判断是否纳入策略调整规则</w:t>
            </w:r>
          </w:p>
        </w:tc>
        <w:tc>
          <w:tcPr>
            <w:tcW w:w="966" w:type="dxa"/>
            <w:tcBorders>
              <w:top w:val="nil"/>
              <w:left w:val="nil"/>
              <w:bottom w:val="nil"/>
              <w:right w:val="nil"/>
            </w:tcBorders>
            <w:shd w:val="clear" w:color="auto" w:fill="auto"/>
            <w:vAlign w:val="center"/>
          </w:tcPr>
          <w:p w14:paraId="4DE711A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CF672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02677DA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参数或策略改进建议形成后</w:t>
            </w:r>
          </w:p>
        </w:tc>
        <w:tc>
          <w:tcPr>
            <w:tcW w:w="1406" w:type="dxa"/>
            <w:tcBorders>
              <w:top w:val="nil"/>
              <w:left w:val="nil"/>
              <w:bottom w:val="nil"/>
              <w:right w:val="nil"/>
            </w:tcBorders>
            <w:shd w:val="clear" w:color="auto" w:fill="auto"/>
            <w:vAlign w:val="center"/>
          </w:tcPr>
          <w:p w14:paraId="551CA82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确认建议是否在下一月度策略制定中吸收；不纳入策略调整时保留改进建议待后续复核；纳入策略调整时形成策略调整任务。</w:t>
            </w:r>
          </w:p>
        </w:tc>
        <w:tc>
          <w:tcPr>
            <w:tcW w:w="1088" w:type="dxa"/>
            <w:tcBorders>
              <w:top w:val="nil"/>
              <w:left w:val="nil"/>
              <w:bottom w:val="nil"/>
              <w:right w:val="nil"/>
            </w:tcBorders>
            <w:shd w:val="clear" w:color="auto" w:fill="auto"/>
            <w:vAlign w:val="center"/>
          </w:tcPr>
          <w:p w14:paraId="2A28B9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改进处理意见</w:t>
            </w:r>
          </w:p>
        </w:tc>
        <w:tc>
          <w:tcPr>
            <w:tcW w:w="1460" w:type="dxa"/>
            <w:tcBorders>
              <w:top w:val="nil"/>
              <w:left w:val="nil"/>
              <w:bottom w:val="nil"/>
              <w:right w:val="nil"/>
            </w:tcBorders>
            <w:shd w:val="clear" w:color="auto" w:fill="auto"/>
            <w:vAlign w:val="center"/>
          </w:tcPr>
          <w:p w14:paraId="4A7E657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C92ECF9">
        <w:trPr>
          <w:cantSplit/>
          <w:trHeight w:val="0" w:hRule="atLeast"/>
          <w:jc w:val="center"/>
        </w:trPr>
        <w:tc>
          <w:tcPr>
            <w:tcW w:w="2944" w:type="dxa"/>
            <w:tcBorders>
              <w:top w:val="nil"/>
              <w:left w:val="nil"/>
              <w:bottom w:val="nil"/>
              <w:right w:val="nil"/>
            </w:tcBorders>
            <w:shd w:val="clear" w:color="auto" w:fill="auto"/>
            <w:vAlign w:val="center"/>
          </w:tcPr>
          <w:p w14:paraId="4E11FAD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P-ZLTC-SCOS-KCYH-005-70-001</w:t>
            </w:r>
          </w:p>
        </w:tc>
        <w:tc>
          <w:tcPr>
            <w:tcW w:w="945" w:type="dxa"/>
            <w:tcBorders>
              <w:top w:val="nil"/>
              <w:left w:val="nil"/>
              <w:bottom w:val="nil"/>
              <w:right w:val="nil"/>
            </w:tcBorders>
            <w:shd w:val="clear" w:color="auto" w:fill="auto"/>
            <w:vAlign w:val="center"/>
          </w:tcPr>
          <w:p w14:paraId="095699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发布库存健康度报告与改进结论规则</w:t>
            </w:r>
          </w:p>
        </w:tc>
        <w:tc>
          <w:tcPr>
            <w:tcW w:w="966" w:type="dxa"/>
            <w:tcBorders>
              <w:top w:val="nil"/>
              <w:left w:val="nil"/>
              <w:bottom w:val="nil"/>
              <w:right w:val="nil"/>
            </w:tcBorders>
            <w:shd w:val="clear" w:color="auto" w:fill="auto"/>
            <w:vAlign w:val="center"/>
          </w:tcPr>
          <w:p w14:paraId="38DA3FE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D738D2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16AE62D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无参数改进建议时</w:t>
            </w:r>
          </w:p>
        </w:tc>
        <w:tc>
          <w:tcPr>
            <w:tcW w:w="1406" w:type="dxa"/>
            <w:tcBorders>
              <w:top w:val="nil"/>
              <w:left w:val="nil"/>
              <w:bottom w:val="nil"/>
              <w:right w:val="nil"/>
            </w:tcBorders>
            <w:shd w:val="clear" w:color="auto" w:fill="auto"/>
            <w:vAlign w:val="center"/>
          </w:tcPr>
          <w:p w14:paraId="5BFF83A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发布本期评价结果，并向供应链驾驶舱提供库存健康度指标；发布失败时保留待发布状态并支持重试。</w:t>
            </w:r>
          </w:p>
        </w:tc>
        <w:tc>
          <w:tcPr>
            <w:tcW w:w="1088" w:type="dxa"/>
            <w:tcBorders>
              <w:top w:val="nil"/>
              <w:left w:val="nil"/>
              <w:bottom w:val="nil"/>
              <w:right w:val="nil"/>
            </w:tcBorders>
            <w:shd w:val="clear" w:color="auto" w:fill="auto"/>
            <w:vAlign w:val="center"/>
          </w:tcPr>
          <w:p w14:paraId="1AB3B6A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已发布库存健康度报告、改进结论和待跟踪任务</w:t>
            </w:r>
          </w:p>
        </w:tc>
        <w:tc>
          <w:tcPr>
            <w:tcW w:w="1460" w:type="dxa"/>
            <w:tcBorders>
              <w:top w:val="nil"/>
              <w:left w:val="nil"/>
              <w:bottom w:val="nil"/>
              <w:right w:val="nil"/>
            </w:tcBorders>
            <w:shd w:val="clear" w:color="auto" w:fill="auto"/>
            <w:vAlign w:val="center"/>
          </w:tcPr>
          <w:p w14:paraId="2C6C281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0E5898">
        <w:trPr>
          <w:cantSplit/>
          <w:trHeight w:val="0" w:hRule="atLeast"/>
          <w:jc w:val="center"/>
        </w:trPr>
        <w:tc>
          <w:tcPr>
            <w:tcW w:w="2944" w:type="dxa"/>
            <w:tcBorders>
              <w:top w:val="nil"/>
              <w:left w:val="nil"/>
              <w:bottom w:val="nil"/>
              <w:right w:val="nil"/>
            </w:tcBorders>
            <w:shd w:val="clear" w:color="auto" w:fill="auto"/>
            <w:vAlign w:val="center"/>
          </w:tcPr>
          <w:p w14:paraId="2E59892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P-ZLTC-SCOS-CGYH-001-10-001</w:t>
            </w:r>
          </w:p>
        </w:tc>
        <w:tc>
          <w:tcPr>
            <w:tcW w:w="945" w:type="dxa"/>
            <w:tcBorders>
              <w:top w:val="nil"/>
              <w:left w:val="nil"/>
              <w:bottom w:val="nil"/>
              <w:right w:val="nil"/>
            </w:tcBorders>
            <w:shd w:val="clear" w:color="auto" w:fill="auto"/>
            <w:vAlign w:val="center"/>
          </w:tcPr>
          <w:p w14:paraId="19B91B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形成待采购需求规则</w:t>
            </w:r>
          </w:p>
        </w:tc>
        <w:tc>
          <w:tcPr>
            <w:tcW w:w="966" w:type="dxa"/>
            <w:tcBorders>
              <w:top w:val="nil"/>
              <w:left w:val="nil"/>
              <w:bottom w:val="nil"/>
              <w:right w:val="nil"/>
            </w:tcBorders>
            <w:shd w:val="clear" w:color="auto" w:fill="auto"/>
            <w:vAlign w:val="center"/>
          </w:tcPr>
          <w:p w14:paraId="7E473F3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D1ACC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61B553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月度采购方案编制周期开始时</w:t>
            </w:r>
          </w:p>
        </w:tc>
        <w:tc>
          <w:tcPr>
            <w:tcW w:w="1406" w:type="dxa"/>
            <w:tcBorders>
              <w:top w:val="nil"/>
              <w:left w:val="nil"/>
              <w:bottom w:val="nil"/>
              <w:right w:val="nil"/>
            </w:tcBorders>
            <w:shd w:val="clear" w:color="auto" w:fill="auto"/>
            <w:vAlign w:val="center"/>
          </w:tcPr>
          <w:p w14:paraId="5D46F6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系统按需求日期扣减可按时到货的有效采购承诺；数据异常时提示采购计划员处理；待采购需求为0时相应物料不进入后续优化。</w:t>
            </w:r>
          </w:p>
        </w:tc>
        <w:tc>
          <w:tcPr>
            <w:tcW w:w="1088" w:type="dxa"/>
            <w:tcBorders>
              <w:top w:val="nil"/>
              <w:left w:val="nil"/>
              <w:bottom w:val="nil"/>
              <w:right w:val="nil"/>
            </w:tcBorders>
            <w:shd w:val="clear" w:color="auto" w:fill="auto"/>
            <w:vAlign w:val="center"/>
          </w:tcPr>
          <w:p w14:paraId="5B864A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分物料、分期待采购需求及要求到货日期</w:t>
            </w:r>
          </w:p>
        </w:tc>
        <w:tc>
          <w:tcPr>
            <w:tcW w:w="1460" w:type="dxa"/>
            <w:tcBorders>
              <w:top w:val="nil"/>
              <w:left w:val="nil"/>
              <w:bottom w:val="nil"/>
              <w:right w:val="nil"/>
            </w:tcBorders>
            <w:shd w:val="clear" w:color="auto" w:fill="auto"/>
            <w:vAlign w:val="center"/>
          </w:tcPr>
          <w:p w14:paraId="0390073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C037A7F">
        <w:trPr>
          <w:cantSplit/>
          <w:trHeight w:val="0" w:hRule="atLeast"/>
          <w:jc w:val="center"/>
        </w:trPr>
        <w:tc>
          <w:tcPr>
            <w:tcW w:w="2944" w:type="dxa"/>
            <w:tcBorders>
              <w:top w:val="nil"/>
              <w:left w:val="nil"/>
              <w:bottom w:val="nil"/>
              <w:right w:val="nil"/>
            </w:tcBorders>
            <w:shd w:val="clear" w:color="auto" w:fill="auto"/>
            <w:vAlign w:val="center"/>
          </w:tcPr>
          <w:p w14:paraId="03E09A0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P-ZLTC-SCOS-CGYH-001-20-001</w:t>
            </w:r>
          </w:p>
        </w:tc>
        <w:tc>
          <w:tcPr>
            <w:tcW w:w="945" w:type="dxa"/>
            <w:tcBorders>
              <w:top w:val="nil"/>
              <w:left w:val="nil"/>
              <w:bottom w:val="nil"/>
              <w:right w:val="nil"/>
            </w:tcBorders>
            <w:shd w:val="clear" w:color="auto" w:fill="auto"/>
            <w:vAlign w:val="center"/>
          </w:tcPr>
          <w:p w14:paraId="59F7BB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生成月度采购建议规则</w:t>
            </w:r>
          </w:p>
        </w:tc>
        <w:tc>
          <w:tcPr>
            <w:tcW w:w="966" w:type="dxa"/>
            <w:tcBorders>
              <w:top w:val="nil"/>
              <w:left w:val="nil"/>
              <w:bottom w:val="nil"/>
              <w:right w:val="nil"/>
            </w:tcBorders>
            <w:shd w:val="clear" w:color="auto" w:fill="auto"/>
            <w:vAlign w:val="center"/>
          </w:tcPr>
          <w:p w14:paraId="3561CEA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D0427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35A94B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分物料、分期待采购需求及要求到货日期形成后</w:t>
            </w:r>
          </w:p>
        </w:tc>
        <w:tc>
          <w:tcPr>
            <w:tcW w:w="1406" w:type="dxa"/>
            <w:tcBorders>
              <w:top w:val="nil"/>
              <w:left w:val="nil"/>
              <w:bottom w:val="nil"/>
              <w:right w:val="nil"/>
            </w:tcBorders>
            <w:shd w:val="clear" w:color="auto" w:fill="auto"/>
            <w:vAlign w:val="center"/>
          </w:tcPr>
          <w:p w14:paraId="630313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按综合成本较低原则生成供应商推荐数量、建议到货日期；供货能力不足或到货时间不可达时输出缺口和原因。</w:t>
            </w:r>
          </w:p>
        </w:tc>
        <w:tc>
          <w:tcPr>
            <w:tcW w:w="1088" w:type="dxa"/>
            <w:tcBorders>
              <w:top w:val="nil"/>
              <w:left w:val="nil"/>
              <w:bottom w:val="nil"/>
              <w:right w:val="nil"/>
            </w:tcBorders>
            <w:shd w:val="clear" w:color="auto" w:fill="auto"/>
            <w:vAlign w:val="center"/>
          </w:tcPr>
          <w:p w14:paraId="244FBDF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推荐方案、备选方案及锁价建议</w:t>
            </w:r>
          </w:p>
        </w:tc>
        <w:tc>
          <w:tcPr>
            <w:tcW w:w="1460" w:type="dxa"/>
            <w:tcBorders>
              <w:top w:val="nil"/>
              <w:left w:val="nil"/>
              <w:bottom w:val="nil"/>
              <w:right w:val="nil"/>
            </w:tcBorders>
            <w:shd w:val="clear" w:color="auto" w:fill="auto"/>
            <w:vAlign w:val="center"/>
          </w:tcPr>
          <w:p w14:paraId="0885757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68DCD7F">
        <w:trPr>
          <w:cantSplit/>
          <w:trHeight w:val="0" w:hRule="atLeast"/>
          <w:jc w:val="center"/>
        </w:trPr>
        <w:tc>
          <w:tcPr>
            <w:tcW w:w="2944" w:type="dxa"/>
            <w:tcBorders>
              <w:top w:val="nil"/>
              <w:left w:val="nil"/>
              <w:bottom w:val="nil"/>
              <w:right w:val="nil"/>
            </w:tcBorders>
            <w:shd w:val="clear" w:color="auto" w:fill="auto"/>
            <w:vAlign w:val="center"/>
          </w:tcPr>
          <w:p w14:paraId="7BF4FD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P-ZLTC-SCOS-CGYH-001-30-001</w:t>
            </w:r>
          </w:p>
        </w:tc>
        <w:tc>
          <w:tcPr>
            <w:tcW w:w="945" w:type="dxa"/>
            <w:tcBorders>
              <w:top w:val="nil"/>
              <w:left w:val="nil"/>
              <w:bottom w:val="nil"/>
              <w:right w:val="nil"/>
            </w:tcBorders>
            <w:shd w:val="clear" w:color="auto" w:fill="auto"/>
            <w:vAlign w:val="center"/>
          </w:tcPr>
          <w:p w14:paraId="2E8A280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评审并调整采购方案规则</w:t>
            </w:r>
          </w:p>
        </w:tc>
        <w:tc>
          <w:tcPr>
            <w:tcW w:w="966" w:type="dxa"/>
            <w:tcBorders>
              <w:top w:val="nil"/>
              <w:left w:val="nil"/>
              <w:bottom w:val="nil"/>
              <w:right w:val="nil"/>
            </w:tcBorders>
            <w:shd w:val="clear" w:color="auto" w:fill="auto"/>
            <w:vAlign w:val="center"/>
          </w:tcPr>
          <w:p w14:paraId="3A5C6F1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D759C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月度采购方案评审与调整</w:t>
            </w:r>
          </w:p>
        </w:tc>
        <w:tc>
          <w:tcPr>
            <w:tcW w:w="1098" w:type="dxa"/>
            <w:tcBorders>
              <w:top w:val="nil"/>
              <w:left w:val="nil"/>
              <w:bottom w:val="nil"/>
              <w:right w:val="nil"/>
            </w:tcBorders>
            <w:shd w:val="clear" w:color="auto" w:fill="auto"/>
            <w:vAlign w:val="center"/>
          </w:tcPr>
          <w:p w14:paraId="01A81D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推荐方案、备选方案及锁价建议形成并具备评审条件后</w:t>
            </w:r>
          </w:p>
        </w:tc>
        <w:tc>
          <w:tcPr>
            <w:tcW w:w="1406" w:type="dxa"/>
            <w:tcBorders>
              <w:top w:val="nil"/>
              <w:left w:val="nil"/>
              <w:bottom w:val="nil"/>
              <w:right w:val="nil"/>
            </w:tcBorders>
            <w:shd w:val="clear" w:color="auto" w:fill="auto"/>
            <w:vAlign w:val="center"/>
          </w:tcPr>
          <w:p w14:paraId="2509BBC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比较方案并调整供应商及采购数量；可修改采购条件后重新生成建议。</w:t>
            </w:r>
          </w:p>
        </w:tc>
        <w:tc>
          <w:tcPr>
            <w:tcW w:w="1088" w:type="dxa"/>
            <w:tcBorders>
              <w:top w:val="nil"/>
              <w:left w:val="nil"/>
              <w:bottom w:val="nil"/>
              <w:right w:val="nil"/>
            </w:tcBorders>
            <w:shd w:val="clear" w:color="auto" w:fill="auto"/>
            <w:vAlign w:val="center"/>
          </w:tcPr>
          <w:p w14:paraId="0824BE1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拟定月度采购方案</w:t>
            </w:r>
          </w:p>
        </w:tc>
        <w:tc>
          <w:tcPr>
            <w:tcW w:w="1460" w:type="dxa"/>
            <w:tcBorders>
              <w:top w:val="nil"/>
              <w:left w:val="nil"/>
              <w:bottom w:val="nil"/>
              <w:right w:val="nil"/>
            </w:tcBorders>
            <w:shd w:val="clear" w:color="auto" w:fill="auto"/>
            <w:vAlign w:val="center"/>
          </w:tcPr>
          <w:p w14:paraId="1959B4F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CD847D">
        <w:trPr>
          <w:cantSplit/>
          <w:trHeight w:val="0" w:hRule="atLeast"/>
          <w:jc w:val="center"/>
        </w:trPr>
        <w:tc>
          <w:tcPr>
            <w:tcW w:w="2944" w:type="dxa"/>
            <w:tcBorders>
              <w:top w:val="nil"/>
              <w:left w:val="nil"/>
              <w:bottom w:val="nil"/>
              <w:right w:val="nil"/>
            </w:tcBorders>
            <w:shd w:val="clear" w:color="auto" w:fill="auto"/>
            <w:vAlign w:val="center"/>
          </w:tcPr>
          <w:p w14:paraId="61756A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P-ZLTC-SCOS-CGYH-001-40-001</w:t>
            </w:r>
          </w:p>
        </w:tc>
        <w:tc>
          <w:tcPr>
            <w:tcW w:w="945" w:type="dxa"/>
            <w:tcBorders>
              <w:top w:val="nil"/>
              <w:left w:val="nil"/>
              <w:bottom w:val="nil"/>
              <w:right w:val="nil"/>
            </w:tcBorders>
            <w:shd w:val="clear" w:color="auto" w:fill="auto"/>
            <w:vAlign w:val="center"/>
          </w:tcPr>
          <w:p w14:paraId="5C5177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确认采购方案规则</w:t>
            </w:r>
          </w:p>
        </w:tc>
        <w:tc>
          <w:tcPr>
            <w:tcW w:w="966" w:type="dxa"/>
            <w:tcBorders>
              <w:top w:val="nil"/>
              <w:left w:val="nil"/>
              <w:bottom w:val="nil"/>
              <w:right w:val="nil"/>
            </w:tcBorders>
            <w:shd w:val="clear" w:color="auto" w:fill="auto"/>
            <w:vAlign w:val="center"/>
          </w:tcPr>
          <w:p w14:paraId="151F04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5552D1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29B900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月度采购方案形成并具备评审条件后</w:t>
            </w:r>
          </w:p>
        </w:tc>
        <w:tc>
          <w:tcPr>
            <w:tcW w:w="1406" w:type="dxa"/>
            <w:tcBorders>
              <w:top w:val="nil"/>
              <w:left w:val="nil"/>
              <w:bottom w:val="nil"/>
              <w:right w:val="nil"/>
            </w:tcBorders>
            <w:shd w:val="clear" w:color="auto" w:fill="auto"/>
            <w:vAlign w:val="center"/>
          </w:tcPr>
          <w:p w14:paraId="7156B84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校验供应商可供量、采购数量合计及其他方案约束；未确认时退回调整；确认通过后继续处理。</w:t>
            </w:r>
          </w:p>
        </w:tc>
        <w:tc>
          <w:tcPr>
            <w:tcW w:w="1088" w:type="dxa"/>
            <w:tcBorders>
              <w:top w:val="nil"/>
              <w:left w:val="nil"/>
              <w:bottom w:val="nil"/>
              <w:right w:val="nil"/>
            </w:tcBorders>
            <w:shd w:val="clear" w:color="auto" w:fill="auto"/>
            <w:vAlign w:val="center"/>
          </w:tcPr>
          <w:p w14:paraId="096087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6B5E623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BED8890">
        <w:trPr>
          <w:cantSplit/>
          <w:trHeight w:val="0" w:hRule="atLeast"/>
          <w:jc w:val="center"/>
        </w:trPr>
        <w:tc>
          <w:tcPr>
            <w:tcW w:w="2944" w:type="dxa"/>
            <w:tcBorders>
              <w:top w:val="nil"/>
              <w:left w:val="nil"/>
              <w:bottom w:val="nil"/>
              <w:right w:val="nil"/>
            </w:tcBorders>
            <w:shd w:val="clear" w:color="auto" w:fill="auto"/>
            <w:vAlign w:val="center"/>
          </w:tcPr>
          <w:p w14:paraId="736EDC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P-ZLTC-SCOS-CGYH-001-50-001</w:t>
            </w:r>
          </w:p>
        </w:tc>
        <w:tc>
          <w:tcPr>
            <w:tcW w:w="945" w:type="dxa"/>
            <w:tcBorders>
              <w:top w:val="nil"/>
              <w:left w:val="nil"/>
              <w:bottom w:val="nil"/>
              <w:right w:val="nil"/>
            </w:tcBorders>
            <w:shd w:val="clear" w:color="auto" w:fill="auto"/>
            <w:vAlign w:val="center"/>
          </w:tcPr>
          <w:p w14:paraId="0FD966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审批月度采购方案规则</w:t>
            </w:r>
          </w:p>
        </w:tc>
        <w:tc>
          <w:tcPr>
            <w:tcW w:w="966" w:type="dxa"/>
            <w:tcBorders>
              <w:top w:val="nil"/>
              <w:left w:val="nil"/>
              <w:bottom w:val="nil"/>
              <w:right w:val="nil"/>
            </w:tcBorders>
            <w:shd w:val="clear" w:color="auto" w:fill="auto"/>
            <w:vAlign w:val="center"/>
          </w:tcPr>
          <w:p w14:paraId="40CD00E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6824E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08F555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确认采购方案通过时</w:t>
            </w:r>
          </w:p>
        </w:tc>
        <w:tc>
          <w:tcPr>
            <w:tcW w:w="1406" w:type="dxa"/>
            <w:tcBorders>
              <w:top w:val="nil"/>
              <w:left w:val="nil"/>
              <w:bottom w:val="nil"/>
              <w:right w:val="nil"/>
            </w:tcBorders>
            <w:shd w:val="clear" w:color="auto" w:fill="auto"/>
            <w:vAlign w:val="center"/>
          </w:tcPr>
          <w:p w14:paraId="7B9F9B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审核需求依据、供应商选择、数量分配、成本及合同和锁价约束；审批未通过时退回修改；审批通过后继续处理。</w:t>
            </w:r>
          </w:p>
        </w:tc>
        <w:tc>
          <w:tcPr>
            <w:tcW w:w="1088" w:type="dxa"/>
            <w:tcBorders>
              <w:top w:val="nil"/>
              <w:left w:val="nil"/>
              <w:bottom w:val="nil"/>
              <w:right w:val="nil"/>
            </w:tcBorders>
            <w:shd w:val="clear" w:color="auto" w:fill="auto"/>
            <w:vAlign w:val="center"/>
          </w:tcPr>
          <w:p w14:paraId="2D767E2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5FC7EFC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6634E8">
        <w:trPr>
          <w:cantSplit/>
          <w:trHeight w:val="0" w:hRule="atLeast"/>
          <w:jc w:val="center"/>
        </w:trPr>
        <w:tc>
          <w:tcPr>
            <w:tcW w:w="2944" w:type="dxa"/>
            <w:tcBorders>
              <w:top w:val="nil"/>
              <w:left w:val="nil"/>
              <w:bottom w:val="nil"/>
              <w:right w:val="nil"/>
            </w:tcBorders>
            <w:shd w:val="clear" w:color="auto" w:fill="auto"/>
            <w:vAlign w:val="center"/>
          </w:tcPr>
          <w:p w14:paraId="248CE97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P-ZLTC-SCOS-CGYH-001-60-001</w:t>
            </w:r>
          </w:p>
        </w:tc>
        <w:tc>
          <w:tcPr>
            <w:tcW w:w="945" w:type="dxa"/>
            <w:tcBorders>
              <w:top w:val="nil"/>
              <w:left w:val="nil"/>
              <w:bottom w:val="nil"/>
              <w:right w:val="nil"/>
            </w:tcBorders>
            <w:shd w:val="clear" w:color="auto" w:fill="auto"/>
            <w:vAlign w:val="center"/>
          </w:tcPr>
          <w:p w14:paraId="69A25AA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发布已确认采购方案规则</w:t>
            </w:r>
          </w:p>
        </w:tc>
        <w:tc>
          <w:tcPr>
            <w:tcW w:w="966" w:type="dxa"/>
            <w:tcBorders>
              <w:top w:val="nil"/>
              <w:left w:val="nil"/>
              <w:bottom w:val="nil"/>
              <w:right w:val="nil"/>
            </w:tcBorders>
            <w:shd w:val="clear" w:color="auto" w:fill="auto"/>
            <w:vAlign w:val="center"/>
          </w:tcPr>
          <w:p w14:paraId="0CB4102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46EF4A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1839BEC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审批月度采购方案通过时</w:t>
            </w:r>
          </w:p>
        </w:tc>
        <w:tc>
          <w:tcPr>
            <w:tcW w:w="1406" w:type="dxa"/>
            <w:tcBorders>
              <w:top w:val="nil"/>
              <w:left w:val="nil"/>
              <w:bottom w:val="nil"/>
              <w:right w:val="nil"/>
            </w:tcBorders>
            <w:shd w:val="clear" w:color="auto" w:fill="auto"/>
            <w:vAlign w:val="center"/>
          </w:tcPr>
          <w:p w14:paraId="0A60F8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发布方案并留存关键结果和审批依据；发布失败时保留待发布状态并支持重试。</w:t>
            </w:r>
          </w:p>
        </w:tc>
        <w:tc>
          <w:tcPr>
            <w:tcW w:w="1088" w:type="dxa"/>
            <w:tcBorders>
              <w:top w:val="nil"/>
              <w:left w:val="nil"/>
              <w:bottom w:val="nil"/>
              <w:right w:val="nil"/>
            </w:tcBorders>
            <w:shd w:val="clear" w:color="auto" w:fill="auto"/>
            <w:vAlign w:val="center"/>
          </w:tcPr>
          <w:p w14:paraId="35C7527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已确认月度采购方案及版本</w:t>
            </w:r>
          </w:p>
        </w:tc>
        <w:tc>
          <w:tcPr>
            <w:tcW w:w="1460" w:type="dxa"/>
            <w:tcBorders>
              <w:top w:val="nil"/>
              <w:left w:val="nil"/>
              <w:bottom w:val="nil"/>
              <w:right w:val="nil"/>
            </w:tcBorders>
            <w:shd w:val="clear" w:color="auto" w:fill="auto"/>
            <w:vAlign w:val="center"/>
          </w:tcPr>
          <w:p w14:paraId="16B0DB5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A182CCE">
        <w:trPr>
          <w:cantSplit/>
          <w:trHeight w:val="0" w:hRule="atLeast"/>
          <w:jc w:val="center"/>
        </w:trPr>
        <w:tc>
          <w:tcPr>
            <w:tcW w:w="2944" w:type="dxa"/>
            <w:tcBorders>
              <w:top w:val="nil"/>
              <w:left w:val="nil"/>
              <w:bottom w:val="nil"/>
              <w:right w:val="nil"/>
            </w:tcBorders>
            <w:shd w:val="clear" w:color="auto" w:fill="auto"/>
            <w:vAlign w:val="center"/>
          </w:tcPr>
          <w:p w14:paraId="4CFA10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P-ZLTC-SCOS-CGYH-001-70-001</w:t>
            </w:r>
          </w:p>
        </w:tc>
        <w:tc>
          <w:tcPr>
            <w:tcW w:w="945" w:type="dxa"/>
            <w:tcBorders>
              <w:top w:val="nil"/>
              <w:left w:val="nil"/>
              <w:bottom w:val="nil"/>
              <w:right w:val="nil"/>
            </w:tcBorders>
            <w:shd w:val="clear" w:color="auto" w:fill="auto"/>
            <w:vAlign w:val="center"/>
          </w:tcPr>
          <w:p w14:paraId="4741715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进入采购执行规则</w:t>
            </w:r>
          </w:p>
        </w:tc>
        <w:tc>
          <w:tcPr>
            <w:tcW w:w="966" w:type="dxa"/>
            <w:tcBorders>
              <w:top w:val="nil"/>
              <w:left w:val="nil"/>
              <w:bottom w:val="nil"/>
              <w:right w:val="nil"/>
            </w:tcBorders>
            <w:shd w:val="clear" w:color="auto" w:fill="auto"/>
            <w:vAlign w:val="center"/>
          </w:tcPr>
          <w:p w14:paraId="51FB7B4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041458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2C1FAA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月度采购方案及版本形成后</w:t>
            </w:r>
          </w:p>
        </w:tc>
        <w:tc>
          <w:tcPr>
            <w:tcW w:w="1406" w:type="dxa"/>
            <w:tcBorders>
              <w:top w:val="nil"/>
              <w:left w:val="nil"/>
              <w:bottom w:val="nil"/>
              <w:right w:val="nil"/>
            </w:tcBorders>
            <w:shd w:val="clear" w:color="auto" w:fill="auto"/>
            <w:vAlign w:val="center"/>
          </w:tcPr>
          <w:p w14:paraId="50765B4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向E采/SAP提供已确认的供应商、采购数量、采购时点；接口失败时保留待下发状态并支持重推。</w:t>
            </w:r>
          </w:p>
        </w:tc>
        <w:tc>
          <w:tcPr>
            <w:tcW w:w="1088" w:type="dxa"/>
            <w:tcBorders>
              <w:top w:val="nil"/>
              <w:left w:val="nil"/>
              <w:bottom w:val="nil"/>
              <w:right w:val="nil"/>
            </w:tcBorders>
            <w:shd w:val="clear" w:color="auto" w:fill="auto"/>
            <w:vAlign w:val="center"/>
          </w:tcPr>
          <w:p w14:paraId="1BEC8BE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采购执行依据</w:t>
            </w:r>
          </w:p>
        </w:tc>
        <w:tc>
          <w:tcPr>
            <w:tcW w:w="1460" w:type="dxa"/>
            <w:tcBorders>
              <w:top w:val="nil"/>
              <w:left w:val="nil"/>
              <w:bottom w:val="nil"/>
              <w:right w:val="nil"/>
            </w:tcBorders>
            <w:shd w:val="clear" w:color="auto" w:fill="auto"/>
            <w:vAlign w:val="center"/>
          </w:tcPr>
          <w:p w14:paraId="658E01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w:t>
            </w:r>
          </w:p>
        </w:tc>
      </w:tr>
      <w:tr w14:paraId="3A4133A8">
        <w:trPr>
          <w:cantSplit/>
          <w:trHeight w:val="0" w:hRule="atLeast"/>
          <w:jc w:val="center"/>
        </w:trPr>
        <w:tc>
          <w:tcPr>
            <w:tcW w:w="2944" w:type="dxa"/>
            <w:tcBorders>
              <w:top w:val="nil"/>
              <w:left w:val="nil"/>
              <w:bottom w:val="nil"/>
              <w:right w:val="nil"/>
            </w:tcBorders>
            <w:shd w:val="clear" w:color="auto" w:fill="auto"/>
            <w:vAlign w:val="center"/>
          </w:tcPr>
          <w:p w14:paraId="393D2D4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P-ZLTC-SCOS-CGYH-002-10-001</w:t>
            </w:r>
          </w:p>
        </w:tc>
        <w:tc>
          <w:tcPr>
            <w:tcW w:w="945" w:type="dxa"/>
            <w:tcBorders>
              <w:top w:val="nil"/>
              <w:left w:val="nil"/>
              <w:bottom w:val="nil"/>
              <w:right w:val="nil"/>
            </w:tcBorders>
            <w:shd w:val="clear" w:color="auto" w:fill="auto"/>
            <w:vAlign w:val="center"/>
          </w:tcPr>
          <w:p w14:paraId="314B20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提供供应商评价与资质数据规则</w:t>
            </w:r>
          </w:p>
        </w:tc>
        <w:tc>
          <w:tcPr>
            <w:tcW w:w="966" w:type="dxa"/>
            <w:tcBorders>
              <w:top w:val="nil"/>
              <w:left w:val="nil"/>
              <w:bottom w:val="nil"/>
              <w:right w:val="nil"/>
            </w:tcBorders>
            <w:shd w:val="clear" w:color="auto" w:fill="auto"/>
            <w:vAlign w:val="center"/>
          </w:tcPr>
          <w:p w14:paraId="4F285C4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2F9C98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467B1D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系统按评价周期运行，或在采购订单执行、质量结果及供应商资质发生变化时</w:t>
            </w:r>
          </w:p>
        </w:tc>
        <w:tc>
          <w:tcPr>
            <w:tcW w:w="1406" w:type="dxa"/>
            <w:tcBorders>
              <w:top w:val="nil"/>
              <w:left w:val="nil"/>
              <w:bottom w:val="nil"/>
              <w:right w:val="nil"/>
            </w:tcBorders>
            <w:shd w:val="clear" w:color="auto" w:fill="auto"/>
            <w:vAlign w:val="center"/>
          </w:tcPr>
          <w:p w14:paraId="2E0307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通过统一数据服务层汇集供应商评价所需数据；数据缺失或接口异常时保留最近有效数据并标记数据时间。</w:t>
            </w:r>
          </w:p>
        </w:tc>
        <w:tc>
          <w:tcPr>
            <w:tcW w:w="1088" w:type="dxa"/>
            <w:tcBorders>
              <w:top w:val="nil"/>
              <w:left w:val="nil"/>
              <w:bottom w:val="nil"/>
              <w:right w:val="nil"/>
            </w:tcBorders>
            <w:shd w:val="clear" w:color="auto" w:fill="auto"/>
            <w:vAlign w:val="center"/>
          </w:tcPr>
          <w:p w14:paraId="58AB0F3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供应商评价数据集</w:t>
            </w:r>
          </w:p>
        </w:tc>
        <w:tc>
          <w:tcPr>
            <w:tcW w:w="1460" w:type="dxa"/>
            <w:tcBorders>
              <w:top w:val="nil"/>
              <w:left w:val="nil"/>
              <w:bottom w:val="nil"/>
              <w:right w:val="nil"/>
            </w:tcBorders>
            <w:shd w:val="clear" w:color="auto" w:fill="auto"/>
            <w:vAlign w:val="center"/>
          </w:tcPr>
          <w:p w14:paraId="3AE052F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33008AF">
        <w:trPr>
          <w:cantSplit/>
          <w:trHeight w:val="0" w:hRule="atLeast"/>
          <w:jc w:val="center"/>
        </w:trPr>
        <w:tc>
          <w:tcPr>
            <w:tcW w:w="2944" w:type="dxa"/>
            <w:tcBorders>
              <w:top w:val="nil"/>
              <w:left w:val="nil"/>
              <w:bottom w:val="nil"/>
              <w:right w:val="nil"/>
            </w:tcBorders>
            <w:shd w:val="clear" w:color="auto" w:fill="auto"/>
            <w:vAlign w:val="center"/>
          </w:tcPr>
          <w:p w14:paraId="0F32856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P-ZLTC-SCOS-CGYH-002-20-001</w:t>
            </w:r>
          </w:p>
        </w:tc>
        <w:tc>
          <w:tcPr>
            <w:tcW w:w="945" w:type="dxa"/>
            <w:tcBorders>
              <w:top w:val="nil"/>
              <w:left w:val="nil"/>
              <w:bottom w:val="nil"/>
              <w:right w:val="nil"/>
            </w:tcBorders>
            <w:shd w:val="clear" w:color="auto" w:fill="auto"/>
            <w:vAlign w:val="center"/>
          </w:tcPr>
          <w:p w14:paraId="082EE2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生成供应商画像与预警规则</w:t>
            </w:r>
          </w:p>
        </w:tc>
        <w:tc>
          <w:tcPr>
            <w:tcW w:w="966" w:type="dxa"/>
            <w:tcBorders>
              <w:top w:val="nil"/>
              <w:left w:val="nil"/>
              <w:bottom w:val="nil"/>
              <w:right w:val="nil"/>
            </w:tcBorders>
            <w:shd w:val="clear" w:color="auto" w:fill="auto"/>
            <w:vAlign w:val="center"/>
          </w:tcPr>
          <w:p w14:paraId="6DA1194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B56FE3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216111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供应商评价数据集形成后</w:t>
            </w:r>
          </w:p>
        </w:tc>
        <w:tc>
          <w:tcPr>
            <w:tcW w:w="1406" w:type="dxa"/>
            <w:tcBorders>
              <w:top w:val="nil"/>
              <w:left w:val="nil"/>
              <w:bottom w:val="nil"/>
              <w:right w:val="nil"/>
            </w:tcBorders>
            <w:shd w:val="clear" w:color="auto" w:fill="auto"/>
            <w:vAlign w:val="center"/>
          </w:tcPr>
          <w:p w14:paraId="1F5563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更新历史价格、交付、质量、财务和风险指标；评分所需数据不足时标记“待补充”，不得给出误导性完整评分。</w:t>
            </w:r>
          </w:p>
        </w:tc>
        <w:tc>
          <w:tcPr>
            <w:tcW w:w="1088" w:type="dxa"/>
            <w:tcBorders>
              <w:top w:val="nil"/>
              <w:left w:val="nil"/>
              <w:bottom w:val="nil"/>
              <w:right w:val="nil"/>
            </w:tcBorders>
            <w:shd w:val="clear" w:color="auto" w:fill="auto"/>
            <w:vAlign w:val="center"/>
          </w:tcPr>
          <w:p w14:paraId="69FD66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供应商画像、绩效评分、资质及风险预警</w:t>
            </w:r>
          </w:p>
        </w:tc>
        <w:tc>
          <w:tcPr>
            <w:tcW w:w="1460" w:type="dxa"/>
            <w:tcBorders>
              <w:top w:val="nil"/>
              <w:left w:val="nil"/>
              <w:bottom w:val="nil"/>
              <w:right w:val="nil"/>
            </w:tcBorders>
            <w:shd w:val="clear" w:color="auto" w:fill="auto"/>
            <w:vAlign w:val="center"/>
          </w:tcPr>
          <w:p w14:paraId="65D5EBC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1951FB8">
        <w:trPr>
          <w:cantSplit/>
          <w:trHeight w:val="0" w:hRule="atLeast"/>
          <w:jc w:val="center"/>
        </w:trPr>
        <w:tc>
          <w:tcPr>
            <w:tcW w:w="2944" w:type="dxa"/>
            <w:tcBorders>
              <w:top w:val="nil"/>
              <w:left w:val="nil"/>
              <w:bottom w:val="nil"/>
              <w:right w:val="nil"/>
            </w:tcBorders>
            <w:shd w:val="clear" w:color="auto" w:fill="auto"/>
            <w:vAlign w:val="center"/>
          </w:tcPr>
          <w:p w14:paraId="5478185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P-ZLTC-SCOS-CGYH-002-30-001</w:t>
            </w:r>
          </w:p>
        </w:tc>
        <w:tc>
          <w:tcPr>
            <w:tcW w:w="945" w:type="dxa"/>
            <w:tcBorders>
              <w:top w:val="nil"/>
              <w:left w:val="nil"/>
              <w:bottom w:val="nil"/>
              <w:right w:val="nil"/>
            </w:tcBorders>
            <w:shd w:val="clear" w:color="auto" w:fill="auto"/>
            <w:vAlign w:val="center"/>
          </w:tcPr>
          <w:p w14:paraId="421B25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判断是否存在异常或预警规则</w:t>
            </w:r>
          </w:p>
        </w:tc>
        <w:tc>
          <w:tcPr>
            <w:tcW w:w="966" w:type="dxa"/>
            <w:tcBorders>
              <w:top w:val="nil"/>
              <w:left w:val="nil"/>
              <w:bottom w:val="nil"/>
              <w:right w:val="nil"/>
            </w:tcBorders>
            <w:shd w:val="clear" w:color="auto" w:fill="auto"/>
            <w:vAlign w:val="center"/>
          </w:tcPr>
          <w:p w14:paraId="1D4D314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C25FE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5C5413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供应商画像、绩效评分、资质及风险预警形成后</w:t>
            </w:r>
          </w:p>
        </w:tc>
        <w:tc>
          <w:tcPr>
            <w:tcW w:w="1406" w:type="dxa"/>
            <w:tcBorders>
              <w:top w:val="nil"/>
              <w:left w:val="nil"/>
              <w:bottom w:val="nil"/>
              <w:right w:val="nil"/>
            </w:tcBorders>
            <w:shd w:val="clear" w:color="auto" w:fill="auto"/>
            <w:vAlign w:val="center"/>
          </w:tcPr>
          <w:p w14:paraId="64F060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判断是否存在资质到期、绩效明显下降、质量或交付异常；不存在异常或预警时发布正常评价结果；存在异常或预警时继续处理。</w:t>
            </w:r>
          </w:p>
        </w:tc>
        <w:tc>
          <w:tcPr>
            <w:tcW w:w="1088" w:type="dxa"/>
            <w:tcBorders>
              <w:top w:val="nil"/>
              <w:left w:val="nil"/>
              <w:bottom w:val="nil"/>
              <w:right w:val="nil"/>
            </w:tcBorders>
            <w:shd w:val="clear" w:color="auto" w:fill="auto"/>
            <w:vAlign w:val="center"/>
          </w:tcPr>
          <w:p w14:paraId="54ABB7B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判断结论</w:t>
            </w:r>
          </w:p>
        </w:tc>
        <w:tc>
          <w:tcPr>
            <w:tcW w:w="1460" w:type="dxa"/>
            <w:tcBorders>
              <w:top w:val="nil"/>
              <w:left w:val="nil"/>
              <w:bottom w:val="nil"/>
              <w:right w:val="nil"/>
            </w:tcBorders>
            <w:shd w:val="clear" w:color="auto" w:fill="auto"/>
            <w:vAlign w:val="center"/>
          </w:tcPr>
          <w:p w14:paraId="3DDB08A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6D3033B">
        <w:trPr>
          <w:cantSplit/>
          <w:trHeight w:val="0" w:hRule="atLeast"/>
          <w:jc w:val="center"/>
        </w:trPr>
        <w:tc>
          <w:tcPr>
            <w:tcW w:w="2944" w:type="dxa"/>
            <w:tcBorders>
              <w:top w:val="nil"/>
              <w:left w:val="nil"/>
              <w:bottom w:val="nil"/>
              <w:right w:val="nil"/>
            </w:tcBorders>
            <w:shd w:val="clear" w:color="auto" w:fill="auto"/>
            <w:vAlign w:val="center"/>
          </w:tcPr>
          <w:p w14:paraId="012B5C9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P-ZLTC-SCOS-CGYH-002-40-001</w:t>
            </w:r>
          </w:p>
        </w:tc>
        <w:tc>
          <w:tcPr>
            <w:tcW w:w="945" w:type="dxa"/>
            <w:tcBorders>
              <w:top w:val="nil"/>
              <w:left w:val="nil"/>
              <w:bottom w:val="nil"/>
              <w:right w:val="nil"/>
            </w:tcBorders>
            <w:shd w:val="clear" w:color="auto" w:fill="auto"/>
            <w:vAlign w:val="center"/>
          </w:tcPr>
          <w:p w14:paraId="3BEE31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复核评价结果规则</w:t>
            </w:r>
          </w:p>
        </w:tc>
        <w:tc>
          <w:tcPr>
            <w:tcW w:w="966" w:type="dxa"/>
            <w:tcBorders>
              <w:top w:val="nil"/>
              <w:left w:val="nil"/>
              <w:bottom w:val="nil"/>
              <w:right w:val="nil"/>
            </w:tcBorders>
            <w:shd w:val="clear" w:color="auto" w:fill="auto"/>
            <w:vAlign w:val="center"/>
          </w:tcPr>
          <w:p w14:paraId="324B162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BE6D3E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314237F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存在异常或预警时</w:t>
            </w:r>
          </w:p>
        </w:tc>
        <w:tc>
          <w:tcPr>
            <w:tcW w:w="1406" w:type="dxa"/>
            <w:tcBorders>
              <w:top w:val="nil"/>
              <w:left w:val="nil"/>
              <w:bottom w:val="nil"/>
              <w:right w:val="nil"/>
            </w:tcBorders>
            <w:shd w:val="clear" w:color="auto" w:fill="auto"/>
            <w:vAlign w:val="center"/>
          </w:tcPr>
          <w:p w14:paraId="348045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核实异常数据、资质文件和风险信息；数据有误时返回数据源修正后重新评价。</w:t>
            </w:r>
          </w:p>
        </w:tc>
        <w:tc>
          <w:tcPr>
            <w:tcW w:w="1088" w:type="dxa"/>
            <w:tcBorders>
              <w:top w:val="nil"/>
              <w:left w:val="nil"/>
              <w:bottom w:val="nil"/>
              <w:right w:val="nil"/>
            </w:tcBorders>
            <w:shd w:val="clear" w:color="auto" w:fill="auto"/>
            <w:vAlign w:val="center"/>
          </w:tcPr>
          <w:p w14:paraId="133B15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复核意见</w:t>
            </w:r>
          </w:p>
        </w:tc>
        <w:tc>
          <w:tcPr>
            <w:tcW w:w="1460" w:type="dxa"/>
            <w:tcBorders>
              <w:top w:val="nil"/>
              <w:left w:val="nil"/>
              <w:bottom w:val="nil"/>
              <w:right w:val="nil"/>
            </w:tcBorders>
            <w:shd w:val="clear" w:color="auto" w:fill="auto"/>
            <w:vAlign w:val="center"/>
          </w:tcPr>
          <w:p w14:paraId="34AE79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A640AB4">
        <w:trPr>
          <w:cantSplit/>
          <w:trHeight w:val="0" w:hRule="atLeast"/>
          <w:jc w:val="center"/>
        </w:trPr>
        <w:tc>
          <w:tcPr>
            <w:tcW w:w="2944" w:type="dxa"/>
            <w:tcBorders>
              <w:top w:val="nil"/>
              <w:left w:val="nil"/>
              <w:bottom w:val="nil"/>
              <w:right w:val="nil"/>
            </w:tcBorders>
            <w:shd w:val="clear" w:color="auto" w:fill="auto"/>
            <w:vAlign w:val="center"/>
          </w:tcPr>
          <w:p w14:paraId="07BE720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P-ZLTC-SCOS-CGYH-002-50-001</w:t>
            </w:r>
          </w:p>
        </w:tc>
        <w:tc>
          <w:tcPr>
            <w:tcW w:w="945" w:type="dxa"/>
            <w:tcBorders>
              <w:top w:val="nil"/>
              <w:left w:val="nil"/>
              <w:bottom w:val="nil"/>
              <w:right w:val="nil"/>
            </w:tcBorders>
            <w:shd w:val="clear" w:color="auto" w:fill="auto"/>
            <w:vAlign w:val="center"/>
          </w:tcPr>
          <w:p w14:paraId="291725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判断是否调整供应商状态规则</w:t>
            </w:r>
          </w:p>
        </w:tc>
        <w:tc>
          <w:tcPr>
            <w:tcW w:w="966" w:type="dxa"/>
            <w:tcBorders>
              <w:top w:val="nil"/>
              <w:left w:val="nil"/>
              <w:bottom w:val="nil"/>
              <w:right w:val="nil"/>
            </w:tcBorders>
            <w:shd w:val="clear" w:color="auto" w:fill="auto"/>
            <w:vAlign w:val="center"/>
          </w:tcPr>
          <w:p w14:paraId="64690C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5A763C5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7CC8F2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复核意见形成后</w:t>
            </w:r>
          </w:p>
        </w:tc>
        <w:tc>
          <w:tcPr>
            <w:tcW w:w="1406" w:type="dxa"/>
            <w:tcBorders>
              <w:top w:val="nil"/>
              <w:left w:val="nil"/>
              <w:bottom w:val="nil"/>
              <w:right w:val="nil"/>
            </w:tcBorders>
            <w:shd w:val="clear" w:color="auto" w:fill="auto"/>
            <w:vAlign w:val="center"/>
          </w:tcPr>
          <w:p w14:paraId="4E6682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判断是否限制选择、暂停合作、恢复合作或维持现状；需要调整时提出状态变更建议，无需调整时保留现状。</w:t>
            </w:r>
          </w:p>
        </w:tc>
        <w:tc>
          <w:tcPr>
            <w:tcW w:w="1088" w:type="dxa"/>
            <w:tcBorders>
              <w:top w:val="nil"/>
              <w:left w:val="nil"/>
              <w:bottom w:val="nil"/>
              <w:right w:val="nil"/>
            </w:tcBorders>
            <w:shd w:val="clear" w:color="auto" w:fill="auto"/>
            <w:vAlign w:val="center"/>
          </w:tcPr>
          <w:p w14:paraId="0E88A5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供应商状态调整建议</w:t>
            </w:r>
          </w:p>
        </w:tc>
        <w:tc>
          <w:tcPr>
            <w:tcW w:w="1460" w:type="dxa"/>
            <w:tcBorders>
              <w:top w:val="nil"/>
              <w:left w:val="nil"/>
              <w:bottom w:val="nil"/>
              <w:right w:val="nil"/>
            </w:tcBorders>
            <w:shd w:val="clear" w:color="auto" w:fill="auto"/>
            <w:vAlign w:val="center"/>
          </w:tcPr>
          <w:p w14:paraId="29A860E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F97543">
        <w:trPr>
          <w:cantSplit/>
          <w:trHeight w:val="0" w:hRule="atLeast"/>
          <w:jc w:val="center"/>
        </w:trPr>
        <w:tc>
          <w:tcPr>
            <w:tcW w:w="2944" w:type="dxa"/>
            <w:tcBorders>
              <w:top w:val="nil"/>
              <w:left w:val="nil"/>
              <w:bottom w:val="nil"/>
              <w:right w:val="nil"/>
            </w:tcBorders>
            <w:shd w:val="clear" w:color="auto" w:fill="auto"/>
            <w:vAlign w:val="center"/>
          </w:tcPr>
          <w:p w14:paraId="412909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P-ZLTC-SCOS-CGYH-002-60-001</w:t>
            </w:r>
          </w:p>
        </w:tc>
        <w:tc>
          <w:tcPr>
            <w:tcW w:w="945" w:type="dxa"/>
            <w:tcBorders>
              <w:top w:val="nil"/>
              <w:left w:val="nil"/>
              <w:bottom w:val="nil"/>
              <w:right w:val="nil"/>
            </w:tcBorders>
            <w:shd w:val="clear" w:color="auto" w:fill="auto"/>
            <w:vAlign w:val="center"/>
          </w:tcPr>
          <w:p w14:paraId="211342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审批状态调整规则</w:t>
            </w:r>
          </w:p>
        </w:tc>
        <w:tc>
          <w:tcPr>
            <w:tcW w:w="966" w:type="dxa"/>
            <w:tcBorders>
              <w:top w:val="nil"/>
              <w:left w:val="nil"/>
              <w:bottom w:val="nil"/>
              <w:right w:val="nil"/>
            </w:tcBorders>
            <w:shd w:val="clear" w:color="auto" w:fill="auto"/>
            <w:vAlign w:val="center"/>
          </w:tcPr>
          <w:p w14:paraId="06A34F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356C0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228947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需要调整供应商状态时</w:t>
            </w:r>
          </w:p>
        </w:tc>
        <w:tc>
          <w:tcPr>
            <w:tcW w:w="1406" w:type="dxa"/>
            <w:tcBorders>
              <w:top w:val="nil"/>
              <w:left w:val="nil"/>
              <w:bottom w:val="nil"/>
              <w:right w:val="nil"/>
            </w:tcBorders>
            <w:shd w:val="clear" w:color="auto" w:fill="auto"/>
            <w:vAlign w:val="center"/>
          </w:tcPr>
          <w:p w14:paraId="59B415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审批供应商状态调整和处置意见；审批未通过时退回补充说明；审批通过后继续处理。</w:t>
            </w:r>
          </w:p>
        </w:tc>
        <w:tc>
          <w:tcPr>
            <w:tcW w:w="1088" w:type="dxa"/>
            <w:tcBorders>
              <w:top w:val="nil"/>
              <w:left w:val="nil"/>
              <w:bottom w:val="nil"/>
              <w:right w:val="nil"/>
            </w:tcBorders>
            <w:shd w:val="clear" w:color="auto" w:fill="auto"/>
            <w:vAlign w:val="center"/>
          </w:tcPr>
          <w:p w14:paraId="5A1B886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769DCB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AFBC5E2">
        <w:trPr>
          <w:cantSplit/>
          <w:trHeight w:val="0" w:hRule="atLeast"/>
          <w:jc w:val="center"/>
        </w:trPr>
        <w:tc>
          <w:tcPr>
            <w:tcW w:w="2944" w:type="dxa"/>
            <w:tcBorders>
              <w:top w:val="nil"/>
              <w:left w:val="nil"/>
              <w:bottom w:val="nil"/>
              <w:right w:val="nil"/>
            </w:tcBorders>
            <w:shd w:val="clear" w:color="auto" w:fill="auto"/>
            <w:vAlign w:val="center"/>
          </w:tcPr>
          <w:p w14:paraId="1787174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P-ZLTC-SCOS-CGYH-002-70-001</w:t>
            </w:r>
          </w:p>
        </w:tc>
        <w:tc>
          <w:tcPr>
            <w:tcW w:w="945" w:type="dxa"/>
            <w:tcBorders>
              <w:top w:val="nil"/>
              <w:left w:val="nil"/>
              <w:bottom w:val="nil"/>
              <w:right w:val="nil"/>
            </w:tcBorders>
            <w:shd w:val="clear" w:color="auto" w:fill="auto"/>
            <w:vAlign w:val="center"/>
          </w:tcPr>
          <w:p w14:paraId="628DEE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发布供应商评价结果规则</w:t>
            </w:r>
          </w:p>
        </w:tc>
        <w:tc>
          <w:tcPr>
            <w:tcW w:w="966" w:type="dxa"/>
            <w:tcBorders>
              <w:top w:val="nil"/>
              <w:left w:val="nil"/>
              <w:bottom w:val="nil"/>
              <w:right w:val="nil"/>
            </w:tcBorders>
            <w:shd w:val="clear" w:color="auto" w:fill="auto"/>
            <w:vAlign w:val="center"/>
          </w:tcPr>
          <w:p w14:paraId="5FC38DF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0AE2C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00933D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审批状态调整通过时</w:t>
            </w:r>
          </w:p>
        </w:tc>
        <w:tc>
          <w:tcPr>
            <w:tcW w:w="1406" w:type="dxa"/>
            <w:tcBorders>
              <w:top w:val="nil"/>
              <w:left w:val="nil"/>
              <w:bottom w:val="nil"/>
              <w:right w:val="nil"/>
            </w:tcBorders>
            <w:shd w:val="clear" w:color="auto" w:fill="auto"/>
            <w:vAlign w:val="center"/>
          </w:tcPr>
          <w:p w14:paraId="1DF3D17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发布评价结果，供月度采购方案制定时查询和决策参考；发布失败时保留待发布状态并支持重试。</w:t>
            </w:r>
          </w:p>
        </w:tc>
        <w:tc>
          <w:tcPr>
            <w:tcW w:w="1088" w:type="dxa"/>
            <w:tcBorders>
              <w:top w:val="nil"/>
              <w:left w:val="nil"/>
              <w:bottom w:val="nil"/>
              <w:right w:val="nil"/>
            </w:tcBorders>
            <w:shd w:val="clear" w:color="auto" w:fill="auto"/>
            <w:vAlign w:val="center"/>
          </w:tcPr>
          <w:p w14:paraId="0B9FC1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有效供应商评价和状态</w:t>
            </w:r>
          </w:p>
        </w:tc>
        <w:tc>
          <w:tcPr>
            <w:tcW w:w="1460" w:type="dxa"/>
            <w:tcBorders>
              <w:top w:val="nil"/>
              <w:left w:val="nil"/>
              <w:bottom w:val="nil"/>
              <w:right w:val="nil"/>
            </w:tcBorders>
            <w:shd w:val="clear" w:color="auto" w:fill="auto"/>
            <w:vAlign w:val="center"/>
          </w:tcPr>
          <w:p w14:paraId="265E3D3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F1ABD8E">
        <w:trPr>
          <w:cantSplit/>
          <w:trHeight w:val="0" w:hRule="atLeast"/>
          <w:jc w:val="center"/>
        </w:trPr>
        <w:tc>
          <w:tcPr>
            <w:tcW w:w="2944" w:type="dxa"/>
            <w:tcBorders>
              <w:top w:val="nil"/>
              <w:left w:val="nil"/>
              <w:bottom w:val="nil"/>
              <w:right w:val="nil"/>
            </w:tcBorders>
            <w:shd w:val="clear" w:color="auto" w:fill="auto"/>
            <w:vAlign w:val="center"/>
          </w:tcPr>
          <w:p w14:paraId="0C8320A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P-ZLTC-SCOS-CGYH-003-10-001</w:t>
            </w:r>
          </w:p>
        </w:tc>
        <w:tc>
          <w:tcPr>
            <w:tcW w:w="945" w:type="dxa"/>
            <w:tcBorders>
              <w:top w:val="nil"/>
              <w:left w:val="nil"/>
              <w:bottom w:val="nil"/>
              <w:right w:val="nil"/>
            </w:tcBorders>
            <w:shd w:val="clear" w:color="auto" w:fill="auto"/>
            <w:vAlign w:val="center"/>
          </w:tcPr>
          <w:p w14:paraId="04D045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判断未执行安排是否受影响规则</w:t>
            </w:r>
          </w:p>
        </w:tc>
        <w:tc>
          <w:tcPr>
            <w:tcW w:w="966" w:type="dxa"/>
            <w:tcBorders>
              <w:top w:val="nil"/>
              <w:left w:val="nil"/>
              <w:bottom w:val="nil"/>
              <w:right w:val="nil"/>
            </w:tcBorders>
            <w:shd w:val="clear" w:color="auto" w:fill="auto"/>
            <w:vAlign w:val="center"/>
          </w:tcPr>
          <w:p w14:paraId="63F2DEB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B209C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511D12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系统每周定时</w:t>
            </w:r>
          </w:p>
        </w:tc>
        <w:tc>
          <w:tcPr>
            <w:tcW w:w="1406" w:type="dxa"/>
            <w:tcBorders>
              <w:top w:val="nil"/>
              <w:left w:val="nil"/>
              <w:bottom w:val="nil"/>
              <w:right w:val="nil"/>
            </w:tcBorders>
            <w:shd w:val="clear" w:color="auto" w:fill="auto"/>
            <w:vAlign w:val="center"/>
          </w:tcPr>
          <w:p w14:paraId="1A517C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系统自动比较需求数量、日期和采购执行变化；未执行安排不受影响时保留当前方案并结束；未执行安排受影响时继续处理。</w:t>
            </w:r>
          </w:p>
        </w:tc>
        <w:tc>
          <w:tcPr>
            <w:tcW w:w="1088" w:type="dxa"/>
            <w:tcBorders>
              <w:top w:val="nil"/>
              <w:left w:val="nil"/>
              <w:bottom w:val="nil"/>
              <w:right w:val="nil"/>
            </w:tcBorders>
            <w:shd w:val="clear" w:color="auto" w:fill="auto"/>
            <w:vAlign w:val="center"/>
          </w:tcPr>
          <w:p w14:paraId="736FA3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影响判断</w:t>
            </w:r>
          </w:p>
        </w:tc>
        <w:tc>
          <w:tcPr>
            <w:tcW w:w="1460" w:type="dxa"/>
            <w:tcBorders>
              <w:top w:val="nil"/>
              <w:left w:val="nil"/>
              <w:bottom w:val="nil"/>
              <w:right w:val="nil"/>
            </w:tcBorders>
            <w:shd w:val="clear" w:color="auto" w:fill="auto"/>
            <w:vAlign w:val="center"/>
          </w:tcPr>
          <w:p w14:paraId="5E24F02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B3D4222">
        <w:trPr>
          <w:cantSplit/>
          <w:trHeight w:val="0" w:hRule="atLeast"/>
          <w:jc w:val="center"/>
        </w:trPr>
        <w:tc>
          <w:tcPr>
            <w:tcW w:w="2944" w:type="dxa"/>
            <w:tcBorders>
              <w:top w:val="nil"/>
              <w:left w:val="nil"/>
              <w:bottom w:val="nil"/>
              <w:right w:val="nil"/>
            </w:tcBorders>
            <w:shd w:val="clear" w:color="auto" w:fill="auto"/>
            <w:vAlign w:val="center"/>
          </w:tcPr>
          <w:p w14:paraId="6B7010E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P-ZLTC-SCOS-CGYH-003-20-001</w:t>
            </w:r>
          </w:p>
        </w:tc>
        <w:tc>
          <w:tcPr>
            <w:tcW w:w="945" w:type="dxa"/>
            <w:tcBorders>
              <w:top w:val="nil"/>
              <w:left w:val="nil"/>
              <w:bottom w:val="nil"/>
              <w:right w:val="nil"/>
            </w:tcBorders>
            <w:shd w:val="clear" w:color="auto" w:fill="auto"/>
            <w:vAlign w:val="center"/>
          </w:tcPr>
          <w:p w14:paraId="183A73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生成滚动调整建议规则</w:t>
            </w:r>
          </w:p>
        </w:tc>
        <w:tc>
          <w:tcPr>
            <w:tcW w:w="966" w:type="dxa"/>
            <w:tcBorders>
              <w:top w:val="nil"/>
              <w:left w:val="nil"/>
              <w:bottom w:val="nil"/>
              <w:right w:val="nil"/>
            </w:tcBorders>
            <w:shd w:val="clear" w:color="auto" w:fill="auto"/>
            <w:vAlign w:val="center"/>
          </w:tcPr>
          <w:p w14:paraId="24460AF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53E19F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38AA42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未执行安排受影响时</w:t>
            </w:r>
          </w:p>
        </w:tc>
        <w:tc>
          <w:tcPr>
            <w:tcW w:w="1406" w:type="dxa"/>
            <w:tcBorders>
              <w:top w:val="nil"/>
              <w:left w:val="nil"/>
              <w:bottom w:val="nil"/>
              <w:right w:val="nil"/>
            </w:tcBorders>
            <w:shd w:val="clear" w:color="auto" w:fill="auto"/>
            <w:vAlign w:val="center"/>
          </w:tcPr>
          <w:p w14:paraId="048CAC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仅重新计算受影响的未执行部分；已执行部分保持不变；不可行时输出缺口和原因。</w:t>
            </w:r>
          </w:p>
        </w:tc>
        <w:tc>
          <w:tcPr>
            <w:tcW w:w="1088" w:type="dxa"/>
            <w:tcBorders>
              <w:top w:val="nil"/>
              <w:left w:val="nil"/>
              <w:bottom w:val="nil"/>
              <w:right w:val="nil"/>
            </w:tcBorders>
            <w:shd w:val="clear" w:color="auto" w:fill="auto"/>
            <w:vAlign w:val="center"/>
          </w:tcPr>
          <w:p w14:paraId="212AE9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调整建议及调整前后差异</w:t>
            </w:r>
          </w:p>
        </w:tc>
        <w:tc>
          <w:tcPr>
            <w:tcW w:w="1460" w:type="dxa"/>
            <w:tcBorders>
              <w:top w:val="nil"/>
              <w:left w:val="nil"/>
              <w:bottom w:val="nil"/>
              <w:right w:val="nil"/>
            </w:tcBorders>
            <w:shd w:val="clear" w:color="auto" w:fill="auto"/>
            <w:vAlign w:val="center"/>
          </w:tcPr>
          <w:p w14:paraId="75145AC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3B69DA">
        <w:trPr>
          <w:cantSplit/>
          <w:trHeight w:val="0" w:hRule="atLeast"/>
          <w:jc w:val="center"/>
        </w:trPr>
        <w:tc>
          <w:tcPr>
            <w:tcW w:w="2944" w:type="dxa"/>
            <w:tcBorders>
              <w:top w:val="nil"/>
              <w:left w:val="nil"/>
              <w:bottom w:val="nil"/>
              <w:right w:val="nil"/>
            </w:tcBorders>
            <w:shd w:val="clear" w:color="auto" w:fill="auto"/>
            <w:vAlign w:val="center"/>
          </w:tcPr>
          <w:p w14:paraId="647CFB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P-ZLTC-SCOS-CGYH-003-30-001</w:t>
            </w:r>
          </w:p>
        </w:tc>
        <w:tc>
          <w:tcPr>
            <w:tcW w:w="945" w:type="dxa"/>
            <w:tcBorders>
              <w:top w:val="nil"/>
              <w:left w:val="nil"/>
              <w:bottom w:val="nil"/>
              <w:right w:val="nil"/>
            </w:tcBorders>
            <w:shd w:val="clear" w:color="auto" w:fill="auto"/>
            <w:vAlign w:val="center"/>
          </w:tcPr>
          <w:p w14:paraId="125A8E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评审调整建议规则</w:t>
            </w:r>
          </w:p>
        </w:tc>
        <w:tc>
          <w:tcPr>
            <w:tcW w:w="966" w:type="dxa"/>
            <w:tcBorders>
              <w:top w:val="nil"/>
              <w:left w:val="nil"/>
              <w:bottom w:val="nil"/>
              <w:right w:val="nil"/>
            </w:tcBorders>
            <w:shd w:val="clear" w:color="auto" w:fill="auto"/>
            <w:vAlign w:val="center"/>
          </w:tcPr>
          <w:p w14:paraId="7270312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393AA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2E3E70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调整建议及调整前后差异形成并具备评审条件后</w:t>
            </w:r>
          </w:p>
        </w:tc>
        <w:tc>
          <w:tcPr>
            <w:tcW w:w="1406" w:type="dxa"/>
            <w:tcBorders>
              <w:top w:val="nil"/>
              <w:left w:val="nil"/>
              <w:bottom w:val="nil"/>
              <w:right w:val="nil"/>
            </w:tcBorders>
            <w:shd w:val="clear" w:color="auto" w:fill="auto"/>
            <w:vAlign w:val="center"/>
          </w:tcPr>
          <w:p w14:paraId="32DFA4C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查看需求、数量、日期、成本和供应商变化，确认调整范围；可拒绝调整并记录原因。</w:t>
            </w:r>
          </w:p>
        </w:tc>
        <w:tc>
          <w:tcPr>
            <w:tcW w:w="1088" w:type="dxa"/>
            <w:tcBorders>
              <w:top w:val="nil"/>
              <w:left w:val="nil"/>
              <w:bottom w:val="nil"/>
              <w:right w:val="nil"/>
            </w:tcBorders>
            <w:shd w:val="clear" w:color="auto" w:fill="auto"/>
            <w:vAlign w:val="center"/>
          </w:tcPr>
          <w:p w14:paraId="2D07F4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拟定调整方案</w:t>
            </w:r>
          </w:p>
        </w:tc>
        <w:tc>
          <w:tcPr>
            <w:tcW w:w="1460" w:type="dxa"/>
            <w:tcBorders>
              <w:top w:val="nil"/>
              <w:left w:val="nil"/>
              <w:bottom w:val="nil"/>
              <w:right w:val="nil"/>
            </w:tcBorders>
            <w:shd w:val="clear" w:color="auto" w:fill="auto"/>
            <w:vAlign w:val="center"/>
          </w:tcPr>
          <w:p w14:paraId="683B04D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ACC1E5">
        <w:trPr>
          <w:cantSplit/>
          <w:trHeight w:val="0" w:hRule="atLeast"/>
          <w:jc w:val="center"/>
        </w:trPr>
        <w:tc>
          <w:tcPr>
            <w:tcW w:w="2944" w:type="dxa"/>
            <w:tcBorders>
              <w:top w:val="nil"/>
              <w:left w:val="nil"/>
              <w:bottom w:val="nil"/>
              <w:right w:val="nil"/>
            </w:tcBorders>
            <w:shd w:val="clear" w:color="auto" w:fill="auto"/>
            <w:vAlign w:val="center"/>
          </w:tcPr>
          <w:p w14:paraId="5341C24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P-ZLTC-SCOS-CGYH-003-40-001</w:t>
            </w:r>
          </w:p>
        </w:tc>
        <w:tc>
          <w:tcPr>
            <w:tcW w:w="945" w:type="dxa"/>
            <w:tcBorders>
              <w:top w:val="nil"/>
              <w:left w:val="nil"/>
              <w:bottom w:val="nil"/>
              <w:right w:val="nil"/>
            </w:tcBorders>
            <w:shd w:val="clear" w:color="auto" w:fill="auto"/>
            <w:vAlign w:val="center"/>
          </w:tcPr>
          <w:p w14:paraId="599D87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确认计划调整规则</w:t>
            </w:r>
          </w:p>
        </w:tc>
        <w:tc>
          <w:tcPr>
            <w:tcW w:w="966" w:type="dxa"/>
            <w:tcBorders>
              <w:top w:val="nil"/>
              <w:left w:val="nil"/>
              <w:bottom w:val="nil"/>
              <w:right w:val="nil"/>
            </w:tcBorders>
            <w:shd w:val="clear" w:color="auto" w:fill="auto"/>
            <w:vAlign w:val="center"/>
          </w:tcPr>
          <w:p w14:paraId="32300B8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B1876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52EA50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调整方案形成并具备评审条件后</w:t>
            </w:r>
          </w:p>
        </w:tc>
        <w:tc>
          <w:tcPr>
            <w:tcW w:w="1406" w:type="dxa"/>
            <w:tcBorders>
              <w:top w:val="nil"/>
              <w:left w:val="nil"/>
              <w:bottom w:val="nil"/>
              <w:right w:val="nil"/>
            </w:tcBorders>
            <w:shd w:val="clear" w:color="auto" w:fill="auto"/>
            <w:vAlign w:val="center"/>
          </w:tcPr>
          <w:p w14:paraId="35AD09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确认是否采用调整建议；未确认时保留当前计划；确认通过后继续处理。</w:t>
            </w:r>
          </w:p>
        </w:tc>
        <w:tc>
          <w:tcPr>
            <w:tcW w:w="1088" w:type="dxa"/>
            <w:tcBorders>
              <w:top w:val="nil"/>
              <w:left w:val="nil"/>
              <w:bottom w:val="nil"/>
              <w:right w:val="nil"/>
            </w:tcBorders>
            <w:shd w:val="clear" w:color="auto" w:fill="auto"/>
            <w:vAlign w:val="center"/>
          </w:tcPr>
          <w:p w14:paraId="538C01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5C94F71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E4081CD">
        <w:trPr>
          <w:cantSplit/>
          <w:trHeight w:val="0" w:hRule="atLeast"/>
          <w:jc w:val="center"/>
        </w:trPr>
        <w:tc>
          <w:tcPr>
            <w:tcW w:w="2944" w:type="dxa"/>
            <w:tcBorders>
              <w:top w:val="nil"/>
              <w:left w:val="nil"/>
              <w:bottom w:val="nil"/>
              <w:right w:val="nil"/>
            </w:tcBorders>
            <w:shd w:val="clear" w:color="auto" w:fill="auto"/>
            <w:vAlign w:val="center"/>
          </w:tcPr>
          <w:p w14:paraId="166066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P-ZLTC-SCOS-CGYH-003-50-001</w:t>
            </w:r>
          </w:p>
        </w:tc>
        <w:tc>
          <w:tcPr>
            <w:tcW w:w="945" w:type="dxa"/>
            <w:tcBorders>
              <w:top w:val="nil"/>
              <w:left w:val="nil"/>
              <w:bottom w:val="nil"/>
              <w:right w:val="nil"/>
            </w:tcBorders>
            <w:shd w:val="clear" w:color="auto" w:fill="auto"/>
            <w:vAlign w:val="center"/>
          </w:tcPr>
          <w:p w14:paraId="5592EC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发布采购方案新版本规则</w:t>
            </w:r>
          </w:p>
        </w:tc>
        <w:tc>
          <w:tcPr>
            <w:tcW w:w="966" w:type="dxa"/>
            <w:tcBorders>
              <w:top w:val="nil"/>
              <w:left w:val="nil"/>
              <w:bottom w:val="nil"/>
              <w:right w:val="nil"/>
            </w:tcBorders>
            <w:shd w:val="clear" w:color="auto" w:fill="auto"/>
            <w:vAlign w:val="center"/>
          </w:tcPr>
          <w:p w14:paraId="7B7D381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C76A07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50B05F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确认计划调整通过时</w:t>
            </w:r>
          </w:p>
        </w:tc>
        <w:tc>
          <w:tcPr>
            <w:tcW w:w="1406" w:type="dxa"/>
            <w:tcBorders>
              <w:top w:val="nil"/>
              <w:left w:val="nil"/>
              <w:bottom w:val="nil"/>
              <w:right w:val="nil"/>
            </w:tcBorders>
            <w:shd w:val="clear" w:color="auto" w:fill="auto"/>
            <w:vAlign w:val="center"/>
          </w:tcPr>
          <w:p w14:paraId="49C5333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发布新版本，并保留原方案、输入数据、计算参数及结果；发布失败时保留待发布状态。</w:t>
            </w:r>
          </w:p>
        </w:tc>
        <w:tc>
          <w:tcPr>
            <w:tcW w:w="1088" w:type="dxa"/>
            <w:tcBorders>
              <w:top w:val="nil"/>
              <w:left w:val="nil"/>
              <w:bottom w:val="nil"/>
              <w:right w:val="nil"/>
            </w:tcBorders>
            <w:shd w:val="clear" w:color="auto" w:fill="auto"/>
            <w:vAlign w:val="center"/>
          </w:tcPr>
          <w:p w14:paraId="5CD98CF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新版采购方案及变更记录</w:t>
            </w:r>
          </w:p>
        </w:tc>
        <w:tc>
          <w:tcPr>
            <w:tcW w:w="1460" w:type="dxa"/>
            <w:tcBorders>
              <w:top w:val="nil"/>
              <w:left w:val="nil"/>
              <w:bottom w:val="nil"/>
              <w:right w:val="nil"/>
            </w:tcBorders>
            <w:shd w:val="clear" w:color="auto" w:fill="auto"/>
            <w:vAlign w:val="center"/>
          </w:tcPr>
          <w:p w14:paraId="1D93F42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B26595C">
        <w:trPr>
          <w:cantSplit/>
          <w:trHeight w:val="0" w:hRule="atLeast"/>
          <w:jc w:val="center"/>
        </w:trPr>
        <w:tc>
          <w:tcPr>
            <w:tcW w:w="2944" w:type="dxa"/>
            <w:tcBorders>
              <w:top w:val="nil"/>
              <w:left w:val="nil"/>
              <w:bottom w:val="nil"/>
              <w:right w:val="nil"/>
            </w:tcBorders>
            <w:shd w:val="clear" w:color="auto" w:fill="auto"/>
            <w:vAlign w:val="center"/>
          </w:tcPr>
          <w:p w14:paraId="42D3E6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P-ZLTC-SCOS-CGYH-003-60-001</w:t>
            </w:r>
          </w:p>
        </w:tc>
        <w:tc>
          <w:tcPr>
            <w:tcW w:w="945" w:type="dxa"/>
            <w:tcBorders>
              <w:top w:val="nil"/>
              <w:left w:val="nil"/>
              <w:bottom w:val="nil"/>
              <w:right w:val="nil"/>
            </w:tcBorders>
            <w:shd w:val="clear" w:color="auto" w:fill="auto"/>
            <w:vAlign w:val="center"/>
          </w:tcPr>
          <w:p w14:paraId="406023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接收调整后的采购安排规则</w:t>
            </w:r>
          </w:p>
        </w:tc>
        <w:tc>
          <w:tcPr>
            <w:tcW w:w="966" w:type="dxa"/>
            <w:tcBorders>
              <w:top w:val="nil"/>
              <w:left w:val="nil"/>
              <w:bottom w:val="nil"/>
              <w:right w:val="nil"/>
            </w:tcBorders>
            <w:shd w:val="clear" w:color="auto" w:fill="auto"/>
            <w:vAlign w:val="center"/>
          </w:tcPr>
          <w:p w14:paraId="3A258A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8842E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5220A2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新版采购方案及变更记录形成后</w:t>
            </w:r>
          </w:p>
        </w:tc>
        <w:tc>
          <w:tcPr>
            <w:tcW w:w="1406" w:type="dxa"/>
            <w:tcBorders>
              <w:top w:val="nil"/>
              <w:left w:val="nil"/>
              <w:bottom w:val="nil"/>
              <w:right w:val="nil"/>
            </w:tcBorders>
            <w:shd w:val="clear" w:color="auto" w:fill="auto"/>
            <w:vAlign w:val="center"/>
          </w:tcPr>
          <w:p w14:paraId="12780A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执行系统更新尚未执行的部分；接口失败时支持重推和人工核对。</w:t>
            </w:r>
          </w:p>
        </w:tc>
        <w:tc>
          <w:tcPr>
            <w:tcW w:w="1088" w:type="dxa"/>
            <w:tcBorders>
              <w:top w:val="nil"/>
              <w:left w:val="nil"/>
              <w:bottom w:val="nil"/>
              <w:right w:val="nil"/>
            </w:tcBorders>
            <w:shd w:val="clear" w:color="auto" w:fill="auto"/>
            <w:vAlign w:val="center"/>
          </w:tcPr>
          <w:p w14:paraId="3546BE7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更新后的执行依据</w:t>
            </w:r>
          </w:p>
        </w:tc>
        <w:tc>
          <w:tcPr>
            <w:tcW w:w="1460" w:type="dxa"/>
            <w:tcBorders>
              <w:top w:val="nil"/>
              <w:left w:val="nil"/>
              <w:bottom w:val="nil"/>
              <w:right w:val="nil"/>
            </w:tcBorders>
            <w:shd w:val="clear" w:color="auto" w:fill="auto"/>
            <w:vAlign w:val="center"/>
          </w:tcPr>
          <w:p w14:paraId="460007B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SCOS/SAP/TMS/E采</w:t>
            </w:r>
          </w:p>
        </w:tc>
      </w:tr>
      <w:tr w14:paraId="16833607">
        <w:trPr>
          <w:cantSplit/>
          <w:trHeight w:val="0" w:hRule="atLeast"/>
          <w:jc w:val="center"/>
        </w:trPr>
        <w:tc>
          <w:tcPr>
            <w:tcW w:w="2944" w:type="dxa"/>
            <w:tcBorders>
              <w:top w:val="nil"/>
              <w:left w:val="nil"/>
              <w:bottom w:val="nil"/>
              <w:right w:val="nil"/>
            </w:tcBorders>
            <w:shd w:val="clear" w:color="auto" w:fill="auto"/>
            <w:vAlign w:val="center"/>
          </w:tcPr>
          <w:p w14:paraId="77A0925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P-ZLTC-SCOS-CGYH-004-10-001</w:t>
            </w:r>
          </w:p>
        </w:tc>
        <w:tc>
          <w:tcPr>
            <w:tcW w:w="945" w:type="dxa"/>
            <w:tcBorders>
              <w:top w:val="nil"/>
              <w:left w:val="nil"/>
              <w:bottom w:val="nil"/>
              <w:right w:val="nil"/>
            </w:tcBorders>
            <w:shd w:val="clear" w:color="auto" w:fill="auto"/>
            <w:vAlign w:val="center"/>
          </w:tcPr>
          <w:p w14:paraId="5560FD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执行采购订单或合同规则</w:t>
            </w:r>
          </w:p>
        </w:tc>
        <w:tc>
          <w:tcPr>
            <w:tcW w:w="966" w:type="dxa"/>
            <w:tcBorders>
              <w:top w:val="nil"/>
              <w:left w:val="nil"/>
              <w:bottom w:val="nil"/>
              <w:right w:val="nil"/>
            </w:tcBorders>
            <w:shd w:val="clear" w:color="auto" w:fill="auto"/>
            <w:vAlign w:val="center"/>
          </w:tcPr>
          <w:p w14:paraId="5446F3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03B550E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26A7045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采购计划进入执行阶段时</w:t>
            </w:r>
          </w:p>
        </w:tc>
        <w:tc>
          <w:tcPr>
            <w:tcW w:w="1406" w:type="dxa"/>
            <w:tcBorders>
              <w:top w:val="nil"/>
              <w:left w:val="nil"/>
              <w:bottom w:val="nil"/>
              <w:right w:val="nil"/>
            </w:tcBorders>
            <w:shd w:val="clear" w:color="auto" w:fill="auto"/>
            <w:vAlign w:val="center"/>
          </w:tcPr>
          <w:p w14:paraId="2054018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按企业采购制度创建和执行采购订单或合同；正式订单和合同不得由SCOS自动创建。</w:t>
            </w:r>
          </w:p>
        </w:tc>
        <w:tc>
          <w:tcPr>
            <w:tcW w:w="1088" w:type="dxa"/>
            <w:tcBorders>
              <w:top w:val="nil"/>
              <w:left w:val="nil"/>
              <w:bottom w:val="nil"/>
              <w:right w:val="nil"/>
            </w:tcBorders>
            <w:shd w:val="clear" w:color="auto" w:fill="auto"/>
            <w:vAlign w:val="center"/>
          </w:tcPr>
          <w:p w14:paraId="61026E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正式采购订单/合同及状态</w:t>
            </w:r>
          </w:p>
        </w:tc>
        <w:tc>
          <w:tcPr>
            <w:tcW w:w="1460" w:type="dxa"/>
            <w:tcBorders>
              <w:top w:val="nil"/>
              <w:left w:val="nil"/>
              <w:bottom w:val="nil"/>
              <w:right w:val="nil"/>
            </w:tcBorders>
            <w:shd w:val="clear" w:color="auto" w:fill="auto"/>
            <w:vAlign w:val="center"/>
          </w:tcPr>
          <w:p w14:paraId="1565176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w:t>
            </w:r>
          </w:p>
        </w:tc>
      </w:tr>
      <w:tr w14:paraId="49B968F7">
        <w:trPr>
          <w:cantSplit/>
          <w:trHeight w:val="0" w:hRule="atLeast"/>
          <w:jc w:val="center"/>
        </w:trPr>
        <w:tc>
          <w:tcPr>
            <w:tcW w:w="2944" w:type="dxa"/>
            <w:tcBorders>
              <w:top w:val="nil"/>
              <w:left w:val="nil"/>
              <w:bottom w:val="nil"/>
              <w:right w:val="nil"/>
            </w:tcBorders>
            <w:shd w:val="clear" w:color="auto" w:fill="auto"/>
            <w:vAlign w:val="center"/>
          </w:tcPr>
          <w:p w14:paraId="05944BC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P-ZLTC-SCOS-CGYH-004-20-001</w:t>
            </w:r>
          </w:p>
        </w:tc>
        <w:tc>
          <w:tcPr>
            <w:tcW w:w="945" w:type="dxa"/>
            <w:tcBorders>
              <w:top w:val="nil"/>
              <w:left w:val="nil"/>
              <w:bottom w:val="nil"/>
              <w:right w:val="nil"/>
            </w:tcBorders>
            <w:shd w:val="clear" w:color="auto" w:fill="auto"/>
            <w:vAlign w:val="center"/>
          </w:tcPr>
          <w:p w14:paraId="012CAE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发货与在途跟踪规则</w:t>
            </w:r>
          </w:p>
        </w:tc>
        <w:tc>
          <w:tcPr>
            <w:tcW w:w="966" w:type="dxa"/>
            <w:tcBorders>
              <w:top w:val="nil"/>
              <w:left w:val="nil"/>
              <w:bottom w:val="nil"/>
              <w:right w:val="nil"/>
            </w:tcBorders>
            <w:shd w:val="clear" w:color="auto" w:fill="auto"/>
            <w:vAlign w:val="center"/>
          </w:tcPr>
          <w:p w14:paraId="5AF6E55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5E876D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7307475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正式采购订单/合同及状态形成后</w:t>
            </w:r>
          </w:p>
        </w:tc>
        <w:tc>
          <w:tcPr>
            <w:tcW w:w="1406" w:type="dxa"/>
            <w:tcBorders>
              <w:top w:val="nil"/>
              <w:left w:val="nil"/>
              <w:bottom w:val="nil"/>
              <w:right w:val="nil"/>
            </w:tcBorders>
            <w:shd w:val="clear" w:color="auto" w:fill="auto"/>
            <w:vAlign w:val="center"/>
          </w:tcPr>
          <w:p w14:paraId="10C5E11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供应商按采购订单执行发货；延迟、数量差异或运输异常标记为执行偏差。</w:t>
            </w:r>
          </w:p>
        </w:tc>
        <w:tc>
          <w:tcPr>
            <w:tcW w:w="1088" w:type="dxa"/>
            <w:tcBorders>
              <w:top w:val="nil"/>
              <w:left w:val="nil"/>
              <w:bottom w:val="nil"/>
              <w:right w:val="nil"/>
            </w:tcBorders>
            <w:shd w:val="clear" w:color="auto" w:fill="auto"/>
            <w:vAlign w:val="center"/>
          </w:tcPr>
          <w:p w14:paraId="44551A4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发货数量、时间及在途状态</w:t>
            </w:r>
          </w:p>
        </w:tc>
        <w:tc>
          <w:tcPr>
            <w:tcW w:w="1460" w:type="dxa"/>
            <w:tcBorders>
              <w:top w:val="nil"/>
              <w:left w:val="nil"/>
              <w:bottom w:val="nil"/>
              <w:right w:val="nil"/>
            </w:tcBorders>
            <w:shd w:val="clear" w:color="auto" w:fill="auto"/>
            <w:vAlign w:val="center"/>
          </w:tcPr>
          <w:p w14:paraId="4FA2EA0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w:t>
            </w:r>
          </w:p>
        </w:tc>
      </w:tr>
      <w:tr w14:paraId="33465E25">
        <w:trPr>
          <w:cantSplit/>
          <w:trHeight w:val="0" w:hRule="atLeast"/>
          <w:jc w:val="center"/>
        </w:trPr>
        <w:tc>
          <w:tcPr>
            <w:tcW w:w="2944" w:type="dxa"/>
            <w:tcBorders>
              <w:top w:val="nil"/>
              <w:left w:val="nil"/>
              <w:bottom w:val="nil"/>
              <w:right w:val="nil"/>
            </w:tcBorders>
            <w:shd w:val="clear" w:color="auto" w:fill="auto"/>
            <w:vAlign w:val="center"/>
          </w:tcPr>
          <w:p w14:paraId="7298609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P-ZLTC-SCOS-CGYH-004-30-001</w:t>
            </w:r>
          </w:p>
        </w:tc>
        <w:tc>
          <w:tcPr>
            <w:tcW w:w="945" w:type="dxa"/>
            <w:tcBorders>
              <w:top w:val="nil"/>
              <w:left w:val="nil"/>
              <w:bottom w:val="nil"/>
              <w:right w:val="nil"/>
            </w:tcBorders>
            <w:shd w:val="clear" w:color="auto" w:fill="auto"/>
            <w:vAlign w:val="center"/>
          </w:tcPr>
          <w:p w14:paraId="211D49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到厂收货与质检规则</w:t>
            </w:r>
          </w:p>
        </w:tc>
        <w:tc>
          <w:tcPr>
            <w:tcW w:w="966" w:type="dxa"/>
            <w:tcBorders>
              <w:top w:val="nil"/>
              <w:left w:val="nil"/>
              <w:bottom w:val="nil"/>
              <w:right w:val="nil"/>
            </w:tcBorders>
            <w:shd w:val="clear" w:color="auto" w:fill="auto"/>
            <w:vAlign w:val="center"/>
          </w:tcPr>
          <w:p w14:paraId="116054F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A38D7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471E2A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发货数量、时间及在途状态形成后</w:t>
            </w:r>
          </w:p>
        </w:tc>
        <w:tc>
          <w:tcPr>
            <w:tcW w:w="1406" w:type="dxa"/>
            <w:tcBorders>
              <w:top w:val="nil"/>
              <w:left w:val="nil"/>
              <w:bottom w:val="nil"/>
              <w:right w:val="nil"/>
            </w:tcBorders>
            <w:shd w:val="clear" w:color="auto" w:fill="auto"/>
            <w:vAlign w:val="center"/>
          </w:tcPr>
          <w:p w14:paraId="08B843A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记录到厂和质检状态；到厂待检仍属于未完成采购承诺；质量异常转质量业务流程处理并反馈采购跟踪。</w:t>
            </w:r>
          </w:p>
        </w:tc>
        <w:tc>
          <w:tcPr>
            <w:tcW w:w="1088" w:type="dxa"/>
            <w:tcBorders>
              <w:top w:val="nil"/>
              <w:left w:val="nil"/>
              <w:bottom w:val="nil"/>
              <w:right w:val="nil"/>
            </w:tcBorders>
            <w:shd w:val="clear" w:color="auto" w:fill="auto"/>
            <w:vAlign w:val="center"/>
          </w:tcPr>
          <w:p w14:paraId="188555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到货数量、到货时间、待检及质检结果</w:t>
            </w:r>
          </w:p>
        </w:tc>
        <w:tc>
          <w:tcPr>
            <w:tcW w:w="1460" w:type="dxa"/>
            <w:tcBorders>
              <w:top w:val="nil"/>
              <w:left w:val="nil"/>
              <w:bottom w:val="nil"/>
              <w:right w:val="nil"/>
            </w:tcBorders>
            <w:shd w:val="clear" w:color="auto" w:fill="auto"/>
            <w:vAlign w:val="center"/>
          </w:tcPr>
          <w:p w14:paraId="4D608E7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SCOS/QMS/LIMS</w:t>
            </w:r>
          </w:p>
        </w:tc>
      </w:tr>
      <w:tr w14:paraId="7A399840">
        <w:trPr>
          <w:cantSplit/>
          <w:trHeight w:val="0" w:hRule="atLeast"/>
          <w:jc w:val="center"/>
        </w:trPr>
        <w:tc>
          <w:tcPr>
            <w:tcW w:w="2944" w:type="dxa"/>
            <w:tcBorders>
              <w:top w:val="nil"/>
              <w:left w:val="nil"/>
              <w:bottom w:val="nil"/>
              <w:right w:val="nil"/>
            </w:tcBorders>
            <w:shd w:val="clear" w:color="auto" w:fill="auto"/>
            <w:vAlign w:val="center"/>
          </w:tcPr>
          <w:p w14:paraId="030B9C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P-ZLTC-SCOS-CGYH-004-40-001</w:t>
            </w:r>
          </w:p>
        </w:tc>
        <w:tc>
          <w:tcPr>
            <w:tcW w:w="945" w:type="dxa"/>
            <w:tcBorders>
              <w:top w:val="nil"/>
              <w:left w:val="nil"/>
              <w:bottom w:val="nil"/>
              <w:right w:val="nil"/>
            </w:tcBorders>
            <w:shd w:val="clear" w:color="auto" w:fill="auto"/>
            <w:vAlign w:val="center"/>
          </w:tcPr>
          <w:p w14:paraId="6EF483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更新执行状态规则</w:t>
            </w:r>
          </w:p>
        </w:tc>
        <w:tc>
          <w:tcPr>
            <w:tcW w:w="966" w:type="dxa"/>
            <w:tcBorders>
              <w:top w:val="nil"/>
              <w:left w:val="nil"/>
              <w:bottom w:val="nil"/>
              <w:right w:val="nil"/>
            </w:tcBorders>
            <w:shd w:val="clear" w:color="auto" w:fill="auto"/>
            <w:vAlign w:val="center"/>
          </w:tcPr>
          <w:p w14:paraId="4CC21F7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2A412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2CE993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到货数量、到货时间、待检及质检结果形成后</w:t>
            </w:r>
          </w:p>
        </w:tc>
        <w:tc>
          <w:tcPr>
            <w:tcW w:w="1406" w:type="dxa"/>
            <w:tcBorders>
              <w:top w:val="nil"/>
              <w:left w:val="nil"/>
              <w:bottom w:val="nil"/>
              <w:right w:val="nil"/>
            </w:tcBorders>
            <w:shd w:val="clear" w:color="auto" w:fill="auto"/>
            <w:vAlign w:val="center"/>
          </w:tcPr>
          <w:p w14:paraId="411E2C5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汇总采购全程状态，更新下一轮采购计算使用的采购承诺；多系统数据不一致时提示人工复核。</w:t>
            </w:r>
          </w:p>
        </w:tc>
        <w:tc>
          <w:tcPr>
            <w:tcW w:w="1088" w:type="dxa"/>
            <w:tcBorders>
              <w:top w:val="nil"/>
              <w:left w:val="nil"/>
              <w:bottom w:val="nil"/>
              <w:right w:val="nil"/>
            </w:tcBorders>
            <w:shd w:val="clear" w:color="auto" w:fill="auto"/>
            <w:vAlign w:val="center"/>
          </w:tcPr>
          <w:p w14:paraId="24DEF1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采购执行进度、未完成采购承诺及执行偏差</w:t>
            </w:r>
          </w:p>
        </w:tc>
        <w:tc>
          <w:tcPr>
            <w:tcW w:w="1460" w:type="dxa"/>
            <w:tcBorders>
              <w:top w:val="nil"/>
              <w:left w:val="nil"/>
              <w:bottom w:val="nil"/>
              <w:right w:val="nil"/>
            </w:tcBorders>
            <w:shd w:val="clear" w:color="auto" w:fill="auto"/>
            <w:vAlign w:val="center"/>
          </w:tcPr>
          <w:p w14:paraId="1D64495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870F96">
        <w:trPr>
          <w:cantSplit/>
          <w:trHeight w:val="0" w:hRule="atLeast"/>
          <w:jc w:val="center"/>
        </w:trPr>
        <w:tc>
          <w:tcPr>
            <w:tcW w:w="2944" w:type="dxa"/>
            <w:tcBorders>
              <w:top w:val="nil"/>
              <w:left w:val="nil"/>
              <w:bottom w:val="nil"/>
              <w:right w:val="nil"/>
            </w:tcBorders>
            <w:shd w:val="clear" w:color="auto" w:fill="auto"/>
            <w:vAlign w:val="center"/>
          </w:tcPr>
          <w:p w14:paraId="45AC8EA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P-ZLTC-SCOS-CGYH-004-50-001</w:t>
            </w:r>
          </w:p>
        </w:tc>
        <w:tc>
          <w:tcPr>
            <w:tcW w:w="945" w:type="dxa"/>
            <w:tcBorders>
              <w:top w:val="nil"/>
              <w:left w:val="nil"/>
              <w:bottom w:val="nil"/>
              <w:right w:val="nil"/>
            </w:tcBorders>
            <w:shd w:val="clear" w:color="auto" w:fill="auto"/>
            <w:vAlign w:val="center"/>
          </w:tcPr>
          <w:p w14:paraId="6F676AD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判断是否需要调整规则</w:t>
            </w:r>
          </w:p>
        </w:tc>
        <w:tc>
          <w:tcPr>
            <w:tcW w:w="966" w:type="dxa"/>
            <w:tcBorders>
              <w:top w:val="nil"/>
              <w:left w:val="nil"/>
              <w:bottom w:val="nil"/>
              <w:right w:val="nil"/>
            </w:tcBorders>
            <w:shd w:val="clear" w:color="auto" w:fill="auto"/>
            <w:vAlign w:val="center"/>
          </w:tcPr>
          <w:p w14:paraId="42F4DE2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5C5FF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5CD6BF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采购执行进度、未完成采购承诺及执行偏差形成后</w:t>
            </w:r>
          </w:p>
        </w:tc>
        <w:tc>
          <w:tcPr>
            <w:tcW w:w="1406" w:type="dxa"/>
            <w:tcBorders>
              <w:top w:val="nil"/>
              <w:left w:val="nil"/>
              <w:bottom w:val="nil"/>
              <w:right w:val="nil"/>
            </w:tcBorders>
            <w:shd w:val="clear" w:color="auto" w:fill="auto"/>
            <w:vAlign w:val="center"/>
          </w:tcPr>
          <w:p w14:paraId="01BB3F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判断需求变化、延期、到货不足或质检异常是否影响未执行安排；不需要调整时完成本次跟踪；需要调整时继续处理。</w:t>
            </w:r>
          </w:p>
        </w:tc>
        <w:tc>
          <w:tcPr>
            <w:tcW w:w="1088" w:type="dxa"/>
            <w:tcBorders>
              <w:top w:val="nil"/>
              <w:left w:val="nil"/>
              <w:bottom w:val="nil"/>
              <w:right w:val="nil"/>
            </w:tcBorders>
            <w:shd w:val="clear" w:color="auto" w:fill="auto"/>
            <w:vAlign w:val="center"/>
          </w:tcPr>
          <w:p w14:paraId="27BAF2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调整判断</w:t>
            </w:r>
          </w:p>
        </w:tc>
        <w:tc>
          <w:tcPr>
            <w:tcW w:w="1460" w:type="dxa"/>
            <w:tcBorders>
              <w:top w:val="nil"/>
              <w:left w:val="nil"/>
              <w:bottom w:val="nil"/>
              <w:right w:val="nil"/>
            </w:tcBorders>
            <w:shd w:val="clear" w:color="auto" w:fill="auto"/>
            <w:vAlign w:val="center"/>
          </w:tcPr>
          <w:p w14:paraId="1FCD2CA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5578F18">
        <w:trPr>
          <w:cantSplit/>
          <w:trHeight w:val="0" w:hRule="atLeast"/>
          <w:jc w:val="center"/>
        </w:trPr>
        <w:tc>
          <w:tcPr>
            <w:tcW w:w="2944" w:type="dxa"/>
            <w:tcBorders>
              <w:top w:val="nil"/>
              <w:left w:val="nil"/>
              <w:bottom w:val="nil"/>
              <w:right w:val="nil"/>
            </w:tcBorders>
            <w:shd w:val="clear" w:color="auto" w:fill="auto"/>
            <w:vAlign w:val="center"/>
          </w:tcPr>
          <w:p w14:paraId="58D892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P-ZLTC-SCOS-CGYH-004-60-001</w:t>
            </w:r>
          </w:p>
        </w:tc>
        <w:tc>
          <w:tcPr>
            <w:tcW w:w="945" w:type="dxa"/>
            <w:tcBorders>
              <w:top w:val="nil"/>
              <w:left w:val="nil"/>
              <w:bottom w:val="nil"/>
              <w:right w:val="nil"/>
            </w:tcBorders>
            <w:shd w:val="clear" w:color="auto" w:fill="auto"/>
            <w:vAlign w:val="center"/>
          </w:tcPr>
          <w:p w14:paraId="417D3A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发起滚动调整或异常处理规则</w:t>
            </w:r>
          </w:p>
        </w:tc>
        <w:tc>
          <w:tcPr>
            <w:tcW w:w="966" w:type="dxa"/>
            <w:tcBorders>
              <w:top w:val="nil"/>
              <w:left w:val="nil"/>
              <w:bottom w:val="nil"/>
              <w:right w:val="nil"/>
            </w:tcBorders>
            <w:shd w:val="clear" w:color="auto" w:fill="auto"/>
            <w:vAlign w:val="center"/>
          </w:tcPr>
          <w:p w14:paraId="74B241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2397A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3BD08E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需要调整时</w:t>
            </w:r>
          </w:p>
        </w:tc>
        <w:tc>
          <w:tcPr>
            <w:tcW w:w="1406" w:type="dxa"/>
            <w:tcBorders>
              <w:top w:val="nil"/>
              <w:left w:val="nil"/>
              <w:bottom w:val="nil"/>
              <w:right w:val="nil"/>
            </w:tcBorders>
            <w:shd w:val="clear" w:color="auto" w:fill="auto"/>
            <w:vAlign w:val="center"/>
          </w:tcPr>
          <w:p w14:paraId="01D488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影响采购计划时进入滚动调整流程；异常未关闭前持续跟踪。</w:t>
            </w:r>
          </w:p>
        </w:tc>
        <w:tc>
          <w:tcPr>
            <w:tcW w:w="1088" w:type="dxa"/>
            <w:tcBorders>
              <w:top w:val="nil"/>
              <w:left w:val="nil"/>
              <w:bottom w:val="nil"/>
              <w:right w:val="nil"/>
            </w:tcBorders>
            <w:shd w:val="clear" w:color="auto" w:fill="auto"/>
            <w:vAlign w:val="center"/>
          </w:tcPr>
          <w:p w14:paraId="40149EC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滚动调整任务或异常处理记录</w:t>
            </w:r>
          </w:p>
        </w:tc>
        <w:tc>
          <w:tcPr>
            <w:tcW w:w="1460" w:type="dxa"/>
            <w:tcBorders>
              <w:top w:val="nil"/>
              <w:left w:val="nil"/>
              <w:bottom w:val="nil"/>
              <w:right w:val="nil"/>
            </w:tcBorders>
            <w:shd w:val="clear" w:color="auto" w:fill="auto"/>
            <w:vAlign w:val="center"/>
          </w:tcPr>
          <w:p w14:paraId="6A6DFFF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70B8B84">
        <w:trPr>
          <w:cantSplit/>
          <w:trHeight w:val="0" w:hRule="atLeast"/>
          <w:jc w:val="center"/>
        </w:trPr>
        <w:tc>
          <w:tcPr>
            <w:tcW w:w="2944" w:type="dxa"/>
            <w:tcBorders>
              <w:top w:val="nil"/>
              <w:left w:val="nil"/>
              <w:bottom w:val="nil"/>
              <w:right w:val="nil"/>
            </w:tcBorders>
            <w:shd w:val="clear" w:color="auto" w:fill="auto"/>
            <w:vAlign w:val="center"/>
          </w:tcPr>
          <w:p w14:paraId="796B2F3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P-ZLTC-SCOS-YHJH-001-10-001</w:t>
            </w:r>
          </w:p>
        </w:tc>
        <w:tc>
          <w:tcPr>
            <w:tcW w:w="945" w:type="dxa"/>
            <w:tcBorders>
              <w:top w:val="nil"/>
              <w:left w:val="nil"/>
              <w:bottom w:val="nil"/>
              <w:right w:val="nil"/>
            </w:tcBorders>
            <w:shd w:val="clear" w:color="auto" w:fill="auto"/>
            <w:vAlign w:val="center"/>
          </w:tcPr>
          <w:p w14:paraId="629E50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提供有效合同及未执行数量规则</w:t>
            </w:r>
          </w:p>
        </w:tc>
        <w:tc>
          <w:tcPr>
            <w:tcW w:w="966" w:type="dxa"/>
            <w:tcBorders>
              <w:top w:val="nil"/>
              <w:left w:val="nil"/>
              <w:bottom w:val="nil"/>
              <w:right w:val="nil"/>
            </w:tcBorders>
            <w:shd w:val="clear" w:color="auto" w:fill="auto"/>
            <w:vAlign w:val="center"/>
          </w:tcPr>
          <w:p w14:paraId="585A99F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405F09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611FB33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有效采购合同新增、合同剩余量变化、供应商送货条件变化或业务人员发起维护时</w:t>
            </w:r>
          </w:p>
        </w:tc>
        <w:tc>
          <w:tcPr>
            <w:tcW w:w="1406" w:type="dxa"/>
            <w:tcBorders>
              <w:top w:val="nil"/>
              <w:left w:val="nil"/>
              <w:bottom w:val="nil"/>
              <w:right w:val="nil"/>
            </w:tcBorders>
            <w:shd w:val="clear" w:color="auto" w:fill="auto"/>
            <w:vAlign w:val="center"/>
          </w:tcPr>
          <w:p w14:paraId="6EC300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仅提供已签订且处于有效状态的合同和订单；合同失效、暂停或无可安排余量时，不进入新增要货范围。</w:t>
            </w:r>
          </w:p>
        </w:tc>
        <w:tc>
          <w:tcPr>
            <w:tcW w:w="1088" w:type="dxa"/>
            <w:tcBorders>
              <w:top w:val="nil"/>
              <w:left w:val="nil"/>
              <w:bottom w:val="nil"/>
              <w:right w:val="nil"/>
            </w:tcBorders>
            <w:shd w:val="clear" w:color="auto" w:fill="auto"/>
            <w:vAlign w:val="center"/>
          </w:tcPr>
          <w:p w14:paraId="56BB2F3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有效合同、关联订单、签订日期、有效期、最晚交期及可安排余量</w:t>
            </w:r>
          </w:p>
        </w:tc>
        <w:tc>
          <w:tcPr>
            <w:tcW w:w="1460" w:type="dxa"/>
            <w:tcBorders>
              <w:top w:val="nil"/>
              <w:left w:val="nil"/>
              <w:bottom w:val="nil"/>
              <w:right w:val="nil"/>
            </w:tcBorders>
            <w:shd w:val="clear" w:color="auto" w:fill="auto"/>
            <w:vAlign w:val="center"/>
          </w:tcPr>
          <w:p w14:paraId="0C9AF4F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SCOS/SAP/E采/合同管理系统</w:t>
            </w:r>
          </w:p>
        </w:tc>
      </w:tr>
      <w:tr w14:paraId="4727A2FC">
        <w:trPr>
          <w:cantSplit/>
          <w:trHeight w:val="0" w:hRule="atLeast"/>
          <w:jc w:val="center"/>
        </w:trPr>
        <w:tc>
          <w:tcPr>
            <w:tcW w:w="2944" w:type="dxa"/>
            <w:tcBorders>
              <w:top w:val="nil"/>
              <w:left w:val="nil"/>
              <w:bottom w:val="nil"/>
              <w:right w:val="nil"/>
            </w:tcBorders>
            <w:shd w:val="clear" w:color="auto" w:fill="auto"/>
            <w:vAlign w:val="center"/>
          </w:tcPr>
          <w:p w14:paraId="42BC07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P-ZLTC-SCOS-YHJH-001-20-001</w:t>
            </w:r>
          </w:p>
        </w:tc>
        <w:tc>
          <w:tcPr>
            <w:tcW w:w="945" w:type="dxa"/>
            <w:tcBorders>
              <w:top w:val="nil"/>
              <w:left w:val="nil"/>
              <w:bottom w:val="nil"/>
              <w:right w:val="nil"/>
            </w:tcBorders>
            <w:shd w:val="clear" w:color="auto" w:fill="auto"/>
            <w:vAlign w:val="center"/>
          </w:tcPr>
          <w:p w14:paraId="38E5E5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补充送货条件与可供信息规则</w:t>
            </w:r>
          </w:p>
        </w:tc>
        <w:tc>
          <w:tcPr>
            <w:tcW w:w="966" w:type="dxa"/>
            <w:tcBorders>
              <w:top w:val="nil"/>
              <w:left w:val="nil"/>
              <w:bottom w:val="nil"/>
              <w:right w:val="nil"/>
            </w:tcBorders>
            <w:shd w:val="clear" w:color="auto" w:fill="auto"/>
            <w:vAlign w:val="center"/>
          </w:tcPr>
          <w:p w14:paraId="104C423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D037A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5CD0DDC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有效合同、关联订单、签订日期、有效期、最晚交期及可安排余量形成后</w:t>
            </w:r>
          </w:p>
        </w:tc>
        <w:tc>
          <w:tcPr>
            <w:tcW w:w="1406" w:type="dxa"/>
            <w:tcBorders>
              <w:top w:val="nil"/>
              <w:left w:val="nil"/>
              <w:bottom w:val="nil"/>
              <w:right w:val="nil"/>
            </w:tcBorders>
            <w:shd w:val="clear" w:color="auto" w:fill="auto"/>
            <w:vAlign w:val="center"/>
          </w:tcPr>
          <w:p w14:paraId="4748FFA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对暂无稳定系统来源的送货条件进行维护；必要信息缺失时标记“待补充”，不得形成缺乏依据的确定性安排。</w:t>
            </w:r>
          </w:p>
        </w:tc>
        <w:tc>
          <w:tcPr>
            <w:tcW w:w="1088" w:type="dxa"/>
            <w:tcBorders>
              <w:top w:val="nil"/>
              <w:left w:val="nil"/>
              <w:bottom w:val="nil"/>
              <w:right w:val="nil"/>
            </w:tcBorders>
            <w:shd w:val="clear" w:color="auto" w:fill="auto"/>
            <w:vAlign w:val="center"/>
          </w:tcPr>
          <w:p w14:paraId="373CD67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供应商存放地点、运输提前期、最早可到货日、日期可供量、合同执行顺序等</w:t>
            </w:r>
          </w:p>
        </w:tc>
        <w:tc>
          <w:tcPr>
            <w:tcW w:w="1460" w:type="dxa"/>
            <w:tcBorders>
              <w:top w:val="nil"/>
              <w:left w:val="nil"/>
              <w:bottom w:val="nil"/>
              <w:right w:val="nil"/>
            </w:tcBorders>
            <w:shd w:val="clear" w:color="auto" w:fill="auto"/>
            <w:vAlign w:val="center"/>
          </w:tcPr>
          <w:p w14:paraId="0C33AC9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1603282">
        <w:trPr>
          <w:cantSplit/>
          <w:trHeight w:val="0" w:hRule="atLeast"/>
          <w:jc w:val="center"/>
        </w:trPr>
        <w:tc>
          <w:tcPr>
            <w:tcW w:w="2944" w:type="dxa"/>
            <w:tcBorders>
              <w:top w:val="nil"/>
              <w:left w:val="nil"/>
              <w:bottom w:val="nil"/>
              <w:right w:val="nil"/>
            </w:tcBorders>
            <w:shd w:val="clear" w:color="auto" w:fill="auto"/>
            <w:vAlign w:val="center"/>
          </w:tcPr>
          <w:p w14:paraId="0A1DED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P-ZLTC-SCOS-YHJH-001-30-001</w:t>
            </w:r>
          </w:p>
        </w:tc>
        <w:tc>
          <w:tcPr>
            <w:tcW w:w="945" w:type="dxa"/>
            <w:tcBorders>
              <w:top w:val="nil"/>
              <w:left w:val="nil"/>
              <w:bottom w:val="nil"/>
              <w:right w:val="nil"/>
            </w:tcBorders>
            <w:shd w:val="clear" w:color="auto" w:fill="auto"/>
            <w:vAlign w:val="center"/>
          </w:tcPr>
          <w:p w14:paraId="161F07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形成默认供应商及合同顺序规则</w:t>
            </w:r>
          </w:p>
        </w:tc>
        <w:tc>
          <w:tcPr>
            <w:tcW w:w="966" w:type="dxa"/>
            <w:tcBorders>
              <w:top w:val="nil"/>
              <w:left w:val="nil"/>
              <w:bottom w:val="nil"/>
              <w:right w:val="nil"/>
            </w:tcBorders>
            <w:shd w:val="clear" w:color="auto" w:fill="auto"/>
            <w:vAlign w:val="center"/>
          </w:tcPr>
          <w:p w14:paraId="448E5C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C95F4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312A14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供应商存放地点、运输提前期、最早可到货日、日期可供量、合同执行顺序等形成后</w:t>
            </w:r>
          </w:p>
        </w:tc>
        <w:tc>
          <w:tcPr>
            <w:tcW w:w="1406" w:type="dxa"/>
            <w:tcBorders>
              <w:top w:val="nil"/>
              <w:left w:val="nil"/>
              <w:bottom w:val="nil"/>
              <w:right w:val="nil"/>
            </w:tcBorders>
            <w:shd w:val="clear" w:color="auto" w:fill="auto"/>
            <w:vAlign w:val="center"/>
          </w:tcPr>
          <w:p w14:paraId="73EEFA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默认按合同签订时间先后排序，先签合同优先；同一签订时间或顺序无法确定时提示采购计划员确认。</w:t>
            </w:r>
          </w:p>
        </w:tc>
        <w:tc>
          <w:tcPr>
            <w:tcW w:w="1088" w:type="dxa"/>
            <w:tcBorders>
              <w:top w:val="nil"/>
              <w:left w:val="nil"/>
              <w:bottom w:val="nil"/>
              <w:right w:val="nil"/>
            </w:tcBorders>
            <w:shd w:val="clear" w:color="auto" w:fill="auto"/>
            <w:vAlign w:val="center"/>
          </w:tcPr>
          <w:p w14:paraId="4051369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默认要货优先顺序</w:t>
            </w:r>
          </w:p>
        </w:tc>
        <w:tc>
          <w:tcPr>
            <w:tcW w:w="1460" w:type="dxa"/>
            <w:tcBorders>
              <w:top w:val="nil"/>
              <w:left w:val="nil"/>
              <w:bottom w:val="nil"/>
              <w:right w:val="nil"/>
            </w:tcBorders>
            <w:shd w:val="clear" w:color="auto" w:fill="auto"/>
            <w:vAlign w:val="center"/>
          </w:tcPr>
          <w:p w14:paraId="2D930BB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2B6829">
        <w:trPr>
          <w:cantSplit/>
          <w:trHeight w:val="0" w:hRule="atLeast"/>
          <w:jc w:val="center"/>
        </w:trPr>
        <w:tc>
          <w:tcPr>
            <w:tcW w:w="2944" w:type="dxa"/>
            <w:tcBorders>
              <w:top w:val="nil"/>
              <w:left w:val="nil"/>
              <w:bottom w:val="nil"/>
              <w:right w:val="nil"/>
            </w:tcBorders>
            <w:shd w:val="clear" w:color="auto" w:fill="auto"/>
            <w:vAlign w:val="center"/>
          </w:tcPr>
          <w:p w14:paraId="3F84A2D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P-ZLTC-SCOS-YHJH-001-40-001</w:t>
            </w:r>
          </w:p>
        </w:tc>
        <w:tc>
          <w:tcPr>
            <w:tcW w:w="945" w:type="dxa"/>
            <w:tcBorders>
              <w:top w:val="nil"/>
              <w:left w:val="nil"/>
              <w:bottom w:val="nil"/>
              <w:right w:val="nil"/>
            </w:tcBorders>
            <w:shd w:val="clear" w:color="auto" w:fill="auto"/>
            <w:vAlign w:val="center"/>
          </w:tcPr>
          <w:p w14:paraId="257404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评审并调整要货优先顺序规则</w:t>
            </w:r>
          </w:p>
        </w:tc>
        <w:tc>
          <w:tcPr>
            <w:tcW w:w="966" w:type="dxa"/>
            <w:tcBorders>
              <w:top w:val="nil"/>
              <w:left w:val="nil"/>
              <w:bottom w:val="nil"/>
              <w:right w:val="nil"/>
            </w:tcBorders>
            <w:shd w:val="clear" w:color="auto" w:fill="auto"/>
            <w:vAlign w:val="center"/>
          </w:tcPr>
          <w:p w14:paraId="046B86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9CA37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4700E8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默认要货优先顺序形成并具备评审条件后</w:t>
            </w:r>
          </w:p>
        </w:tc>
        <w:tc>
          <w:tcPr>
            <w:tcW w:w="1406" w:type="dxa"/>
            <w:tcBorders>
              <w:top w:val="nil"/>
              <w:left w:val="nil"/>
              <w:bottom w:val="nil"/>
              <w:right w:val="nil"/>
            </w:tcBorders>
            <w:shd w:val="clear" w:color="auto" w:fill="auto"/>
            <w:vAlign w:val="center"/>
          </w:tcPr>
          <w:p w14:paraId="787E788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采购计划员可依据成本和实际协商结果调整顺序；未填写调整理由时不允许提交人工调整顺序。</w:t>
            </w:r>
          </w:p>
        </w:tc>
        <w:tc>
          <w:tcPr>
            <w:tcW w:w="1088" w:type="dxa"/>
            <w:tcBorders>
              <w:top w:val="nil"/>
              <w:left w:val="nil"/>
              <w:bottom w:val="nil"/>
              <w:right w:val="nil"/>
            </w:tcBorders>
            <w:shd w:val="clear" w:color="auto" w:fill="auto"/>
            <w:vAlign w:val="center"/>
          </w:tcPr>
          <w:p w14:paraId="52F6532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业务确认的供应商及合同顺序、调整理由</w:t>
            </w:r>
          </w:p>
        </w:tc>
        <w:tc>
          <w:tcPr>
            <w:tcW w:w="1460" w:type="dxa"/>
            <w:tcBorders>
              <w:top w:val="nil"/>
              <w:left w:val="nil"/>
              <w:bottom w:val="nil"/>
              <w:right w:val="nil"/>
            </w:tcBorders>
            <w:shd w:val="clear" w:color="auto" w:fill="auto"/>
            <w:vAlign w:val="center"/>
          </w:tcPr>
          <w:p w14:paraId="3027ED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CB4BA3C">
        <w:trPr>
          <w:cantSplit/>
          <w:trHeight w:val="0" w:hRule="atLeast"/>
          <w:jc w:val="center"/>
        </w:trPr>
        <w:tc>
          <w:tcPr>
            <w:tcW w:w="2944" w:type="dxa"/>
            <w:tcBorders>
              <w:top w:val="nil"/>
              <w:left w:val="nil"/>
              <w:bottom w:val="nil"/>
              <w:right w:val="nil"/>
            </w:tcBorders>
            <w:shd w:val="clear" w:color="auto" w:fill="auto"/>
            <w:vAlign w:val="center"/>
          </w:tcPr>
          <w:p w14:paraId="56A4B2C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P-ZLTC-SCOS-YHJH-001-50-001</w:t>
            </w:r>
          </w:p>
        </w:tc>
        <w:tc>
          <w:tcPr>
            <w:tcW w:w="945" w:type="dxa"/>
            <w:tcBorders>
              <w:top w:val="nil"/>
              <w:left w:val="nil"/>
              <w:bottom w:val="nil"/>
              <w:right w:val="nil"/>
            </w:tcBorders>
            <w:shd w:val="clear" w:color="auto" w:fill="auto"/>
            <w:vAlign w:val="center"/>
          </w:tcPr>
          <w:p w14:paraId="24AB040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判断条件是否完整可用规则</w:t>
            </w:r>
          </w:p>
        </w:tc>
        <w:tc>
          <w:tcPr>
            <w:tcW w:w="966" w:type="dxa"/>
            <w:tcBorders>
              <w:top w:val="nil"/>
              <w:left w:val="nil"/>
              <w:bottom w:val="nil"/>
              <w:right w:val="nil"/>
            </w:tcBorders>
            <w:shd w:val="clear" w:color="auto" w:fill="auto"/>
            <w:vAlign w:val="center"/>
          </w:tcPr>
          <w:p w14:paraId="0CDE8F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1BE65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184582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业务确认的供应商及合同顺序、调整理由形成后</w:t>
            </w:r>
          </w:p>
        </w:tc>
        <w:tc>
          <w:tcPr>
            <w:tcW w:w="1406" w:type="dxa"/>
            <w:tcBorders>
              <w:top w:val="nil"/>
              <w:left w:val="nil"/>
              <w:bottom w:val="nil"/>
              <w:right w:val="nil"/>
            </w:tcBorders>
            <w:shd w:val="clear" w:color="auto" w:fill="auto"/>
            <w:vAlign w:val="center"/>
          </w:tcPr>
          <w:p w14:paraId="1CB564C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核对合同有效性、可安排余量、交期及运输提前期等条件；条件不完整可用时退回补充或调整；条件完整可用时继续处理。</w:t>
            </w:r>
          </w:p>
        </w:tc>
        <w:tc>
          <w:tcPr>
            <w:tcW w:w="1088" w:type="dxa"/>
            <w:tcBorders>
              <w:top w:val="nil"/>
              <w:left w:val="nil"/>
              <w:bottom w:val="nil"/>
              <w:right w:val="nil"/>
            </w:tcBorders>
            <w:shd w:val="clear" w:color="auto" w:fill="auto"/>
            <w:vAlign w:val="center"/>
          </w:tcPr>
          <w:p w14:paraId="022FB02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完整性与可用性校验结果</w:t>
            </w:r>
          </w:p>
        </w:tc>
        <w:tc>
          <w:tcPr>
            <w:tcW w:w="1460" w:type="dxa"/>
            <w:tcBorders>
              <w:top w:val="nil"/>
              <w:left w:val="nil"/>
              <w:bottom w:val="nil"/>
              <w:right w:val="nil"/>
            </w:tcBorders>
            <w:shd w:val="clear" w:color="auto" w:fill="auto"/>
            <w:vAlign w:val="center"/>
          </w:tcPr>
          <w:p w14:paraId="0D7DA6F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E41A3A6">
        <w:trPr>
          <w:cantSplit/>
          <w:trHeight w:val="0" w:hRule="atLeast"/>
          <w:jc w:val="center"/>
        </w:trPr>
        <w:tc>
          <w:tcPr>
            <w:tcW w:w="2944" w:type="dxa"/>
            <w:tcBorders>
              <w:top w:val="nil"/>
              <w:left w:val="nil"/>
              <w:bottom w:val="nil"/>
              <w:right w:val="nil"/>
            </w:tcBorders>
            <w:shd w:val="clear" w:color="auto" w:fill="auto"/>
            <w:vAlign w:val="center"/>
          </w:tcPr>
          <w:p w14:paraId="4238835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P-ZLTC-SCOS-YHJH-001-60-001</w:t>
            </w:r>
          </w:p>
        </w:tc>
        <w:tc>
          <w:tcPr>
            <w:tcW w:w="945" w:type="dxa"/>
            <w:tcBorders>
              <w:top w:val="nil"/>
              <w:left w:val="nil"/>
              <w:bottom w:val="nil"/>
              <w:right w:val="nil"/>
            </w:tcBorders>
            <w:shd w:val="clear" w:color="auto" w:fill="auto"/>
            <w:vAlign w:val="center"/>
          </w:tcPr>
          <w:p w14:paraId="2FA2D9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确认并发布要货条件版本规则</w:t>
            </w:r>
          </w:p>
        </w:tc>
        <w:tc>
          <w:tcPr>
            <w:tcW w:w="966" w:type="dxa"/>
            <w:tcBorders>
              <w:top w:val="nil"/>
              <w:left w:val="nil"/>
              <w:bottom w:val="nil"/>
              <w:right w:val="nil"/>
            </w:tcBorders>
            <w:shd w:val="clear" w:color="auto" w:fill="auto"/>
            <w:vAlign w:val="center"/>
          </w:tcPr>
          <w:p w14:paraId="1821DB6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63F35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5BD070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条件完整可用时</w:t>
            </w:r>
          </w:p>
        </w:tc>
        <w:tc>
          <w:tcPr>
            <w:tcW w:w="1406" w:type="dxa"/>
            <w:tcBorders>
              <w:top w:val="nil"/>
              <w:left w:val="nil"/>
              <w:bottom w:val="nil"/>
              <w:right w:val="nil"/>
            </w:tcBorders>
            <w:shd w:val="clear" w:color="auto" w:fill="auto"/>
            <w:vAlign w:val="center"/>
          </w:tcPr>
          <w:p w14:paraId="0F1A7AB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对要货基础条件和人工调整顺序进行业务确认；不确认时补充完善。</w:t>
            </w:r>
          </w:p>
        </w:tc>
        <w:tc>
          <w:tcPr>
            <w:tcW w:w="1088" w:type="dxa"/>
            <w:tcBorders>
              <w:top w:val="nil"/>
              <w:left w:val="nil"/>
              <w:bottom w:val="nil"/>
              <w:right w:val="nil"/>
            </w:tcBorders>
            <w:shd w:val="clear" w:color="auto" w:fill="auto"/>
            <w:vAlign w:val="center"/>
          </w:tcPr>
          <w:p w14:paraId="7BF36D8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确认结论及条件版本</w:t>
            </w:r>
          </w:p>
        </w:tc>
        <w:tc>
          <w:tcPr>
            <w:tcW w:w="1460" w:type="dxa"/>
            <w:tcBorders>
              <w:top w:val="nil"/>
              <w:left w:val="nil"/>
              <w:bottom w:val="nil"/>
              <w:right w:val="nil"/>
            </w:tcBorders>
            <w:shd w:val="clear" w:color="auto" w:fill="auto"/>
            <w:vAlign w:val="center"/>
          </w:tcPr>
          <w:p w14:paraId="60F2798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8B77DFA">
        <w:trPr>
          <w:cantSplit/>
          <w:trHeight w:val="0" w:hRule="atLeast"/>
          <w:jc w:val="center"/>
        </w:trPr>
        <w:tc>
          <w:tcPr>
            <w:tcW w:w="2944" w:type="dxa"/>
            <w:tcBorders>
              <w:top w:val="nil"/>
              <w:left w:val="nil"/>
              <w:bottom w:val="nil"/>
              <w:right w:val="nil"/>
            </w:tcBorders>
            <w:shd w:val="clear" w:color="auto" w:fill="auto"/>
            <w:vAlign w:val="center"/>
          </w:tcPr>
          <w:p w14:paraId="3330B1B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P-ZLTC-SCOS-YHJH-001-70-001</w:t>
            </w:r>
          </w:p>
        </w:tc>
        <w:tc>
          <w:tcPr>
            <w:tcW w:w="945" w:type="dxa"/>
            <w:tcBorders>
              <w:top w:val="nil"/>
              <w:left w:val="nil"/>
              <w:bottom w:val="nil"/>
              <w:right w:val="nil"/>
            </w:tcBorders>
            <w:shd w:val="clear" w:color="auto" w:fill="auto"/>
            <w:vAlign w:val="center"/>
          </w:tcPr>
          <w:p w14:paraId="626EC7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条件生效用于计划规则</w:t>
            </w:r>
          </w:p>
        </w:tc>
        <w:tc>
          <w:tcPr>
            <w:tcW w:w="966" w:type="dxa"/>
            <w:tcBorders>
              <w:top w:val="nil"/>
              <w:left w:val="nil"/>
              <w:bottom w:val="nil"/>
              <w:right w:val="nil"/>
            </w:tcBorders>
            <w:shd w:val="clear" w:color="auto" w:fill="auto"/>
            <w:vAlign w:val="center"/>
          </w:tcPr>
          <w:p w14:paraId="2A17ACE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1B92D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36E405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确认结论及条件版本形成后</w:t>
            </w:r>
          </w:p>
        </w:tc>
        <w:tc>
          <w:tcPr>
            <w:tcW w:w="1406" w:type="dxa"/>
            <w:tcBorders>
              <w:top w:val="nil"/>
              <w:left w:val="nil"/>
              <w:bottom w:val="nil"/>
              <w:right w:val="nil"/>
            </w:tcBorders>
            <w:shd w:val="clear" w:color="auto" w:fill="auto"/>
            <w:vAlign w:val="center"/>
          </w:tcPr>
          <w:p w14:paraId="3CF719D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生效版本供日度要货计划制定和滚动调整使用；发布失败时保留待发布状态并支持重试。</w:t>
            </w:r>
          </w:p>
        </w:tc>
        <w:tc>
          <w:tcPr>
            <w:tcW w:w="1088" w:type="dxa"/>
            <w:tcBorders>
              <w:top w:val="nil"/>
              <w:left w:val="nil"/>
              <w:bottom w:val="nil"/>
              <w:right w:val="nil"/>
            </w:tcBorders>
            <w:shd w:val="clear" w:color="auto" w:fill="auto"/>
            <w:vAlign w:val="center"/>
          </w:tcPr>
          <w:p w14:paraId="45B354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生效的要货计算条件</w:t>
            </w:r>
          </w:p>
        </w:tc>
        <w:tc>
          <w:tcPr>
            <w:tcW w:w="1460" w:type="dxa"/>
            <w:tcBorders>
              <w:top w:val="nil"/>
              <w:left w:val="nil"/>
              <w:bottom w:val="nil"/>
              <w:right w:val="nil"/>
            </w:tcBorders>
            <w:shd w:val="clear" w:color="auto" w:fill="auto"/>
            <w:vAlign w:val="center"/>
          </w:tcPr>
          <w:p w14:paraId="27014BD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CC3483">
        <w:trPr>
          <w:cantSplit/>
          <w:trHeight w:val="0" w:hRule="atLeast"/>
          <w:jc w:val="center"/>
        </w:trPr>
        <w:tc>
          <w:tcPr>
            <w:tcW w:w="2944" w:type="dxa"/>
            <w:tcBorders>
              <w:top w:val="nil"/>
              <w:left w:val="nil"/>
              <w:bottom w:val="nil"/>
              <w:right w:val="nil"/>
            </w:tcBorders>
            <w:shd w:val="clear" w:color="auto" w:fill="auto"/>
            <w:vAlign w:val="center"/>
          </w:tcPr>
          <w:p w14:paraId="1F0431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P-ZLTC-SCOS-YHJH-002-10-001</w:t>
            </w:r>
          </w:p>
        </w:tc>
        <w:tc>
          <w:tcPr>
            <w:tcW w:w="945" w:type="dxa"/>
            <w:tcBorders>
              <w:top w:val="nil"/>
              <w:left w:val="nil"/>
              <w:bottom w:val="nil"/>
              <w:right w:val="nil"/>
            </w:tcBorders>
            <w:shd w:val="clear" w:color="auto" w:fill="auto"/>
            <w:vAlign w:val="center"/>
          </w:tcPr>
          <w:p w14:paraId="121E06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汇集生产耗用、库存与已有在途规则</w:t>
            </w:r>
          </w:p>
        </w:tc>
        <w:tc>
          <w:tcPr>
            <w:tcW w:w="966" w:type="dxa"/>
            <w:tcBorders>
              <w:top w:val="nil"/>
              <w:left w:val="nil"/>
              <w:bottom w:val="nil"/>
              <w:right w:val="nil"/>
            </w:tcBorders>
            <w:shd w:val="clear" w:color="auto" w:fill="auto"/>
            <w:vAlign w:val="center"/>
          </w:tcPr>
          <w:p w14:paraId="7B4A5A7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E52440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1C5A5F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系统每日定时运行，采购计划员也可按业务需要人工发起时</w:t>
            </w:r>
          </w:p>
        </w:tc>
        <w:tc>
          <w:tcPr>
            <w:tcW w:w="1406" w:type="dxa"/>
            <w:tcBorders>
              <w:top w:val="nil"/>
              <w:left w:val="nil"/>
              <w:bottom w:val="nil"/>
              <w:right w:val="nil"/>
            </w:tcBorders>
            <w:shd w:val="clear" w:color="auto" w:fill="auto"/>
            <w:vAlign w:val="center"/>
          </w:tcPr>
          <w:p w14:paraId="263C998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优先使用已发布的日度原材料需求；需求、必要BOM、库存时间或在途日期缺失时提示补充，不将缺失数据直接按零处理。</w:t>
            </w:r>
          </w:p>
        </w:tc>
        <w:tc>
          <w:tcPr>
            <w:tcW w:w="1088" w:type="dxa"/>
            <w:tcBorders>
              <w:top w:val="nil"/>
              <w:left w:val="nil"/>
              <w:bottom w:val="nil"/>
              <w:right w:val="nil"/>
            </w:tcBorders>
            <w:shd w:val="clear" w:color="auto" w:fill="auto"/>
            <w:vAlign w:val="center"/>
          </w:tcPr>
          <w:p w14:paraId="546683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要货计算数据集</w:t>
            </w:r>
          </w:p>
        </w:tc>
        <w:tc>
          <w:tcPr>
            <w:tcW w:w="1460" w:type="dxa"/>
            <w:tcBorders>
              <w:top w:val="nil"/>
              <w:left w:val="nil"/>
              <w:bottom w:val="nil"/>
              <w:right w:val="nil"/>
            </w:tcBorders>
            <w:shd w:val="clear" w:color="auto" w:fill="auto"/>
            <w:vAlign w:val="center"/>
          </w:tcPr>
          <w:p w14:paraId="60C9612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SCOS/SAP/WMS/TMS/APS/E采</w:t>
            </w:r>
          </w:p>
        </w:tc>
      </w:tr>
      <w:tr w14:paraId="1959E417">
        <w:trPr>
          <w:cantSplit/>
          <w:trHeight w:val="0" w:hRule="atLeast"/>
          <w:jc w:val="center"/>
        </w:trPr>
        <w:tc>
          <w:tcPr>
            <w:tcW w:w="2944" w:type="dxa"/>
            <w:tcBorders>
              <w:top w:val="nil"/>
              <w:left w:val="nil"/>
              <w:bottom w:val="nil"/>
              <w:right w:val="nil"/>
            </w:tcBorders>
            <w:shd w:val="clear" w:color="auto" w:fill="auto"/>
            <w:vAlign w:val="center"/>
          </w:tcPr>
          <w:p w14:paraId="090019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P-ZLTC-SCOS-YHJH-002-20-001</w:t>
            </w:r>
          </w:p>
        </w:tc>
        <w:tc>
          <w:tcPr>
            <w:tcW w:w="945" w:type="dxa"/>
            <w:tcBorders>
              <w:top w:val="nil"/>
              <w:left w:val="nil"/>
              <w:bottom w:val="nil"/>
              <w:right w:val="nil"/>
            </w:tcBorders>
            <w:shd w:val="clear" w:color="auto" w:fill="auto"/>
            <w:vAlign w:val="center"/>
          </w:tcPr>
          <w:p w14:paraId="560A56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形成需到货日期与数量规则</w:t>
            </w:r>
          </w:p>
        </w:tc>
        <w:tc>
          <w:tcPr>
            <w:tcW w:w="966" w:type="dxa"/>
            <w:tcBorders>
              <w:top w:val="nil"/>
              <w:left w:val="nil"/>
              <w:bottom w:val="nil"/>
              <w:right w:val="nil"/>
            </w:tcBorders>
            <w:shd w:val="clear" w:color="auto" w:fill="auto"/>
            <w:vAlign w:val="center"/>
          </w:tcPr>
          <w:p w14:paraId="6D38725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C38EF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51FE17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要货计算数据集形成后</w:t>
            </w:r>
          </w:p>
        </w:tc>
        <w:tc>
          <w:tcPr>
            <w:tcW w:w="1406" w:type="dxa"/>
            <w:tcBorders>
              <w:top w:val="nil"/>
              <w:left w:val="nil"/>
              <w:bottom w:val="nil"/>
              <w:right w:val="nil"/>
            </w:tcBorders>
            <w:shd w:val="clear" w:color="auto" w:fill="auto"/>
            <w:vAlign w:val="center"/>
          </w:tcPr>
          <w:p w14:paraId="135D541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按日投影库存；计划期末继续读取缓冲天数内的耗用；现有已确定的到货安排已满足需求时，该日期不新增要货。</w:t>
            </w:r>
          </w:p>
        </w:tc>
        <w:tc>
          <w:tcPr>
            <w:tcW w:w="1088" w:type="dxa"/>
            <w:tcBorders>
              <w:top w:val="nil"/>
              <w:left w:val="nil"/>
              <w:bottom w:val="nil"/>
              <w:right w:val="nil"/>
            </w:tcBorders>
            <w:shd w:val="clear" w:color="auto" w:fill="auto"/>
            <w:vAlign w:val="center"/>
          </w:tcPr>
          <w:p w14:paraId="31E1DB4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分日需到货量及风险日期</w:t>
            </w:r>
          </w:p>
        </w:tc>
        <w:tc>
          <w:tcPr>
            <w:tcW w:w="1460" w:type="dxa"/>
            <w:tcBorders>
              <w:top w:val="nil"/>
              <w:left w:val="nil"/>
              <w:bottom w:val="nil"/>
              <w:right w:val="nil"/>
            </w:tcBorders>
            <w:shd w:val="clear" w:color="auto" w:fill="auto"/>
            <w:vAlign w:val="center"/>
          </w:tcPr>
          <w:p w14:paraId="11A2992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FAC747">
        <w:trPr>
          <w:cantSplit/>
          <w:trHeight w:val="0" w:hRule="atLeast"/>
          <w:jc w:val="center"/>
        </w:trPr>
        <w:tc>
          <w:tcPr>
            <w:tcW w:w="2944" w:type="dxa"/>
            <w:tcBorders>
              <w:top w:val="nil"/>
              <w:left w:val="nil"/>
              <w:bottom w:val="nil"/>
              <w:right w:val="nil"/>
            </w:tcBorders>
            <w:shd w:val="clear" w:color="auto" w:fill="auto"/>
            <w:vAlign w:val="center"/>
          </w:tcPr>
          <w:p w14:paraId="233743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P-ZLTC-SCOS-YHJH-002-30-001</w:t>
            </w:r>
          </w:p>
        </w:tc>
        <w:tc>
          <w:tcPr>
            <w:tcW w:w="945" w:type="dxa"/>
            <w:tcBorders>
              <w:top w:val="nil"/>
              <w:left w:val="nil"/>
              <w:bottom w:val="nil"/>
              <w:right w:val="nil"/>
            </w:tcBorders>
            <w:shd w:val="clear" w:color="auto" w:fill="auto"/>
            <w:vAlign w:val="center"/>
          </w:tcPr>
          <w:p w14:paraId="60B61C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按顺序生成要货建议规则</w:t>
            </w:r>
          </w:p>
        </w:tc>
        <w:tc>
          <w:tcPr>
            <w:tcW w:w="966" w:type="dxa"/>
            <w:tcBorders>
              <w:top w:val="nil"/>
              <w:left w:val="nil"/>
              <w:bottom w:val="nil"/>
              <w:right w:val="nil"/>
            </w:tcBorders>
            <w:shd w:val="clear" w:color="auto" w:fill="auto"/>
            <w:vAlign w:val="center"/>
          </w:tcPr>
          <w:p w14:paraId="2DE045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EEC3C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31AE4DC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分日需到货量及风险日期形成后</w:t>
            </w:r>
          </w:p>
        </w:tc>
        <w:tc>
          <w:tcPr>
            <w:tcW w:w="1406" w:type="dxa"/>
            <w:tcBorders>
              <w:top w:val="nil"/>
              <w:left w:val="nil"/>
              <w:bottom w:val="nil"/>
              <w:right w:val="nil"/>
            </w:tcBorders>
            <w:shd w:val="clear" w:color="auto" w:fill="auto"/>
            <w:vAlign w:val="center"/>
          </w:tcPr>
          <w:p w14:paraId="22252E9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按当前顺序优先安排前序供应商；不能满足时不强行生成虚假可执行计划，输出风险日期、缺口数量和原因。</w:t>
            </w:r>
          </w:p>
        </w:tc>
        <w:tc>
          <w:tcPr>
            <w:tcW w:w="1088" w:type="dxa"/>
            <w:tcBorders>
              <w:top w:val="nil"/>
              <w:left w:val="nil"/>
              <w:bottom w:val="nil"/>
              <w:right w:val="nil"/>
            </w:tcBorders>
            <w:shd w:val="clear" w:color="auto" w:fill="auto"/>
            <w:vAlign w:val="center"/>
          </w:tcPr>
          <w:p w14:paraId="4924409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供应商、合同、到货日、到货数量及必要补位原因</w:t>
            </w:r>
          </w:p>
        </w:tc>
        <w:tc>
          <w:tcPr>
            <w:tcW w:w="1460" w:type="dxa"/>
            <w:tcBorders>
              <w:top w:val="nil"/>
              <w:left w:val="nil"/>
              <w:bottom w:val="nil"/>
              <w:right w:val="nil"/>
            </w:tcBorders>
            <w:shd w:val="clear" w:color="auto" w:fill="auto"/>
            <w:vAlign w:val="center"/>
          </w:tcPr>
          <w:p w14:paraId="2BA3E69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D96BD6">
        <w:trPr>
          <w:cantSplit/>
          <w:trHeight w:val="0" w:hRule="atLeast"/>
          <w:jc w:val="center"/>
        </w:trPr>
        <w:tc>
          <w:tcPr>
            <w:tcW w:w="2944" w:type="dxa"/>
            <w:tcBorders>
              <w:top w:val="nil"/>
              <w:left w:val="nil"/>
              <w:bottom w:val="nil"/>
              <w:right w:val="nil"/>
            </w:tcBorders>
            <w:shd w:val="clear" w:color="auto" w:fill="auto"/>
            <w:vAlign w:val="center"/>
          </w:tcPr>
          <w:p w14:paraId="15F6AFF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P-ZLTC-SCOS-YHJH-002-40-001</w:t>
            </w:r>
          </w:p>
        </w:tc>
        <w:tc>
          <w:tcPr>
            <w:tcW w:w="945" w:type="dxa"/>
            <w:tcBorders>
              <w:top w:val="nil"/>
              <w:left w:val="nil"/>
              <w:bottom w:val="nil"/>
              <w:right w:val="nil"/>
            </w:tcBorders>
            <w:shd w:val="clear" w:color="auto" w:fill="auto"/>
            <w:vAlign w:val="center"/>
          </w:tcPr>
          <w:p w14:paraId="622933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评审并调整日期、数量与供应商规则</w:t>
            </w:r>
          </w:p>
        </w:tc>
        <w:tc>
          <w:tcPr>
            <w:tcW w:w="966" w:type="dxa"/>
            <w:tcBorders>
              <w:top w:val="nil"/>
              <w:left w:val="nil"/>
              <w:bottom w:val="nil"/>
              <w:right w:val="nil"/>
            </w:tcBorders>
            <w:shd w:val="clear" w:color="auto" w:fill="auto"/>
            <w:vAlign w:val="center"/>
          </w:tcPr>
          <w:p w14:paraId="0131888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57749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2F6843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供应商、合同、到货日、到货数量及必要补位原因形成并具备评审条件后</w:t>
            </w:r>
          </w:p>
        </w:tc>
        <w:tc>
          <w:tcPr>
            <w:tcW w:w="1406" w:type="dxa"/>
            <w:tcBorders>
              <w:top w:val="nil"/>
              <w:left w:val="nil"/>
              <w:bottom w:val="nil"/>
              <w:right w:val="nil"/>
            </w:tcBorders>
            <w:shd w:val="clear" w:color="auto" w:fill="auto"/>
            <w:vAlign w:val="center"/>
          </w:tcPr>
          <w:p w14:paraId="337057E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根据供应商协商结果调整优先顺序、合同、到货日期和数量；可重新生成系统方案；人工调整和移除均保留记录。</w:t>
            </w:r>
          </w:p>
        </w:tc>
        <w:tc>
          <w:tcPr>
            <w:tcW w:w="1088" w:type="dxa"/>
            <w:tcBorders>
              <w:top w:val="nil"/>
              <w:left w:val="nil"/>
              <w:bottom w:val="nil"/>
              <w:right w:val="nil"/>
            </w:tcBorders>
            <w:shd w:val="clear" w:color="auto" w:fill="auto"/>
            <w:vAlign w:val="center"/>
          </w:tcPr>
          <w:p w14:paraId="5AD571D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拟确认要货计划</w:t>
            </w:r>
          </w:p>
        </w:tc>
        <w:tc>
          <w:tcPr>
            <w:tcW w:w="1460" w:type="dxa"/>
            <w:tcBorders>
              <w:top w:val="nil"/>
              <w:left w:val="nil"/>
              <w:bottom w:val="nil"/>
              <w:right w:val="nil"/>
            </w:tcBorders>
            <w:shd w:val="clear" w:color="auto" w:fill="auto"/>
            <w:vAlign w:val="center"/>
          </w:tcPr>
          <w:p w14:paraId="4EEAB4F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F35DFF">
        <w:trPr>
          <w:cantSplit/>
          <w:trHeight w:val="0" w:hRule="atLeast"/>
          <w:jc w:val="center"/>
        </w:trPr>
        <w:tc>
          <w:tcPr>
            <w:tcW w:w="2944" w:type="dxa"/>
            <w:tcBorders>
              <w:top w:val="nil"/>
              <w:left w:val="nil"/>
              <w:bottom w:val="nil"/>
              <w:right w:val="nil"/>
            </w:tcBorders>
            <w:shd w:val="clear" w:color="auto" w:fill="auto"/>
            <w:vAlign w:val="center"/>
          </w:tcPr>
          <w:p w14:paraId="6D9850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P-ZLTC-SCOS-YHJH-002-50-001</w:t>
            </w:r>
          </w:p>
        </w:tc>
        <w:tc>
          <w:tcPr>
            <w:tcW w:w="945" w:type="dxa"/>
            <w:tcBorders>
              <w:top w:val="nil"/>
              <w:left w:val="nil"/>
              <w:bottom w:val="nil"/>
              <w:right w:val="nil"/>
            </w:tcBorders>
            <w:shd w:val="clear" w:color="auto" w:fill="auto"/>
            <w:vAlign w:val="center"/>
          </w:tcPr>
          <w:p w14:paraId="0D18A58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重新计算库存并校验可执行性规则</w:t>
            </w:r>
          </w:p>
        </w:tc>
        <w:tc>
          <w:tcPr>
            <w:tcW w:w="966" w:type="dxa"/>
            <w:tcBorders>
              <w:top w:val="nil"/>
              <w:left w:val="nil"/>
              <w:bottom w:val="nil"/>
              <w:right w:val="nil"/>
            </w:tcBorders>
            <w:shd w:val="clear" w:color="auto" w:fill="auto"/>
            <w:vAlign w:val="center"/>
          </w:tcPr>
          <w:p w14:paraId="671F0FE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FC6BD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67ED46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拟确认要货计划形成后</w:t>
            </w:r>
          </w:p>
        </w:tc>
        <w:tc>
          <w:tcPr>
            <w:tcW w:w="1406" w:type="dxa"/>
            <w:tcBorders>
              <w:top w:val="nil"/>
              <w:left w:val="nil"/>
              <w:bottom w:val="nil"/>
              <w:right w:val="nil"/>
            </w:tcBorders>
            <w:shd w:val="clear" w:color="auto" w:fill="auto"/>
            <w:vAlign w:val="center"/>
          </w:tcPr>
          <w:p w14:paraId="4E3E4C2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调整后即时重算预计库存和合同余额；库存低于安全缓冲、合同超量、禁运或到货不可行等阻断性冲突必须处理，不允许下达。</w:t>
            </w:r>
          </w:p>
        </w:tc>
        <w:tc>
          <w:tcPr>
            <w:tcW w:w="1088" w:type="dxa"/>
            <w:tcBorders>
              <w:top w:val="nil"/>
              <w:left w:val="nil"/>
              <w:bottom w:val="nil"/>
              <w:right w:val="nil"/>
            </w:tcBorders>
            <w:shd w:val="clear" w:color="auto" w:fill="auto"/>
            <w:vAlign w:val="center"/>
          </w:tcPr>
          <w:p w14:paraId="615F09B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库存投影、合同余额及校验结果</w:t>
            </w:r>
          </w:p>
        </w:tc>
        <w:tc>
          <w:tcPr>
            <w:tcW w:w="1460" w:type="dxa"/>
            <w:tcBorders>
              <w:top w:val="nil"/>
              <w:left w:val="nil"/>
              <w:bottom w:val="nil"/>
              <w:right w:val="nil"/>
            </w:tcBorders>
            <w:shd w:val="clear" w:color="auto" w:fill="auto"/>
            <w:vAlign w:val="center"/>
          </w:tcPr>
          <w:p w14:paraId="1367D4B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4262774">
        <w:trPr>
          <w:cantSplit/>
          <w:trHeight w:val="0" w:hRule="atLeast"/>
          <w:jc w:val="center"/>
        </w:trPr>
        <w:tc>
          <w:tcPr>
            <w:tcW w:w="2944" w:type="dxa"/>
            <w:tcBorders>
              <w:top w:val="nil"/>
              <w:left w:val="nil"/>
              <w:bottom w:val="nil"/>
              <w:right w:val="nil"/>
            </w:tcBorders>
            <w:shd w:val="clear" w:color="auto" w:fill="auto"/>
            <w:vAlign w:val="center"/>
          </w:tcPr>
          <w:p w14:paraId="1FE7509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P-ZLTC-SCOS-YHJH-002-60-001</w:t>
            </w:r>
          </w:p>
        </w:tc>
        <w:tc>
          <w:tcPr>
            <w:tcW w:w="945" w:type="dxa"/>
            <w:tcBorders>
              <w:top w:val="nil"/>
              <w:left w:val="nil"/>
              <w:bottom w:val="nil"/>
              <w:right w:val="nil"/>
            </w:tcBorders>
            <w:shd w:val="clear" w:color="auto" w:fill="auto"/>
            <w:vAlign w:val="center"/>
          </w:tcPr>
          <w:p w14:paraId="10F0DC4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判断是否确认当前计划规则</w:t>
            </w:r>
          </w:p>
        </w:tc>
        <w:tc>
          <w:tcPr>
            <w:tcW w:w="966" w:type="dxa"/>
            <w:tcBorders>
              <w:top w:val="nil"/>
              <w:left w:val="nil"/>
              <w:bottom w:val="nil"/>
              <w:right w:val="nil"/>
            </w:tcBorders>
            <w:shd w:val="clear" w:color="auto" w:fill="auto"/>
            <w:vAlign w:val="center"/>
          </w:tcPr>
          <w:p w14:paraId="75B01DB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F858C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5EC52C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库存投影、合同余额及校验结果形成后</w:t>
            </w:r>
          </w:p>
        </w:tc>
        <w:tc>
          <w:tcPr>
            <w:tcW w:w="1406" w:type="dxa"/>
            <w:tcBorders>
              <w:top w:val="nil"/>
              <w:left w:val="nil"/>
              <w:bottom w:val="nil"/>
              <w:right w:val="nil"/>
            </w:tcBorders>
            <w:shd w:val="clear" w:color="auto" w:fill="auto"/>
            <w:vAlign w:val="center"/>
          </w:tcPr>
          <w:p w14:paraId="555C8F7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核对供应商、合同、日期、数量、补位原因及风险；未确认当前计划时退回调整；确认当前计划时继续处理。</w:t>
            </w:r>
          </w:p>
        </w:tc>
        <w:tc>
          <w:tcPr>
            <w:tcW w:w="1088" w:type="dxa"/>
            <w:tcBorders>
              <w:top w:val="nil"/>
              <w:left w:val="nil"/>
              <w:bottom w:val="nil"/>
              <w:right w:val="nil"/>
            </w:tcBorders>
            <w:shd w:val="clear" w:color="auto" w:fill="auto"/>
            <w:vAlign w:val="center"/>
          </w:tcPr>
          <w:p w14:paraId="71C2862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189F489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8664652">
        <w:trPr>
          <w:cantSplit/>
          <w:trHeight w:val="0" w:hRule="atLeast"/>
          <w:jc w:val="center"/>
        </w:trPr>
        <w:tc>
          <w:tcPr>
            <w:tcW w:w="2944" w:type="dxa"/>
            <w:tcBorders>
              <w:top w:val="nil"/>
              <w:left w:val="nil"/>
              <w:bottom w:val="nil"/>
              <w:right w:val="nil"/>
            </w:tcBorders>
            <w:shd w:val="clear" w:color="auto" w:fill="auto"/>
            <w:vAlign w:val="center"/>
          </w:tcPr>
          <w:p w14:paraId="4A9C3C1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P-ZLTC-SCOS-YHJH-002-70-001</w:t>
            </w:r>
          </w:p>
        </w:tc>
        <w:tc>
          <w:tcPr>
            <w:tcW w:w="945" w:type="dxa"/>
            <w:tcBorders>
              <w:top w:val="nil"/>
              <w:left w:val="nil"/>
              <w:bottom w:val="nil"/>
              <w:right w:val="nil"/>
            </w:tcBorders>
            <w:shd w:val="clear" w:color="auto" w:fill="auto"/>
            <w:vAlign w:val="center"/>
          </w:tcPr>
          <w:p w14:paraId="2BA1DB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发布确认计划版本规则</w:t>
            </w:r>
          </w:p>
        </w:tc>
        <w:tc>
          <w:tcPr>
            <w:tcW w:w="966" w:type="dxa"/>
            <w:tcBorders>
              <w:top w:val="nil"/>
              <w:left w:val="nil"/>
              <w:bottom w:val="nil"/>
              <w:right w:val="nil"/>
            </w:tcBorders>
            <w:shd w:val="clear" w:color="auto" w:fill="auto"/>
            <w:vAlign w:val="center"/>
          </w:tcPr>
          <w:p w14:paraId="5CAFDD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9C3DB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48B551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确认当前计划时</w:t>
            </w:r>
          </w:p>
        </w:tc>
        <w:tc>
          <w:tcPr>
            <w:tcW w:w="1406" w:type="dxa"/>
            <w:tcBorders>
              <w:top w:val="nil"/>
              <w:left w:val="nil"/>
              <w:bottom w:val="nil"/>
              <w:right w:val="nil"/>
            </w:tcBorders>
            <w:shd w:val="clear" w:color="auto" w:fill="auto"/>
            <w:vAlign w:val="center"/>
          </w:tcPr>
          <w:p w14:paraId="7691B77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发布确认版本，冻结其中的确认安排；发布失败时保留待发布状态并支持重试。</w:t>
            </w:r>
          </w:p>
        </w:tc>
        <w:tc>
          <w:tcPr>
            <w:tcW w:w="1088" w:type="dxa"/>
            <w:tcBorders>
              <w:top w:val="nil"/>
              <w:left w:val="nil"/>
              <w:bottom w:val="nil"/>
              <w:right w:val="nil"/>
            </w:tcBorders>
            <w:shd w:val="clear" w:color="auto" w:fill="auto"/>
            <w:vAlign w:val="center"/>
          </w:tcPr>
          <w:p w14:paraId="5DDD31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已确认要货计划及版本</w:t>
            </w:r>
          </w:p>
        </w:tc>
        <w:tc>
          <w:tcPr>
            <w:tcW w:w="1460" w:type="dxa"/>
            <w:tcBorders>
              <w:top w:val="nil"/>
              <w:left w:val="nil"/>
              <w:bottom w:val="nil"/>
              <w:right w:val="nil"/>
            </w:tcBorders>
            <w:shd w:val="clear" w:color="auto" w:fill="auto"/>
            <w:vAlign w:val="center"/>
          </w:tcPr>
          <w:p w14:paraId="2B069F2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9188A79">
        <w:trPr>
          <w:cantSplit/>
          <w:trHeight w:val="0" w:hRule="atLeast"/>
          <w:jc w:val="center"/>
        </w:trPr>
        <w:tc>
          <w:tcPr>
            <w:tcW w:w="2944" w:type="dxa"/>
            <w:tcBorders>
              <w:top w:val="nil"/>
              <w:left w:val="nil"/>
              <w:bottom w:val="nil"/>
              <w:right w:val="nil"/>
            </w:tcBorders>
            <w:shd w:val="clear" w:color="auto" w:fill="auto"/>
            <w:vAlign w:val="center"/>
          </w:tcPr>
          <w:p w14:paraId="3FA6A38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P-ZLTC-SCOS-YHJH-003-10-001</w:t>
            </w:r>
          </w:p>
        </w:tc>
        <w:tc>
          <w:tcPr>
            <w:tcW w:w="945" w:type="dxa"/>
            <w:tcBorders>
              <w:top w:val="nil"/>
              <w:left w:val="nil"/>
              <w:bottom w:val="nil"/>
              <w:right w:val="nil"/>
            </w:tcBorders>
            <w:shd w:val="clear" w:color="auto" w:fill="auto"/>
            <w:vAlign w:val="center"/>
          </w:tcPr>
          <w:p w14:paraId="28FB58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下达已确认要货计划规则</w:t>
            </w:r>
          </w:p>
        </w:tc>
        <w:tc>
          <w:tcPr>
            <w:tcW w:w="966" w:type="dxa"/>
            <w:tcBorders>
              <w:top w:val="nil"/>
              <w:left w:val="nil"/>
              <w:bottom w:val="nil"/>
              <w:right w:val="nil"/>
            </w:tcBorders>
            <w:shd w:val="clear" w:color="auto" w:fill="auto"/>
            <w:vAlign w:val="center"/>
          </w:tcPr>
          <w:p w14:paraId="32999FE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3E8DC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714DB6D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要货计划完成确认并进入执行阶段时</w:t>
            </w:r>
          </w:p>
        </w:tc>
        <w:tc>
          <w:tcPr>
            <w:tcW w:w="1406" w:type="dxa"/>
            <w:tcBorders>
              <w:top w:val="nil"/>
              <w:left w:val="nil"/>
              <w:bottom w:val="nil"/>
              <w:right w:val="nil"/>
            </w:tcBorders>
            <w:shd w:val="clear" w:color="auto" w:fill="auto"/>
            <w:vAlign w:val="center"/>
          </w:tcPr>
          <w:p w14:paraId="747BCED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核对要货计划版本后发起下达；计划基于既有合同和订单；发现确认版本失效或存在阻断性冲突时停止下达，返回计划调整。</w:t>
            </w:r>
          </w:p>
        </w:tc>
        <w:tc>
          <w:tcPr>
            <w:tcW w:w="1088" w:type="dxa"/>
            <w:tcBorders>
              <w:top w:val="nil"/>
              <w:left w:val="nil"/>
              <w:bottom w:val="nil"/>
              <w:right w:val="nil"/>
            </w:tcBorders>
            <w:shd w:val="clear" w:color="auto" w:fill="auto"/>
            <w:vAlign w:val="center"/>
          </w:tcPr>
          <w:p w14:paraId="21F8732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下达指令</w:t>
            </w:r>
          </w:p>
        </w:tc>
        <w:tc>
          <w:tcPr>
            <w:tcW w:w="1460" w:type="dxa"/>
            <w:tcBorders>
              <w:top w:val="nil"/>
              <w:left w:val="nil"/>
              <w:bottom w:val="nil"/>
              <w:right w:val="nil"/>
            </w:tcBorders>
            <w:shd w:val="clear" w:color="auto" w:fill="auto"/>
            <w:vAlign w:val="center"/>
          </w:tcPr>
          <w:p w14:paraId="747DCEE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567AB1A">
        <w:trPr>
          <w:cantSplit/>
          <w:trHeight w:val="0" w:hRule="atLeast"/>
          <w:jc w:val="center"/>
        </w:trPr>
        <w:tc>
          <w:tcPr>
            <w:tcW w:w="2944" w:type="dxa"/>
            <w:tcBorders>
              <w:top w:val="nil"/>
              <w:left w:val="nil"/>
              <w:bottom w:val="nil"/>
              <w:right w:val="nil"/>
            </w:tcBorders>
            <w:shd w:val="clear" w:color="auto" w:fill="auto"/>
            <w:vAlign w:val="center"/>
          </w:tcPr>
          <w:p w14:paraId="6AFDE6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P-ZLTC-SCOS-YHJH-003-20-001</w:t>
            </w:r>
          </w:p>
        </w:tc>
        <w:tc>
          <w:tcPr>
            <w:tcW w:w="945" w:type="dxa"/>
            <w:tcBorders>
              <w:top w:val="nil"/>
              <w:left w:val="nil"/>
              <w:bottom w:val="nil"/>
              <w:right w:val="nil"/>
            </w:tcBorders>
            <w:shd w:val="clear" w:color="auto" w:fill="auto"/>
            <w:vAlign w:val="center"/>
          </w:tcPr>
          <w:p w14:paraId="0900FFE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发送计划并记录下达状态规则</w:t>
            </w:r>
          </w:p>
        </w:tc>
        <w:tc>
          <w:tcPr>
            <w:tcW w:w="966" w:type="dxa"/>
            <w:tcBorders>
              <w:top w:val="nil"/>
              <w:left w:val="nil"/>
              <w:bottom w:val="nil"/>
              <w:right w:val="nil"/>
            </w:tcBorders>
            <w:shd w:val="clear" w:color="auto" w:fill="auto"/>
            <w:vAlign w:val="center"/>
          </w:tcPr>
          <w:p w14:paraId="7698660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4CB224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2615F5B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下达指令形成后</w:t>
            </w:r>
          </w:p>
        </w:tc>
        <w:tc>
          <w:tcPr>
            <w:tcW w:w="1406" w:type="dxa"/>
            <w:tcBorders>
              <w:top w:val="nil"/>
              <w:left w:val="nil"/>
              <w:bottom w:val="nil"/>
              <w:right w:val="nil"/>
            </w:tcBorders>
            <w:shd w:val="clear" w:color="auto" w:fill="auto"/>
            <w:vAlign w:val="center"/>
          </w:tcPr>
          <w:p w14:paraId="42F925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按供应商、合同/订单、到货日和数量发送已确认计划；接口失败时保留“待下达”状态，支持重试和人工核对。</w:t>
            </w:r>
          </w:p>
        </w:tc>
        <w:tc>
          <w:tcPr>
            <w:tcW w:w="1088" w:type="dxa"/>
            <w:tcBorders>
              <w:top w:val="nil"/>
              <w:left w:val="nil"/>
              <w:bottom w:val="nil"/>
              <w:right w:val="nil"/>
            </w:tcBorders>
            <w:shd w:val="clear" w:color="auto" w:fill="auto"/>
            <w:vAlign w:val="center"/>
          </w:tcPr>
          <w:p w14:paraId="0D6B7BE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发送至E采/SAP或供应商协同平台的要货明细、下达状态</w:t>
            </w:r>
          </w:p>
        </w:tc>
        <w:tc>
          <w:tcPr>
            <w:tcW w:w="1460" w:type="dxa"/>
            <w:tcBorders>
              <w:top w:val="nil"/>
              <w:left w:val="nil"/>
              <w:bottom w:val="nil"/>
              <w:right w:val="nil"/>
            </w:tcBorders>
            <w:shd w:val="clear" w:color="auto" w:fill="auto"/>
            <w:vAlign w:val="center"/>
          </w:tcPr>
          <w:p w14:paraId="31C74D7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SCOS/SAP/E采/供应商协同平台</w:t>
            </w:r>
          </w:p>
        </w:tc>
      </w:tr>
      <w:tr w14:paraId="2B388BD4">
        <w:trPr>
          <w:cantSplit/>
          <w:trHeight w:val="0" w:hRule="atLeast"/>
          <w:jc w:val="center"/>
        </w:trPr>
        <w:tc>
          <w:tcPr>
            <w:tcW w:w="2944" w:type="dxa"/>
            <w:tcBorders>
              <w:top w:val="nil"/>
              <w:left w:val="nil"/>
              <w:bottom w:val="nil"/>
              <w:right w:val="nil"/>
            </w:tcBorders>
            <w:shd w:val="clear" w:color="auto" w:fill="auto"/>
            <w:vAlign w:val="center"/>
          </w:tcPr>
          <w:p w14:paraId="5565107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P-ZLTC-SCOS-YHJH-003-30-001</w:t>
            </w:r>
          </w:p>
        </w:tc>
        <w:tc>
          <w:tcPr>
            <w:tcW w:w="945" w:type="dxa"/>
            <w:tcBorders>
              <w:top w:val="nil"/>
              <w:left w:val="nil"/>
              <w:bottom w:val="nil"/>
              <w:right w:val="nil"/>
            </w:tcBorders>
            <w:shd w:val="clear" w:color="auto" w:fill="auto"/>
            <w:vAlign w:val="center"/>
          </w:tcPr>
          <w:p w14:paraId="018DAA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接收计划并反馈送货承诺规则</w:t>
            </w:r>
          </w:p>
        </w:tc>
        <w:tc>
          <w:tcPr>
            <w:tcW w:w="966" w:type="dxa"/>
            <w:tcBorders>
              <w:top w:val="nil"/>
              <w:left w:val="nil"/>
              <w:bottom w:val="nil"/>
              <w:right w:val="nil"/>
            </w:tcBorders>
            <w:shd w:val="clear" w:color="auto" w:fill="auto"/>
            <w:vAlign w:val="center"/>
          </w:tcPr>
          <w:p w14:paraId="380A296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F01CE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1EC4E9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发送至E采/SAP或供应商协同平台的要货明细、下达状态形成后</w:t>
            </w:r>
          </w:p>
        </w:tc>
        <w:tc>
          <w:tcPr>
            <w:tcW w:w="1406" w:type="dxa"/>
            <w:tcBorders>
              <w:top w:val="nil"/>
              <w:left w:val="nil"/>
              <w:bottom w:val="nil"/>
              <w:right w:val="nil"/>
            </w:tcBorders>
            <w:shd w:val="clear" w:color="auto" w:fill="auto"/>
            <w:vAlign w:val="center"/>
          </w:tcPr>
          <w:p w14:paraId="6BDF9A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供应商确认能否按计划到货；无法满足时记录执行偏差，并评估是否需要调整要货计划。</w:t>
            </w:r>
          </w:p>
        </w:tc>
        <w:tc>
          <w:tcPr>
            <w:tcW w:w="1088" w:type="dxa"/>
            <w:tcBorders>
              <w:top w:val="nil"/>
              <w:left w:val="nil"/>
              <w:bottom w:val="nil"/>
              <w:right w:val="nil"/>
            </w:tcBorders>
            <w:shd w:val="clear" w:color="auto" w:fill="auto"/>
            <w:vAlign w:val="center"/>
          </w:tcPr>
          <w:p w14:paraId="53A864A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供应商承诺、反馈意见及计划状态</w:t>
            </w:r>
          </w:p>
        </w:tc>
        <w:tc>
          <w:tcPr>
            <w:tcW w:w="1460" w:type="dxa"/>
            <w:tcBorders>
              <w:top w:val="nil"/>
              <w:left w:val="nil"/>
              <w:bottom w:val="nil"/>
              <w:right w:val="nil"/>
            </w:tcBorders>
            <w:shd w:val="clear" w:color="auto" w:fill="auto"/>
            <w:vAlign w:val="center"/>
          </w:tcPr>
          <w:p w14:paraId="28340B1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SCOS/E采/供应商协同平台</w:t>
            </w:r>
          </w:p>
        </w:tc>
      </w:tr>
      <w:tr w14:paraId="4BA2111E">
        <w:trPr>
          <w:cantSplit/>
          <w:trHeight w:val="0" w:hRule="atLeast"/>
          <w:jc w:val="center"/>
        </w:trPr>
        <w:tc>
          <w:tcPr>
            <w:tcW w:w="2944" w:type="dxa"/>
            <w:tcBorders>
              <w:top w:val="nil"/>
              <w:left w:val="nil"/>
              <w:bottom w:val="nil"/>
              <w:right w:val="nil"/>
            </w:tcBorders>
            <w:shd w:val="clear" w:color="auto" w:fill="auto"/>
            <w:vAlign w:val="center"/>
          </w:tcPr>
          <w:p w14:paraId="44EF130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P-ZLTC-SCOS-YHJH-003-40-001</w:t>
            </w:r>
          </w:p>
        </w:tc>
        <w:tc>
          <w:tcPr>
            <w:tcW w:w="945" w:type="dxa"/>
            <w:tcBorders>
              <w:top w:val="nil"/>
              <w:left w:val="nil"/>
              <w:bottom w:val="nil"/>
              <w:right w:val="nil"/>
            </w:tcBorders>
            <w:shd w:val="clear" w:color="auto" w:fill="auto"/>
            <w:vAlign w:val="center"/>
          </w:tcPr>
          <w:p w14:paraId="06A2DC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反馈发货、在途及预计到货日规则</w:t>
            </w:r>
          </w:p>
        </w:tc>
        <w:tc>
          <w:tcPr>
            <w:tcW w:w="966" w:type="dxa"/>
            <w:tcBorders>
              <w:top w:val="nil"/>
              <w:left w:val="nil"/>
              <w:bottom w:val="nil"/>
              <w:right w:val="nil"/>
            </w:tcBorders>
            <w:shd w:val="clear" w:color="auto" w:fill="auto"/>
            <w:vAlign w:val="center"/>
          </w:tcPr>
          <w:p w14:paraId="4176A5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B7603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77C4233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供应商承诺、反馈意见及计划状态形成后</w:t>
            </w:r>
          </w:p>
        </w:tc>
        <w:tc>
          <w:tcPr>
            <w:tcW w:w="1406" w:type="dxa"/>
            <w:tcBorders>
              <w:top w:val="nil"/>
              <w:left w:val="nil"/>
              <w:bottom w:val="nil"/>
              <w:right w:val="nil"/>
            </w:tcBorders>
            <w:shd w:val="clear" w:color="auto" w:fill="auto"/>
            <w:vAlign w:val="center"/>
          </w:tcPr>
          <w:p w14:paraId="1A97FCE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供应商及TMS负责实际发货和运输执行；预计到货日变化、运输中断或数量差异时标记执行偏差。</w:t>
            </w:r>
          </w:p>
        </w:tc>
        <w:tc>
          <w:tcPr>
            <w:tcW w:w="1088" w:type="dxa"/>
            <w:tcBorders>
              <w:top w:val="nil"/>
              <w:left w:val="nil"/>
              <w:bottom w:val="nil"/>
              <w:right w:val="nil"/>
            </w:tcBorders>
            <w:shd w:val="clear" w:color="auto" w:fill="auto"/>
            <w:vAlign w:val="center"/>
          </w:tcPr>
          <w:p w14:paraId="1D6948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发货数量、运输节点、在途状态和预计到货日</w:t>
            </w:r>
          </w:p>
        </w:tc>
        <w:tc>
          <w:tcPr>
            <w:tcW w:w="1460" w:type="dxa"/>
            <w:tcBorders>
              <w:top w:val="nil"/>
              <w:left w:val="nil"/>
              <w:bottom w:val="nil"/>
              <w:right w:val="nil"/>
            </w:tcBorders>
            <w:shd w:val="clear" w:color="auto" w:fill="auto"/>
            <w:vAlign w:val="center"/>
          </w:tcPr>
          <w:p w14:paraId="325CA19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w:t>
            </w:r>
          </w:p>
        </w:tc>
      </w:tr>
      <w:tr w14:paraId="6D413816">
        <w:trPr>
          <w:cantSplit/>
          <w:trHeight w:val="0" w:hRule="atLeast"/>
          <w:jc w:val="center"/>
        </w:trPr>
        <w:tc>
          <w:tcPr>
            <w:tcW w:w="2944" w:type="dxa"/>
            <w:tcBorders>
              <w:top w:val="nil"/>
              <w:left w:val="nil"/>
              <w:bottom w:val="nil"/>
              <w:right w:val="nil"/>
            </w:tcBorders>
            <w:shd w:val="clear" w:color="auto" w:fill="auto"/>
            <w:vAlign w:val="center"/>
          </w:tcPr>
          <w:p w14:paraId="4C568A9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P-ZLTC-SCOS-YHJH-003-50-001</w:t>
            </w:r>
          </w:p>
        </w:tc>
        <w:tc>
          <w:tcPr>
            <w:tcW w:w="945" w:type="dxa"/>
            <w:tcBorders>
              <w:top w:val="nil"/>
              <w:left w:val="nil"/>
              <w:bottom w:val="nil"/>
              <w:right w:val="nil"/>
            </w:tcBorders>
            <w:shd w:val="clear" w:color="auto" w:fill="auto"/>
            <w:vAlign w:val="center"/>
          </w:tcPr>
          <w:p w14:paraId="10E759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到厂收货并反馈质检状态规则</w:t>
            </w:r>
          </w:p>
        </w:tc>
        <w:tc>
          <w:tcPr>
            <w:tcW w:w="966" w:type="dxa"/>
            <w:tcBorders>
              <w:top w:val="nil"/>
              <w:left w:val="nil"/>
              <w:bottom w:val="nil"/>
              <w:right w:val="nil"/>
            </w:tcBorders>
            <w:shd w:val="clear" w:color="auto" w:fill="auto"/>
            <w:vAlign w:val="center"/>
          </w:tcPr>
          <w:p w14:paraId="6E9D098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6981E2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6D87B39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发货数量、运输节点、在途状态和预计到货日形成后</w:t>
            </w:r>
          </w:p>
        </w:tc>
        <w:tc>
          <w:tcPr>
            <w:tcW w:w="1406" w:type="dxa"/>
            <w:tcBorders>
              <w:top w:val="nil"/>
              <w:left w:val="nil"/>
              <w:bottom w:val="nil"/>
              <w:right w:val="nil"/>
            </w:tcBorders>
            <w:shd w:val="clear" w:color="auto" w:fill="auto"/>
            <w:vAlign w:val="center"/>
          </w:tcPr>
          <w:p w14:paraId="53B39E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到货后由执行系统登记收货和质量结果；待检、拒收或质量异常按相应业务流程处理，并反馈要货执行影响。</w:t>
            </w:r>
          </w:p>
        </w:tc>
        <w:tc>
          <w:tcPr>
            <w:tcW w:w="1088" w:type="dxa"/>
            <w:tcBorders>
              <w:top w:val="nil"/>
              <w:left w:val="nil"/>
              <w:bottom w:val="nil"/>
              <w:right w:val="nil"/>
            </w:tcBorders>
            <w:shd w:val="clear" w:color="auto" w:fill="auto"/>
            <w:vAlign w:val="center"/>
          </w:tcPr>
          <w:p w14:paraId="2D6D7C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实收到货量、到货时间、质检及库存状态</w:t>
            </w:r>
          </w:p>
        </w:tc>
        <w:tc>
          <w:tcPr>
            <w:tcW w:w="1460" w:type="dxa"/>
            <w:tcBorders>
              <w:top w:val="nil"/>
              <w:left w:val="nil"/>
              <w:bottom w:val="nil"/>
              <w:right w:val="nil"/>
            </w:tcBorders>
            <w:shd w:val="clear" w:color="auto" w:fill="auto"/>
            <w:vAlign w:val="center"/>
          </w:tcPr>
          <w:p w14:paraId="1700AC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SCOS/WMS/QMS</w:t>
            </w:r>
          </w:p>
        </w:tc>
      </w:tr>
      <w:tr w14:paraId="35836370">
        <w:trPr>
          <w:cantSplit/>
          <w:trHeight w:val="0" w:hRule="atLeast"/>
          <w:jc w:val="center"/>
        </w:trPr>
        <w:tc>
          <w:tcPr>
            <w:tcW w:w="2944" w:type="dxa"/>
            <w:tcBorders>
              <w:top w:val="nil"/>
              <w:left w:val="nil"/>
              <w:bottom w:val="nil"/>
              <w:right w:val="nil"/>
            </w:tcBorders>
            <w:shd w:val="clear" w:color="auto" w:fill="auto"/>
            <w:vAlign w:val="center"/>
          </w:tcPr>
          <w:p w14:paraId="354F265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P-ZLTC-SCOS-YHJH-003-60-001</w:t>
            </w:r>
          </w:p>
        </w:tc>
        <w:tc>
          <w:tcPr>
            <w:tcW w:w="945" w:type="dxa"/>
            <w:tcBorders>
              <w:top w:val="nil"/>
              <w:left w:val="nil"/>
              <w:bottom w:val="nil"/>
              <w:right w:val="nil"/>
            </w:tcBorders>
            <w:shd w:val="clear" w:color="auto" w:fill="auto"/>
            <w:vAlign w:val="center"/>
          </w:tcPr>
          <w:p w14:paraId="5F381C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更新执行状态与已确定的到货安排规则</w:t>
            </w:r>
          </w:p>
        </w:tc>
        <w:tc>
          <w:tcPr>
            <w:tcW w:w="966" w:type="dxa"/>
            <w:tcBorders>
              <w:top w:val="nil"/>
              <w:left w:val="nil"/>
              <w:bottom w:val="nil"/>
              <w:right w:val="nil"/>
            </w:tcBorders>
            <w:shd w:val="clear" w:color="auto" w:fill="auto"/>
            <w:vAlign w:val="center"/>
          </w:tcPr>
          <w:p w14:paraId="4D91D28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4AD39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27425D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实收到货量、到货时间、质检及库存状态形成后</w:t>
            </w:r>
          </w:p>
        </w:tc>
        <w:tc>
          <w:tcPr>
            <w:tcW w:w="1406" w:type="dxa"/>
            <w:tcBorders>
              <w:top w:val="nil"/>
              <w:left w:val="nil"/>
              <w:bottom w:val="nil"/>
              <w:right w:val="nil"/>
            </w:tcBorders>
            <w:shd w:val="clear" w:color="auto" w:fill="auto"/>
            <w:vAlign w:val="center"/>
          </w:tcPr>
          <w:p w14:paraId="4D5C933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汇总计划明细状态；多系统数量或状态不一致时提示采购计划员复核。</w:t>
            </w:r>
          </w:p>
        </w:tc>
        <w:tc>
          <w:tcPr>
            <w:tcW w:w="1088" w:type="dxa"/>
            <w:tcBorders>
              <w:top w:val="nil"/>
              <w:left w:val="nil"/>
              <w:bottom w:val="nil"/>
              <w:right w:val="nil"/>
            </w:tcBorders>
            <w:shd w:val="clear" w:color="auto" w:fill="auto"/>
            <w:vAlign w:val="center"/>
          </w:tcPr>
          <w:p w14:paraId="491DC0F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要货执行进度和已确定的到货安排</w:t>
            </w:r>
          </w:p>
        </w:tc>
        <w:tc>
          <w:tcPr>
            <w:tcW w:w="1460" w:type="dxa"/>
            <w:tcBorders>
              <w:top w:val="nil"/>
              <w:left w:val="nil"/>
              <w:bottom w:val="nil"/>
              <w:right w:val="nil"/>
            </w:tcBorders>
            <w:shd w:val="clear" w:color="auto" w:fill="auto"/>
            <w:vAlign w:val="center"/>
          </w:tcPr>
          <w:p w14:paraId="2ABAC47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77AB8C1">
        <w:trPr>
          <w:cantSplit/>
          <w:trHeight w:val="0" w:hRule="atLeast"/>
          <w:jc w:val="center"/>
        </w:trPr>
        <w:tc>
          <w:tcPr>
            <w:tcW w:w="2944" w:type="dxa"/>
            <w:tcBorders>
              <w:top w:val="nil"/>
              <w:left w:val="nil"/>
              <w:bottom w:val="nil"/>
              <w:right w:val="nil"/>
            </w:tcBorders>
            <w:shd w:val="clear" w:color="auto" w:fill="auto"/>
            <w:vAlign w:val="center"/>
          </w:tcPr>
          <w:p w14:paraId="1865916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P-ZLTC-SCOS-YHJH-003-70-001</w:t>
            </w:r>
          </w:p>
        </w:tc>
        <w:tc>
          <w:tcPr>
            <w:tcW w:w="945" w:type="dxa"/>
            <w:tcBorders>
              <w:top w:val="nil"/>
              <w:left w:val="nil"/>
              <w:bottom w:val="nil"/>
              <w:right w:val="nil"/>
            </w:tcBorders>
            <w:shd w:val="clear" w:color="auto" w:fill="auto"/>
            <w:vAlign w:val="center"/>
          </w:tcPr>
          <w:p w14:paraId="0C75CC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判断是否存在执行偏差规则</w:t>
            </w:r>
          </w:p>
        </w:tc>
        <w:tc>
          <w:tcPr>
            <w:tcW w:w="966" w:type="dxa"/>
            <w:tcBorders>
              <w:top w:val="nil"/>
              <w:left w:val="nil"/>
              <w:bottom w:val="nil"/>
              <w:right w:val="nil"/>
            </w:tcBorders>
            <w:shd w:val="clear" w:color="auto" w:fill="auto"/>
            <w:vAlign w:val="center"/>
          </w:tcPr>
          <w:p w14:paraId="51CB41A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A5FA5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5258C02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要货执行进度和已确定的到货安排形成后</w:t>
            </w:r>
          </w:p>
        </w:tc>
        <w:tc>
          <w:tcPr>
            <w:tcW w:w="1406" w:type="dxa"/>
            <w:tcBorders>
              <w:top w:val="nil"/>
              <w:left w:val="nil"/>
              <w:bottom w:val="nil"/>
              <w:right w:val="nil"/>
            </w:tcBorders>
            <w:shd w:val="clear" w:color="auto" w:fill="auto"/>
            <w:vAlign w:val="center"/>
          </w:tcPr>
          <w:p w14:paraId="67CA9F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判断供应偏差是否影响生产耗用和安全缓冲；不存在执行偏差时完成本轮跟踪；存在执行偏差时转入要货调整或异常协调。</w:t>
            </w:r>
          </w:p>
        </w:tc>
        <w:tc>
          <w:tcPr>
            <w:tcW w:w="1088" w:type="dxa"/>
            <w:tcBorders>
              <w:top w:val="nil"/>
              <w:left w:val="nil"/>
              <w:bottom w:val="nil"/>
              <w:right w:val="nil"/>
            </w:tcBorders>
            <w:shd w:val="clear" w:color="auto" w:fill="auto"/>
            <w:vAlign w:val="center"/>
          </w:tcPr>
          <w:p w14:paraId="1FE7484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偏差判断及影响范围</w:t>
            </w:r>
          </w:p>
        </w:tc>
        <w:tc>
          <w:tcPr>
            <w:tcW w:w="1460" w:type="dxa"/>
            <w:tcBorders>
              <w:top w:val="nil"/>
              <w:left w:val="nil"/>
              <w:bottom w:val="nil"/>
              <w:right w:val="nil"/>
            </w:tcBorders>
            <w:shd w:val="clear" w:color="auto" w:fill="auto"/>
            <w:vAlign w:val="center"/>
          </w:tcPr>
          <w:p w14:paraId="4F4C424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710A4C1">
        <w:trPr>
          <w:cantSplit/>
          <w:trHeight w:val="0" w:hRule="atLeast"/>
          <w:jc w:val="center"/>
        </w:trPr>
        <w:tc>
          <w:tcPr>
            <w:tcW w:w="2944" w:type="dxa"/>
            <w:tcBorders>
              <w:top w:val="nil"/>
              <w:left w:val="nil"/>
              <w:bottom w:val="nil"/>
              <w:right w:val="nil"/>
            </w:tcBorders>
            <w:shd w:val="clear" w:color="auto" w:fill="auto"/>
            <w:vAlign w:val="center"/>
          </w:tcPr>
          <w:p w14:paraId="3275E1A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P-ZLTC-SCOS-YHJH-004-10-001</w:t>
            </w:r>
          </w:p>
        </w:tc>
        <w:tc>
          <w:tcPr>
            <w:tcW w:w="945" w:type="dxa"/>
            <w:tcBorders>
              <w:top w:val="nil"/>
              <w:left w:val="nil"/>
              <w:bottom w:val="nil"/>
              <w:right w:val="nil"/>
            </w:tcBorders>
            <w:shd w:val="clear" w:color="auto" w:fill="auto"/>
            <w:vAlign w:val="center"/>
          </w:tcPr>
          <w:p w14:paraId="4544D9D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提供最新业务变化规则</w:t>
            </w:r>
          </w:p>
        </w:tc>
        <w:tc>
          <w:tcPr>
            <w:tcW w:w="966" w:type="dxa"/>
            <w:tcBorders>
              <w:top w:val="nil"/>
              <w:left w:val="nil"/>
              <w:bottom w:val="nil"/>
              <w:right w:val="nil"/>
            </w:tcBorders>
            <w:shd w:val="clear" w:color="auto" w:fill="auto"/>
            <w:vAlign w:val="center"/>
          </w:tcPr>
          <w:p w14:paraId="442D080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34C30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60B86A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系统每日滚动运行时</w:t>
            </w:r>
          </w:p>
        </w:tc>
        <w:tc>
          <w:tcPr>
            <w:tcW w:w="1406" w:type="dxa"/>
            <w:tcBorders>
              <w:top w:val="nil"/>
              <w:left w:val="nil"/>
              <w:bottom w:val="nil"/>
              <w:right w:val="nil"/>
            </w:tcBorders>
            <w:shd w:val="clear" w:color="auto" w:fill="auto"/>
            <w:vAlign w:val="center"/>
          </w:tcPr>
          <w:p w14:paraId="78F953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以带版本和时间戳的最新有效数据触发重算；数据迟延或来源冲突时标记待核对，不直接覆盖已确认事实。</w:t>
            </w:r>
          </w:p>
        </w:tc>
        <w:tc>
          <w:tcPr>
            <w:tcW w:w="1088" w:type="dxa"/>
            <w:tcBorders>
              <w:top w:val="nil"/>
              <w:left w:val="nil"/>
              <w:bottom w:val="nil"/>
              <w:right w:val="nil"/>
            </w:tcBorders>
            <w:shd w:val="clear" w:color="auto" w:fill="auto"/>
            <w:vAlign w:val="center"/>
          </w:tcPr>
          <w:p w14:paraId="48BF194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变更数据集</w:t>
            </w:r>
          </w:p>
        </w:tc>
        <w:tc>
          <w:tcPr>
            <w:tcW w:w="1460" w:type="dxa"/>
            <w:tcBorders>
              <w:top w:val="nil"/>
              <w:left w:val="nil"/>
              <w:bottom w:val="nil"/>
              <w:right w:val="nil"/>
            </w:tcBorders>
            <w:shd w:val="clear" w:color="auto" w:fill="auto"/>
            <w:vAlign w:val="center"/>
          </w:tcPr>
          <w:p w14:paraId="681BA9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SCOS/SAP/WMS/TMS/APS/E采</w:t>
            </w:r>
          </w:p>
        </w:tc>
      </w:tr>
      <w:tr w14:paraId="673848FF">
        <w:trPr>
          <w:cantSplit/>
          <w:trHeight w:val="0" w:hRule="atLeast"/>
          <w:jc w:val="center"/>
        </w:trPr>
        <w:tc>
          <w:tcPr>
            <w:tcW w:w="2944" w:type="dxa"/>
            <w:tcBorders>
              <w:top w:val="nil"/>
              <w:left w:val="nil"/>
              <w:bottom w:val="nil"/>
              <w:right w:val="nil"/>
            </w:tcBorders>
            <w:shd w:val="clear" w:color="auto" w:fill="auto"/>
            <w:vAlign w:val="center"/>
          </w:tcPr>
          <w:p w14:paraId="4F1EF6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P-ZLTC-SCOS-YHJH-004-20-001</w:t>
            </w:r>
          </w:p>
        </w:tc>
        <w:tc>
          <w:tcPr>
            <w:tcW w:w="945" w:type="dxa"/>
            <w:tcBorders>
              <w:top w:val="nil"/>
              <w:left w:val="nil"/>
              <w:bottom w:val="nil"/>
              <w:right w:val="nil"/>
            </w:tcBorders>
            <w:shd w:val="clear" w:color="auto" w:fill="auto"/>
            <w:vAlign w:val="center"/>
          </w:tcPr>
          <w:p w14:paraId="2CF0A7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判断未执行安排是否受影响规则</w:t>
            </w:r>
          </w:p>
        </w:tc>
        <w:tc>
          <w:tcPr>
            <w:tcW w:w="966" w:type="dxa"/>
            <w:tcBorders>
              <w:top w:val="nil"/>
              <w:left w:val="nil"/>
              <w:bottom w:val="nil"/>
              <w:right w:val="nil"/>
            </w:tcBorders>
            <w:shd w:val="clear" w:color="auto" w:fill="auto"/>
            <w:vAlign w:val="center"/>
          </w:tcPr>
          <w:p w14:paraId="2EB7C1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D13710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58D609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变更数据集形成后</w:t>
            </w:r>
          </w:p>
        </w:tc>
        <w:tc>
          <w:tcPr>
            <w:tcW w:w="1406" w:type="dxa"/>
            <w:tcBorders>
              <w:top w:val="nil"/>
              <w:left w:val="nil"/>
              <w:bottom w:val="nil"/>
              <w:right w:val="nil"/>
            </w:tcBorders>
            <w:shd w:val="clear" w:color="auto" w:fill="auto"/>
            <w:vAlign w:val="center"/>
          </w:tcPr>
          <w:p w14:paraId="10CDD9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比较需求、日期、数量和执行状态；未执行安排不受影响时保留当前计划并结束；未执行安排受影响时继续处理。</w:t>
            </w:r>
          </w:p>
        </w:tc>
        <w:tc>
          <w:tcPr>
            <w:tcW w:w="1088" w:type="dxa"/>
            <w:tcBorders>
              <w:top w:val="nil"/>
              <w:left w:val="nil"/>
              <w:bottom w:val="nil"/>
              <w:right w:val="nil"/>
            </w:tcBorders>
            <w:shd w:val="clear" w:color="auto" w:fill="auto"/>
            <w:vAlign w:val="center"/>
          </w:tcPr>
          <w:p w14:paraId="25099D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影响判断与受影响范围</w:t>
            </w:r>
          </w:p>
        </w:tc>
        <w:tc>
          <w:tcPr>
            <w:tcW w:w="1460" w:type="dxa"/>
            <w:tcBorders>
              <w:top w:val="nil"/>
              <w:left w:val="nil"/>
              <w:bottom w:val="nil"/>
              <w:right w:val="nil"/>
            </w:tcBorders>
            <w:shd w:val="clear" w:color="auto" w:fill="auto"/>
            <w:vAlign w:val="center"/>
          </w:tcPr>
          <w:p w14:paraId="4126244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4BA2E0C">
        <w:trPr>
          <w:cantSplit/>
          <w:trHeight w:val="0" w:hRule="atLeast"/>
          <w:jc w:val="center"/>
        </w:trPr>
        <w:tc>
          <w:tcPr>
            <w:tcW w:w="2944" w:type="dxa"/>
            <w:tcBorders>
              <w:top w:val="nil"/>
              <w:left w:val="nil"/>
              <w:bottom w:val="nil"/>
              <w:right w:val="nil"/>
            </w:tcBorders>
            <w:shd w:val="clear" w:color="auto" w:fill="auto"/>
            <w:vAlign w:val="center"/>
          </w:tcPr>
          <w:p w14:paraId="7C713C1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P-ZLTC-SCOS-YHJH-004-30-001</w:t>
            </w:r>
          </w:p>
        </w:tc>
        <w:tc>
          <w:tcPr>
            <w:tcW w:w="945" w:type="dxa"/>
            <w:tcBorders>
              <w:top w:val="nil"/>
              <w:left w:val="nil"/>
              <w:bottom w:val="nil"/>
              <w:right w:val="nil"/>
            </w:tcBorders>
            <w:shd w:val="clear" w:color="auto" w:fill="auto"/>
            <w:vAlign w:val="center"/>
          </w:tcPr>
          <w:p w14:paraId="31BFE1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保留固定与人工锁定安排规则</w:t>
            </w:r>
          </w:p>
        </w:tc>
        <w:tc>
          <w:tcPr>
            <w:tcW w:w="966" w:type="dxa"/>
            <w:tcBorders>
              <w:top w:val="nil"/>
              <w:left w:val="nil"/>
              <w:bottom w:val="nil"/>
              <w:right w:val="nil"/>
            </w:tcBorders>
            <w:shd w:val="clear" w:color="auto" w:fill="auto"/>
            <w:vAlign w:val="center"/>
          </w:tcPr>
          <w:p w14:paraId="4869676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13166E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351A76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未执行安排受影响时</w:t>
            </w:r>
          </w:p>
        </w:tc>
        <w:tc>
          <w:tcPr>
            <w:tcW w:w="1406" w:type="dxa"/>
            <w:tcBorders>
              <w:top w:val="nil"/>
              <w:left w:val="nil"/>
              <w:bottom w:val="nil"/>
              <w:right w:val="nil"/>
            </w:tcBorders>
            <w:shd w:val="clear" w:color="auto" w:fill="auto"/>
            <w:vAlign w:val="center"/>
          </w:tcPr>
          <w:p w14:paraId="0F499F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已确认、已下达、已有在途及人工锁定安排作为已确定的到货安排；已固定安排本身出现偏差时，仅更新执行信息并将影响传递给可调整部分或异常协调流程。</w:t>
            </w:r>
          </w:p>
        </w:tc>
        <w:tc>
          <w:tcPr>
            <w:tcW w:w="1088" w:type="dxa"/>
            <w:tcBorders>
              <w:top w:val="nil"/>
              <w:left w:val="nil"/>
              <w:bottom w:val="nil"/>
              <w:right w:val="nil"/>
            </w:tcBorders>
            <w:shd w:val="clear" w:color="auto" w:fill="auto"/>
            <w:vAlign w:val="center"/>
          </w:tcPr>
          <w:p w14:paraId="1BBBA52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固定范围和可调整范围</w:t>
            </w:r>
          </w:p>
        </w:tc>
        <w:tc>
          <w:tcPr>
            <w:tcW w:w="1460" w:type="dxa"/>
            <w:tcBorders>
              <w:top w:val="nil"/>
              <w:left w:val="nil"/>
              <w:bottom w:val="nil"/>
              <w:right w:val="nil"/>
            </w:tcBorders>
            <w:shd w:val="clear" w:color="auto" w:fill="auto"/>
            <w:vAlign w:val="center"/>
          </w:tcPr>
          <w:p w14:paraId="69F9956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4E07D8D">
        <w:trPr>
          <w:cantSplit/>
          <w:trHeight w:val="0" w:hRule="atLeast"/>
          <w:jc w:val="center"/>
        </w:trPr>
        <w:tc>
          <w:tcPr>
            <w:tcW w:w="2944" w:type="dxa"/>
            <w:tcBorders>
              <w:top w:val="nil"/>
              <w:left w:val="nil"/>
              <w:bottom w:val="nil"/>
              <w:right w:val="nil"/>
            </w:tcBorders>
            <w:shd w:val="clear" w:color="auto" w:fill="auto"/>
            <w:vAlign w:val="center"/>
          </w:tcPr>
          <w:p w14:paraId="046063B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P-ZLTC-SCOS-YHJH-004-40-001</w:t>
            </w:r>
          </w:p>
        </w:tc>
        <w:tc>
          <w:tcPr>
            <w:tcW w:w="945" w:type="dxa"/>
            <w:tcBorders>
              <w:top w:val="nil"/>
              <w:left w:val="nil"/>
              <w:bottom w:val="nil"/>
              <w:right w:val="nil"/>
            </w:tcBorders>
            <w:shd w:val="clear" w:color="auto" w:fill="auto"/>
            <w:vAlign w:val="center"/>
          </w:tcPr>
          <w:p w14:paraId="1D373C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重算未锁定计划并形成差异规则</w:t>
            </w:r>
          </w:p>
        </w:tc>
        <w:tc>
          <w:tcPr>
            <w:tcW w:w="966" w:type="dxa"/>
            <w:tcBorders>
              <w:top w:val="nil"/>
              <w:left w:val="nil"/>
              <w:bottom w:val="nil"/>
              <w:right w:val="nil"/>
            </w:tcBorders>
            <w:shd w:val="clear" w:color="auto" w:fill="auto"/>
            <w:vAlign w:val="center"/>
          </w:tcPr>
          <w:p w14:paraId="0A0CE2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30A73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57534C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固定范围和可调整范围形成后</w:t>
            </w:r>
          </w:p>
        </w:tc>
        <w:tc>
          <w:tcPr>
            <w:tcW w:w="1406" w:type="dxa"/>
            <w:tcBorders>
              <w:top w:val="nil"/>
              <w:left w:val="nil"/>
              <w:bottom w:val="nil"/>
              <w:right w:val="nil"/>
            </w:tcBorders>
            <w:shd w:val="clear" w:color="auto" w:fill="auto"/>
            <w:vAlign w:val="center"/>
          </w:tcPr>
          <w:p w14:paraId="52827D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仅重排受影响的未锁定安排；仍有缺口或不可执行时同步输出日期、数量和原因。</w:t>
            </w:r>
          </w:p>
        </w:tc>
        <w:tc>
          <w:tcPr>
            <w:tcW w:w="1088" w:type="dxa"/>
            <w:tcBorders>
              <w:top w:val="nil"/>
              <w:left w:val="nil"/>
              <w:bottom w:val="nil"/>
              <w:right w:val="nil"/>
            </w:tcBorders>
            <w:shd w:val="clear" w:color="auto" w:fill="auto"/>
            <w:vAlign w:val="center"/>
          </w:tcPr>
          <w:p w14:paraId="3543D3F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调整建议、调整前后差异及风险</w:t>
            </w:r>
          </w:p>
        </w:tc>
        <w:tc>
          <w:tcPr>
            <w:tcW w:w="1460" w:type="dxa"/>
            <w:tcBorders>
              <w:top w:val="nil"/>
              <w:left w:val="nil"/>
              <w:bottom w:val="nil"/>
              <w:right w:val="nil"/>
            </w:tcBorders>
            <w:shd w:val="clear" w:color="auto" w:fill="auto"/>
            <w:vAlign w:val="center"/>
          </w:tcPr>
          <w:p w14:paraId="3844743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6A0F35">
        <w:trPr>
          <w:cantSplit/>
          <w:trHeight w:val="0" w:hRule="atLeast"/>
          <w:jc w:val="center"/>
        </w:trPr>
        <w:tc>
          <w:tcPr>
            <w:tcW w:w="2944" w:type="dxa"/>
            <w:tcBorders>
              <w:top w:val="nil"/>
              <w:left w:val="nil"/>
              <w:bottom w:val="nil"/>
              <w:right w:val="nil"/>
            </w:tcBorders>
            <w:shd w:val="clear" w:color="auto" w:fill="auto"/>
            <w:vAlign w:val="center"/>
          </w:tcPr>
          <w:p w14:paraId="63E3E51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P-ZLTC-SCOS-YHJH-004-50-001</w:t>
            </w:r>
          </w:p>
        </w:tc>
        <w:tc>
          <w:tcPr>
            <w:tcW w:w="945" w:type="dxa"/>
            <w:tcBorders>
              <w:top w:val="nil"/>
              <w:left w:val="nil"/>
              <w:bottom w:val="nil"/>
              <w:right w:val="nil"/>
            </w:tcBorders>
            <w:shd w:val="clear" w:color="auto" w:fill="auto"/>
            <w:vAlign w:val="center"/>
          </w:tcPr>
          <w:p w14:paraId="779B97C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评审并调整建议规则</w:t>
            </w:r>
          </w:p>
        </w:tc>
        <w:tc>
          <w:tcPr>
            <w:tcW w:w="966" w:type="dxa"/>
            <w:tcBorders>
              <w:top w:val="nil"/>
              <w:left w:val="nil"/>
              <w:bottom w:val="nil"/>
              <w:right w:val="nil"/>
            </w:tcBorders>
            <w:shd w:val="clear" w:color="auto" w:fill="auto"/>
            <w:vAlign w:val="center"/>
          </w:tcPr>
          <w:p w14:paraId="57DD3EE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E576F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2B0F7E3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调整建议、调整前后差异及风险形成并具备评审条件后</w:t>
            </w:r>
          </w:p>
        </w:tc>
        <w:tc>
          <w:tcPr>
            <w:tcW w:w="1406" w:type="dxa"/>
            <w:tcBorders>
              <w:top w:val="nil"/>
              <w:left w:val="nil"/>
              <w:bottom w:val="nil"/>
              <w:right w:val="nil"/>
            </w:tcBorders>
            <w:shd w:val="clear" w:color="auto" w:fill="auto"/>
            <w:vAlign w:val="center"/>
          </w:tcPr>
          <w:p w14:paraId="3CAF76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核对变化原因和影响范围，可修改或继续锁定安排；可拒绝系统建议并保留当前未执行安排，但阻断性冲突未解除时不得重新下达。</w:t>
            </w:r>
          </w:p>
        </w:tc>
        <w:tc>
          <w:tcPr>
            <w:tcW w:w="1088" w:type="dxa"/>
            <w:tcBorders>
              <w:top w:val="nil"/>
              <w:left w:val="nil"/>
              <w:bottom w:val="nil"/>
              <w:right w:val="nil"/>
            </w:tcBorders>
            <w:shd w:val="clear" w:color="auto" w:fill="auto"/>
            <w:vAlign w:val="center"/>
          </w:tcPr>
          <w:p w14:paraId="6F6BB5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拟确认调整方案</w:t>
            </w:r>
          </w:p>
        </w:tc>
        <w:tc>
          <w:tcPr>
            <w:tcW w:w="1460" w:type="dxa"/>
            <w:tcBorders>
              <w:top w:val="nil"/>
              <w:left w:val="nil"/>
              <w:bottom w:val="nil"/>
              <w:right w:val="nil"/>
            </w:tcBorders>
            <w:shd w:val="clear" w:color="auto" w:fill="auto"/>
            <w:vAlign w:val="center"/>
          </w:tcPr>
          <w:p w14:paraId="29DC3B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35E0B7">
        <w:trPr>
          <w:cantSplit/>
          <w:trHeight w:val="0" w:hRule="atLeast"/>
          <w:jc w:val="center"/>
        </w:trPr>
        <w:tc>
          <w:tcPr>
            <w:tcW w:w="2944" w:type="dxa"/>
            <w:tcBorders>
              <w:top w:val="nil"/>
              <w:left w:val="nil"/>
              <w:bottom w:val="nil"/>
              <w:right w:val="nil"/>
            </w:tcBorders>
            <w:shd w:val="clear" w:color="auto" w:fill="auto"/>
            <w:vAlign w:val="center"/>
          </w:tcPr>
          <w:p w14:paraId="28062D1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P-ZLTC-SCOS-YHJH-004-60-001</w:t>
            </w:r>
          </w:p>
        </w:tc>
        <w:tc>
          <w:tcPr>
            <w:tcW w:w="945" w:type="dxa"/>
            <w:tcBorders>
              <w:top w:val="nil"/>
              <w:left w:val="nil"/>
              <w:bottom w:val="nil"/>
              <w:right w:val="nil"/>
            </w:tcBorders>
            <w:shd w:val="clear" w:color="auto" w:fill="auto"/>
            <w:vAlign w:val="center"/>
          </w:tcPr>
          <w:p w14:paraId="7E400D0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确认调整后计划规则</w:t>
            </w:r>
          </w:p>
        </w:tc>
        <w:tc>
          <w:tcPr>
            <w:tcW w:w="966" w:type="dxa"/>
            <w:tcBorders>
              <w:top w:val="nil"/>
              <w:left w:val="nil"/>
              <w:bottom w:val="nil"/>
              <w:right w:val="nil"/>
            </w:tcBorders>
            <w:shd w:val="clear" w:color="auto" w:fill="auto"/>
            <w:vAlign w:val="center"/>
          </w:tcPr>
          <w:p w14:paraId="1AF651B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5CA9F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539BD5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拟确认调整方案形成并具备评审条件后</w:t>
            </w:r>
          </w:p>
        </w:tc>
        <w:tc>
          <w:tcPr>
            <w:tcW w:w="1406" w:type="dxa"/>
            <w:tcBorders>
              <w:top w:val="nil"/>
              <w:left w:val="nil"/>
              <w:bottom w:val="nil"/>
              <w:right w:val="nil"/>
            </w:tcBorders>
            <w:shd w:val="clear" w:color="auto" w:fill="auto"/>
            <w:vAlign w:val="center"/>
          </w:tcPr>
          <w:p w14:paraId="534436F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确认新版要货计划及需要重新下达的明细；未确认时退回调整或保留原计划；确认通过后继续处理。</w:t>
            </w:r>
          </w:p>
        </w:tc>
        <w:tc>
          <w:tcPr>
            <w:tcW w:w="1088" w:type="dxa"/>
            <w:tcBorders>
              <w:top w:val="nil"/>
              <w:left w:val="nil"/>
              <w:bottom w:val="nil"/>
              <w:right w:val="nil"/>
            </w:tcBorders>
            <w:shd w:val="clear" w:color="auto" w:fill="auto"/>
            <w:vAlign w:val="center"/>
          </w:tcPr>
          <w:p w14:paraId="4C565E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17B02C3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EDE08A3">
        <w:trPr>
          <w:cantSplit/>
          <w:trHeight w:val="0" w:hRule="atLeast"/>
          <w:jc w:val="center"/>
        </w:trPr>
        <w:tc>
          <w:tcPr>
            <w:tcW w:w="2944" w:type="dxa"/>
            <w:tcBorders>
              <w:top w:val="nil"/>
              <w:left w:val="nil"/>
              <w:bottom w:val="nil"/>
              <w:right w:val="nil"/>
            </w:tcBorders>
            <w:shd w:val="clear" w:color="auto" w:fill="auto"/>
            <w:vAlign w:val="center"/>
          </w:tcPr>
          <w:p w14:paraId="0993557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P-ZLTC-SCOS-YHJH-004-70-001</w:t>
            </w:r>
          </w:p>
        </w:tc>
        <w:tc>
          <w:tcPr>
            <w:tcW w:w="945" w:type="dxa"/>
            <w:tcBorders>
              <w:top w:val="nil"/>
              <w:left w:val="nil"/>
              <w:bottom w:val="nil"/>
              <w:right w:val="nil"/>
            </w:tcBorders>
            <w:shd w:val="clear" w:color="auto" w:fill="auto"/>
            <w:vAlign w:val="center"/>
          </w:tcPr>
          <w:p w14:paraId="2ACD6FC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发布新版本并同步变化规则</w:t>
            </w:r>
          </w:p>
        </w:tc>
        <w:tc>
          <w:tcPr>
            <w:tcW w:w="966" w:type="dxa"/>
            <w:tcBorders>
              <w:top w:val="nil"/>
              <w:left w:val="nil"/>
              <w:bottom w:val="nil"/>
              <w:right w:val="nil"/>
            </w:tcBorders>
            <w:shd w:val="clear" w:color="auto" w:fill="auto"/>
            <w:vAlign w:val="center"/>
          </w:tcPr>
          <w:p w14:paraId="779CA4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EEDCD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4FBDBD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确认调整后计划通过时</w:t>
            </w:r>
          </w:p>
        </w:tc>
        <w:tc>
          <w:tcPr>
            <w:tcW w:w="1406" w:type="dxa"/>
            <w:tcBorders>
              <w:top w:val="nil"/>
              <w:left w:val="nil"/>
              <w:bottom w:val="nil"/>
              <w:right w:val="nil"/>
            </w:tcBorders>
            <w:shd w:val="clear" w:color="auto" w:fill="auto"/>
            <w:vAlign w:val="center"/>
          </w:tcPr>
          <w:p w14:paraId="7204FD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发布新版本，仅向执行端同步发生变化且允许调整的明细；同步失败时保留待同步状态并支持重推。</w:t>
            </w:r>
          </w:p>
        </w:tc>
        <w:tc>
          <w:tcPr>
            <w:tcW w:w="1088" w:type="dxa"/>
            <w:tcBorders>
              <w:top w:val="nil"/>
              <w:left w:val="nil"/>
              <w:bottom w:val="nil"/>
              <w:right w:val="nil"/>
            </w:tcBorders>
            <w:shd w:val="clear" w:color="auto" w:fill="auto"/>
            <w:vAlign w:val="center"/>
          </w:tcPr>
          <w:p w14:paraId="56A536A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新版要货计划、变更清单及同步状态</w:t>
            </w:r>
          </w:p>
        </w:tc>
        <w:tc>
          <w:tcPr>
            <w:tcW w:w="1460" w:type="dxa"/>
            <w:tcBorders>
              <w:top w:val="nil"/>
              <w:left w:val="nil"/>
              <w:bottom w:val="nil"/>
              <w:right w:val="nil"/>
            </w:tcBorders>
            <w:shd w:val="clear" w:color="auto" w:fill="auto"/>
            <w:vAlign w:val="center"/>
          </w:tcPr>
          <w:p w14:paraId="411AE11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025015">
        <w:trPr>
          <w:cantSplit/>
          <w:trHeight w:val="0" w:hRule="atLeast"/>
          <w:jc w:val="center"/>
        </w:trPr>
        <w:tc>
          <w:tcPr>
            <w:tcW w:w="2944" w:type="dxa"/>
            <w:tcBorders>
              <w:top w:val="nil"/>
              <w:left w:val="nil"/>
              <w:bottom w:val="nil"/>
              <w:right w:val="nil"/>
            </w:tcBorders>
            <w:shd w:val="clear" w:color="auto" w:fill="auto"/>
            <w:vAlign w:val="center"/>
          </w:tcPr>
          <w:p w14:paraId="5F04AE7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P-ZLTC-SCOS-YHJH-005-10-001</w:t>
            </w:r>
          </w:p>
        </w:tc>
        <w:tc>
          <w:tcPr>
            <w:tcW w:w="945" w:type="dxa"/>
            <w:tcBorders>
              <w:top w:val="nil"/>
              <w:left w:val="nil"/>
              <w:bottom w:val="nil"/>
              <w:right w:val="nil"/>
            </w:tcBorders>
            <w:shd w:val="clear" w:color="auto" w:fill="auto"/>
            <w:vAlign w:val="center"/>
          </w:tcPr>
          <w:p w14:paraId="4A1F3C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识别要货缺口或执行风险规则</w:t>
            </w:r>
          </w:p>
        </w:tc>
        <w:tc>
          <w:tcPr>
            <w:tcW w:w="966" w:type="dxa"/>
            <w:tcBorders>
              <w:top w:val="nil"/>
              <w:left w:val="nil"/>
              <w:bottom w:val="nil"/>
              <w:right w:val="nil"/>
            </w:tcBorders>
            <w:shd w:val="clear" w:color="auto" w:fill="auto"/>
            <w:vAlign w:val="center"/>
          </w:tcPr>
          <w:p w14:paraId="285FE6C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045BF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58A81B5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合同余量不足、供应商不能按时供货、预计到货延期或库存低于安全缓冲时</w:t>
            </w:r>
          </w:p>
        </w:tc>
        <w:tc>
          <w:tcPr>
            <w:tcW w:w="1406" w:type="dxa"/>
            <w:tcBorders>
              <w:top w:val="nil"/>
              <w:left w:val="nil"/>
              <w:bottom w:val="nil"/>
              <w:right w:val="nil"/>
            </w:tcBorders>
            <w:shd w:val="clear" w:color="auto" w:fill="auto"/>
            <w:vAlign w:val="center"/>
          </w:tcPr>
          <w:p w14:paraId="00122C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按日识别不能覆盖生产耗用或安全缓冲的风险；无风险时不启动本流程。</w:t>
            </w:r>
          </w:p>
        </w:tc>
        <w:tc>
          <w:tcPr>
            <w:tcW w:w="1088" w:type="dxa"/>
            <w:tcBorders>
              <w:top w:val="nil"/>
              <w:left w:val="nil"/>
              <w:bottom w:val="nil"/>
              <w:right w:val="nil"/>
            </w:tcBorders>
            <w:shd w:val="clear" w:color="auto" w:fill="auto"/>
            <w:vAlign w:val="center"/>
          </w:tcPr>
          <w:p w14:paraId="3FB43A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风险事项</w:t>
            </w:r>
          </w:p>
        </w:tc>
        <w:tc>
          <w:tcPr>
            <w:tcW w:w="1460" w:type="dxa"/>
            <w:tcBorders>
              <w:top w:val="nil"/>
              <w:left w:val="nil"/>
              <w:bottom w:val="nil"/>
              <w:right w:val="nil"/>
            </w:tcBorders>
            <w:shd w:val="clear" w:color="auto" w:fill="auto"/>
            <w:vAlign w:val="center"/>
          </w:tcPr>
          <w:p w14:paraId="2F30510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C298C8">
        <w:trPr>
          <w:cantSplit/>
          <w:trHeight w:val="0" w:hRule="atLeast"/>
          <w:jc w:val="center"/>
        </w:trPr>
        <w:tc>
          <w:tcPr>
            <w:tcW w:w="2944" w:type="dxa"/>
            <w:tcBorders>
              <w:top w:val="nil"/>
              <w:left w:val="nil"/>
              <w:bottom w:val="nil"/>
              <w:right w:val="nil"/>
            </w:tcBorders>
            <w:shd w:val="clear" w:color="auto" w:fill="auto"/>
            <w:vAlign w:val="center"/>
          </w:tcPr>
          <w:p w14:paraId="10EB55A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P-ZLTC-SCOS-YHJH-005-20-001</w:t>
            </w:r>
          </w:p>
        </w:tc>
        <w:tc>
          <w:tcPr>
            <w:tcW w:w="945" w:type="dxa"/>
            <w:tcBorders>
              <w:top w:val="nil"/>
              <w:left w:val="nil"/>
              <w:bottom w:val="nil"/>
              <w:right w:val="nil"/>
            </w:tcBorders>
            <w:shd w:val="clear" w:color="auto" w:fill="auto"/>
            <w:vAlign w:val="center"/>
          </w:tcPr>
          <w:p w14:paraId="37A833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输出风险日期、数量与原因规则</w:t>
            </w:r>
          </w:p>
        </w:tc>
        <w:tc>
          <w:tcPr>
            <w:tcW w:w="966" w:type="dxa"/>
            <w:tcBorders>
              <w:top w:val="nil"/>
              <w:left w:val="nil"/>
              <w:bottom w:val="nil"/>
              <w:right w:val="nil"/>
            </w:tcBorders>
            <w:shd w:val="clear" w:color="auto" w:fill="auto"/>
            <w:vAlign w:val="center"/>
          </w:tcPr>
          <w:p w14:paraId="7AF5F2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FE735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61FF3E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风险事项形成后</w:t>
            </w:r>
          </w:p>
        </w:tc>
        <w:tc>
          <w:tcPr>
            <w:tcW w:w="1406" w:type="dxa"/>
            <w:tcBorders>
              <w:top w:val="nil"/>
              <w:left w:val="nil"/>
              <w:bottom w:val="nil"/>
              <w:right w:val="nil"/>
            </w:tcBorders>
            <w:shd w:val="clear" w:color="auto" w:fill="auto"/>
            <w:vAlign w:val="center"/>
          </w:tcPr>
          <w:p w14:paraId="4C97F1C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将风险定位到具体日期和数量；原因数据不完整时标记“待核实”，不输出确定性处置结论。</w:t>
            </w:r>
          </w:p>
        </w:tc>
        <w:tc>
          <w:tcPr>
            <w:tcW w:w="1088" w:type="dxa"/>
            <w:tcBorders>
              <w:top w:val="nil"/>
              <w:left w:val="nil"/>
              <w:bottom w:val="nil"/>
              <w:right w:val="nil"/>
            </w:tcBorders>
            <w:shd w:val="clear" w:color="auto" w:fill="auto"/>
            <w:vAlign w:val="center"/>
          </w:tcPr>
          <w:p w14:paraId="00F5586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受影响物料、日期、缺口量、预计库存及原因</w:t>
            </w:r>
          </w:p>
        </w:tc>
        <w:tc>
          <w:tcPr>
            <w:tcW w:w="1460" w:type="dxa"/>
            <w:tcBorders>
              <w:top w:val="nil"/>
              <w:left w:val="nil"/>
              <w:bottom w:val="nil"/>
              <w:right w:val="nil"/>
            </w:tcBorders>
            <w:shd w:val="clear" w:color="auto" w:fill="auto"/>
            <w:vAlign w:val="center"/>
          </w:tcPr>
          <w:p w14:paraId="1551271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8FD77AF">
        <w:trPr>
          <w:cantSplit/>
          <w:trHeight w:val="0" w:hRule="atLeast"/>
          <w:jc w:val="center"/>
        </w:trPr>
        <w:tc>
          <w:tcPr>
            <w:tcW w:w="2944" w:type="dxa"/>
            <w:tcBorders>
              <w:top w:val="nil"/>
              <w:left w:val="nil"/>
              <w:bottom w:val="nil"/>
              <w:right w:val="nil"/>
            </w:tcBorders>
            <w:shd w:val="clear" w:color="auto" w:fill="auto"/>
            <w:vAlign w:val="center"/>
          </w:tcPr>
          <w:p w14:paraId="7207AB0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P-ZLTC-SCOS-YHJH-005-30-001</w:t>
            </w:r>
          </w:p>
        </w:tc>
        <w:tc>
          <w:tcPr>
            <w:tcW w:w="945" w:type="dxa"/>
            <w:tcBorders>
              <w:top w:val="nil"/>
              <w:left w:val="nil"/>
              <w:bottom w:val="nil"/>
              <w:right w:val="nil"/>
            </w:tcBorders>
            <w:shd w:val="clear" w:color="auto" w:fill="auto"/>
            <w:vAlign w:val="center"/>
          </w:tcPr>
          <w:p w14:paraId="629F15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选择协调方向并提出处理要求规则</w:t>
            </w:r>
          </w:p>
        </w:tc>
        <w:tc>
          <w:tcPr>
            <w:tcW w:w="966" w:type="dxa"/>
            <w:tcBorders>
              <w:top w:val="nil"/>
              <w:left w:val="nil"/>
              <w:bottom w:val="nil"/>
              <w:right w:val="nil"/>
            </w:tcBorders>
            <w:shd w:val="clear" w:color="auto" w:fill="auto"/>
            <w:vAlign w:val="center"/>
          </w:tcPr>
          <w:p w14:paraId="6D22F99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20CF6E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2BE2B73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受影响物料、日期、缺口量、预计库存及原因形成后</w:t>
            </w:r>
          </w:p>
        </w:tc>
        <w:tc>
          <w:tcPr>
            <w:tcW w:w="1406" w:type="dxa"/>
            <w:tcBorders>
              <w:top w:val="nil"/>
              <w:left w:val="nil"/>
              <w:bottom w:val="nil"/>
              <w:right w:val="nil"/>
            </w:tcBorders>
            <w:shd w:val="clear" w:color="auto" w:fill="auto"/>
            <w:vAlign w:val="center"/>
          </w:tcPr>
          <w:p w14:paraId="6585FDA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可选择与供应商协调到货、调整未锁定安排；涉及新增合同、生产调整或其他跨模块措施时，转对应业务流程决策。</w:t>
            </w:r>
          </w:p>
        </w:tc>
        <w:tc>
          <w:tcPr>
            <w:tcW w:w="1088" w:type="dxa"/>
            <w:tcBorders>
              <w:top w:val="nil"/>
              <w:left w:val="nil"/>
              <w:bottom w:val="nil"/>
              <w:right w:val="nil"/>
            </w:tcBorders>
            <w:shd w:val="clear" w:color="auto" w:fill="auto"/>
            <w:vAlign w:val="center"/>
          </w:tcPr>
          <w:p w14:paraId="3F7668E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协调任务和处理方向</w:t>
            </w:r>
          </w:p>
        </w:tc>
        <w:tc>
          <w:tcPr>
            <w:tcW w:w="1460" w:type="dxa"/>
            <w:tcBorders>
              <w:top w:val="nil"/>
              <w:left w:val="nil"/>
              <w:bottom w:val="nil"/>
              <w:right w:val="nil"/>
            </w:tcBorders>
            <w:shd w:val="clear" w:color="auto" w:fill="auto"/>
            <w:vAlign w:val="center"/>
          </w:tcPr>
          <w:p w14:paraId="3A8C50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524BA8">
        <w:trPr>
          <w:cantSplit/>
          <w:trHeight w:val="0" w:hRule="atLeast"/>
          <w:jc w:val="center"/>
        </w:trPr>
        <w:tc>
          <w:tcPr>
            <w:tcW w:w="2944" w:type="dxa"/>
            <w:tcBorders>
              <w:top w:val="nil"/>
              <w:left w:val="nil"/>
              <w:bottom w:val="nil"/>
              <w:right w:val="nil"/>
            </w:tcBorders>
            <w:shd w:val="clear" w:color="auto" w:fill="auto"/>
            <w:vAlign w:val="center"/>
          </w:tcPr>
          <w:p w14:paraId="5F9C798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P-ZLTC-SCOS-YHJH-005-40-001</w:t>
            </w:r>
          </w:p>
        </w:tc>
        <w:tc>
          <w:tcPr>
            <w:tcW w:w="945" w:type="dxa"/>
            <w:tcBorders>
              <w:top w:val="nil"/>
              <w:left w:val="nil"/>
              <w:bottom w:val="nil"/>
              <w:right w:val="nil"/>
            </w:tcBorders>
            <w:shd w:val="clear" w:color="auto" w:fill="auto"/>
            <w:vAlign w:val="center"/>
          </w:tcPr>
          <w:p w14:paraId="3EC4541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协调供货到货或相关业务安排规则</w:t>
            </w:r>
          </w:p>
        </w:tc>
        <w:tc>
          <w:tcPr>
            <w:tcW w:w="966" w:type="dxa"/>
            <w:tcBorders>
              <w:top w:val="nil"/>
              <w:left w:val="nil"/>
              <w:bottom w:val="nil"/>
              <w:right w:val="nil"/>
            </w:tcBorders>
            <w:shd w:val="clear" w:color="auto" w:fill="auto"/>
            <w:vAlign w:val="center"/>
          </w:tcPr>
          <w:p w14:paraId="5D2E25B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70283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364B3F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协调任务和处理方向形成后</w:t>
            </w:r>
          </w:p>
        </w:tc>
        <w:tc>
          <w:tcPr>
            <w:tcW w:w="1406" w:type="dxa"/>
            <w:tcBorders>
              <w:top w:val="nil"/>
              <w:left w:val="nil"/>
              <w:bottom w:val="nil"/>
              <w:right w:val="nil"/>
            </w:tcBorders>
            <w:shd w:val="clear" w:color="auto" w:fill="auto"/>
            <w:vAlign w:val="center"/>
          </w:tcPr>
          <w:p w14:paraId="154A7C0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相关责任方对供货数量、可达日期及跨业务影响进行协商；SCOS不自动决定新增合同、外库租赁、生产调整等超出要货计划范围的措施。</w:t>
            </w:r>
          </w:p>
        </w:tc>
        <w:tc>
          <w:tcPr>
            <w:tcW w:w="1088" w:type="dxa"/>
            <w:tcBorders>
              <w:top w:val="nil"/>
              <w:left w:val="nil"/>
              <w:bottom w:val="nil"/>
              <w:right w:val="nil"/>
            </w:tcBorders>
            <w:shd w:val="clear" w:color="auto" w:fill="auto"/>
            <w:vAlign w:val="center"/>
          </w:tcPr>
          <w:p w14:paraId="2F1455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可执行承诺、业务调整意见或无法解决说明</w:t>
            </w:r>
          </w:p>
        </w:tc>
        <w:tc>
          <w:tcPr>
            <w:tcW w:w="1460" w:type="dxa"/>
            <w:tcBorders>
              <w:top w:val="nil"/>
              <w:left w:val="nil"/>
              <w:bottom w:val="nil"/>
              <w:right w:val="nil"/>
            </w:tcBorders>
            <w:shd w:val="clear" w:color="auto" w:fill="auto"/>
            <w:vAlign w:val="center"/>
          </w:tcPr>
          <w:p w14:paraId="76BADCB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CDF19EB">
        <w:trPr>
          <w:cantSplit/>
          <w:trHeight w:val="0" w:hRule="atLeast"/>
          <w:jc w:val="center"/>
        </w:trPr>
        <w:tc>
          <w:tcPr>
            <w:tcW w:w="2944" w:type="dxa"/>
            <w:tcBorders>
              <w:top w:val="nil"/>
              <w:left w:val="nil"/>
              <w:bottom w:val="nil"/>
              <w:right w:val="nil"/>
            </w:tcBorders>
            <w:shd w:val="clear" w:color="auto" w:fill="auto"/>
            <w:vAlign w:val="center"/>
          </w:tcPr>
          <w:p w14:paraId="2F68BD6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P-ZLTC-SCOS-YHJH-005-50-001</w:t>
            </w:r>
          </w:p>
        </w:tc>
        <w:tc>
          <w:tcPr>
            <w:tcW w:w="945" w:type="dxa"/>
            <w:tcBorders>
              <w:top w:val="nil"/>
              <w:left w:val="nil"/>
              <w:bottom w:val="nil"/>
              <w:right w:val="nil"/>
            </w:tcBorders>
            <w:shd w:val="clear" w:color="auto" w:fill="auto"/>
            <w:vAlign w:val="center"/>
          </w:tcPr>
          <w:p w14:paraId="771D28C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判断风险是否可以消除规则</w:t>
            </w:r>
          </w:p>
        </w:tc>
        <w:tc>
          <w:tcPr>
            <w:tcW w:w="966" w:type="dxa"/>
            <w:tcBorders>
              <w:top w:val="nil"/>
              <w:left w:val="nil"/>
              <w:bottom w:val="nil"/>
              <w:right w:val="nil"/>
            </w:tcBorders>
            <w:shd w:val="clear" w:color="auto" w:fill="auto"/>
            <w:vAlign w:val="center"/>
          </w:tcPr>
          <w:p w14:paraId="6B2F4C1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1D29D4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371275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可执行承诺、业务调整意见或无法解决说明形成后</w:t>
            </w:r>
          </w:p>
        </w:tc>
        <w:tc>
          <w:tcPr>
            <w:tcW w:w="1406" w:type="dxa"/>
            <w:tcBorders>
              <w:top w:val="nil"/>
              <w:left w:val="nil"/>
              <w:bottom w:val="nil"/>
              <w:right w:val="nil"/>
            </w:tcBorders>
            <w:shd w:val="clear" w:color="auto" w:fill="auto"/>
            <w:vAlign w:val="center"/>
          </w:tcPr>
          <w:p w14:paraId="347283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将协调结果代入库存和要货计划重新评估；风险可以消除时记录结论并滚动调整；风险不可以消除时继续处理。</w:t>
            </w:r>
          </w:p>
        </w:tc>
        <w:tc>
          <w:tcPr>
            <w:tcW w:w="1088" w:type="dxa"/>
            <w:tcBorders>
              <w:top w:val="nil"/>
              <w:left w:val="nil"/>
              <w:bottom w:val="nil"/>
              <w:right w:val="nil"/>
            </w:tcBorders>
            <w:shd w:val="clear" w:color="auto" w:fill="auto"/>
            <w:vAlign w:val="center"/>
          </w:tcPr>
          <w:p w14:paraId="116BA13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风险复核结论</w:t>
            </w:r>
          </w:p>
        </w:tc>
        <w:tc>
          <w:tcPr>
            <w:tcW w:w="1460" w:type="dxa"/>
            <w:tcBorders>
              <w:top w:val="nil"/>
              <w:left w:val="nil"/>
              <w:bottom w:val="nil"/>
              <w:right w:val="nil"/>
            </w:tcBorders>
            <w:shd w:val="clear" w:color="auto" w:fill="auto"/>
            <w:vAlign w:val="center"/>
          </w:tcPr>
          <w:p w14:paraId="3317468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0C00EA3">
        <w:trPr>
          <w:cantSplit/>
          <w:trHeight w:val="0" w:hRule="atLeast"/>
          <w:jc w:val="center"/>
        </w:trPr>
        <w:tc>
          <w:tcPr>
            <w:tcW w:w="2944" w:type="dxa"/>
            <w:tcBorders>
              <w:top w:val="nil"/>
              <w:left w:val="nil"/>
              <w:bottom w:val="nil"/>
              <w:right w:val="nil"/>
            </w:tcBorders>
            <w:shd w:val="clear" w:color="auto" w:fill="auto"/>
            <w:vAlign w:val="center"/>
          </w:tcPr>
          <w:p w14:paraId="4E1985E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P-ZLTC-SCOS-YHJH-005-60-001</w:t>
            </w:r>
          </w:p>
        </w:tc>
        <w:tc>
          <w:tcPr>
            <w:tcW w:w="945" w:type="dxa"/>
            <w:tcBorders>
              <w:top w:val="nil"/>
              <w:left w:val="nil"/>
              <w:bottom w:val="nil"/>
              <w:right w:val="nil"/>
            </w:tcBorders>
            <w:shd w:val="clear" w:color="auto" w:fill="auto"/>
            <w:vAlign w:val="center"/>
          </w:tcPr>
          <w:p w14:paraId="13A517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确认临时措施或升级处置规则</w:t>
            </w:r>
          </w:p>
        </w:tc>
        <w:tc>
          <w:tcPr>
            <w:tcW w:w="966" w:type="dxa"/>
            <w:tcBorders>
              <w:top w:val="nil"/>
              <w:left w:val="nil"/>
              <w:bottom w:val="nil"/>
              <w:right w:val="nil"/>
            </w:tcBorders>
            <w:shd w:val="clear" w:color="auto" w:fill="auto"/>
            <w:vAlign w:val="center"/>
          </w:tcPr>
          <w:p w14:paraId="5DE0109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EFD617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0B6ED3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风险不可以消除时</w:t>
            </w:r>
          </w:p>
        </w:tc>
        <w:tc>
          <w:tcPr>
            <w:tcW w:w="1406" w:type="dxa"/>
            <w:tcBorders>
              <w:top w:val="nil"/>
              <w:left w:val="nil"/>
              <w:bottom w:val="nil"/>
              <w:right w:val="nil"/>
            </w:tcBorders>
            <w:shd w:val="clear" w:color="auto" w:fill="auto"/>
            <w:vAlign w:val="center"/>
          </w:tcPr>
          <w:p w14:paraId="522082E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对无法通过要货计划调整消除的风险，确认临时措施或升级处置；未形成结论时保持风险开放并持续预警。</w:t>
            </w:r>
          </w:p>
        </w:tc>
        <w:tc>
          <w:tcPr>
            <w:tcW w:w="1088" w:type="dxa"/>
            <w:tcBorders>
              <w:top w:val="nil"/>
              <w:left w:val="nil"/>
              <w:bottom w:val="nil"/>
              <w:right w:val="nil"/>
            </w:tcBorders>
            <w:shd w:val="clear" w:color="auto" w:fill="auto"/>
            <w:vAlign w:val="center"/>
          </w:tcPr>
          <w:p w14:paraId="6D20E3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临时措施、风险接受或升级事项</w:t>
            </w:r>
          </w:p>
        </w:tc>
        <w:tc>
          <w:tcPr>
            <w:tcW w:w="1460" w:type="dxa"/>
            <w:tcBorders>
              <w:top w:val="nil"/>
              <w:left w:val="nil"/>
              <w:bottom w:val="nil"/>
              <w:right w:val="nil"/>
            </w:tcBorders>
            <w:shd w:val="clear" w:color="auto" w:fill="auto"/>
            <w:vAlign w:val="center"/>
          </w:tcPr>
          <w:p w14:paraId="25AEE89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5CF4D7">
        <w:trPr>
          <w:cantSplit/>
          <w:trHeight w:val="0" w:hRule="atLeast"/>
          <w:jc w:val="center"/>
        </w:trPr>
        <w:tc>
          <w:tcPr>
            <w:tcW w:w="2944" w:type="dxa"/>
            <w:tcBorders>
              <w:top w:val="nil"/>
              <w:left w:val="nil"/>
              <w:bottom w:val="nil"/>
              <w:right w:val="nil"/>
            </w:tcBorders>
            <w:shd w:val="clear" w:color="auto" w:fill="auto"/>
            <w:vAlign w:val="center"/>
          </w:tcPr>
          <w:p w14:paraId="062712D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P-ZLTC-SCOS-YHJH-005-70-001</w:t>
            </w:r>
          </w:p>
        </w:tc>
        <w:tc>
          <w:tcPr>
            <w:tcW w:w="945" w:type="dxa"/>
            <w:tcBorders>
              <w:top w:val="nil"/>
              <w:left w:val="nil"/>
              <w:bottom w:val="nil"/>
              <w:right w:val="nil"/>
            </w:tcBorders>
            <w:shd w:val="clear" w:color="auto" w:fill="auto"/>
            <w:vAlign w:val="center"/>
          </w:tcPr>
          <w:p w14:paraId="5C4054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记录结论并发起滚动调整规则</w:t>
            </w:r>
          </w:p>
        </w:tc>
        <w:tc>
          <w:tcPr>
            <w:tcW w:w="966" w:type="dxa"/>
            <w:tcBorders>
              <w:top w:val="nil"/>
              <w:left w:val="nil"/>
              <w:bottom w:val="nil"/>
              <w:right w:val="nil"/>
            </w:tcBorders>
            <w:shd w:val="clear" w:color="auto" w:fill="auto"/>
            <w:vAlign w:val="center"/>
          </w:tcPr>
          <w:p w14:paraId="3D1D904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59135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4948329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风险可以消除时</w:t>
            </w:r>
          </w:p>
        </w:tc>
        <w:tc>
          <w:tcPr>
            <w:tcW w:w="1406" w:type="dxa"/>
            <w:tcBorders>
              <w:top w:val="nil"/>
              <w:left w:val="nil"/>
              <w:bottom w:val="nil"/>
              <w:right w:val="nil"/>
            </w:tcBorders>
            <w:shd w:val="clear" w:color="auto" w:fill="auto"/>
            <w:vAlign w:val="center"/>
          </w:tcPr>
          <w:p w14:paraId="729405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记录责任人、处理意见、计划影响和关闭状态；调整后仍有缺口时继续保持风险开放，不以流程结束替代风险消除。</w:t>
            </w:r>
          </w:p>
        </w:tc>
        <w:tc>
          <w:tcPr>
            <w:tcW w:w="1088" w:type="dxa"/>
            <w:tcBorders>
              <w:top w:val="nil"/>
              <w:left w:val="nil"/>
              <w:bottom w:val="nil"/>
              <w:right w:val="nil"/>
            </w:tcBorders>
            <w:shd w:val="clear" w:color="auto" w:fill="auto"/>
            <w:vAlign w:val="center"/>
          </w:tcPr>
          <w:p w14:paraId="4AEAB43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异常闭环记录、滚动调整任务和驾驶舱风险状态</w:t>
            </w:r>
          </w:p>
        </w:tc>
        <w:tc>
          <w:tcPr>
            <w:tcW w:w="1460" w:type="dxa"/>
            <w:tcBorders>
              <w:top w:val="nil"/>
              <w:left w:val="nil"/>
              <w:bottom w:val="nil"/>
              <w:right w:val="nil"/>
            </w:tcBorders>
            <w:shd w:val="clear" w:color="auto" w:fill="auto"/>
            <w:vAlign w:val="center"/>
          </w:tcPr>
          <w:p w14:paraId="16F2752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8ED0B2">
        <w:trPr>
          <w:cantSplit/>
          <w:trHeight w:val="0" w:hRule="atLeast"/>
          <w:jc w:val="center"/>
        </w:trPr>
        <w:tc>
          <w:tcPr>
            <w:tcW w:w="2944" w:type="dxa"/>
            <w:tcBorders>
              <w:top w:val="nil"/>
              <w:left w:val="nil"/>
              <w:bottom w:val="nil"/>
              <w:right w:val="nil"/>
            </w:tcBorders>
            <w:shd w:val="clear" w:color="auto" w:fill="auto"/>
            <w:vAlign w:val="center"/>
          </w:tcPr>
          <w:p w14:paraId="1C18DBD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P-ZLTC-SCOS-YHJH-006-10-001</w:t>
            </w:r>
          </w:p>
        </w:tc>
        <w:tc>
          <w:tcPr>
            <w:tcW w:w="945" w:type="dxa"/>
            <w:tcBorders>
              <w:top w:val="nil"/>
              <w:left w:val="nil"/>
              <w:bottom w:val="nil"/>
              <w:right w:val="nil"/>
            </w:tcBorders>
            <w:shd w:val="clear" w:color="auto" w:fill="auto"/>
            <w:vAlign w:val="center"/>
          </w:tcPr>
          <w:p w14:paraId="2C8733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提交禁运或解除申请及依据规则</w:t>
            </w:r>
          </w:p>
        </w:tc>
        <w:tc>
          <w:tcPr>
            <w:tcW w:w="966" w:type="dxa"/>
            <w:tcBorders>
              <w:top w:val="nil"/>
              <w:left w:val="nil"/>
              <w:bottom w:val="nil"/>
              <w:right w:val="nil"/>
            </w:tcBorders>
            <w:shd w:val="clear" w:color="auto" w:fill="auto"/>
            <w:vAlign w:val="center"/>
          </w:tcPr>
          <w:p w14:paraId="0082D6E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CB2B0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08B3DE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相关部门认为需禁止供应商新增要货或解除已有禁运状态时</w:t>
            </w:r>
          </w:p>
        </w:tc>
        <w:tc>
          <w:tcPr>
            <w:tcW w:w="1406" w:type="dxa"/>
            <w:tcBorders>
              <w:top w:val="nil"/>
              <w:left w:val="nil"/>
              <w:bottom w:val="nil"/>
              <w:right w:val="nil"/>
            </w:tcBorders>
            <w:shd w:val="clear" w:color="auto" w:fill="auto"/>
            <w:vAlign w:val="center"/>
          </w:tcPr>
          <w:p w14:paraId="028A220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明确申请类型、供应商、适用范围、生效时间、原因和证据；依据或影响范围不清时退回补充。</w:t>
            </w:r>
          </w:p>
        </w:tc>
        <w:tc>
          <w:tcPr>
            <w:tcW w:w="1088" w:type="dxa"/>
            <w:tcBorders>
              <w:top w:val="nil"/>
              <w:left w:val="nil"/>
              <w:bottom w:val="nil"/>
              <w:right w:val="nil"/>
            </w:tcBorders>
            <w:shd w:val="clear" w:color="auto" w:fill="auto"/>
            <w:vAlign w:val="center"/>
          </w:tcPr>
          <w:p w14:paraId="0B0DEE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禁运/解除申请、供应商、范围和建议生效时间</w:t>
            </w:r>
          </w:p>
        </w:tc>
        <w:tc>
          <w:tcPr>
            <w:tcW w:w="1460" w:type="dxa"/>
            <w:tcBorders>
              <w:top w:val="nil"/>
              <w:left w:val="nil"/>
              <w:bottom w:val="nil"/>
              <w:right w:val="nil"/>
            </w:tcBorders>
            <w:shd w:val="clear" w:color="auto" w:fill="auto"/>
            <w:vAlign w:val="center"/>
          </w:tcPr>
          <w:p w14:paraId="01D7CE4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2932E22">
        <w:trPr>
          <w:cantSplit/>
          <w:trHeight w:val="0" w:hRule="atLeast"/>
          <w:jc w:val="center"/>
        </w:trPr>
        <w:tc>
          <w:tcPr>
            <w:tcW w:w="2944" w:type="dxa"/>
            <w:tcBorders>
              <w:top w:val="nil"/>
              <w:left w:val="nil"/>
              <w:bottom w:val="nil"/>
              <w:right w:val="nil"/>
            </w:tcBorders>
            <w:shd w:val="clear" w:color="auto" w:fill="auto"/>
            <w:vAlign w:val="center"/>
          </w:tcPr>
          <w:p w14:paraId="4529923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P-ZLTC-SCOS-YHJH-006-20-001</w:t>
            </w:r>
          </w:p>
        </w:tc>
        <w:tc>
          <w:tcPr>
            <w:tcW w:w="945" w:type="dxa"/>
            <w:tcBorders>
              <w:top w:val="nil"/>
              <w:left w:val="nil"/>
              <w:bottom w:val="nil"/>
              <w:right w:val="nil"/>
            </w:tcBorders>
            <w:shd w:val="clear" w:color="auto" w:fill="auto"/>
            <w:vAlign w:val="center"/>
          </w:tcPr>
          <w:p w14:paraId="1A63E8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复核原因、范围与生效时间规则</w:t>
            </w:r>
          </w:p>
        </w:tc>
        <w:tc>
          <w:tcPr>
            <w:tcW w:w="966" w:type="dxa"/>
            <w:tcBorders>
              <w:top w:val="nil"/>
              <w:left w:val="nil"/>
              <w:bottom w:val="nil"/>
              <w:right w:val="nil"/>
            </w:tcBorders>
            <w:shd w:val="clear" w:color="auto" w:fill="auto"/>
            <w:vAlign w:val="center"/>
          </w:tcPr>
          <w:p w14:paraId="4CD155F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308DF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14893C4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禁运/解除申请、供应商、范围和建议生效时间形成并具备评审条件后</w:t>
            </w:r>
          </w:p>
        </w:tc>
        <w:tc>
          <w:tcPr>
            <w:tcW w:w="1406" w:type="dxa"/>
            <w:tcBorders>
              <w:top w:val="nil"/>
              <w:left w:val="nil"/>
              <w:bottom w:val="nil"/>
              <w:right w:val="nil"/>
            </w:tcBorders>
            <w:shd w:val="clear" w:color="auto" w:fill="auto"/>
            <w:vAlign w:val="center"/>
          </w:tcPr>
          <w:p w14:paraId="22024E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核对申请依据、受影响合同和计划、在途情况及状态变更影响；信息不完整时补充；已有在途不作为新增要货处理。</w:t>
            </w:r>
          </w:p>
        </w:tc>
        <w:tc>
          <w:tcPr>
            <w:tcW w:w="1088" w:type="dxa"/>
            <w:tcBorders>
              <w:top w:val="nil"/>
              <w:left w:val="nil"/>
              <w:bottom w:val="nil"/>
              <w:right w:val="nil"/>
            </w:tcBorders>
            <w:shd w:val="clear" w:color="auto" w:fill="auto"/>
            <w:vAlign w:val="center"/>
          </w:tcPr>
          <w:p w14:paraId="0E4017C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复核意见</w:t>
            </w:r>
          </w:p>
        </w:tc>
        <w:tc>
          <w:tcPr>
            <w:tcW w:w="1460" w:type="dxa"/>
            <w:tcBorders>
              <w:top w:val="nil"/>
              <w:left w:val="nil"/>
              <w:bottom w:val="nil"/>
              <w:right w:val="nil"/>
            </w:tcBorders>
            <w:shd w:val="clear" w:color="auto" w:fill="auto"/>
            <w:vAlign w:val="center"/>
          </w:tcPr>
          <w:p w14:paraId="350F36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2DDB3C">
        <w:trPr>
          <w:cantSplit/>
          <w:trHeight w:val="0" w:hRule="atLeast"/>
          <w:jc w:val="center"/>
        </w:trPr>
        <w:tc>
          <w:tcPr>
            <w:tcW w:w="2944" w:type="dxa"/>
            <w:tcBorders>
              <w:top w:val="nil"/>
              <w:left w:val="nil"/>
              <w:bottom w:val="nil"/>
              <w:right w:val="nil"/>
            </w:tcBorders>
            <w:shd w:val="clear" w:color="auto" w:fill="auto"/>
            <w:vAlign w:val="center"/>
          </w:tcPr>
          <w:p w14:paraId="08F600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P-ZLTC-SCOS-YHJH-006-30-001</w:t>
            </w:r>
          </w:p>
        </w:tc>
        <w:tc>
          <w:tcPr>
            <w:tcW w:w="945" w:type="dxa"/>
            <w:tcBorders>
              <w:top w:val="nil"/>
              <w:left w:val="nil"/>
              <w:bottom w:val="nil"/>
              <w:right w:val="nil"/>
            </w:tcBorders>
            <w:shd w:val="clear" w:color="auto" w:fill="auto"/>
            <w:vAlign w:val="center"/>
          </w:tcPr>
          <w:p w14:paraId="171150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判断是否确认状态变更规则</w:t>
            </w:r>
          </w:p>
        </w:tc>
        <w:tc>
          <w:tcPr>
            <w:tcW w:w="966" w:type="dxa"/>
            <w:tcBorders>
              <w:top w:val="nil"/>
              <w:left w:val="nil"/>
              <w:bottom w:val="nil"/>
              <w:right w:val="nil"/>
            </w:tcBorders>
            <w:shd w:val="clear" w:color="auto" w:fill="auto"/>
            <w:vAlign w:val="center"/>
          </w:tcPr>
          <w:p w14:paraId="4E233E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5FE3C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52944C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复核意见形成后</w:t>
            </w:r>
          </w:p>
        </w:tc>
        <w:tc>
          <w:tcPr>
            <w:tcW w:w="1406" w:type="dxa"/>
            <w:tcBorders>
              <w:top w:val="nil"/>
              <w:left w:val="nil"/>
              <w:bottom w:val="nil"/>
              <w:right w:val="nil"/>
            </w:tcBorders>
            <w:shd w:val="clear" w:color="auto" w:fill="auto"/>
            <w:vAlign w:val="center"/>
          </w:tcPr>
          <w:p w14:paraId="5028860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按现行业务授权确认是否执行禁运或解除；未确认状态变更时退回复核或终止申请；确认状态变更时继续处理。</w:t>
            </w:r>
          </w:p>
        </w:tc>
        <w:tc>
          <w:tcPr>
            <w:tcW w:w="1088" w:type="dxa"/>
            <w:tcBorders>
              <w:top w:val="nil"/>
              <w:left w:val="nil"/>
              <w:bottom w:val="nil"/>
              <w:right w:val="nil"/>
            </w:tcBorders>
            <w:shd w:val="clear" w:color="auto" w:fill="auto"/>
            <w:vAlign w:val="center"/>
          </w:tcPr>
          <w:p w14:paraId="2E3D0FB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11F16CC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DFD209">
        <w:trPr>
          <w:cantSplit/>
          <w:trHeight w:val="0" w:hRule="atLeast"/>
          <w:jc w:val="center"/>
        </w:trPr>
        <w:tc>
          <w:tcPr>
            <w:tcW w:w="2944" w:type="dxa"/>
            <w:tcBorders>
              <w:top w:val="nil"/>
              <w:left w:val="nil"/>
              <w:bottom w:val="nil"/>
              <w:right w:val="nil"/>
            </w:tcBorders>
            <w:shd w:val="clear" w:color="auto" w:fill="auto"/>
            <w:vAlign w:val="center"/>
          </w:tcPr>
          <w:p w14:paraId="4F85E8A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P-ZLTC-SCOS-YHJH-006-40-001</w:t>
            </w:r>
          </w:p>
        </w:tc>
        <w:tc>
          <w:tcPr>
            <w:tcW w:w="945" w:type="dxa"/>
            <w:tcBorders>
              <w:top w:val="nil"/>
              <w:left w:val="nil"/>
              <w:bottom w:val="nil"/>
              <w:right w:val="nil"/>
            </w:tcBorders>
            <w:shd w:val="clear" w:color="auto" w:fill="auto"/>
            <w:vAlign w:val="center"/>
          </w:tcPr>
          <w:p w14:paraId="38CE4C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更新供应商禁运状态规则</w:t>
            </w:r>
          </w:p>
        </w:tc>
        <w:tc>
          <w:tcPr>
            <w:tcW w:w="966" w:type="dxa"/>
            <w:tcBorders>
              <w:top w:val="nil"/>
              <w:left w:val="nil"/>
              <w:bottom w:val="nil"/>
              <w:right w:val="nil"/>
            </w:tcBorders>
            <w:shd w:val="clear" w:color="auto" w:fill="auto"/>
            <w:vAlign w:val="center"/>
          </w:tcPr>
          <w:p w14:paraId="34AA2F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B9E263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2788E4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确认状态变更时</w:t>
            </w:r>
          </w:p>
        </w:tc>
        <w:tc>
          <w:tcPr>
            <w:tcW w:w="1406" w:type="dxa"/>
            <w:tcBorders>
              <w:top w:val="nil"/>
              <w:left w:val="nil"/>
              <w:bottom w:val="nil"/>
              <w:right w:val="nil"/>
            </w:tcBorders>
            <w:shd w:val="clear" w:color="auto" w:fill="auto"/>
            <w:vAlign w:val="center"/>
          </w:tcPr>
          <w:p w14:paraId="13C521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更新禁运或解除状态；更新失败时保持原状态并提示重试，避免计划参与资格与确认结论不一致。</w:t>
            </w:r>
          </w:p>
        </w:tc>
        <w:tc>
          <w:tcPr>
            <w:tcW w:w="1088" w:type="dxa"/>
            <w:tcBorders>
              <w:top w:val="nil"/>
              <w:left w:val="nil"/>
              <w:bottom w:val="nil"/>
              <w:right w:val="nil"/>
            </w:tcBorders>
            <w:shd w:val="clear" w:color="auto" w:fill="auto"/>
            <w:vAlign w:val="center"/>
          </w:tcPr>
          <w:p w14:paraId="51C49F7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供应商禁运状态记录</w:t>
            </w:r>
          </w:p>
        </w:tc>
        <w:tc>
          <w:tcPr>
            <w:tcW w:w="1460" w:type="dxa"/>
            <w:tcBorders>
              <w:top w:val="nil"/>
              <w:left w:val="nil"/>
              <w:bottom w:val="nil"/>
              <w:right w:val="nil"/>
            </w:tcBorders>
            <w:shd w:val="clear" w:color="auto" w:fill="auto"/>
            <w:vAlign w:val="center"/>
          </w:tcPr>
          <w:p w14:paraId="4C86098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4647CAA">
        <w:trPr>
          <w:cantSplit/>
          <w:trHeight w:val="0" w:hRule="atLeast"/>
          <w:jc w:val="center"/>
        </w:trPr>
        <w:tc>
          <w:tcPr>
            <w:tcW w:w="2944" w:type="dxa"/>
            <w:tcBorders>
              <w:top w:val="nil"/>
              <w:left w:val="nil"/>
              <w:bottom w:val="nil"/>
              <w:right w:val="nil"/>
            </w:tcBorders>
            <w:shd w:val="clear" w:color="auto" w:fill="auto"/>
            <w:vAlign w:val="center"/>
          </w:tcPr>
          <w:p w14:paraId="179D77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P-ZLTC-SCOS-YHJH-006-50-001</w:t>
            </w:r>
          </w:p>
        </w:tc>
        <w:tc>
          <w:tcPr>
            <w:tcW w:w="945" w:type="dxa"/>
            <w:tcBorders>
              <w:top w:val="nil"/>
              <w:left w:val="nil"/>
              <w:bottom w:val="nil"/>
              <w:right w:val="nil"/>
            </w:tcBorders>
            <w:shd w:val="clear" w:color="auto" w:fill="auto"/>
            <w:vAlign w:val="center"/>
          </w:tcPr>
          <w:p w14:paraId="6BBC10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调整新增要货计划参与资格规则</w:t>
            </w:r>
          </w:p>
        </w:tc>
        <w:tc>
          <w:tcPr>
            <w:tcW w:w="966" w:type="dxa"/>
            <w:tcBorders>
              <w:top w:val="nil"/>
              <w:left w:val="nil"/>
              <w:bottom w:val="nil"/>
              <w:right w:val="nil"/>
            </w:tcBorders>
            <w:shd w:val="clear" w:color="auto" w:fill="auto"/>
            <w:vAlign w:val="center"/>
          </w:tcPr>
          <w:p w14:paraId="393AFD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500AA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0BB00B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最新禁运状态、有效合同满足处理条件时</w:t>
            </w:r>
          </w:p>
        </w:tc>
        <w:tc>
          <w:tcPr>
            <w:tcW w:w="1406" w:type="dxa"/>
            <w:tcBorders>
              <w:top w:val="nil"/>
              <w:left w:val="nil"/>
              <w:bottom w:val="nil"/>
              <w:right w:val="nil"/>
            </w:tcBorders>
            <w:shd w:val="clear" w:color="auto" w:fill="auto"/>
            <w:vAlign w:val="center"/>
          </w:tcPr>
          <w:p w14:paraId="4A5AEC4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禁运后从新增要货安排中排除相关供应商；状态变更不自动取消已下达或已有在途安排。</w:t>
            </w:r>
          </w:p>
        </w:tc>
        <w:tc>
          <w:tcPr>
            <w:tcW w:w="1088" w:type="dxa"/>
            <w:tcBorders>
              <w:top w:val="nil"/>
              <w:left w:val="nil"/>
              <w:bottom w:val="nil"/>
              <w:right w:val="nil"/>
            </w:tcBorders>
            <w:shd w:val="clear" w:color="auto" w:fill="auto"/>
            <w:vAlign w:val="center"/>
          </w:tcPr>
          <w:p w14:paraId="02BA81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供应商计划参与资格</w:t>
            </w:r>
          </w:p>
        </w:tc>
        <w:tc>
          <w:tcPr>
            <w:tcW w:w="1460" w:type="dxa"/>
            <w:tcBorders>
              <w:top w:val="nil"/>
              <w:left w:val="nil"/>
              <w:bottom w:val="nil"/>
              <w:right w:val="nil"/>
            </w:tcBorders>
            <w:shd w:val="clear" w:color="auto" w:fill="auto"/>
            <w:vAlign w:val="center"/>
          </w:tcPr>
          <w:p w14:paraId="6C61F5A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E15DE1">
        <w:trPr>
          <w:cantSplit/>
          <w:trHeight w:val="0" w:hRule="atLeast"/>
          <w:jc w:val="center"/>
        </w:trPr>
        <w:tc>
          <w:tcPr>
            <w:tcW w:w="2944" w:type="dxa"/>
            <w:tcBorders>
              <w:top w:val="nil"/>
              <w:left w:val="nil"/>
              <w:bottom w:val="nil"/>
              <w:right w:val="nil"/>
            </w:tcBorders>
            <w:shd w:val="clear" w:color="auto" w:fill="auto"/>
            <w:vAlign w:val="center"/>
          </w:tcPr>
          <w:p w14:paraId="0D8E744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P-ZLTC-SCOS-YHJH-006-60-001</w:t>
            </w:r>
          </w:p>
        </w:tc>
        <w:tc>
          <w:tcPr>
            <w:tcW w:w="945" w:type="dxa"/>
            <w:tcBorders>
              <w:top w:val="nil"/>
              <w:left w:val="nil"/>
              <w:bottom w:val="nil"/>
              <w:right w:val="nil"/>
            </w:tcBorders>
            <w:shd w:val="clear" w:color="auto" w:fill="auto"/>
            <w:vAlign w:val="center"/>
          </w:tcPr>
          <w:p w14:paraId="7E67300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同步状态并协调已有在途规则</w:t>
            </w:r>
          </w:p>
        </w:tc>
        <w:tc>
          <w:tcPr>
            <w:tcW w:w="966" w:type="dxa"/>
            <w:tcBorders>
              <w:top w:val="nil"/>
              <w:left w:val="nil"/>
              <w:bottom w:val="nil"/>
              <w:right w:val="nil"/>
            </w:tcBorders>
            <w:shd w:val="clear" w:color="auto" w:fill="auto"/>
            <w:vAlign w:val="center"/>
          </w:tcPr>
          <w:p w14:paraId="77EC0F5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52721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035BC3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供应商计划参与资格形成后</w:t>
            </w:r>
          </w:p>
        </w:tc>
        <w:tc>
          <w:tcPr>
            <w:tcW w:w="1406" w:type="dxa"/>
            <w:tcBorders>
              <w:top w:val="nil"/>
              <w:left w:val="nil"/>
              <w:bottom w:val="nil"/>
              <w:right w:val="nil"/>
            </w:tcBorders>
            <w:shd w:val="clear" w:color="auto" w:fill="auto"/>
            <w:vAlign w:val="center"/>
          </w:tcPr>
          <w:p w14:paraId="4D947C0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将状态传递给TMS及供应商协同端；接口失败时保留待同步状态；在途处置未明确时保持风险提示。</w:t>
            </w:r>
          </w:p>
        </w:tc>
        <w:tc>
          <w:tcPr>
            <w:tcW w:w="1088" w:type="dxa"/>
            <w:tcBorders>
              <w:top w:val="nil"/>
              <w:left w:val="nil"/>
              <w:bottom w:val="nil"/>
              <w:right w:val="nil"/>
            </w:tcBorders>
            <w:shd w:val="clear" w:color="auto" w:fill="auto"/>
            <w:vAlign w:val="center"/>
          </w:tcPr>
          <w:p w14:paraId="5BB717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同步结果和已有在途协调意见</w:t>
            </w:r>
          </w:p>
        </w:tc>
        <w:tc>
          <w:tcPr>
            <w:tcW w:w="1460" w:type="dxa"/>
            <w:tcBorders>
              <w:top w:val="nil"/>
              <w:left w:val="nil"/>
              <w:bottom w:val="nil"/>
              <w:right w:val="nil"/>
            </w:tcBorders>
            <w:shd w:val="clear" w:color="auto" w:fill="auto"/>
            <w:vAlign w:val="center"/>
          </w:tcPr>
          <w:p w14:paraId="60F9652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SCOS/TMS/供应商协同平台</w:t>
            </w:r>
          </w:p>
        </w:tc>
      </w:tr>
      <w:tr w14:paraId="076568E8">
        <w:trPr>
          <w:cantSplit/>
          <w:trHeight w:val="0" w:hRule="atLeast"/>
          <w:jc w:val="center"/>
        </w:trPr>
        <w:tc>
          <w:tcPr>
            <w:tcW w:w="2944" w:type="dxa"/>
            <w:tcBorders>
              <w:top w:val="nil"/>
              <w:left w:val="nil"/>
              <w:bottom w:val="nil"/>
              <w:right w:val="nil"/>
            </w:tcBorders>
            <w:shd w:val="clear" w:color="auto" w:fill="auto"/>
            <w:vAlign w:val="center"/>
          </w:tcPr>
          <w:p w14:paraId="733803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P-ZLTC-SCOS-YHJH-006-70-001</w:t>
            </w:r>
          </w:p>
        </w:tc>
        <w:tc>
          <w:tcPr>
            <w:tcW w:w="945" w:type="dxa"/>
            <w:tcBorders>
              <w:top w:val="nil"/>
              <w:left w:val="nil"/>
              <w:bottom w:val="nil"/>
              <w:right w:val="nil"/>
            </w:tcBorders>
            <w:shd w:val="clear" w:color="auto" w:fill="auto"/>
            <w:vAlign w:val="center"/>
          </w:tcPr>
          <w:p w14:paraId="512BC89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评估影响并触发调整规则</w:t>
            </w:r>
          </w:p>
        </w:tc>
        <w:tc>
          <w:tcPr>
            <w:tcW w:w="966" w:type="dxa"/>
            <w:tcBorders>
              <w:top w:val="nil"/>
              <w:left w:val="nil"/>
              <w:bottom w:val="nil"/>
              <w:right w:val="nil"/>
            </w:tcBorders>
            <w:shd w:val="clear" w:color="auto" w:fill="auto"/>
            <w:vAlign w:val="center"/>
          </w:tcPr>
          <w:p w14:paraId="75D1B33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7C2CC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108F90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同步结果和已有在途协调意见形成后</w:t>
            </w:r>
          </w:p>
        </w:tc>
        <w:tc>
          <w:tcPr>
            <w:tcW w:w="1406" w:type="dxa"/>
            <w:tcBorders>
              <w:top w:val="nil"/>
              <w:left w:val="nil"/>
              <w:bottom w:val="nil"/>
              <w:right w:val="nil"/>
            </w:tcBorders>
            <w:shd w:val="clear" w:color="auto" w:fill="auto"/>
            <w:vAlign w:val="center"/>
          </w:tcPr>
          <w:p w14:paraId="2927074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识别受影响的未执行、未锁定安排并触发滚动调整；现有供应商无法补位时转要货缺口与异常协调流程。</w:t>
            </w:r>
          </w:p>
        </w:tc>
        <w:tc>
          <w:tcPr>
            <w:tcW w:w="1088" w:type="dxa"/>
            <w:tcBorders>
              <w:top w:val="nil"/>
              <w:left w:val="nil"/>
              <w:bottom w:val="nil"/>
              <w:right w:val="nil"/>
            </w:tcBorders>
            <w:shd w:val="clear" w:color="auto" w:fill="auto"/>
            <w:vAlign w:val="center"/>
          </w:tcPr>
          <w:p w14:paraId="116A59A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受影响范围及滚动调整任务</w:t>
            </w:r>
          </w:p>
        </w:tc>
        <w:tc>
          <w:tcPr>
            <w:tcW w:w="1460" w:type="dxa"/>
            <w:tcBorders>
              <w:top w:val="nil"/>
              <w:left w:val="nil"/>
              <w:bottom w:val="nil"/>
              <w:right w:val="nil"/>
            </w:tcBorders>
            <w:shd w:val="clear" w:color="auto" w:fill="auto"/>
            <w:vAlign w:val="center"/>
          </w:tcPr>
          <w:p w14:paraId="753986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FCFFCAF">
        <w:trPr>
          <w:cantSplit/>
          <w:trHeight w:val="0" w:hRule="atLeast"/>
          <w:jc w:val="center"/>
        </w:trPr>
        <w:tc>
          <w:tcPr>
            <w:tcW w:w="2944" w:type="dxa"/>
            <w:tcBorders>
              <w:top w:val="nil"/>
              <w:left w:val="nil"/>
              <w:bottom w:val="nil"/>
              <w:right w:val="nil"/>
            </w:tcBorders>
            <w:shd w:val="clear" w:color="auto" w:fill="auto"/>
            <w:vAlign w:val="center"/>
          </w:tcPr>
          <w:p w14:paraId="52AC2BA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P-ZLTC-SCOS-JSC-001-10-001</w:t>
            </w:r>
          </w:p>
        </w:tc>
        <w:tc>
          <w:tcPr>
            <w:tcW w:w="945" w:type="dxa"/>
            <w:tcBorders>
              <w:top w:val="nil"/>
              <w:left w:val="nil"/>
              <w:bottom w:val="nil"/>
              <w:right w:val="nil"/>
            </w:tcBorders>
            <w:shd w:val="clear" w:color="auto" w:fill="auto"/>
            <w:vAlign w:val="center"/>
          </w:tcPr>
          <w:p w14:paraId="27293E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编制指标口径与预警规则</w:t>
            </w:r>
          </w:p>
        </w:tc>
        <w:tc>
          <w:tcPr>
            <w:tcW w:w="966" w:type="dxa"/>
            <w:tcBorders>
              <w:top w:val="nil"/>
              <w:left w:val="nil"/>
              <w:bottom w:val="nil"/>
              <w:right w:val="nil"/>
            </w:tcBorders>
            <w:shd w:val="clear" w:color="auto" w:fill="auto"/>
            <w:vAlign w:val="center"/>
          </w:tcPr>
          <w:p w14:paraId="3C0B008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ACE06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54A951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指标口径、业务管理要求或数据源发生变化时</w:t>
            </w:r>
          </w:p>
        </w:tc>
        <w:tc>
          <w:tcPr>
            <w:tcW w:w="1406" w:type="dxa"/>
            <w:tcBorders>
              <w:top w:val="nil"/>
              <w:left w:val="nil"/>
              <w:bottom w:val="nil"/>
              <w:right w:val="nil"/>
            </w:tcBorders>
            <w:shd w:val="clear" w:color="auto" w:fill="auto"/>
            <w:vAlign w:val="center"/>
          </w:tcPr>
          <w:p w14:paraId="119C31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明确指标口径、数据来源、更新频率及红黄预警阈值；必须字段或业务依据不完整时保留草稿。</w:t>
            </w:r>
          </w:p>
        </w:tc>
        <w:tc>
          <w:tcPr>
            <w:tcW w:w="1088" w:type="dxa"/>
            <w:tcBorders>
              <w:top w:val="nil"/>
              <w:left w:val="nil"/>
              <w:bottom w:val="nil"/>
              <w:right w:val="nil"/>
            </w:tcBorders>
            <w:shd w:val="clear" w:color="auto" w:fill="auto"/>
            <w:vAlign w:val="center"/>
          </w:tcPr>
          <w:p w14:paraId="62267F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拟定指标口径、阈值和预警规则</w:t>
            </w:r>
          </w:p>
        </w:tc>
        <w:tc>
          <w:tcPr>
            <w:tcW w:w="1460" w:type="dxa"/>
            <w:tcBorders>
              <w:top w:val="nil"/>
              <w:left w:val="nil"/>
              <w:bottom w:val="nil"/>
              <w:right w:val="nil"/>
            </w:tcBorders>
            <w:shd w:val="clear" w:color="auto" w:fill="auto"/>
            <w:vAlign w:val="center"/>
          </w:tcPr>
          <w:p w14:paraId="33C9E56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5E81C1">
        <w:trPr>
          <w:cantSplit/>
          <w:trHeight w:val="0" w:hRule="atLeast"/>
          <w:jc w:val="center"/>
        </w:trPr>
        <w:tc>
          <w:tcPr>
            <w:tcW w:w="2944" w:type="dxa"/>
            <w:tcBorders>
              <w:top w:val="nil"/>
              <w:left w:val="nil"/>
              <w:bottom w:val="nil"/>
              <w:right w:val="nil"/>
            </w:tcBorders>
            <w:shd w:val="clear" w:color="auto" w:fill="auto"/>
            <w:vAlign w:val="center"/>
          </w:tcPr>
          <w:p w14:paraId="24AD2F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P-ZLTC-SCOS-JSC-001-20-001</w:t>
            </w:r>
          </w:p>
        </w:tc>
        <w:tc>
          <w:tcPr>
            <w:tcW w:w="945" w:type="dxa"/>
            <w:tcBorders>
              <w:top w:val="nil"/>
              <w:left w:val="nil"/>
              <w:bottom w:val="nil"/>
              <w:right w:val="nil"/>
            </w:tcBorders>
            <w:shd w:val="clear" w:color="auto" w:fill="auto"/>
            <w:vAlign w:val="center"/>
          </w:tcPr>
          <w:p w14:paraId="269DB40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校验数据来源、公式、阈值与权限规则</w:t>
            </w:r>
          </w:p>
        </w:tc>
        <w:tc>
          <w:tcPr>
            <w:tcW w:w="966" w:type="dxa"/>
            <w:tcBorders>
              <w:top w:val="nil"/>
              <w:left w:val="nil"/>
              <w:bottom w:val="nil"/>
              <w:right w:val="nil"/>
            </w:tcBorders>
            <w:shd w:val="clear" w:color="auto" w:fill="auto"/>
            <w:vAlign w:val="center"/>
          </w:tcPr>
          <w:p w14:paraId="21AB21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B51B44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4111584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指标口径、阈值和预警规则形成后</w:t>
            </w:r>
          </w:p>
        </w:tc>
        <w:tc>
          <w:tcPr>
            <w:tcW w:w="1406" w:type="dxa"/>
            <w:tcBorders>
              <w:top w:val="nil"/>
              <w:left w:val="nil"/>
              <w:bottom w:val="nil"/>
              <w:right w:val="nil"/>
            </w:tcBorders>
            <w:shd w:val="clear" w:color="auto" w:fill="auto"/>
            <w:vAlign w:val="center"/>
          </w:tcPr>
          <w:p w14:paraId="38B558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校验数据来源、计算口径、阈值区间及权限是否有效；数据源不可用或规则冲突时修改。</w:t>
            </w:r>
          </w:p>
        </w:tc>
        <w:tc>
          <w:tcPr>
            <w:tcW w:w="1088" w:type="dxa"/>
            <w:tcBorders>
              <w:top w:val="nil"/>
              <w:left w:val="nil"/>
              <w:bottom w:val="nil"/>
              <w:right w:val="nil"/>
            </w:tcBorders>
            <w:shd w:val="clear" w:color="auto" w:fill="auto"/>
            <w:vAlign w:val="center"/>
          </w:tcPr>
          <w:p w14:paraId="0C8F4D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校验结果和样例试算结果</w:t>
            </w:r>
          </w:p>
        </w:tc>
        <w:tc>
          <w:tcPr>
            <w:tcW w:w="1460" w:type="dxa"/>
            <w:tcBorders>
              <w:top w:val="nil"/>
              <w:left w:val="nil"/>
              <w:bottom w:val="nil"/>
              <w:right w:val="nil"/>
            </w:tcBorders>
            <w:shd w:val="clear" w:color="auto" w:fill="auto"/>
            <w:vAlign w:val="center"/>
          </w:tcPr>
          <w:p w14:paraId="6BBF142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C193565">
        <w:trPr>
          <w:cantSplit/>
          <w:trHeight w:val="0" w:hRule="atLeast"/>
          <w:jc w:val="center"/>
        </w:trPr>
        <w:tc>
          <w:tcPr>
            <w:tcW w:w="2944" w:type="dxa"/>
            <w:tcBorders>
              <w:top w:val="nil"/>
              <w:left w:val="nil"/>
              <w:bottom w:val="nil"/>
              <w:right w:val="nil"/>
            </w:tcBorders>
            <w:shd w:val="clear" w:color="auto" w:fill="auto"/>
            <w:vAlign w:val="center"/>
          </w:tcPr>
          <w:p w14:paraId="266C219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P-ZLTC-SCOS-JSC-001-30-001</w:t>
            </w:r>
          </w:p>
        </w:tc>
        <w:tc>
          <w:tcPr>
            <w:tcW w:w="945" w:type="dxa"/>
            <w:tcBorders>
              <w:top w:val="nil"/>
              <w:left w:val="nil"/>
              <w:bottom w:val="nil"/>
              <w:right w:val="nil"/>
            </w:tcBorders>
            <w:shd w:val="clear" w:color="auto" w:fill="auto"/>
            <w:vAlign w:val="center"/>
          </w:tcPr>
          <w:p w14:paraId="6A5219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评审指标口径和预警级别规则</w:t>
            </w:r>
          </w:p>
        </w:tc>
        <w:tc>
          <w:tcPr>
            <w:tcW w:w="966" w:type="dxa"/>
            <w:tcBorders>
              <w:top w:val="nil"/>
              <w:left w:val="nil"/>
              <w:bottom w:val="nil"/>
              <w:right w:val="nil"/>
            </w:tcBorders>
            <w:shd w:val="clear" w:color="auto" w:fill="auto"/>
            <w:vAlign w:val="center"/>
          </w:tcPr>
          <w:p w14:paraId="13564E2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B21BB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6E2D7B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校验结果和样例试算结果形成并具备评审条件后</w:t>
            </w:r>
          </w:p>
        </w:tc>
        <w:tc>
          <w:tcPr>
            <w:tcW w:w="1406" w:type="dxa"/>
            <w:tcBorders>
              <w:top w:val="nil"/>
              <w:left w:val="nil"/>
              <w:bottom w:val="nil"/>
              <w:right w:val="nil"/>
            </w:tcBorders>
            <w:shd w:val="clear" w:color="auto" w:fill="auto"/>
            <w:vAlign w:val="center"/>
          </w:tcPr>
          <w:p w14:paraId="61EC2F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确认指标口径、来源、频率及预警级别符合业务要求；存在歧义时补充口径。</w:t>
            </w:r>
          </w:p>
        </w:tc>
        <w:tc>
          <w:tcPr>
            <w:tcW w:w="1088" w:type="dxa"/>
            <w:tcBorders>
              <w:top w:val="nil"/>
              <w:left w:val="nil"/>
              <w:bottom w:val="nil"/>
              <w:right w:val="nil"/>
            </w:tcBorders>
            <w:shd w:val="clear" w:color="auto" w:fill="auto"/>
            <w:vAlign w:val="center"/>
          </w:tcPr>
          <w:p w14:paraId="41BFA40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业务评审意见</w:t>
            </w:r>
          </w:p>
        </w:tc>
        <w:tc>
          <w:tcPr>
            <w:tcW w:w="1460" w:type="dxa"/>
            <w:tcBorders>
              <w:top w:val="nil"/>
              <w:left w:val="nil"/>
              <w:bottom w:val="nil"/>
              <w:right w:val="nil"/>
            </w:tcBorders>
            <w:shd w:val="clear" w:color="auto" w:fill="auto"/>
            <w:vAlign w:val="center"/>
          </w:tcPr>
          <w:p w14:paraId="2B72408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B98C8E">
        <w:trPr>
          <w:cantSplit/>
          <w:trHeight w:val="0" w:hRule="atLeast"/>
          <w:jc w:val="center"/>
        </w:trPr>
        <w:tc>
          <w:tcPr>
            <w:tcW w:w="2944" w:type="dxa"/>
            <w:tcBorders>
              <w:top w:val="nil"/>
              <w:left w:val="nil"/>
              <w:bottom w:val="nil"/>
              <w:right w:val="nil"/>
            </w:tcBorders>
            <w:shd w:val="clear" w:color="auto" w:fill="auto"/>
            <w:vAlign w:val="center"/>
          </w:tcPr>
          <w:p w14:paraId="77F67EA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P-ZLTC-SCOS-JSC-001-40-001</w:t>
            </w:r>
          </w:p>
        </w:tc>
        <w:tc>
          <w:tcPr>
            <w:tcW w:w="945" w:type="dxa"/>
            <w:tcBorders>
              <w:top w:val="nil"/>
              <w:left w:val="nil"/>
              <w:bottom w:val="nil"/>
              <w:right w:val="nil"/>
            </w:tcBorders>
            <w:shd w:val="clear" w:color="auto" w:fill="auto"/>
            <w:vAlign w:val="center"/>
          </w:tcPr>
          <w:p w14:paraId="663C18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判断规则是否确认规则</w:t>
            </w:r>
          </w:p>
        </w:tc>
        <w:tc>
          <w:tcPr>
            <w:tcW w:w="966" w:type="dxa"/>
            <w:tcBorders>
              <w:top w:val="nil"/>
              <w:left w:val="nil"/>
              <w:bottom w:val="nil"/>
              <w:right w:val="nil"/>
            </w:tcBorders>
            <w:shd w:val="clear" w:color="auto" w:fill="auto"/>
            <w:vAlign w:val="center"/>
          </w:tcPr>
          <w:p w14:paraId="104821F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F1CF1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6CF6461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业务评审意见形成后</w:t>
            </w:r>
          </w:p>
        </w:tc>
        <w:tc>
          <w:tcPr>
            <w:tcW w:w="1406" w:type="dxa"/>
            <w:tcBorders>
              <w:top w:val="nil"/>
              <w:left w:val="nil"/>
              <w:bottom w:val="nil"/>
              <w:right w:val="nil"/>
            </w:tcBorders>
            <w:shd w:val="clear" w:color="auto" w:fill="auto"/>
            <w:vAlign w:val="center"/>
          </w:tcPr>
          <w:p w14:paraId="2FBA8D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确认是否提交管理审批；规则未确认时退回复核；规则确认后继续处理。</w:t>
            </w:r>
          </w:p>
        </w:tc>
        <w:tc>
          <w:tcPr>
            <w:tcW w:w="1088" w:type="dxa"/>
            <w:tcBorders>
              <w:top w:val="nil"/>
              <w:left w:val="nil"/>
              <w:bottom w:val="nil"/>
              <w:right w:val="nil"/>
            </w:tcBorders>
            <w:shd w:val="clear" w:color="auto" w:fill="auto"/>
            <w:vAlign w:val="center"/>
          </w:tcPr>
          <w:p w14:paraId="3013A6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0EEEBC5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4816C44">
        <w:trPr>
          <w:cantSplit/>
          <w:trHeight w:val="0" w:hRule="atLeast"/>
          <w:jc w:val="center"/>
        </w:trPr>
        <w:tc>
          <w:tcPr>
            <w:tcW w:w="2944" w:type="dxa"/>
            <w:tcBorders>
              <w:top w:val="nil"/>
              <w:left w:val="nil"/>
              <w:bottom w:val="nil"/>
              <w:right w:val="nil"/>
            </w:tcBorders>
            <w:shd w:val="clear" w:color="auto" w:fill="auto"/>
            <w:vAlign w:val="center"/>
          </w:tcPr>
          <w:p w14:paraId="2BEC7C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P-ZLTC-SCOS-JSC-001-50-001</w:t>
            </w:r>
          </w:p>
        </w:tc>
        <w:tc>
          <w:tcPr>
            <w:tcW w:w="945" w:type="dxa"/>
            <w:tcBorders>
              <w:top w:val="nil"/>
              <w:left w:val="nil"/>
              <w:bottom w:val="nil"/>
              <w:right w:val="nil"/>
            </w:tcBorders>
            <w:shd w:val="clear" w:color="auto" w:fill="auto"/>
            <w:vAlign w:val="center"/>
          </w:tcPr>
          <w:p w14:paraId="2F4D26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审批指标与预警规则</w:t>
            </w:r>
          </w:p>
        </w:tc>
        <w:tc>
          <w:tcPr>
            <w:tcW w:w="966" w:type="dxa"/>
            <w:tcBorders>
              <w:top w:val="nil"/>
              <w:left w:val="nil"/>
              <w:bottom w:val="nil"/>
              <w:right w:val="nil"/>
            </w:tcBorders>
            <w:shd w:val="clear" w:color="auto" w:fill="auto"/>
            <w:vAlign w:val="center"/>
          </w:tcPr>
          <w:p w14:paraId="743FD44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FF80C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005545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规则确认时</w:t>
            </w:r>
          </w:p>
        </w:tc>
        <w:tc>
          <w:tcPr>
            <w:tcW w:w="1406" w:type="dxa"/>
            <w:tcBorders>
              <w:top w:val="nil"/>
              <w:left w:val="nil"/>
              <w:bottom w:val="nil"/>
              <w:right w:val="nil"/>
            </w:tcBorders>
            <w:shd w:val="clear" w:color="auto" w:fill="auto"/>
            <w:vAlign w:val="center"/>
          </w:tcPr>
          <w:p w14:paraId="33B4427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审核指标用途、预警级别、可见范围及管理决策影响；不通过时说明修改意见。</w:t>
            </w:r>
          </w:p>
        </w:tc>
        <w:tc>
          <w:tcPr>
            <w:tcW w:w="1088" w:type="dxa"/>
            <w:tcBorders>
              <w:top w:val="nil"/>
              <w:left w:val="nil"/>
              <w:bottom w:val="nil"/>
              <w:right w:val="nil"/>
            </w:tcBorders>
            <w:shd w:val="clear" w:color="auto" w:fill="auto"/>
            <w:vAlign w:val="center"/>
          </w:tcPr>
          <w:p w14:paraId="78043FB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5F2BB23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D309038">
        <w:trPr>
          <w:cantSplit/>
          <w:trHeight w:val="0" w:hRule="atLeast"/>
          <w:jc w:val="center"/>
        </w:trPr>
        <w:tc>
          <w:tcPr>
            <w:tcW w:w="2944" w:type="dxa"/>
            <w:tcBorders>
              <w:top w:val="nil"/>
              <w:left w:val="nil"/>
              <w:bottom w:val="nil"/>
              <w:right w:val="nil"/>
            </w:tcBorders>
            <w:shd w:val="clear" w:color="auto" w:fill="auto"/>
            <w:vAlign w:val="center"/>
          </w:tcPr>
          <w:p w14:paraId="487E715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P-ZLTC-SCOS-JSC-001-60-001</w:t>
            </w:r>
          </w:p>
        </w:tc>
        <w:tc>
          <w:tcPr>
            <w:tcW w:w="945" w:type="dxa"/>
            <w:tcBorders>
              <w:top w:val="nil"/>
              <w:left w:val="nil"/>
              <w:bottom w:val="nil"/>
              <w:right w:val="nil"/>
            </w:tcBorders>
            <w:shd w:val="clear" w:color="auto" w:fill="auto"/>
            <w:vAlign w:val="center"/>
          </w:tcPr>
          <w:p w14:paraId="01836B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判断审批是否通过规则</w:t>
            </w:r>
          </w:p>
        </w:tc>
        <w:tc>
          <w:tcPr>
            <w:tcW w:w="966" w:type="dxa"/>
            <w:tcBorders>
              <w:top w:val="nil"/>
              <w:left w:val="nil"/>
              <w:bottom w:val="nil"/>
              <w:right w:val="nil"/>
            </w:tcBorders>
            <w:shd w:val="clear" w:color="auto" w:fill="auto"/>
            <w:vAlign w:val="center"/>
          </w:tcPr>
          <w:p w14:paraId="6BCF062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A0B24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2880964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审批意见形成后</w:t>
            </w:r>
          </w:p>
        </w:tc>
        <w:tc>
          <w:tcPr>
            <w:tcW w:w="1406" w:type="dxa"/>
            <w:tcBorders>
              <w:top w:val="nil"/>
              <w:left w:val="nil"/>
              <w:bottom w:val="nil"/>
              <w:right w:val="nil"/>
            </w:tcBorders>
            <w:shd w:val="clear" w:color="auto" w:fill="auto"/>
            <w:vAlign w:val="center"/>
          </w:tcPr>
          <w:p w14:paraId="197F30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判断配置是否可发布；审批未通过时退回处理；审批通过后继续处理。</w:t>
            </w:r>
          </w:p>
        </w:tc>
        <w:tc>
          <w:tcPr>
            <w:tcW w:w="1088" w:type="dxa"/>
            <w:tcBorders>
              <w:top w:val="nil"/>
              <w:left w:val="nil"/>
              <w:bottom w:val="nil"/>
              <w:right w:val="nil"/>
            </w:tcBorders>
            <w:shd w:val="clear" w:color="auto" w:fill="auto"/>
            <w:vAlign w:val="center"/>
          </w:tcPr>
          <w:p w14:paraId="2406920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审批结论</w:t>
            </w:r>
          </w:p>
        </w:tc>
        <w:tc>
          <w:tcPr>
            <w:tcW w:w="1460" w:type="dxa"/>
            <w:tcBorders>
              <w:top w:val="nil"/>
              <w:left w:val="nil"/>
              <w:bottom w:val="nil"/>
              <w:right w:val="nil"/>
            </w:tcBorders>
            <w:shd w:val="clear" w:color="auto" w:fill="auto"/>
            <w:vAlign w:val="center"/>
          </w:tcPr>
          <w:p w14:paraId="3ACDBC8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2A38099">
        <w:trPr>
          <w:cantSplit/>
          <w:trHeight w:val="0" w:hRule="atLeast"/>
          <w:jc w:val="center"/>
        </w:trPr>
        <w:tc>
          <w:tcPr>
            <w:tcW w:w="2944" w:type="dxa"/>
            <w:tcBorders>
              <w:top w:val="nil"/>
              <w:left w:val="nil"/>
              <w:bottom w:val="nil"/>
              <w:right w:val="nil"/>
            </w:tcBorders>
            <w:shd w:val="clear" w:color="auto" w:fill="auto"/>
            <w:vAlign w:val="center"/>
          </w:tcPr>
          <w:p w14:paraId="29AD297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P-ZLTC-SCOS-JSC-001-70-001</w:t>
            </w:r>
          </w:p>
        </w:tc>
        <w:tc>
          <w:tcPr>
            <w:tcW w:w="945" w:type="dxa"/>
            <w:tcBorders>
              <w:top w:val="nil"/>
              <w:left w:val="nil"/>
              <w:bottom w:val="nil"/>
              <w:right w:val="nil"/>
            </w:tcBorders>
            <w:shd w:val="clear" w:color="auto" w:fill="auto"/>
            <w:vAlign w:val="center"/>
          </w:tcPr>
          <w:p w14:paraId="1AF89A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发布指标口径、阈值与规则版本规则</w:t>
            </w:r>
          </w:p>
        </w:tc>
        <w:tc>
          <w:tcPr>
            <w:tcW w:w="966" w:type="dxa"/>
            <w:tcBorders>
              <w:top w:val="nil"/>
              <w:left w:val="nil"/>
              <w:bottom w:val="nil"/>
              <w:right w:val="nil"/>
            </w:tcBorders>
            <w:shd w:val="clear" w:color="auto" w:fill="auto"/>
            <w:vAlign w:val="center"/>
          </w:tcPr>
          <w:p w14:paraId="57A54D1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A9480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639D50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审批通过时</w:t>
            </w:r>
          </w:p>
        </w:tc>
        <w:tc>
          <w:tcPr>
            <w:tcW w:w="1406" w:type="dxa"/>
            <w:tcBorders>
              <w:top w:val="nil"/>
              <w:left w:val="nil"/>
              <w:bottom w:val="nil"/>
              <w:right w:val="nil"/>
            </w:tcBorders>
            <w:shd w:val="clear" w:color="auto" w:fill="auto"/>
            <w:vAlign w:val="center"/>
          </w:tcPr>
          <w:p w14:paraId="6E04A31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发布规则版本，保留原版本、生效时间、变更原因、试算和审批记录；发布失败时原有效版本继续生效。</w:t>
            </w:r>
          </w:p>
        </w:tc>
        <w:tc>
          <w:tcPr>
            <w:tcW w:w="1088" w:type="dxa"/>
            <w:tcBorders>
              <w:top w:val="nil"/>
              <w:left w:val="nil"/>
              <w:bottom w:val="nil"/>
              <w:right w:val="nil"/>
            </w:tcBorders>
            <w:shd w:val="clear" w:color="auto" w:fill="auto"/>
            <w:vAlign w:val="center"/>
          </w:tcPr>
          <w:p w14:paraId="281651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已发布指标口径、健康度阈值和预警规则版本</w:t>
            </w:r>
          </w:p>
        </w:tc>
        <w:tc>
          <w:tcPr>
            <w:tcW w:w="1460" w:type="dxa"/>
            <w:tcBorders>
              <w:top w:val="nil"/>
              <w:left w:val="nil"/>
              <w:bottom w:val="nil"/>
              <w:right w:val="nil"/>
            </w:tcBorders>
            <w:shd w:val="clear" w:color="auto" w:fill="auto"/>
            <w:vAlign w:val="center"/>
          </w:tcPr>
          <w:p w14:paraId="6A59E81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D631EF">
        <w:trPr>
          <w:cantSplit/>
          <w:trHeight w:val="0" w:hRule="atLeast"/>
          <w:jc w:val="center"/>
        </w:trPr>
        <w:tc>
          <w:tcPr>
            <w:tcW w:w="2944" w:type="dxa"/>
            <w:tcBorders>
              <w:top w:val="nil"/>
              <w:left w:val="nil"/>
              <w:bottom w:val="nil"/>
              <w:right w:val="nil"/>
            </w:tcBorders>
            <w:shd w:val="clear" w:color="auto" w:fill="auto"/>
            <w:vAlign w:val="center"/>
          </w:tcPr>
          <w:p w14:paraId="2D6E8F8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P-ZLTC-SCOS-JSC-002-10-001</w:t>
            </w:r>
          </w:p>
        </w:tc>
        <w:tc>
          <w:tcPr>
            <w:tcW w:w="945" w:type="dxa"/>
            <w:tcBorders>
              <w:top w:val="nil"/>
              <w:left w:val="nil"/>
              <w:bottom w:val="nil"/>
              <w:right w:val="nil"/>
            </w:tcBorders>
            <w:shd w:val="clear" w:color="auto" w:fill="auto"/>
            <w:vAlign w:val="center"/>
          </w:tcPr>
          <w:p w14:paraId="03A308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提出角色视图与专题展示需求规则</w:t>
            </w:r>
          </w:p>
        </w:tc>
        <w:tc>
          <w:tcPr>
            <w:tcW w:w="966" w:type="dxa"/>
            <w:tcBorders>
              <w:top w:val="nil"/>
              <w:left w:val="nil"/>
              <w:bottom w:val="nil"/>
              <w:right w:val="nil"/>
            </w:tcBorders>
            <w:shd w:val="clear" w:color="auto" w:fill="auto"/>
            <w:vAlign w:val="center"/>
          </w:tcPr>
          <w:p w14:paraId="04D8E51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CA4D5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1B8A0DC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角色职责、管理主题或展示范围变化时</w:t>
            </w:r>
          </w:p>
        </w:tc>
        <w:tc>
          <w:tcPr>
            <w:tcW w:w="1406" w:type="dxa"/>
            <w:tcBorders>
              <w:top w:val="nil"/>
              <w:left w:val="nil"/>
              <w:bottom w:val="nil"/>
              <w:right w:val="nil"/>
            </w:tcBorders>
            <w:shd w:val="clear" w:color="auto" w:fill="auto"/>
            <w:vAlign w:val="center"/>
          </w:tcPr>
          <w:p w14:paraId="080DCA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明确使用角色、关注指标、专题页签、筛选条件及展示终端；需求与岗位职责不符时退回补充依据。</w:t>
            </w:r>
          </w:p>
        </w:tc>
        <w:tc>
          <w:tcPr>
            <w:tcW w:w="1088" w:type="dxa"/>
            <w:tcBorders>
              <w:top w:val="nil"/>
              <w:left w:val="nil"/>
              <w:bottom w:val="nil"/>
              <w:right w:val="nil"/>
            </w:tcBorders>
            <w:shd w:val="clear" w:color="auto" w:fill="auto"/>
            <w:vAlign w:val="center"/>
          </w:tcPr>
          <w:p w14:paraId="6B6604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视图需求</w:t>
            </w:r>
          </w:p>
        </w:tc>
        <w:tc>
          <w:tcPr>
            <w:tcW w:w="1460" w:type="dxa"/>
            <w:tcBorders>
              <w:top w:val="nil"/>
              <w:left w:val="nil"/>
              <w:bottom w:val="nil"/>
              <w:right w:val="nil"/>
            </w:tcBorders>
            <w:shd w:val="clear" w:color="auto" w:fill="auto"/>
            <w:vAlign w:val="center"/>
          </w:tcPr>
          <w:p w14:paraId="14D57AB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4652C40">
        <w:trPr>
          <w:cantSplit/>
          <w:trHeight w:val="0" w:hRule="atLeast"/>
          <w:jc w:val="center"/>
        </w:trPr>
        <w:tc>
          <w:tcPr>
            <w:tcW w:w="2944" w:type="dxa"/>
            <w:tcBorders>
              <w:top w:val="nil"/>
              <w:left w:val="nil"/>
              <w:bottom w:val="nil"/>
              <w:right w:val="nil"/>
            </w:tcBorders>
            <w:shd w:val="clear" w:color="auto" w:fill="auto"/>
            <w:vAlign w:val="center"/>
          </w:tcPr>
          <w:p w14:paraId="2ABB8E1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P-ZLTC-SCOS-JSC-002-20-001</w:t>
            </w:r>
          </w:p>
        </w:tc>
        <w:tc>
          <w:tcPr>
            <w:tcW w:w="945" w:type="dxa"/>
            <w:tcBorders>
              <w:top w:val="nil"/>
              <w:left w:val="nil"/>
              <w:bottom w:val="nil"/>
              <w:right w:val="nil"/>
            </w:tcBorders>
            <w:shd w:val="clear" w:color="auto" w:fill="auto"/>
            <w:vAlign w:val="center"/>
          </w:tcPr>
          <w:p w14:paraId="30309F3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配置视图布局、指标与查看权限规则</w:t>
            </w:r>
          </w:p>
        </w:tc>
        <w:tc>
          <w:tcPr>
            <w:tcW w:w="966" w:type="dxa"/>
            <w:tcBorders>
              <w:top w:val="nil"/>
              <w:left w:val="nil"/>
              <w:bottom w:val="nil"/>
              <w:right w:val="nil"/>
            </w:tcBorders>
            <w:shd w:val="clear" w:color="auto" w:fill="auto"/>
            <w:vAlign w:val="center"/>
          </w:tcPr>
          <w:p w14:paraId="20A7FB0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8ED90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5801B6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视图需求形成后</w:t>
            </w:r>
          </w:p>
        </w:tc>
        <w:tc>
          <w:tcPr>
            <w:tcW w:w="1406" w:type="dxa"/>
            <w:tcBorders>
              <w:top w:val="nil"/>
              <w:left w:val="nil"/>
              <w:bottom w:val="nil"/>
              <w:right w:val="nil"/>
            </w:tcBorders>
            <w:shd w:val="clear" w:color="auto" w:fill="auto"/>
            <w:vAlign w:val="center"/>
          </w:tcPr>
          <w:p w14:paraId="2554D81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使用已发布指标配置全局总览及产销、储运、环保、资金等专题视图；指标尚未发布时先转指标配置流程。</w:t>
            </w:r>
          </w:p>
        </w:tc>
        <w:tc>
          <w:tcPr>
            <w:tcW w:w="1088" w:type="dxa"/>
            <w:tcBorders>
              <w:top w:val="nil"/>
              <w:left w:val="nil"/>
              <w:bottom w:val="nil"/>
              <w:right w:val="nil"/>
            </w:tcBorders>
            <w:shd w:val="clear" w:color="auto" w:fill="auto"/>
            <w:vAlign w:val="center"/>
          </w:tcPr>
          <w:p w14:paraId="0AFA9ED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看板草稿</w:t>
            </w:r>
          </w:p>
        </w:tc>
        <w:tc>
          <w:tcPr>
            <w:tcW w:w="1460" w:type="dxa"/>
            <w:tcBorders>
              <w:top w:val="nil"/>
              <w:left w:val="nil"/>
              <w:bottom w:val="nil"/>
              <w:right w:val="nil"/>
            </w:tcBorders>
            <w:shd w:val="clear" w:color="auto" w:fill="auto"/>
            <w:vAlign w:val="center"/>
          </w:tcPr>
          <w:p w14:paraId="6B2565F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217D3C6">
        <w:trPr>
          <w:cantSplit/>
          <w:trHeight w:val="0" w:hRule="atLeast"/>
          <w:jc w:val="center"/>
        </w:trPr>
        <w:tc>
          <w:tcPr>
            <w:tcW w:w="2944" w:type="dxa"/>
            <w:tcBorders>
              <w:top w:val="nil"/>
              <w:left w:val="nil"/>
              <w:bottom w:val="nil"/>
              <w:right w:val="nil"/>
            </w:tcBorders>
            <w:shd w:val="clear" w:color="auto" w:fill="auto"/>
            <w:vAlign w:val="center"/>
          </w:tcPr>
          <w:p w14:paraId="2DF1A78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P-ZLTC-SCOS-JSC-002-30-001</w:t>
            </w:r>
          </w:p>
        </w:tc>
        <w:tc>
          <w:tcPr>
            <w:tcW w:w="945" w:type="dxa"/>
            <w:tcBorders>
              <w:top w:val="nil"/>
              <w:left w:val="nil"/>
              <w:bottom w:val="nil"/>
              <w:right w:val="nil"/>
            </w:tcBorders>
            <w:shd w:val="clear" w:color="auto" w:fill="auto"/>
            <w:vAlign w:val="center"/>
          </w:tcPr>
          <w:p w14:paraId="525C819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预览并校验多端展示效果规则</w:t>
            </w:r>
          </w:p>
        </w:tc>
        <w:tc>
          <w:tcPr>
            <w:tcW w:w="966" w:type="dxa"/>
            <w:tcBorders>
              <w:top w:val="nil"/>
              <w:left w:val="nil"/>
              <w:bottom w:val="nil"/>
              <w:right w:val="nil"/>
            </w:tcBorders>
            <w:shd w:val="clear" w:color="auto" w:fill="auto"/>
            <w:vAlign w:val="center"/>
          </w:tcPr>
          <w:p w14:paraId="34EC37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ABEBC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31368B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看板草稿形成后</w:t>
            </w:r>
          </w:p>
        </w:tc>
        <w:tc>
          <w:tcPr>
            <w:tcW w:w="1406" w:type="dxa"/>
            <w:tcBorders>
              <w:top w:val="nil"/>
              <w:left w:val="nil"/>
              <w:bottom w:val="nil"/>
              <w:right w:val="nil"/>
            </w:tcBorders>
            <w:shd w:val="clear" w:color="auto" w:fill="auto"/>
            <w:vAlign w:val="center"/>
          </w:tcPr>
          <w:p w14:paraId="67FCE6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校验组件数据、布局、钻取链路、PC端和移动端核心视图；组件失效、移动端不可用或越权时调整。</w:t>
            </w:r>
          </w:p>
        </w:tc>
        <w:tc>
          <w:tcPr>
            <w:tcW w:w="1088" w:type="dxa"/>
            <w:tcBorders>
              <w:top w:val="nil"/>
              <w:left w:val="nil"/>
              <w:bottom w:val="nil"/>
              <w:right w:val="nil"/>
            </w:tcBorders>
            <w:shd w:val="clear" w:color="auto" w:fill="auto"/>
            <w:vAlign w:val="center"/>
          </w:tcPr>
          <w:p w14:paraId="7BE28B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预览结果和校验清单</w:t>
            </w:r>
          </w:p>
        </w:tc>
        <w:tc>
          <w:tcPr>
            <w:tcW w:w="1460" w:type="dxa"/>
            <w:tcBorders>
              <w:top w:val="nil"/>
              <w:left w:val="nil"/>
              <w:bottom w:val="nil"/>
              <w:right w:val="nil"/>
            </w:tcBorders>
            <w:shd w:val="clear" w:color="auto" w:fill="auto"/>
            <w:vAlign w:val="center"/>
          </w:tcPr>
          <w:p w14:paraId="57EEA4C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3D7FDB">
        <w:trPr>
          <w:cantSplit/>
          <w:trHeight w:val="0" w:hRule="atLeast"/>
          <w:jc w:val="center"/>
        </w:trPr>
        <w:tc>
          <w:tcPr>
            <w:tcW w:w="2944" w:type="dxa"/>
            <w:tcBorders>
              <w:top w:val="nil"/>
              <w:left w:val="nil"/>
              <w:bottom w:val="nil"/>
              <w:right w:val="nil"/>
            </w:tcBorders>
            <w:shd w:val="clear" w:color="auto" w:fill="auto"/>
            <w:vAlign w:val="center"/>
          </w:tcPr>
          <w:p w14:paraId="7924D3C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P-ZLTC-SCOS-JSC-002-40-001</w:t>
            </w:r>
          </w:p>
        </w:tc>
        <w:tc>
          <w:tcPr>
            <w:tcW w:w="945" w:type="dxa"/>
            <w:tcBorders>
              <w:top w:val="nil"/>
              <w:left w:val="nil"/>
              <w:bottom w:val="nil"/>
              <w:right w:val="nil"/>
            </w:tcBorders>
            <w:shd w:val="clear" w:color="auto" w:fill="auto"/>
            <w:vAlign w:val="center"/>
          </w:tcPr>
          <w:p w14:paraId="6ED454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判断业务视图是否确认规则</w:t>
            </w:r>
          </w:p>
        </w:tc>
        <w:tc>
          <w:tcPr>
            <w:tcW w:w="966" w:type="dxa"/>
            <w:tcBorders>
              <w:top w:val="nil"/>
              <w:left w:val="nil"/>
              <w:bottom w:val="nil"/>
              <w:right w:val="nil"/>
            </w:tcBorders>
            <w:shd w:val="clear" w:color="auto" w:fill="auto"/>
            <w:vAlign w:val="center"/>
          </w:tcPr>
          <w:p w14:paraId="5828DFA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940B0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78B56F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预览结果和校验清单形成后</w:t>
            </w:r>
          </w:p>
        </w:tc>
        <w:tc>
          <w:tcPr>
            <w:tcW w:w="1406" w:type="dxa"/>
            <w:tcBorders>
              <w:top w:val="nil"/>
              <w:left w:val="nil"/>
              <w:bottom w:val="nil"/>
              <w:right w:val="nil"/>
            </w:tcBorders>
            <w:shd w:val="clear" w:color="auto" w:fill="auto"/>
            <w:vAlign w:val="center"/>
          </w:tcPr>
          <w:p w14:paraId="5EA45FD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确认视图是否能够支撑本角色日常监控和决策；业务视图未确认时退回复核；业务视图确认后继续处理。</w:t>
            </w:r>
          </w:p>
        </w:tc>
        <w:tc>
          <w:tcPr>
            <w:tcW w:w="1088" w:type="dxa"/>
            <w:tcBorders>
              <w:top w:val="nil"/>
              <w:left w:val="nil"/>
              <w:bottom w:val="nil"/>
              <w:right w:val="nil"/>
            </w:tcBorders>
            <w:shd w:val="clear" w:color="auto" w:fill="auto"/>
            <w:vAlign w:val="center"/>
          </w:tcPr>
          <w:p w14:paraId="1FFB18C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业务确认结论</w:t>
            </w:r>
          </w:p>
        </w:tc>
        <w:tc>
          <w:tcPr>
            <w:tcW w:w="1460" w:type="dxa"/>
            <w:tcBorders>
              <w:top w:val="nil"/>
              <w:left w:val="nil"/>
              <w:bottom w:val="nil"/>
              <w:right w:val="nil"/>
            </w:tcBorders>
            <w:shd w:val="clear" w:color="auto" w:fill="auto"/>
            <w:vAlign w:val="center"/>
          </w:tcPr>
          <w:p w14:paraId="611AEB6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1D663A6">
        <w:trPr>
          <w:cantSplit/>
          <w:trHeight w:val="0" w:hRule="atLeast"/>
          <w:jc w:val="center"/>
        </w:trPr>
        <w:tc>
          <w:tcPr>
            <w:tcW w:w="2944" w:type="dxa"/>
            <w:tcBorders>
              <w:top w:val="nil"/>
              <w:left w:val="nil"/>
              <w:bottom w:val="nil"/>
              <w:right w:val="nil"/>
            </w:tcBorders>
            <w:shd w:val="clear" w:color="auto" w:fill="auto"/>
            <w:vAlign w:val="center"/>
          </w:tcPr>
          <w:p w14:paraId="34BC426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P-ZLTC-SCOS-JSC-002-50-001</w:t>
            </w:r>
          </w:p>
        </w:tc>
        <w:tc>
          <w:tcPr>
            <w:tcW w:w="945" w:type="dxa"/>
            <w:tcBorders>
              <w:top w:val="nil"/>
              <w:left w:val="nil"/>
              <w:bottom w:val="nil"/>
              <w:right w:val="nil"/>
            </w:tcBorders>
            <w:shd w:val="clear" w:color="auto" w:fill="auto"/>
            <w:vAlign w:val="center"/>
          </w:tcPr>
          <w:p w14:paraId="20A953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审批展示范围与敏感数据权限规则</w:t>
            </w:r>
          </w:p>
        </w:tc>
        <w:tc>
          <w:tcPr>
            <w:tcW w:w="966" w:type="dxa"/>
            <w:tcBorders>
              <w:top w:val="nil"/>
              <w:left w:val="nil"/>
              <w:bottom w:val="nil"/>
              <w:right w:val="nil"/>
            </w:tcBorders>
            <w:shd w:val="clear" w:color="auto" w:fill="auto"/>
            <w:vAlign w:val="center"/>
          </w:tcPr>
          <w:p w14:paraId="6ADF5D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CB6B0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04F8BEB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业务视图确认时</w:t>
            </w:r>
          </w:p>
        </w:tc>
        <w:tc>
          <w:tcPr>
            <w:tcW w:w="1406" w:type="dxa"/>
            <w:tcBorders>
              <w:top w:val="nil"/>
              <w:left w:val="nil"/>
              <w:bottom w:val="nil"/>
              <w:right w:val="nil"/>
            </w:tcBorders>
            <w:shd w:val="clear" w:color="auto" w:fill="auto"/>
            <w:vAlign w:val="center"/>
          </w:tcPr>
          <w:p w14:paraId="07F5FA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审核成本、资金、供应商等敏感内容的角色与组织可见范围；不通过时说明调整意见。</w:t>
            </w:r>
          </w:p>
        </w:tc>
        <w:tc>
          <w:tcPr>
            <w:tcW w:w="1088" w:type="dxa"/>
            <w:tcBorders>
              <w:top w:val="nil"/>
              <w:left w:val="nil"/>
              <w:bottom w:val="nil"/>
              <w:right w:val="nil"/>
            </w:tcBorders>
            <w:shd w:val="clear" w:color="auto" w:fill="auto"/>
            <w:vAlign w:val="center"/>
          </w:tcPr>
          <w:p w14:paraId="34CF734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4ABBDD4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3148D38">
        <w:trPr>
          <w:cantSplit/>
          <w:trHeight w:val="0" w:hRule="atLeast"/>
          <w:jc w:val="center"/>
        </w:trPr>
        <w:tc>
          <w:tcPr>
            <w:tcW w:w="2944" w:type="dxa"/>
            <w:tcBorders>
              <w:top w:val="nil"/>
              <w:left w:val="nil"/>
              <w:bottom w:val="nil"/>
              <w:right w:val="nil"/>
            </w:tcBorders>
            <w:shd w:val="clear" w:color="auto" w:fill="auto"/>
            <w:vAlign w:val="center"/>
          </w:tcPr>
          <w:p w14:paraId="36FE98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P-ZLTC-SCOS-JSC-002-60-001</w:t>
            </w:r>
          </w:p>
        </w:tc>
        <w:tc>
          <w:tcPr>
            <w:tcW w:w="945" w:type="dxa"/>
            <w:tcBorders>
              <w:top w:val="nil"/>
              <w:left w:val="nil"/>
              <w:bottom w:val="nil"/>
              <w:right w:val="nil"/>
            </w:tcBorders>
            <w:shd w:val="clear" w:color="auto" w:fill="auto"/>
            <w:vAlign w:val="center"/>
          </w:tcPr>
          <w:p w14:paraId="7B5E45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判断审批是否通过规则</w:t>
            </w:r>
          </w:p>
        </w:tc>
        <w:tc>
          <w:tcPr>
            <w:tcW w:w="966" w:type="dxa"/>
            <w:tcBorders>
              <w:top w:val="nil"/>
              <w:left w:val="nil"/>
              <w:bottom w:val="nil"/>
              <w:right w:val="nil"/>
            </w:tcBorders>
            <w:shd w:val="clear" w:color="auto" w:fill="auto"/>
            <w:vAlign w:val="center"/>
          </w:tcPr>
          <w:p w14:paraId="5983FDB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61D49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39043A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审批意见形成后</w:t>
            </w:r>
          </w:p>
        </w:tc>
        <w:tc>
          <w:tcPr>
            <w:tcW w:w="1406" w:type="dxa"/>
            <w:tcBorders>
              <w:top w:val="nil"/>
              <w:left w:val="nil"/>
              <w:bottom w:val="nil"/>
              <w:right w:val="nil"/>
            </w:tcBorders>
            <w:shd w:val="clear" w:color="auto" w:fill="auto"/>
            <w:vAlign w:val="center"/>
          </w:tcPr>
          <w:p w14:paraId="7D5FC2B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判断角色视图是否可发布；审批未通过时退回复核；审批通过后继续处理。</w:t>
            </w:r>
          </w:p>
        </w:tc>
        <w:tc>
          <w:tcPr>
            <w:tcW w:w="1088" w:type="dxa"/>
            <w:tcBorders>
              <w:top w:val="nil"/>
              <w:left w:val="nil"/>
              <w:bottom w:val="nil"/>
              <w:right w:val="nil"/>
            </w:tcBorders>
            <w:shd w:val="clear" w:color="auto" w:fill="auto"/>
            <w:vAlign w:val="center"/>
          </w:tcPr>
          <w:p w14:paraId="4DC6DA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审批结论</w:t>
            </w:r>
          </w:p>
        </w:tc>
        <w:tc>
          <w:tcPr>
            <w:tcW w:w="1460" w:type="dxa"/>
            <w:tcBorders>
              <w:top w:val="nil"/>
              <w:left w:val="nil"/>
              <w:bottom w:val="nil"/>
              <w:right w:val="nil"/>
            </w:tcBorders>
            <w:shd w:val="clear" w:color="auto" w:fill="auto"/>
            <w:vAlign w:val="center"/>
          </w:tcPr>
          <w:p w14:paraId="2AC2FB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49010AD">
        <w:trPr>
          <w:cantSplit/>
          <w:trHeight w:val="0" w:hRule="atLeast"/>
          <w:jc w:val="center"/>
        </w:trPr>
        <w:tc>
          <w:tcPr>
            <w:tcW w:w="2944" w:type="dxa"/>
            <w:tcBorders>
              <w:top w:val="nil"/>
              <w:left w:val="nil"/>
              <w:bottom w:val="nil"/>
              <w:right w:val="nil"/>
            </w:tcBorders>
            <w:shd w:val="clear" w:color="auto" w:fill="auto"/>
            <w:vAlign w:val="center"/>
          </w:tcPr>
          <w:p w14:paraId="044042E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P-ZLTC-SCOS-JSC-002-70-001</w:t>
            </w:r>
          </w:p>
        </w:tc>
        <w:tc>
          <w:tcPr>
            <w:tcW w:w="945" w:type="dxa"/>
            <w:tcBorders>
              <w:top w:val="nil"/>
              <w:left w:val="nil"/>
              <w:bottom w:val="nil"/>
              <w:right w:val="nil"/>
            </w:tcBorders>
            <w:shd w:val="clear" w:color="auto" w:fill="auto"/>
            <w:vAlign w:val="center"/>
          </w:tcPr>
          <w:p w14:paraId="40264A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发布角色视图与专题看板版本规则</w:t>
            </w:r>
          </w:p>
        </w:tc>
        <w:tc>
          <w:tcPr>
            <w:tcW w:w="966" w:type="dxa"/>
            <w:tcBorders>
              <w:top w:val="nil"/>
              <w:left w:val="nil"/>
              <w:bottom w:val="nil"/>
              <w:right w:val="nil"/>
            </w:tcBorders>
            <w:shd w:val="clear" w:color="auto" w:fill="auto"/>
            <w:vAlign w:val="center"/>
          </w:tcPr>
          <w:p w14:paraId="76FFEA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721B12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308139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审批通过时</w:t>
            </w:r>
          </w:p>
        </w:tc>
        <w:tc>
          <w:tcPr>
            <w:tcW w:w="1406" w:type="dxa"/>
            <w:tcBorders>
              <w:top w:val="nil"/>
              <w:left w:val="nil"/>
              <w:bottom w:val="nil"/>
              <w:right w:val="nil"/>
            </w:tcBorders>
            <w:shd w:val="clear" w:color="auto" w:fill="auto"/>
            <w:vAlign w:val="center"/>
          </w:tcPr>
          <w:p w14:paraId="0186FFE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按角色发布并记录版本、生效时间、适用组织和审批轨迹；发布失败时原有效版本继续生效。</w:t>
            </w:r>
          </w:p>
        </w:tc>
        <w:tc>
          <w:tcPr>
            <w:tcW w:w="1088" w:type="dxa"/>
            <w:tcBorders>
              <w:top w:val="nil"/>
              <w:left w:val="nil"/>
              <w:bottom w:val="nil"/>
              <w:right w:val="nil"/>
            </w:tcBorders>
            <w:shd w:val="clear" w:color="auto" w:fill="auto"/>
            <w:vAlign w:val="center"/>
          </w:tcPr>
          <w:p w14:paraId="0E9C2E1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已发布视图版本</w:t>
            </w:r>
          </w:p>
        </w:tc>
        <w:tc>
          <w:tcPr>
            <w:tcW w:w="1460" w:type="dxa"/>
            <w:tcBorders>
              <w:top w:val="nil"/>
              <w:left w:val="nil"/>
              <w:bottom w:val="nil"/>
              <w:right w:val="nil"/>
            </w:tcBorders>
            <w:shd w:val="clear" w:color="auto" w:fill="auto"/>
            <w:vAlign w:val="center"/>
          </w:tcPr>
          <w:p w14:paraId="61B0CAB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C7ABCE9">
        <w:trPr>
          <w:cantSplit/>
          <w:trHeight w:val="0" w:hRule="atLeast"/>
          <w:jc w:val="center"/>
        </w:trPr>
        <w:tc>
          <w:tcPr>
            <w:tcW w:w="2944" w:type="dxa"/>
            <w:tcBorders>
              <w:top w:val="nil"/>
              <w:left w:val="nil"/>
              <w:bottom w:val="nil"/>
              <w:right w:val="nil"/>
            </w:tcBorders>
            <w:shd w:val="clear" w:color="auto" w:fill="auto"/>
            <w:vAlign w:val="center"/>
          </w:tcPr>
          <w:p w14:paraId="662919D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P-ZLTC-SCOS-JSC-003-10-001</w:t>
            </w:r>
          </w:p>
        </w:tc>
        <w:tc>
          <w:tcPr>
            <w:tcW w:w="945" w:type="dxa"/>
            <w:tcBorders>
              <w:top w:val="nil"/>
              <w:left w:val="nil"/>
              <w:bottom w:val="nil"/>
              <w:right w:val="nil"/>
            </w:tcBorders>
            <w:shd w:val="clear" w:color="auto" w:fill="auto"/>
            <w:vAlign w:val="center"/>
          </w:tcPr>
          <w:p w14:paraId="5F43BA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提供全域数据与各模块运算结果规则</w:t>
            </w:r>
          </w:p>
        </w:tc>
        <w:tc>
          <w:tcPr>
            <w:tcW w:w="966" w:type="dxa"/>
            <w:tcBorders>
              <w:top w:val="nil"/>
              <w:left w:val="nil"/>
              <w:bottom w:val="nil"/>
              <w:right w:val="nil"/>
            </w:tcBorders>
            <w:shd w:val="clear" w:color="auto" w:fill="auto"/>
            <w:vAlign w:val="center"/>
          </w:tcPr>
          <w:p w14:paraId="334A4A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4049BD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626CB8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实时数据变化、业务模块结果发布或定时刷新任务触发时</w:t>
            </w:r>
          </w:p>
        </w:tc>
        <w:tc>
          <w:tcPr>
            <w:tcW w:w="1406" w:type="dxa"/>
            <w:tcBorders>
              <w:top w:val="nil"/>
              <w:left w:val="nil"/>
              <w:bottom w:val="nil"/>
              <w:right w:val="nil"/>
            </w:tcBorders>
            <w:shd w:val="clear" w:color="auto" w:fill="auto"/>
            <w:vAlign w:val="center"/>
          </w:tcPr>
          <w:p w14:paraId="37C3BD3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按标准API或消息订阅提供数据；数据延迟、缺失或状态冲突时标记数据时间与可信状态。</w:t>
            </w:r>
          </w:p>
        </w:tc>
        <w:tc>
          <w:tcPr>
            <w:tcW w:w="1088" w:type="dxa"/>
            <w:tcBorders>
              <w:top w:val="nil"/>
              <w:left w:val="nil"/>
              <w:bottom w:val="nil"/>
              <w:right w:val="nil"/>
            </w:tcBorders>
            <w:shd w:val="clear" w:color="auto" w:fill="auto"/>
            <w:vAlign w:val="center"/>
          </w:tcPr>
          <w:p w14:paraId="3649D8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驾驶舱指标计算数据集</w:t>
            </w:r>
          </w:p>
        </w:tc>
        <w:tc>
          <w:tcPr>
            <w:tcW w:w="1460" w:type="dxa"/>
            <w:tcBorders>
              <w:top w:val="nil"/>
              <w:left w:val="nil"/>
              <w:bottom w:val="nil"/>
              <w:right w:val="nil"/>
            </w:tcBorders>
            <w:shd w:val="clear" w:color="auto" w:fill="auto"/>
            <w:vAlign w:val="center"/>
          </w:tcPr>
          <w:p w14:paraId="50BFACF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SCOS/SAP/实时数据平台</w:t>
            </w:r>
          </w:p>
        </w:tc>
      </w:tr>
      <w:tr w14:paraId="2DB02C7B">
        <w:trPr>
          <w:cantSplit/>
          <w:trHeight w:val="0" w:hRule="atLeast"/>
          <w:jc w:val="center"/>
        </w:trPr>
        <w:tc>
          <w:tcPr>
            <w:tcW w:w="2944" w:type="dxa"/>
            <w:tcBorders>
              <w:top w:val="nil"/>
              <w:left w:val="nil"/>
              <w:bottom w:val="nil"/>
              <w:right w:val="nil"/>
            </w:tcBorders>
            <w:shd w:val="clear" w:color="auto" w:fill="auto"/>
            <w:vAlign w:val="center"/>
          </w:tcPr>
          <w:p w14:paraId="0EA537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P-ZLTC-SCOS-JSC-003-20-001</w:t>
            </w:r>
          </w:p>
        </w:tc>
        <w:tc>
          <w:tcPr>
            <w:tcW w:w="945" w:type="dxa"/>
            <w:tcBorders>
              <w:top w:val="nil"/>
              <w:left w:val="nil"/>
              <w:bottom w:val="nil"/>
              <w:right w:val="nil"/>
            </w:tcBorders>
            <w:shd w:val="clear" w:color="auto" w:fill="auto"/>
            <w:vAlign w:val="center"/>
          </w:tcPr>
          <w:p w14:paraId="6F6640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计算核心KPI与专题视图指标规则</w:t>
            </w:r>
          </w:p>
        </w:tc>
        <w:tc>
          <w:tcPr>
            <w:tcW w:w="966" w:type="dxa"/>
            <w:tcBorders>
              <w:top w:val="nil"/>
              <w:left w:val="nil"/>
              <w:bottom w:val="nil"/>
              <w:right w:val="nil"/>
            </w:tcBorders>
            <w:shd w:val="clear" w:color="auto" w:fill="auto"/>
            <w:vAlign w:val="center"/>
          </w:tcPr>
          <w:p w14:paraId="4062374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6FE38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25A78C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驾驶舱指标计算数据集形成后</w:t>
            </w:r>
          </w:p>
        </w:tc>
        <w:tc>
          <w:tcPr>
            <w:tcW w:w="1406" w:type="dxa"/>
            <w:tcBorders>
              <w:top w:val="nil"/>
              <w:left w:val="nil"/>
              <w:bottom w:val="nil"/>
              <w:right w:val="nil"/>
            </w:tcBorders>
            <w:shd w:val="clear" w:color="auto" w:fill="auto"/>
            <w:vAlign w:val="center"/>
          </w:tcPr>
          <w:p w14:paraId="5B158E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计算产销达成率、库存周转天数、准时交付率等核心指标；指标所需关键数据不完整时该指标标记“数据异常”，不使用人工值替代。</w:t>
            </w:r>
          </w:p>
        </w:tc>
        <w:tc>
          <w:tcPr>
            <w:tcW w:w="1088" w:type="dxa"/>
            <w:tcBorders>
              <w:top w:val="nil"/>
              <w:left w:val="nil"/>
              <w:bottom w:val="nil"/>
              <w:right w:val="nil"/>
            </w:tcBorders>
            <w:shd w:val="clear" w:color="auto" w:fill="auto"/>
            <w:vAlign w:val="center"/>
          </w:tcPr>
          <w:p w14:paraId="3482C5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核心KPI和产销/储运/环保/资金专题指标</w:t>
            </w:r>
          </w:p>
        </w:tc>
        <w:tc>
          <w:tcPr>
            <w:tcW w:w="1460" w:type="dxa"/>
            <w:tcBorders>
              <w:top w:val="nil"/>
              <w:left w:val="nil"/>
              <w:bottom w:val="nil"/>
              <w:right w:val="nil"/>
            </w:tcBorders>
            <w:shd w:val="clear" w:color="auto" w:fill="auto"/>
            <w:vAlign w:val="center"/>
          </w:tcPr>
          <w:p w14:paraId="70771CF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E0F29AD">
        <w:trPr>
          <w:cantSplit/>
          <w:trHeight w:val="0" w:hRule="atLeast"/>
          <w:jc w:val="center"/>
        </w:trPr>
        <w:tc>
          <w:tcPr>
            <w:tcW w:w="2944" w:type="dxa"/>
            <w:tcBorders>
              <w:top w:val="nil"/>
              <w:left w:val="nil"/>
              <w:bottom w:val="nil"/>
              <w:right w:val="nil"/>
            </w:tcBorders>
            <w:shd w:val="clear" w:color="auto" w:fill="auto"/>
            <w:vAlign w:val="center"/>
          </w:tcPr>
          <w:p w14:paraId="5B2593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P-ZLTC-SCOS-JSC-003-30-001</w:t>
            </w:r>
          </w:p>
        </w:tc>
        <w:tc>
          <w:tcPr>
            <w:tcW w:w="945" w:type="dxa"/>
            <w:tcBorders>
              <w:top w:val="nil"/>
              <w:left w:val="nil"/>
              <w:bottom w:val="nil"/>
              <w:right w:val="nil"/>
            </w:tcBorders>
            <w:shd w:val="clear" w:color="auto" w:fill="auto"/>
            <w:vAlign w:val="center"/>
          </w:tcPr>
          <w:p w14:paraId="71B229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评估全局健康度规则</w:t>
            </w:r>
          </w:p>
        </w:tc>
        <w:tc>
          <w:tcPr>
            <w:tcW w:w="966" w:type="dxa"/>
            <w:tcBorders>
              <w:top w:val="nil"/>
              <w:left w:val="nil"/>
              <w:bottom w:val="nil"/>
              <w:right w:val="nil"/>
            </w:tcBorders>
            <w:shd w:val="clear" w:color="auto" w:fill="auto"/>
            <w:vAlign w:val="center"/>
          </w:tcPr>
          <w:p w14:paraId="5499A70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06934F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28B85A9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核心KPI和产销/储运/环保/资金专题指标形成后</w:t>
            </w:r>
          </w:p>
        </w:tc>
        <w:tc>
          <w:tcPr>
            <w:tcW w:w="1406" w:type="dxa"/>
            <w:tcBorders>
              <w:top w:val="nil"/>
              <w:left w:val="nil"/>
              <w:bottom w:val="nil"/>
              <w:right w:val="nil"/>
            </w:tcBorders>
            <w:shd w:val="clear" w:color="auto" w:fill="auto"/>
            <w:vAlign w:val="center"/>
          </w:tcPr>
          <w:p w14:paraId="7D5A6E2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将指标与健康度阈值比较；阈值版本失效时保留最后有效状态并提示管理员。</w:t>
            </w:r>
          </w:p>
        </w:tc>
        <w:tc>
          <w:tcPr>
            <w:tcW w:w="1088" w:type="dxa"/>
            <w:tcBorders>
              <w:top w:val="nil"/>
              <w:left w:val="nil"/>
              <w:bottom w:val="nil"/>
              <w:right w:val="nil"/>
            </w:tcBorders>
            <w:shd w:val="clear" w:color="auto" w:fill="auto"/>
            <w:vAlign w:val="center"/>
          </w:tcPr>
          <w:p w14:paraId="29DB79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各节点/指标红黄绿状态</w:t>
            </w:r>
          </w:p>
        </w:tc>
        <w:tc>
          <w:tcPr>
            <w:tcW w:w="1460" w:type="dxa"/>
            <w:tcBorders>
              <w:top w:val="nil"/>
              <w:left w:val="nil"/>
              <w:bottom w:val="nil"/>
              <w:right w:val="nil"/>
            </w:tcBorders>
            <w:shd w:val="clear" w:color="auto" w:fill="auto"/>
            <w:vAlign w:val="center"/>
          </w:tcPr>
          <w:p w14:paraId="2794094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02DDC1">
        <w:trPr>
          <w:cantSplit/>
          <w:trHeight w:val="0" w:hRule="atLeast"/>
          <w:jc w:val="center"/>
        </w:trPr>
        <w:tc>
          <w:tcPr>
            <w:tcW w:w="2944" w:type="dxa"/>
            <w:tcBorders>
              <w:top w:val="nil"/>
              <w:left w:val="nil"/>
              <w:bottom w:val="nil"/>
              <w:right w:val="nil"/>
            </w:tcBorders>
            <w:shd w:val="clear" w:color="auto" w:fill="auto"/>
            <w:vAlign w:val="center"/>
          </w:tcPr>
          <w:p w14:paraId="591BE4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P-ZLTC-SCOS-JSC-003-40-001</w:t>
            </w:r>
          </w:p>
        </w:tc>
        <w:tc>
          <w:tcPr>
            <w:tcW w:w="945" w:type="dxa"/>
            <w:tcBorders>
              <w:top w:val="nil"/>
              <w:left w:val="nil"/>
              <w:bottom w:val="nil"/>
              <w:right w:val="nil"/>
            </w:tcBorders>
            <w:shd w:val="clear" w:color="auto" w:fill="auto"/>
            <w:vAlign w:val="center"/>
          </w:tcPr>
          <w:p w14:paraId="754887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判断数据是否完整可信规则</w:t>
            </w:r>
          </w:p>
        </w:tc>
        <w:tc>
          <w:tcPr>
            <w:tcW w:w="966" w:type="dxa"/>
            <w:tcBorders>
              <w:top w:val="nil"/>
              <w:left w:val="nil"/>
              <w:bottom w:val="nil"/>
              <w:right w:val="nil"/>
            </w:tcBorders>
            <w:shd w:val="clear" w:color="auto" w:fill="auto"/>
            <w:vAlign w:val="center"/>
          </w:tcPr>
          <w:p w14:paraId="6E6B4F7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13F2B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3A9113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各节点/指标红黄绿状态形成后</w:t>
            </w:r>
          </w:p>
        </w:tc>
        <w:tc>
          <w:tcPr>
            <w:tcW w:w="1406" w:type="dxa"/>
            <w:tcBorders>
              <w:top w:val="nil"/>
              <w:left w:val="nil"/>
              <w:bottom w:val="nil"/>
              <w:right w:val="nil"/>
            </w:tcBorders>
            <w:shd w:val="clear" w:color="auto" w:fill="auto"/>
            <w:vAlign w:val="center"/>
          </w:tcPr>
          <w:p w14:paraId="023072B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确认指标结果是否符合展示和决策使用条件；数据不完整或不可信时显示明确占位、缓存时间和缺失原因；数据完整可信时继续处理。</w:t>
            </w:r>
          </w:p>
        </w:tc>
        <w:tc>
          <w:tcPr>
            <w:tcW w:w="1088" w:type="dxa"/>
            <w:tcBorders>
              <w:top w:val="nil"/>
              <w:left w:val="nil"/>
              <w:bottom w:val="nil"/>
              <w:right w:val="nil"/>
            </w:tcBorders>
            <w:shd w:val="clear" w:color="auto" w:fill="auto"/>
            <w:vAlign w:val="center"/>
          </w:tcPr>
          <w:p w14:paraId="3965D1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可展示判断</w:t>
            </w:r>
          </w:p>
        </w:tc>
        <w:tc>
          <w:tcPr>
            <w:tcW w:w="1460" w:type="dxa"/>
            <w:tcBorders>
              <w:top w:val="nil"/>
              <w:left w:val="nil"/>
              <w:bottom w:val="nil"/>
              <w:right w:val="nil"/>
            </w:tcBorders>
            <w:shd w:val="clear" w:color="auto" w:fill="auto"/>
            <w:vAlign w:val="center"/>
          </w:tcPr>
          <w:p w14:paraId="106FB58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DBE5B9">
        <w:trPr>
          <w:cantSplit/>
          <w:trHeight w:val="0" w:hRule="atLeast"/>
          <w:jc w:val="center"/>
        </w:trPr>
        <w:tc>
          <w:tcPr>
            <w:tcW w:w="2944" w:type="dxa"/>
            <w:tcBorders>
              <w:top w:val="nil"/>
              <w:left w:val="nil"/>
              <w:bottom w:val="nil"/>
              <w:right w:val="nil"/>
            </w:tcBorders>
            <w:shd w:val="clear" w:color="auto" w:fill="auto"/>
            <w:vAlign w:val="center"/>
          </w:tcPr>
          <w:p w14:paraId="7AC5324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P-ZLTC-SCOS-JSC-003-50-001</w:t>
            </w:r>
          </w:p>
        </w:tc>
        <w:tc>
          <w:tcPr>
            <w:tcW w:w="945" w:type="dxa"/>
            <w:tcBorders>
              <w:top w:val="nil"/>
              <w:left w:val="nil"/>
              <w:bottom w:val="nil"/>
              <w:right w:val="nil"/>
            </w:tcBorders>
            <w:shd w:val="clear" w:color="auto" w:fill="auto"/>
            <w:vAlign w:val="center"/>
          </w:tcPr>
          <w:p w14:paraId="344A12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查看全局态势与专题视图规则</w:t>
            </w:r>
          </w:p>
        </w:tc>
        <w:tc>
          <w:tcPr>
            <w:tcW w:w="966" w:type="dxa"/>
            <w:tcBorders>
              <w:top w:val="nil"/>
              <w:left w:val="nil"/>
              <w:bottom w:val="nil"/>
              <w:right w:val="nil"/>
            </w:tcBorders>
            <w:shd w:val="clear" w:color="auto" w:fill="auto"/>
            <w:vAlign w:val="center"/>
          </w:tcPr>
          <w:p w14:paraId="6A27B69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AC966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088C98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数据完整可信时</w:t>
            </w:r>
          </w:p>
        </w:tc>
        <w:tc>
          <w:tcPr>
            <w:tcW w:w="1406" w:type="dxa"/>
            <w:tcBorders>
              <w:top w:val="nil"/>
              <w:left w:val="nil"/>
              <w:bottom w:val="nil"/>
              <w:right w:val="nil"/>
            </w:tcBorders>
            <w:shd w:val="clear" w:color="auto" w:fill="auto"/>
            <w:vAlign w:val="center"/>
          </w:tcPr>
          <w:p w14:paraId="440384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按角色查看全局总览及产销、储运、环保、资金专题视图；无权查看的成本、资金等敏感数据不予展示。</w:t>
            </w:r>
          </w:p>
        </w:tc>
        <w:tc>
          <w:tcPr>
            <w:tcW w:w="1088" w:type="dxa"/>
            <w:tcBorders>
              <w:top w:val="nil"/>
              <w:left w:val="nil"/>
              <w:bottom w:val="nil"/>
              <w:right w:val="nil"/>
            </w:tcBorders>
            <w:shd w:val="clear" w:color="auto" w:fill="auto"/>
            <w:vAlign w:val="center"/>
          </w:tcPr>
          <w:p w14:paraId="692DBC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态势查看记录</w:t>
            </w:r>
          </w:p>
        </w:tc>
        <w:tc>
          <w:tcPr>
            <w:tcW w:w="1460" w:type="dxa"/>
            <w:tcBorders>
              <w:top w:val="nil"/>
              <w:left w:val="nil"/>
              <w:bottom w:val="nil"/>
              <w:right w:val="nil"/>
            </w:tcBorders>
            <w:shd w:val="clear" w:color="auto" w:fill="auto"/>
            <w:vAlign w:val="center"/>
          </w:tcPr>
          <w:p w14:paraId="7A7DBAF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7BA309D">
        <w:trPr>
          <w:cantSplit/>
          <w:trHeight w:val="0" w:hRule="atLeast"/>
          <w:jc w:val="center"/>
        </w:trPr>
        <w:tc>
          <w:tcPr>
            <w:tcW w:w="2944" w:type="dxa"/>
            <w:tcBorders>
              <w:top w:val="nil"/>
              <w:left w:val="nil"/>
              <w:bottom w:val="nil"/>
              <w:right w:val="nil"/>
            </w:tcBorders>
            <w:shd w:val="clear" w:color="auto" w:fill="auto"/>
            <w:vAlign w:val="center"/>
          </w:tcPr>
          <w:p w14:paraId="7A7C013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P-ZLTC-SCOS-JSC-003-60-001</w:t>
            </w:r>
          </w:p>
        </w:tc>
        <w:tc>
          <w:tcPr>
            <w:tcW w:w="945" w:type="dxa"/>
            <w:tcBorders>
              <w:top w:val="nil"/>
              <w:left w:val="nil"/>
              <w:bottom w:val="nil"/>
              <w:right w:val="nil"/>
            </w:tcBorders>
            <w:shd w:val="clear" w:color="auto" w:fill="auto"/>
            <w:vAlign w:val="center"/>
          </w:tcPr>
          <w:p w14:paraId="735530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判断是否需要进一步分析规则</w:t>
            </w:r>
          </w:p>
        </w:tc>
        <w:tc>
          <w:tcPr>
            <w:tcW w:w="966" w:type="dxa"/>
            <w:tcBorders>
              <w:top w:val="nil"/>
              <w:left w:val="nil"/>
              <w:bottom w:val="nil"/>
              <w:right w:val="nil"/>
            </w:tcBorders>
            <w:shd w:val="clear" w:color="auto" w:fill="auto"/>
            <w:vAlign w:val="center"/>
          </w:tcPr>
          <w:p w14:paraId="76322E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EAC90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6A6811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态势查看记录形成后</w:t>
            </w:r>
          </w:p>
        </w:tc>
        <w:tc>
          <w:tcPr>
            <w:tcW w:w="1406" w:type="dxa"/>
            <w:tcBorders>
              <w:top w:val="nil"/>
              <w:left w:val="nil"/>
              <w:bottom w:val="nil"/>
              <w:right w:val="nil"/>
            </w:tcBorders>
            <w:shd w:val="clear" w:color="auto" w:fill="auto"/>
            <w:vAlign w:val="center"/>
          </w:tcPr>
          <w:p w14:paraId="6E0AFDE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判断是否对异常KPI进行钻取、查看预警处置；不需要进一步分析时继续态势监测；需要进一步分析时转入相应分析流程。</w:t>
            </w:r>
          </w:p>
        </w:tc>
        <w:tc>
          <w:tcPr>
            <w:tcW w:w="1088" w:type="dxa"/>
            <w:tcBorders>
              <w:top w:val="nil"/>
              <w:left w:val="nil"/>
              <w:bottom w:val="nil"/>
              <w:right w:val="nil"/>
            </w:tcBorders>
            <w:shd w:val="clear" w:color="auto" w:fill="auto"/>
            <w:vAlign w:val="center"/>
          </w:tcPr>
          <w:p w14:paraId="13643F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处理选择</w:t>
            </w:r>
          </w:p>
        </w:tc>
        <w:tc>
          <w:tcPr>
            <w:tcW w:w="1460" w:type="dxa"/>
            <w:tcBorders>
              <w:top w:val="nil"/>
              <w:left w:val="nil"/>
              <w:bottom w:val="nil"/>
              <w:right w:val="nil"/>
            </w:tcBorders>
            <w:shd w:val="clear" w:color="auto" w:fill="auto"/>
            <w:vAlign w:val="center"/>
          </w:tcPr>
          <w:p w14:paraId="2C29C50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C24A965">
        <w:trPr>
          <w:cantSplit/>
          <w:trHeight w:val="0" w:hRule="atLeast"/>
          <w:jc w:val="center"/>
        </w:trPr>
        <w:tc>
          <w:tcPr>
            <w:tcW w:w="2944" w:type="dxa"/>
            <w:tcBorders>
              <w:top w:val="nil"/>
              <w:left w:val="nil"/>
              <w:bottom w:val="nil"/>
              <w:right w:val="nil"/>
            </w:tcBorders>
            <w:shd w:val="clear" w:color="auto" w:fill="auto"/>
            <w:vAlign w:val="center"/>
          </w:tcPr>
          <w:p w14:paraId="4C135A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P-ZLTC-SCOS-JSC-003-70-001</w:t>
            </w:r>
          </w:p>
        </w:tc>
        <w:tc>
          <w:tcPr>
            <w:tcW w:w="945" w:type="dxa"/>
            <w:tcBorders>
              <w:top w:val="nil"/>
              <w:left w:val="nil"/>
              <w:bottom w:val="nil"/>
              <w:right w:val="nil"/>
            </w:tcBorders>
            <w:shd w:val="clear" w:color="auto" w:fill="auto"/>
            <w:vAlign w:val="center"/>
          </w:tcPr>
          <w:p w14:paraId="0000DAC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更新态势视图并输出态势报告规则</w:t>
            </w:r>
          </w:p>
        </w:tc>
        <w:tc>
          <w:tcPr>
            <w:tcW w:w="966" w:type="dxa"/>
            <w:tcBorders>
              <w:top w:val="nil"/>
              <w:left w:val="nil"/>
              <w:bottom w:val="nil"/>
              <w:right w:val="nil"/>
            </w:tcBorders>
            <w:shd w:val="clear" w:color="auto" w:fill="auto"/>
            <w:vAlign w:val="center"/>
          </w:tcPr>
          <w:p w14:paraId="1301BCF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E5775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5C419C3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处理选择形成后</w:t>
            </w:r>
          </w:p>
        </w:tc>
        <w:tc>
          <w:tcPr>
            <w:tcW w:w="1406" w:type="dxa"/>
            <w:tcBorders>
              <w:top w:val="nil"/>
              <w:left w:val="nil"/>
              <w:bottom w:val="nil"/>
              <w:right w:val="nil"/>
            </w:tcBorders>
            <w:shd w:val="clear" w:color="auto" w:fill="auto"/>
            <w:vAlign w:val="center"/>
          </w:tcPr>
          <w:p w14:paraId="25E1E90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按刷新频率更新态势，支持按权限导出当前态势报告；报告生成失败不影响实时监测。</w:t>
            </w:r>
          </w:p>
        </w:tc>
        <w:tc>
          <w:tcPr>
            <w:tcW w:w="1088" w:type="dxa"/>
            <w:tcBorders>
              <w:top w:val="nil"/>
              <w:left w:val="nil"/>
              <w:bottom w:val="nil"/>
              <w:right w:val="nil"/>
            </w:tcBorders>
            <w:shd w:val="clear" w:color="auto" w:fill="auto"/>
            <w:vAlign w:val="center"/>
          </w:tcPr>
          <w:p w14:paraId="3787E93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最新态势视图和可导出报告</w:t>
            </w:r>
          </w:p>
        </w:tc>
        <w:tc>
          <w:tcPr>
            <w:tcW w:w="1460" w:type="dxa"/>
            <w:tcBorders>
              <w:top w:val="nil"/>
              <w:left w:val="nil"/>
              <w:bottom w:val="nil"/>
              <w:right w:val="nil"/>
            </w:tcBorders>
            <w:shd w:val="clear" w:color="auto" w:fill="auto"/>
            <w:vAlign w:val="center"/>
          </w:tcPr>
          <w:p w14:paraId="40F59E7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BEF5399">
        <w:trPr>
          <w:cantSplit/>
          <w:trHeight w:val="0" w:hRule="atLeast"/>
          <w:jc w:val="center"/>
        </w:trPr>
        <w:tc>
          <w:tcPr>
            <w:tcW w:w="2944" w:type="dxa"/>
            <w:tcBorders>
              <w:top w:val="nil"/>
              <w:left w:val="nil"/>
              <w:bottom w:val="nil"/>
              <w:right w:val="nil"/>
            </w:tcBorders>
            <w:shd w:val="clear" w:color="auto" w:fill="auto"/>
            <w:vAlign w:val="center"/>
          </w:tcPr>
          <w:p w14:paraId="01BBB97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P-ZLTC-SCOS-JSC-004-10-001</w:t>
            </w:r>
          </w:p>
        </w:tc>
        <w:tc>
          <w:tcPr>
            <w:tcW w:w="945" w:type="dxa"/>
            <w:tcBorders>
              <w:top w:val="nil"/>
              <w:left w:val="nil"/>
              <w:bottom w:val="nil"/>
              <w:right w:val="nil"/>
            </w:tcBorders>
            <w:shd w:val="clear" w:color="auto" w:fill="auto"/>
            <w:vAlign w:val="center"/>
          </w:tcPr>
          <w:p w14:paraId="210984A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选择异常KPI或业务节点规则</w:t>
            </w:r>
          </w:p>
        </w:tc>
        <w:tc>
          <w:tcPr>
            <w:tcW w:w="966" w:type="dxa"/>
            <w:tcBorders>
              <w:top w:val="nil"/>
              <w:left w:val="nil"/>
              <w:bottom w:val="nil"/>
              <w:right w:val="nil"/>
            </w:tcBorders>
            <w:shd w:val="clear" w:color="auto" w:fill="auto"/>
            <w:vAlign w:val="center"/>
          </w:tcPr>
          <w:p w14:paraId="6F30B95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26220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0D2804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用户主动点击异常对象时</w:t>
            </w:r>
          </w:p>
        </w:tc>
        <w:tc>
          <w:tcPr>
            <w:tcW w:w="1406" w:type="dxa"/>
            <w:tcBorders>
              <w:top w:val="nil"/>
              <w:left w:val="nil"/>
              <w:bottom w:val="nil"/>
              <w:right w:val="nil"/>
            </w:tcBorders>
            <w:shd w:val="clear" w:color="auto" w:fill="auto"/>
            <w:vAlign w:val="center"/>
          </w:tcPr>
          <w:p w14:paraId="4810E6A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选择分析指标、业务范围和钻取维度；无权查看下层数据时停止钻取。</w:t>
            </w:r>
          </w:p>
        </w:tc>
        <w:tc>
          <w:tcPr>
            <w:tcW w:w="1088" w:type="dxa"/>
            <w:tcBorders>
              <w:top w:val="nil"/>
              <w:left w:val="nil"/>
              <w:bottom w:val="nil"/>
              <w:right w:val="nil"/>
            </w:tcBorders>
            <w:shd w:val="clear" w:color="auto" w:fill="auto"/>
            <w:vAlign w:val="center"/>
          </w:tcPr>
          <w:p w14:paraId="3B166FA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钻取请求</w:t>
            </w:r>
          </w:p>
        </w:tc>
        <w:tc>
          <w:tcPr>
            <w:tcW w:w="1460" w:type="dxa"/>
            <w:tcBorders>
              <w:top w:val="nil"/>
              <w:left w:val="nil"/>
              <w:bottom w:val="nil"/>
              <w:right w:val="nil"/>
            </w:tcBorders>
            <w:shd w:val="clear" w:color="auto" w:fill="auto"/>
            <w:vAlign w:val="center"/>
          </w:tcPr>
          <w:p w14:paraId="43086A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82166D0">
        <w:trPr>
          <w:cantSplit/>
          <w:trHeight w:val="0" w:hRule="atLeast"/>
          <w:jc w:val="center"/>
        </w:trPr>
        <w:tc>
          <w:tcPr>
            <w:tcW w:w="2944" w:type="dxa"/>
            <w:tcBorders>
              <w:top w:val="nil"/>
              <w:left w:val="nil"/>
              <w:bottom w:val="nil"/>
              <w:right w:val="nil"/>
            </w:tcBorders>
            <w:shd w:val="clear" w:color="auto" w:fill="auto"/>
            <w:vAlign w:val="center"/>
          </w:tcPr>
          <w:p w14:paraId="4ABAC30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P-ZLTC-SCOS-JSC-004-20-001</w:t>
            </w:r>
          </w:p>
        </w:tc>
        <w:tc>
          <w:tcPr>
            <w:tcW w:w="945" w:type="dxa"/>
            <w:tcBorders>
              <w:top w:val="nil"/>
              <w:left w:val="nil"/>
              <w:bottom w:val="nil"/>
              <w:right w:val="nil"/>
            </w:tcBorders>
            <w:shd w:val="clear" w:color="auto" w:fill="auto"/>
            <w:vAlign w:val="center"/>
          </w:tcPr>
          <w:p w14:paraId="634B6A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展开专题视图和影响范围规则</w:t>
            </w:r>
          </w:p>
        </w:tc>
        <w:tc>
          <w:tcPr>
            <w:tcW w:w="966" w:type="dxa"/>
            <w:tcBorders>
              <w:top w:val="nil"/>
              <w:left w:val="nil"/>
              <w:bottom w:val="nil"/>
              <w:right w:val="nil"/>
            </w:tcBorders>
            <w:shd w:val="clear" w:color="auto" w:fill="auto"/>
            <w:vAlign w:val="center"/>
          </w:tcPr>
          <w:p w14:paraId="1ADE3D6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433A6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1D8A20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钻取请求形成后</w:t>
            </w:r>
          </w:p>
        </w:tc>
        <w:tc>
          <w:tcPr>
            <w:tcW w:w="1406" w:type="dxa"/>
            <w:tcBorders>
              <w:top w:val="nil"/>
              <w:left w:val="nil"/>
              <w:bottom w:val="nil"/>
              <w:right w:val="nil"/>
            </w:tcBorders>
            <w:shd w:val="clear" w:color="auto" w:fill="auto"/>
            <w:vAlign w:val="center"/>
          </w:tcPr>
          <w:p w14:paraId="26FBB7C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展示异常指标的时间趋势、计划与实际差异、关联业务对象；专题数据不完整时显示可用范围和缺失项。</w:t>
            </w:r>
          </w:p>
        </w:tc>
        <w:tc>
          <w:tcPr>
            <w:tcW w:w="1088" w:type="dxa"/>
            <w:tcBorders>
              <w:top w:val="nil"/>
              <w:left w:val="nil"/>
              <w:bottom w:val="nil"/>
              <w:right w:val="nil"/>
            </w:tcBorders>
            <w:shd w:val="clear" w:color="auto" w:fill="auto"/>
            <w:vAlign w:val="center"/>
          </w:tcPr>
          <w:p w14:paraId="7598D9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专题趋势、对比和关联对象</w:t>
            </w:r>
          </w:p>
        </w:tc>
        <w:tc>
          <w:tcPr>
            <w:tcW w:w="1460" w:type="dxa"/>
            <w:tcBorders>
              <w:top w:val="nil"/>
              <w:left w:val="nil"/>
              <w:bottom w:val="nil"/>
              <w:right w:val="nil"/>
            </w:tcBorders>
            <w:shd w:val="clear" w:color="auto" w:fill="auto"/>
            <w:vAlign w:val="center"/>
          </w:tcPr>
          <w:p w14:paraId="7E80066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226BB72">
        <w:trPr>
          <w:cantSplit/>
          <w:trHeight w:val="0" w:hRule="atLeast"/>
          <w:jc w:val="center"/>
        </w:trPr>
        <w:tc>
          <w:tcPr>
            <w:tcW w:w="2944" w:type="dxa"/>
            <w:tcBorders>
              <w:top w:val="nil"/>
              <w:left w:val="nil"/>
              <w:bottom w:val="nil"/>
              <w:right w:val="nil"/>
            </w:tcBorders>
            <w:shd w:val="clear" w:color="auto" w:fill="auto"/>
            <w:vAlign w:val="center"/>
          </w:tcPr>
          <w:p w14:paraId="04A8D2D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P-ZLTC-SCOS-JSC-004-30-001</w:t>
            </w:r>
          </w:p>
        </w:tc>
        <w:tc>
          <w:tcPr>
            <w:tcW w:w="945" w:type="dxa"/>
            <w:tcBorders>
              <w:top w:val="nil"/>
              <w:left w:val="nil"/>
              <w:bottom w:val="nil"/>
              <w:right w:val="nil"/>
            </w:tcBorders>
            <w:shd w:val="clear" w:color="auto" w:fill="auto"/>
            <w:vAlign w:val="center"/>
          </w:tcPr>
          <w:p w14:paraId="3735CA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钻取明细清单并关联源单据/工单规则</w:t>
            </w:r>
          </w:p>
        </w:tc>
        <w:tc>
          <w:tcPr>
            <w:tcW w:w="966" w:type="dxa"/>
            <w:tcBorders>
              <w:top w:val="nil"/>
              <w:left w:val="nil"/>
              <w:bottom w:val="nil"/>
              <w:right w:val="nil"/>
            </w:tcBorders>
            <w:shd w:val="clear" w:color="auto" w:fill="auto"/>
            <w:vAlign w:val="center"/>
          </w:tcPr>
          <w:p w14:paraId="1FD2BAE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DDD6B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1B854F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专题趋势、对比和关联对象形成后</w:t>
            </w:r>
          </w:p>
        </w:tc>
        <w:tc>
          <w:tcPr>
            <w:tcW w:w="1406" w:type="dxa"/>
            <w:tcBorders>
              <w:top w:val="nil"/>
              <w:left w:val="nil"/>
              <w:bottom w:val="nil"/>
              <w:right w:val="nil"/>
            </w:tcBorders>
            <w:shd w:val="clear" w:color="auto" w:fill="auto"/>
            <w:vAlign w:val="center"/>
          </w:tcPr>
          <w:p w14:paraId="72FF656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按总览、专题、明细和源单据的层级逐步追溯；源系统不可用时保留驾驶舱已获取的明细和数据时间。</w:t>
            </w:r>
          </w:p>
        </w:tc>
        <w:tc>
          <w:tcPr>
            <w:tcW w:w="1088" w:type="dxa"/>
            <w:tcBorders>
              <w:top w:val="nil"/>
              <w:left w:val="nil"/>
              <w:bottom w:val="nil"/>
              <w:right w:val="nil"/>
            </w:tcBorders>
            <w:shd w:val="clear" w:color="auto" w:fill="auto"/>
            <w:vAlign w:val="center"/>
          </w:tcPr>
          <w:p w14:paraId="75F3BE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明细清单、源单据/工单链接</w:t>
            </w:r>
          </w:p>
        </w:tc>
        <w:tc>
          <w:tcPr>
            <w:tcW w:w="1460" w:type="dxa"/>
            <w:tcBorders>
              <w:top w:val="nil"/>
              <w:left w:val="nil"/>
              <w:bottom w:val="nil"/>
              <w:right w:val="nil"/>
            </w:tcBorders>
            <w:shd w:val="clear" w:color="auto" w:fill="auto"/>
            <w:vAlign w:val="center"/>
          </w:tcPr>
          <w:p w14:paraId="10539C5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4CA3EB2">
        <w:trPr>
          <w:cantSplit/>
          <w:trHeight w:val="0" w:hRule="atLeast"/>
          <w:jc w:val="center"/>
        </w:trPr>
        <w:tc>
          <w:tcPr>
            <w:tcW w:w="2944" w:type="dxa"/>
            <w:tcBorders>
              <w:top w:val="nil"/>
              <w:left w:val="nil"/>
              <w:bottom w:val="nil"/>
              <w:right w:val="nil"/>
            </w:tcBorders>
            <w:shd w:val="clear" w:color="auto" w:fill="auto"/>
            <w:vAlign w:val="center"/>
          </w:tcPr>
          <w:p w14:paraId="28E7D30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P-ZLTC-SCOS-JSC-004-40-001</w:t>
            </w:r>
          </w:p>
        </w:tc>
        <w:tc>
          <w:tcPr>
            <w:tcW w:w="945" w:type="dxa"/>
            <w:tcBorders>
              <w:top w:val="nil"/>
              <w:left w:val="nil"/>
              <w:bottom w:val="nil"/>
              <w:right w:val="nil"/>
            </w:tcBorders>
            <w:shd w:val="clear" w:color="auto" w:fill="auto"/>
            <w:vAlign w:val="center"/>
          </w:tcPr>
          <w:p w14:paraId="1ED1E38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判断是否可定位异常来源规则</w:t>
            </w:r>
          </w:p>
        </w:tc>
        <w:tc>
          <w:tcPr>
            <w:tcW w:w="966" w:type="dxa"/>
            <w:tcBorders>
              <w:top w:val="nil"/>
              <w:left w:val="nil"/>
              <w:bottom w:val="nil"/>
              <w:right w:val="nil"/>
            </w:tcBorders>
            <w:shd w:val="clear" w:color="auto" w:fill="auto"/>
            <w:vAlign w:val="center"/>
          </w:tcPr>
          <w:p w14:paraId="797E5EA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693BC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4657F3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明细清单、源单据/工单链接形成后</w:t>
            </w:r>
          </w:p>
        </w:tc>
        <w:tc>
          <w:tcPr>
            <w:tcW w:w="1406" w:type="dxa"/>
            <w:tcBorders>
              <w:top w:val="nil"/>
              <w:left w:val="nil"/>
              <w:bottom w:val="nil"/>
              <w:right w:val="nil"/>
            </w:tcBorders>
            <w:shd w:val="clear" w:color="auto" w:fill="auto"/>
            <w:vAlign w:val="center"/>
          </w:tcPr>
          <w:p w14:paraId="532F9EA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判断驾驶舱现有链路是否足以说明异常来源；不可定位异常来源时调用专业模块；可定位异常来源时确认结论。</w:t>
            </w:r>
          </w:p>
        </w:tc>
        <w:tc>
          <w:tcPr>
            <w:tcW w:w="1088" w:type="dxa"/>
            <w:tcBorders>
              <w:top w:val="nil"/>
              <w:left w:val="nil"/>
              <w:bottom w:val="nil"/>
              <w:right w:val="nil"/>
            </w:tcBorders>
            <w:shd w:val="clear" w:color="auto" w:fill="auto"/>
            <w:vAlign w:val="center"/>
          </w:tcPr>
          <w:p w14:paraId="75EA938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定位判断</w:t>
            </w:r>
          </w:p>
        </w:tc>
        <w:tc>
          <w:tcPr>
            <w:tcW w:w="1460" w:type="dxa"/>
            <w:tcBorders>
              <w:top w:val="nil"/>
              <w:left w:val="nil"/>
              <w:bottom w:val="nil"/>
              <w:right w:val="nil"/>
            </w:tcBorders>
            <w:shd w:val="clear" w:color="auto" w:fill="auto"/>
            <w:vAlign w:val="center"/>
          </w:tcPr>
          <w:p w14:paraId="7700ED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52AB7C9">
        <w:trPr>
          <w:cantSplit/>
          <w:trHeight w:val="0" w:hRule="atLeast"/>
          <w:jc w:val="center"/>
        </w:trPr>
        <w:tc>
          <w:tcPr>
            <w:tcW w:w="2944" w:type="dxa"/>
            <w:tcBorders>
              <w:top w:val="nil"/>
              <w:left w:val="nil"/>
              <w:bottom w:val="nil"/>
              <w:right w:val="nil"/>
            </w:tcBorders>
            <w:shd w:val="clear" w:color="auto" w:fill="auto"/>
            <w:vAlign w:val="center"/>
          </w:tcPr>
          <w:p w14:paraId="6A473D3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P-ZLTC-SCOS-JSC-004-50-001</w:t>
            </w:r>
          </w:p>
        </w:tc>
        <w:tc>
          <w:tcPr>
            <w:tcW w:w="945" w:type="dxa"/>
            <w:tcBorders>
              <w:top w:val="nil"/>
              <w:left w:val="nil"/>
              <w:bottom w:val="nil"/>
              <w:right w:val="nil"/>
            </w:tcBorders>
            <w:shd w:val="clear" w:color="auto" w:fill="auto"/>
            <w:vAlign w:val="center"/>
          </w:tcPr>
          <w:p w14:paraId="11EB09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调用相关模块进行根因分析规则</w:t>
            </w:r>
          </w:p>
        </w:tc>
        <w:tc>
          <w:tcPr>
            <w:tcW w:w="966" w:type="dxa"/>
            <w:tcBorders>
              <w:top w:val="nil"/>
              <w:left w:val="nil"/>
              <w:bottom w:val="nil"/>
              <w:right w:val="nil"/>
            </w:tcBorders>
            <w:shd w:val="clear" w:color="auto" w:fill="auto"/>
            <w:vAlign w:val="center"/>
          </w:tcPr>
          <w:p w14:paraId="100BC2A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FD9AB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0FB6B1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不可定位异常来源时</w:t>
            </w:r>
          </w:p>
        </w:tc>
        <w:tc>
          <w:tcPr>
            <w:tcW w:w="1406" w:type="dxa"/>
            <w:tcBorders>
              <w:top w:val="nil"/>
              <w:left w:val="nil"/>
              <w:bottom w:val="nil"/>
              <w:right w:val="nil"/>
            </w:tcBorders>
            <w:shd w:val="clear" w:color="auto" w:fill="auto"/>
            <w:vAlign w:val="center"/>
          </w:tcPr>
          <w:p w14:paraId="18A471F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将异常对象与上下文交给相关模块；相关模块不可用时保留待分析状态。</w:t>
            </w:r>
          </w:p>
        </w:tc>
        <w:tc>
          <w:tcPr>
            <w:tcW w:w="1088" w:type="dxa"/>
            <w:tcBorders>
              <w:top w:val="nil"/>
              <w:left w:val="nil"/>
              <w:bottom w:val="nil"/>
              <w:right w:val="nil"/>
            </w:tcBorders>
            <w:shd w:val="clear" w:color="auto" w:fill="auto"/>
            <w:vAlign w:val="center"/>
          </w:tcPr>
          <w:p w14:paraId="47AE384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专业根因分析结果</w:t>
            </w:r>
          </w:p>
        </w:tc>
        <w:tc>
          <w:tcPr>
            <w:tcW w:w="1460" w:type="dxa"/>
            <w:tcBorders>
              <w:top w:val="nil"/>
              <w:left w:val="nil"/>
              <w:bottom w:val="nil"/>
              <w:right w:val="nil"/>
            </w:tcBorders>
            <w:shd w:val="clear" w:color="auto" w:fill="auto"/>
            <w:vAlign w:val="center"/>
          </w:tcPr>
          <w:p w14:paraId="7A2B32B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E7229B">
        <w:trPr>
          <w:cantSplit/>
          <w:trHeight w:val="0" w:hRule="atLeast"/>
          <w:jc w:val="center"/>
        </w:trPr>
        <w:tc>
          <w:tcPr>
            <w:tcW w:w="2944" w:type="dxa"/>
            <w:tcBorders>
              <w:top w:val="nil"/>
              <w:left w:val="nil"/>
              <w:bottom w:val="nil"/>
              <w:right w:val="nil"/>
            </w:tcBorders>
            <w:shd w:val="clear" w:color="auto" w:fill="auto"/>
            <w:vAlign w:val="center"/>
          </w:tcPr>
          <w:p w14:paraId="328CCB7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P-ZLTC-SCOS-JSC-004-60-001</w:t>
            </w:r>
          </w:p>
        </w:tc>
        <w:tc>
          <w:tcPr>
            <w:tcW w:w="945" w:type="dxa"/>
            <w:tcBorders>
              <w:top w:val="nil"/>
              <w:left w:val="nil"/>
              <w:bottom w:val="nil"/>
              <w:right w:val="nil"/>
            </w:tcBorders>
            <w:shd w:val="clear" w:color="auto" w:fill="auto"/>
            <w:vAlign w:val="center"/>
          </w:tcPr>
          <w:p w14:paraId="26C968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判断根因是否已确认规则</w:t>
            </w:r>
          </w:p>
        </w:tc>
        <w:tc>
          <w:tcPr>
            <w:tcW w:w="966" w:type="dxa"/>
            <w:tcBorders>
              <w:top w:val="nil"/>
              <w:left w:val="nil"/>
              <w:bottom w:val="nil"/>
              <w:right w:val="nil"/>
            </w:tcBorders>
            <w:shd w:val="clear" w:color="auto" w:fill="auto"/>
            <w:vAlign w:val="center"/>
          </w:tcPr>
          <w:p w14:paraId="188E68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EF5AF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61F9B5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可定位异常来源时</w:t>
            </w:r>
          </w:p>
        </w:tc>
        <w:tc>
          <w:tcPr>
            <w:tcW w:w="1406" w:type="dxa"/>
            <w:tcBorders>
              <w:top w:val="nil"/>
              <w:left w:val="nil"/>
              <w:bottom w:val="nil"/>
              <w:right w:val="nil"/>
            </w:tcBorders>
            <w:shd w:val="clear" w:color="auto" w:fill="auto"/>
            <w:vAlign w:val="center"/>
          </w:tcPr>
          <w:p w14:paraId="7E3E4A9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业务责任人核实根因、影响范围和后续处理方向；根因未确认时退回补充分析；根因已确认后继续处理。</w:t>
            </w:r>
          </w:p>
        </w:tc>
        <w:tc>
          <w:tcPr>
            <w:tcW w:w="1088" w:type="dxa"/>
            <w:tcBorders>
              <w:top w:val="nil"/>
              <w:left w:val="nil"/>
              <w:bottom w:val="nil"/>
              <w:right w:val="nil"/>
            </w:tcBorders>
            <w:shd w:val="clear" w:color="auto" w:fill="auto"/>
            <w:vAlign w:val="center"/>
          </w:tcPr>
          <w:p w14:paraId="4C8E756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根因确认结论</w:t>
            </w:r>
          </w:p>
        </w:tc>
        <w:tc>
          <w:tcPr>
            <w:tcW w:w="1460" w:type="dxa"/>
            <w:tcBorders>
              <w:top w:val="nil"/>
              <w:left w:val="nil"/>
              <w:bottom w:val="nil"/>
              <w:right w:val="nil"/>
            </w:tcBorders>
            <w:shd w:val="clear" w:color="auto" w:fill="auto"/>
            <w:vAlign w:val="center"/>
          </w:tcPr>
          <w:p w14:paraId="4211B19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B8B86C">
        <w:trPr>
          <w:cantSplit/>
          <w:trHeight w:val="0" w:hRule="atLeast"/>
          <w:jc w:val="center"/>
        </w:trPr>
        <w:tc>
          <w:tcPr>
            <w:tcW w:w="2944" w:type="dxa"/>
            <w:tcBorders>
              <w:top w:val="nil"/>
              <w:left w:val="nil"/>
              <w:bottom w:val="nil"/>
              <w:right w:val="nil"/>
            </w:tcBorders>
            <w:shd w:val="clear" w:color="auto" w:fill="auto"/>
            <w:vAlign w:val="center"/>
          </w:tcPr>
          <w:p w14:paraId="127133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P-ZLTC-SCOS-JSC-004-70-001</w:t>
            </w:r>
          </w:p>
        </w:tc>
        <w:tc>
          <w:tcPr>
            <w:tcW w:w="945" w:type="dxa"/>
            <w:tcBorders>
              <w:top w:val="nil"/>
              <w:left w:val="nil"/>
              <w:bottom w:val="nil"/>
              <w:right w:val="nil"/>
            </w:tcBorders>
            <w:shd w:val="clear" w:color="auto" w:fill="auto"/>
            <w:vAlign w:val="center"/>
          </w:tcPr>
          <w:p w14:paraId="2903DF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形成根因分析结论及处理建议规则</w:t>
            </w:r>
          </w:p>
        </w:tc>
        <w:tc>
          <w:tcPr>
            <w:tcW w:w="966" w:type="dxa"/>
            <w:tcBorders>
              <w:top w:val="nil"/>
              <w:left w:val="nil"/>
              <w:bottom w:val="nil"/>
              <w:right w:val="nil"/>
            </w:tcBorders>
            <w:shd w:val="clear" w:color="auto" w:fill="auto"/>
            <w:vAlign w:val="center"/>
          </w:tcPr>
          <w:p w14:paraId="3AAD2EC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84B3F2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643F1D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根因已确认时</w:t>
            </w:r>
          </w:p>
        </w:tc>
        <w:tc>
          <w:tcPr>
            <w:tcW w:w="1406" w:type="dxa"/>
            <w:tcBorders>
              <w:top w:val="nil"/>
              <w:left w:val="nil"/>
              <w:bottom w:val="nil"/>
              <w:right w:val="nil"/>
            </w:tcBorders>
            <w:shd w:val="clear" w:color="auto" w:fill="auto"/>
            <w:vAlign w:val="center"/>
          </w:tcPr>
          <w:p w14:paraId="712DA6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归集分析过程和结论；结论发布失败时保留待发布状态。</w:t>
            </w:r>
          </w:p>
        </w:tc>
        <w:tc>
          <w:tcPr>
            <w:tcW w:w="1088" w:type="dxa"/>
            <w:tcBorders>
              <w:top w:val="nil"/>
              <w:left w:val="nil"/>
              <w:bottom w:val="nil"/>
              <w:right w:val="nil"/>
            </w:tcBorders>
            <w:shd w:val="clear" w:color="auto" w:fill="auto"/>
            <w:vAlign w:val="center"/>
          </w:tcPr>
          <w:p w14:paraId="75DCABC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根因结论、影响范围和处理建议</w:t>
            </w:r>
          </w:p>
        </w:tc>
        <w:tc>
          <w:tcPr>
            <w:tcW w:w="1460" w:type="dxa"/>
            <w:tcBorders>
              <w:top w:val="nil"/>
              <w:left w:val="nil"/>
              <w:bottom w:val="nil"/>
              <w:right w:val="nil"/>
            </w:tcBorders>
            <w:shd w:val="clear" w:color="auto" w:fill="auto"/>
            <w:vAlign w:val="center"/>
          </w:tcPr>
          <w:p w14:paraId="3E26919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CB7E84B">
        <w:trPr>
          <w:cantSplit/>
          <w:trHeight w:val="0" w:hRule="atLeast"/>
          <w:jc w:val="center"/>
        </w:trPr>
        <w:tc>
          <w:tcPr>
            <w:tcW w:w="2944" w:type="dxa"/>
            <w:tcBorders>
              <w:top w:val="nil"/>
              <w:left w:val="nil"/>
              <w:bottom w:val="nil"/>
              <w:right w:val="nil"/>
            </w:tcBorders>
            <w:shd w:val="clear" w:color="auto" w:fill="auto"/>
            <w:vAlign w:val="center"/>
          </w:tcPr>
          <w:p w14:paraId="0882801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P-ZLTC-SCOS-JSC-005-10-001</w:t>
            </w:r>
          </w:p>
        </w:tc>
        <w:tc>
          <w:tcPr>
            <w:tcW w:w="945" w:type="dxa"/>
            <w:tcBorders>
              <w:top w:val="nil"/>
              <w:left w:val="nil"/>
              <w:bottom w:val="nil"/>
              <w:right w:val="nil"/>
            </w:tcBorders>
            <w:shd w:val="clear" w:color="auto" w:fill="auto"/>
            <w:vAlign w:val="center"/>
          </w:tcPr>
          <w:p w14:paraId="74D37F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提供预警事件或指标越界信息规则</w:t>
            </w:r>
          </w:p>
        </w:tc>
        <w:tc>
          <w:tcPr>
            <w:tcW w:w="966" w:type="dxa"/>
            <w:tcBorders>
              <w:top w:val="nil"/>
              <w:left w:val="nil"/>
              <w:bottom w:val="nil"/>
              <w:right w:val="nil"/>
            </w:tcBorders>
            <w:shd w:val="clear" w:color="auto" w:fill="auto"/>
            <w:vAlign w:val="center"/>
          </w:tcPr>
          <w:p w14:paraId="0369FA2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8487B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369752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指标越界，或采购、库存、排程、质量追溯等模块发布预警时</w:t>
            </w:r>
          </w:p>
        </w:tc>
        <w:tc>
          <w:tcPr>
            <w:tcW w:w="1406" w:type="dxa"/>
            <w:tcBorders>
              <w:top w:val="nil"/>
              <w:left w:val="nil"/>
              <w:bottom w:val="nil"/>
              <w:right w:val="nil"/>
            </w:tcBorders>
            <w:shd w:val="clear" w:color="auto" w:fill="auto"/>
            <w:vAlign w:val="center"/>
          </w:tcPr>
          <w:p w14:paraId="445B15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接收供应、库存、订单、产线和运输等预警事件；事件字段不完整时进入待核实队列。</w:t>
            </w:r>
          </w:p>
        </w:tc>
        <w:tc>
          <w:tcPr>
            <w:tcW w:w="1088" w:type="dxa"/>
            <w:tcBorders>
              <w:top w:val="nil"/>
              <w:left w:val="nil"/>
              <w:bottom w:val="nil"/>
              <w:right w:val="nil"/>
            </w:tcBorders>
            <w:shd w:val="clear" w:color="auto" w:fill="auto"/>
            <w:vAlign w:val="center"/>
          </w:tcPr>
          <w:p w14:paraId="3A386E9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标准预警事件</w:t>
            </w:r>
          </w:p>
        </w:tc>
        <w:tc>
          <w:tcPr>
            <w:tcW w:w="1460" w:type="dxa"/>
            <w:tcBorders>
              <w:top w:val="nil"/>
              <w:left w:val="nil"/>
              <w:bottom w:val="nil"/>
              <w:right w:val="nil"/>
            </w:tcBorders>
            <w:shd w:val="clear" w:color="auto" w:fill="auto"/>
            <w:vAlign w:val="center"/>
          </w:tcPr>
          <w:p w14:paraId="35335DC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907730">
        <w:trPr>
          <w:cantSplit/>
          <w:trHeight w:val="0" w:hRule="atLeast"/>
          <w:jc w:val="center"/>
        </w:trPr>
        <w:tc>
          <w:tcPr>
            <w:tcW w:w="2944" w:type="dxa"/>
            <w:tcBorders>
              <w:top w:val="nil"/>
              <w:left w:val="nil"/>
              <w:bottom w:val="nil"/>
              <w:right w:val="nil"/>
            </w:tcBorders>
            <w:shd w:val="clear" w:color="auto" w:fill="auto"/>
            <w:vAlign w:val="center"/>
          </w:tcPr>
          <w:p w14:paraId="2C39D1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P-ZLTC-SCOS-JSC-005-20-001</w:t>
            </w:r>
          </w:p>
        </w:tc>
        <w:tc>
          <w:tcPr>
            <w:tcW w:w="945" w:type="dxa"/>
            <w:tcBorders>
              <w:top w:val="nil"/>
              <w:left w:val="nil"/>
              <w:bottom w:val="nil"/>
              <w:right w:val="nil"/>
            </w:tcBorders>
            <w:shd w:val="clear" w:color="auto" w:fill="auto"/>
            <w:vAlign w:val="center"/>
          </w:tcPr>
          <w:p w14:paraId="7D2568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校验事件信息并聚合去重规则</w:t>
            </w:r>
          </w:p>
        </w:tc>
        <w:tc>
          <w:tcPr>
            <w:tcW w:w="966" w:type="dxa"/>
            <w:tcBorders>
              <w:top w:val="nil"/>
              <w:left w:val="nil"/>
              <w:bottom w:val="nil"/>
              <w:right w:val="nil"/>
            </w:tcBorders>
            <w:shd w:val="clear" w:color="auto" w:fill="auto"/>
            <w:vAlign w:val="center"/>
          </w:tcPr>
          <w:p w14:paraId="5A5D2BA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09C80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26B035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标准预警事件形成后</w:t>
            </w:r>
          </w:p>
        </w:tc>
        <w:tc>
          <w:tcPr>
            <w:tcW w:w="1406" w:type="dxa"/>
            <w:tcBorders>
              <w:top w:val="nil"/>
              <w:left w:val="nil"/>
              <w:bottom w:val="nil"/>
              <w:right w:val="nil"/>
            </w:tcBorders>
            <w:shd w:val="clear" w:color="auto" w:fill="auto"/>
            <w:vAlign w:val="center"/>
          </w:tcPr>
          <w:p w14:paraId="0F8C63E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按业务对象、事件类型和时间窗口识别重复或关联事件；无法识别业务对象时保留待核实状态。</w:t>
            </w:r>
          </w:p>
        </w:tc>
        <w:tc>
          <w:tcPr>
            <w:tcW w:w="1088" w:type="dxa"/>
            <w:tcBorders>
              <w:top w:val="nil"/>
              <w:left w:val="nil"/>
              <w:bottom w:val="nil"/>
              <w:right w:val="nil"/>
            </w:tcBorders>
            <w:shd w:val="clear" w:color="auto" w:fill="auto"/>
            <w:vAlign w:val="center"/>
          </w:tcPr>
          <w:p w14:paraId="1680F1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有效事件清单</w:t>
            </w:r>
          </w:p>
        </w:tc>
        <w:tc>
          <w:tcPr>
            <w:tcW w:w="1460" w:type="dxa"/>
            <w:tcBorders>
              <w:top w:val="nil"/>
              <w:left w:val="nil"/>
              <w:bottom w:val="nil"/>
              <w:right w:val="nil"/>
            </w:tcBorders>
            <w:shd w:val="clear" w:color="auto" w:fill="auto"/>
            <w:vAlign w:val="center"/>
          </w:tcPr>
          <w:p w14:paraId="1F41646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A3ADFBF">
        <w:trPr>
          <w:cantSplit/>
          <w:trHeight w:val="0" w:hRule="atLeast"/>
          <w:jc w:val="center"/>
        </w:trPr>
        <w:tc>
          <w:tcPr>
            <w:tcW w:w="2944" w:type="dxa"/>
            <w:tcBorders>
              <w:top w:val="nil"/>
              <w:left w:val="nil"/>
              <w:bottom w:val="nil"/>
              <w:right w:val="nil"/>
            </w:tcBorders>
            <w:shd w:val="clear" w:color="auto" w:fill="auto"/>
            <w:vAlign w:val="center"/>
          </w:tcPr>
          <w:p w14:paraId="11BFBB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P-ZLTC-SCOS-JSC-005-30-001</w:t>
            </w:r>
          </w:p>
        </w:tc>
        <w:tc>
          <w:tcPr>
            <w:tcW w:w="945" w:type="dxa"/>
            <w:tcBorders>
              <w:top w:val="nil"/>
              <w:left w:val="nil"/>
              <w:bottom w:val="nil"/>
              <w:right w:val="nil"/>
            </w:tcBorders>
            <w:shd w:val="clear" w:color="auto" w:fill="auto"/>
            <w:vAlign w:val="center"/>
          </w:tcPr>
          <w:p w14:paraId="6F1322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识别预警级别与影响范围规则</w:t>
            </w:r>
          </w:p>
        </w:tc>
        <w:tc>
          <w:tcPr>
            <w:tcW w:w="966" w:type="dxa"/>
            <w:tcBorders>
              <w:top w:val="nil"/>
              <w:left w:val="nil"/>
              <w:bottom w:val="nil"/>
              <w:right w:val="nil"/>
            </w:tcBorders>
            <w:shd w:val="clear" w:color="auto" w:fill="auto"/>
            <w:vAlign w:val="center"/>
          </w:tcPr>
          <w:p w14:paraId="4416B84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5E7AEA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706BCB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有效事件清单形成后</w:t>
            </w:r>
          </w:p>
        </w:tc>
        <w:tc>
          <w:tcPr>
            <w:tcW w:w="1406" w:type="dxa"/>
            <w:tcBorders>
              <w:top w:val="nil"/>
              <w:left w:val="nil"/>
              <w:bottom w:val="nil"/>
              <w:right w:val="nil"/>
            </w:tcBorders>
            <w:shd w:val="clear" w:color="auto" w:fill="auto"/>
            <w:vAlign w:val="center"/>
          </w:tcPr>
          <w:p w14:paraId="09D10C4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一级预警优先置顶并推送，二级预警按时间排序；规则无法匹配时标记“待分级”。</w:t>
            </w:r>
          </w:p>
        </w:tc>
        <w:tc>
          <w:tcPr>
            <w:tcW w:w="1088" w:type="dxa"/>
            <w:tcBorders>
              <w:top w:val="nil"/>
              <w:left w:val="nil"/>
              <w:bottom w:val="nil"/>
              <w:right w:val="nil"/>
            </w:tcBorders>
            <w:shd w:val="clear" w:color="auto" w:fill="auto"/>
            <w:vAlign w:val="center"/>
          </w:tcPr>
          <w:p w14:paraId="02D0C3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一/二级预警及影响范围</w:t>
            </w:r>
          </w:p>
        </w:tc>
        <w:tc>
          <w:tcPr>
            <w:tcW w:w="1460" w:type="dxa"/>
            <w:tcBorders>
              <w:top w:val="nil"/>
              <w:left w:val="nil"/>
              <w:bottom w:val="nil"/>
              <w:right w:val="nil"/>
            </w:tcBorders>
            <w:shd w:val="clear" w:color="auto" w:fill="auto"/>
            <w:vAlign w:val="center"/>
          </w:tcPr>
          <w:p w14:paraId="5A44A35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8008D3F">
        <w:trPr>
          <w:cantSplit/>
          <w:trHeight w:val="0" w:hRule="atLeast"/>
          <w:jc w:val="center"/>
        </w:trPr>
        <w:tc>
          <w:tcPr>
            <w:tcW w:w="2944" w:type="dxa"/>
            <w:tcBorders>
              <w:top w:val="nil"/>
              <w:left w:val="nil"/>
              <w:bottom w:val="nil"/>
              <w:right w:val="nil"/>
            </w:tcBorders>
            <w:shd w:val="clear" w:color="auto" w:fill="auto"/>
            <w:vAlign w:val="center"/>
          </w:tcPr>
          <w:p w14:paraId="10398AB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P-ZLTC-SCOS-JSC-005-40-001</w:t>
            </w:r>
          </w:p>
        </w:tc>
        <w:tc>
          <w:tcPr>
            <w:tcW w:w="945" w:type="dxa"/>
            <w:tcBorders>
              <w:top w:val="nil"/>
              <w:left w:val="nil"/>
              <w:bottom w:val="nil"/>
              <w:right w:val="nil"/>
            </w:tcBorders>
            <w:shd w:val="clear" w:color="auto" w:fill="auto"/>
            <w:vAlign w:val="center"/>
          </w:tcPr>
          <w:p w14:paraId="3D27F7B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匹配责任部门和处置责任人规则</w:t>
            </w:r>
          </w:p>
        </w:tc>
        <w:tc>
          <w:tcPr>
            <w:tcW w:w="966" w:type="dxa"/>
            <w:tcBorders>
              <w:top w:val="nil"/>
              <w:left w:val="nil"/>
              <w:bottom w:val="nil"/>
              <w:right w:val="nil"/>
            </w:tcBorders>
            <w:shd w:val="clear" w:color="auto" w:fill="auto"/>
            <w:vAlign w:val="center"/>
          </w:tcPr>
          <w:p w14:paraId="0283D92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9F039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545EE6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一/二级预警及影响范围形成后</w:t>
            </w:r>
          </w:p>
        </w:tc>
        <w:tc>
          <w:tcPr>
            <w:tcW w:w="1406" w:type="dxa"/>
            <w:tcBorders>
              <w:top w:val="nil"/>
              <w:left w:val="nil"/>
              <w:bottom w:val="nil"/>
              <w:right w:val="nil"/>
            </w:tcBorders>
            <w:shd w:val="clear" w:color="auto" w:fill="auto"/>
            <w:vAlign w:val="center"/>
          </w:tcPr>
          <w:p w14:paraId="655308D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按业务域匹配处置责任；无法自动匹配时转运营管理人员人工分派。</w:t>
            </w:r>
          </w:p>
        </w:tc>
        <w:tc>
          <w:tcPr>
            <w:tcW w:w="1088" w:type="dxa"/>
            <w:tcBorders>
              <w:top w:val="nil"/>
              <w:left w:val="nil"/>
              <w:bottom w:val="nil"/>
              <w:right w:val="nil"/>
            </w:tcBorders>
            <w:shd w:val="clear" w:color="auto" w:fill="auto"/>
            <w:vAlign w:val="center"/>
          </w:tcPr>
          <w:p w14:paraId="67EEAA1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建议责任人和钻取链路</w:t>
            </w:r>
          </w:p>
        </w:tc>
        <w:tc>
          <w:tcPr>
            <w:tcW w:w="1460" w:type="dxa"/>
            <w:tcBorders>
              <w:top w:val="nil"/>
              <w:left w:val="nil"/>
              <w:bottom w:val="nil"/>
              <w:right w:val="nil"/>
            </w:tcBorders>
            <w:shd w:val="clear" w:color="auto" w:fill="auto"/>
            <w:vAlign w:val="center"/>
          </w:tcPr>
          <w:p w14:paraId="5A0372E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C2DD7D">
        <w:trPr>
          <w:cantSplit/>
          <w:trHeight w:val="0" w:hRule="atLeast"/>
          <w:jc w:val="center"/>
        </w:trPr>
        <w:tc>
          <w:tcPr>
            <w:tcW w:w="2944" w:type="dxa"/>
            <w:tcBorders>
              <w:top w:val="nil"/>
              <w:left w:val="nil"/>
              <w:bottom w:val="nil"/>
              <w:right w:val="nil"/>
            </w:tcBorders>
            <w:shd w:val="clear" w:color="auto" w:fill="auto"/>
            <w:vAlign w:val="center"/>
          </w:tcPr>
          <w:p w14:paraId="2EFA8A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P-ZLTC-SCOS-JSC-005-50-001</w:t>
            </w:r>
          </w:p>
        </w:tc>
        <w:tc>
          <w:tcPr>
            <w:tcW w:w="945" w:type="dxa"/>
            <w:tcBorders>
              <w:top w:val="nil"/>
              <w:left w:val="nil"/>
              <w:bottom w:val="nil"/>
              <w:right w:val="nil"/>
            </w:tcBorders>
            <w:shd w:val="clear" w:color="auto" w:fill="auto"/>
            <w:vAlign w:val="center"/>
          </w:tcPr>
          <w:p w14:paraId="3CAD53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判断是否需要发起处置规则</w:t>
            </w:r>
          </w:p>
        </w:tc>
        <w:tc>
          <w:tcPr>
            <w:tcW w:w="966" w:type="dxa"/>
            <w:tcBorders>
              <w:top w:val="nil"/>
              <w:left w:val="nil"/>
              <w:bottom w:val="nil"/>
              <w:right w:val="nil"/>
            </w:tcBorders>
            <w:shd w:val="clear" w:color="auto" w:fill="auto"/>
            <w:vAlign w:val="center"/>
          </w:tcPr>
          <w:p w14:paraId="1625510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98B03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28645F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建议责任人和钻取链路形成后</w:t>
            </w:r>
          </w:p>
        </w:tc>
        <w:tc>
          <w:tcPr>
            <w:tcW w:w="1406" w:type="dxa"/>
            <w:tcBorders>
              <w:top w:val="nil"/>
              <w:left w:val="nil"/>
              <w:bottom w:val="nil"/>
              <w:right w:val="nil"/>
            </w:tcBorders>
            <w:shd w:val="clear" w:color="auto" w:fill="auto"/>
            <w:vAlign w:val="center"/>
          </w:tcPr>
          <w:p w14:paraId="4E424B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判断是否创建处置任务，或作为辅助提示持续观察；不需要发起处置时持续监控并记录原因；需要发起处置时继续处理。</w:t>
            </w:r>
          </w:p>
        </w:tc>
        <w:tc>
          <w:tcPr>
            <w:tcW w:w="1088" w:type="dxa"/>
            <w:tcBorders>
              <w:top w:val="nil"/>
              <w:left w:val="nil"/>
              <w:bottom w:val="nil"/>
              <w:right w:val="nil"/>
            </w:tcBorders>
            <w:shd w:val="clear" w:color="auto" w:fill="auto"/>
            <w:vAlign w:val="center"/>
          </w:tcPr>
          <w:p w14:paraId="171065E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处置判断</w:t>
            </w:r>
          </w:p>
        </w:tc>
        <w:tc>
          <w:tcPr>
            <w:tcW w:w="1460" w:type="dxa"/>
            <w:tcBorders>
              <w:top w:val="nil"/>
              <w:left w:val="nil"/>
              <w:bottom w:val="nil"/>
              <w:right w:val="nil"/>
            </w:tcBorders>
            <w:shd w:val="clear" w:color="auto" w:fill="auto"/>
            <w:vAlign w:val="center"/>
          </w:tcPr>
          <w:p w14:paraId="59041FD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7B0F2A">
        <w:trPr>
          <w:cantSplit/>
          <w:trHeight w:val="0" w:hRule="atLeast"/>
          <w:jc w:val="center"/>
        </w:trPr>
        <w:tc>
          <w:tcPr>
            <w:tcW w:w="2944" w:type="dxa"/>
            <w:tcBorders>
              <w:top w:val="nil"/>
              <w:left w:val="nil"/>
              <w:bottom w:val="nil"/>
              <w:right w:val="nil"/>
            </w:tcBorders>
            <w:shd w:val="clear" w:color="auto" w:fill="auto"/>
            <w:vAlign w:val="center"/>
          </w:tcPr>
          <w:p w14:paraId="1777F1E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P-ZLTC-SCOS-JSC-005-60-001</w:t>
            </w:r>
          </w:p>
        </w:tc>
        <w:tc>
          <w:tcPr>
            <w:tcW w:w="945" w:type="dxa"/>
            <w:tcBorders>
              <w:top w:val="nil"/>
              <w:left w:val="nil"/>
              <w:bottom w:val="nil"/>
              <w:right w:val="nil"/>
            </w:tcBorders>
            <w:shd w:val="clear" w:color="auto" w:fill="auto"/>
            <w:vAlign w:val="center"/>
          </w:tcPr>
          <w:p w14:paraId="432993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确认责任人并派发处置任务规则</w:t>
            </w:r>
          </w:p>
        </w:tc>
        <w:tc>
          <w:tcPr>
            <w:tcW w:w="966" w:type="dxa"/>
            <w:tcBorders>
              <w:top w:val="nil"/>
              <w:left w:val="nil"/>
              <w:bottom w:val="nil"/>
              <w:right w:val="nil"/>
            </w:tcBorders>
            <w:shd w:val="clear" w:color="auto" w:fill="auto"/>
            <w:vAlign w:val="center"/>
          </w:tcPr>
          <w:p w14:paraId="0F1C4B8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B7571B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供应链预警分级与处置派发</w:t>
            </w:r>
          </w:p>
        </w:tc>
        <w:tc>
          <w:tcPr>
            <w:tcW w:w="1098" w:type="dxa"/>
            <w:tcBorders>
              <w:top w:val="nil"/>
              <w:left w:val="nil"/>
              <w:bottom w:val="nil"/>
              <w:right w:val="nil"/>
            </w:tcBorders>
            <w:shd w:val="clear" w:color="auto" w:fill="auto"/>
            <w:vAlign w:val="center"/>
          </w:tcPr>
          <w:p w14:paraId="4C1020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需要发起处置时</w:t>
            </w:r>
          </w:p>
        </w:tc>
        <w:tc>
          <w:tcPr>
            <w:tcW w:w="1406" w:type="dxa"/>
            <w:tcBorders>
              <w:top w:val="nil"/>
              <w:left w:val="nil"/>
              <w:bottom w:val="nil"/>
              <w:right w:val="nil"/>
            </w:tcBorders>
            <w:shd w:val="clear" w:color="auto" w:fill="auto"/>
            <w:vAlign w:val="center"/>
          </w:tcPr>
          <w:p w14:paraId="4990806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核实责任人、时限和处置要求后派发；责任人不接受时重新分派。</w:t>
            </w:r>
          </w:p>
        </w:tc>
        <w:tc>
          <w:tcPr>
            <w:tcW w:w="1088" w:type="dxa"/>
            <w:tcBorders>
              <w:top w:val="nil"/>
              <w:left w:val="nil"/>
              <w:bottom w:val="nil"/>
              <w:right w:val="nil"/>
            </w:tcBorders>
            <w:shd w:val="clear" w:color="auto" w:fill="auto"/>
            <w:vAlign w:val="center"/>
          </w:tcPr>
          <w:p w14:paraId="489C5E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已派发处置任务</w:t>
            </w:r>
          </w:p>
        </w:tc>
        <w:tc>
          <w:tcPr>
            <w:tcW w:w="1460" w:type="dxa"/>
            <w:tcBorders>
              <w:top w:val="nil"/>
              <w:left w:val="nil"/>
              <w:bottom w:val="nil"/>
              <w:right w:val="nil"/>
            </w:tcBorders>
            <w:shd w:val="clear" w:color="auto" w:fill="auto"/>
            <w:vAlign w:val="center"/>
          </w:tcPr>
          <w:p w14:paraId="1C56837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4B8474">
        <w:trPr>
          <w:cantSplit/>
          <w:trHeight w:val="0" w:hRule="atLeast"/>
          <w:jc w:val="center"/>
        </w:trPr>
        <w:tc>
          <w:tcPr>
            <w:tcW w:w="2944" w:type="dxa"/>
            <w:tcBorders>
              <w:top w:val="nil"/>
              <w:left w:val="nil"/>
              <w:bottom w:val="nil"/>
              <w:right w:val="nil"/>
            </w:tcBorders>
            <w:shd w:val="clear" w:color="auto" w:fill="auto"/>
            <w:vAlign w:val="center"/>
          </w:tcPr>
          <w:p w14:paraId="70F44A0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P-ZLTC-SCOS-JSC-005-70-001</w:t>
            </w:r>
          </w:p>
        </w:tc>
        <w:tc>
          <w:tcPr>
            <w:tcW w:w="945" w:type="dxa"/>
            <w:tcBorders>
              <w:top w:val="nil"/>
              <w:left w:val="nil"/>
              <w:bottom w:val="nil"/>
              <w:right w:val="nil"/>
            </w:tcBorders>
            <w:shd w:val="clear" w:color="auto" w:fill="auto"/>
            <w:vAlign w:val="center"/>
          </w:tcPr>
          <w:p w14:paraId="68FDD7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记录派发结果并进入跟踪队列规则</w:t>
            </w:r>
          </w:p>
        </w:tc>
        <w:tc>
          <w:tcPr>
            <w:tcW w:w="966" w:type="dxa"/>
            <w:tcBorders>
              <w:top w:val="nil"/>
              <w:left w:val="nil"/>
              <w:bottom w:val="nil"/>
              <w:right w:val="nil"/>
            </w:tcBorders>
            <w:shd w:val="clear" w:color="auto" w:fill="auto"/>
            <w:vAlign w:val="center"/>
          </w:tcPr>
          <w:p w14:paraId="635F1C0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1F65B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1A98513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已派发处置任务形成后</w:t>
            </w:r>
          </w:p>
        </w:tc>
        <w:tc>
          <w:tcPr>
            <w:tcW w:w="1406" w:type="dxa"/>
            <w:tcBorders>
              <w:top w:val="nil"/>
              <w:left w:val="nil"/>
              <w:bottom w:val="nil"/>
              <w:right w:val="nil"/>
            </w:tcBorders>
            <w:shd w:val="clear" w:color="auto" w:fill="auto"/>
            <w:vAlign w:val="center"/>
          </w:tcPr>
          <w:p w14:paraId="3BCDE56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保存分级、影响、责任人、时限和派发轨迹；通知失败不丢失任务，并按规则重试。</w:t>
            </w:r>
          </w:p>
        </w:tc>
        <w:tc>
          <w:tcPr>
            <w:tcW w:w="1088" w:type="dxa"/>
            <w:tcBorders>
              <w:top w:val="nil"/>
              <w:left w:val="nil"/>
              <w:bottom w:val="nil"/>
              <w:right w:val="nil"/>
            </w:tcBorders>
            <w:shd w:val="clear" w:color="auto" w:fill="auto"/>
            <w:vAlign w:val="center"/>
          </w:tcPr>
          <w:p w14:paraId="1BF6F97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待处置预警任务</w:t>
            </w:r>
          </w:p>
        </w:tc>
        <w:tc>
          <w:tcPr>
            <w:tcW w:w="1460" w:type="dxa"/>
            <w:tcBorders>
              <w:top w:val="nil"/>
              <w:left w:val="nil"/>
              <w:bottom w:val="nil"/>
              <w:right w:val="nil"/>
            </w:tcBorders>
            <w:shd w:val="clear" w:color="auto" w:fill="auto"/>
            <w:vAlign w:val="center"/>
          </w:tcPr>
          <w:p w14:paraId="57DCF81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FE6D7BE">
        <w:trPr>
          <w:cantSplit/>
          <w:trHeight w:val="0" w:hRule="atLeast"/>
          <w:jc w:val="center"/>
        </w:trPr>
        <w:tc>
          <w:tcPr>
            <w:tcW w:w="2944" w:type="dxa"/>
            <w:tcBorders>
              <w:top w:val="nil"/>
              <w:left w:val="nil"/>
              <w:bottom w:val="nil"/>
              <w:right w:val="nil"/>
            </w:tcBorders>
            <w:shd w:val="clear" w:color="auto" w:fill="auto"/>
            <w:vAlign w:val="center"/>
          </w:tcPr>
          <w:p w14:paraId="134DFAB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P-ZLTC-SCOS-JSC-006-10-001</w:t>
            </w:r>
          </w:p>
        </w:tc>
        <w:tc>
          <w:tcPr>
            <w:tcW w:w="945" w:type="dxa"/>
            <w:tcBorders>
              <w:top w:val="nil"/>
              <w:left w:val="nil"/>
              <w:bottom w:val="nil"/>
              <w:right w:val="nil"/>
            </w:tcBorders>
            <w:shd w:val="clear" w:color="auto" w:fill="auto"/>
            <w:vAlign w:val="center"/>
          </w:tcPr>
          <w:p w14:paraId="1B09CCC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接收处置任务并确认影响与要求规则</w:t>
            </w:r>
          </w:p>
        </w:tc>
        <w:tc>
          <w:tcPr>
            <w:tcW w:w="966" w:type="dxa"/>
            <w:tcBorders>
              <w:top w:val="nil"/>
              <w:left w:val="nil"/>
              <w:bottom w:val="nil"/>
              <w:right w:val="nil"/>
            </w:tcBorders>
            <w:shd w:val="clear" w:color="auto" w:fill="auto"/>
            <w:vAlign w:val="center"/>
          </w:tcPr>
          <w:p w14:paraId="08BAD26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0DACA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3107E6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责任人收到任务后</w:t>
            </w:r>
          </w:p>
        </w:tc>
        <w:tc>
          <w:tcPr>
            <w:tcW w:w="1406" w:type="dxa"/>
            <w:tcBorders>
              <w:top w:val="nil"/>
              <w:left w:val="nil"/>
              <w:bottom w:val="nil"/>
              <w:right w:val="nil"/>
            </w:tcBorders>
            <w:shd w:val="clear" w:color="auto" w:fill="auto"/>
            <w:vAlign w:val="center"/>
          </w:tcPr>
          <w:p w14:paraId="7B138E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核实异常对象、影响范围、处置要求和承诺完成时间；信息不足时退回运营管理人员补充。</w:t>
            </w:r>
          </w:p>
        </w:tc>
        <w:tc>
          <w:tcPr>
            <w:tcW w:w="1088" w:type="dxa"/>
            <w:tcBorders>
              <w:top w:val="nil"/>
              <w:left w:val="nil"/>
              <w:bottom w:val="nil"/>
              <w:right w:val="nil"/>
            </w:tcBorders>
            <w:shd w:val="clear" w:color="auto" w:fill="auto"/>
            <w:vAlign w:val="center"/>
          </w:tcPr>
          <w:p w14:paraId="251BD55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任务接收记录</w:t>
            </w:r>
          </w:p>
        </w:tc>
        <w:tc>
          <w:tcPr>
            <w:tcW w:w="1460" w:type="dxa"/>
            <w:tcBorders>
              <w:top w:val="nil"/>
              <w:left w:val="nil"/>
              <w:bottom w:val="nil"/>
              <w:right w:val="nil"/>
            </w:tcBorders>
            <w:shd w:val="clear" w:color="auto" w:fill="auto"/>
            <w:vAlign w:val="center"/>
          </w:tcPr>
          <w:p w14:paraId="3C0384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F9CACC5">
        <w:trPr>
          <w:cantSplit/>
          <w:trHeight w:val="0" w:hRule="atLeast"/>
          <w:jc w:val="center"/>
        </w:trPr>
        <w:tc>
          <w:tcPr>
            <w:tcW w:w="2944" w:type="dxa"/>
            <w:tcBorders>
              <w:top w:val="nil"/>
              <w:left w:val="nil"/>
              <w:bottom w:val="nil"/>
              <w:right w:val="nil"/>
            </w:tcBorders>
            <w:shd w:val="clear" w:color="auto" w:fill="auto"/>
            <w:vAlign w:val="center"/>
          </w:tcPr>
          <w:p w14:paraId="59D9C6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P-ZLTC-SCOS-JSC-006-20-001</w:t>
            </w:r>
          </w:p>
        </w:tc>
        <w:tc>
          <w:tcPr>
            <w:tcW w:w="945" w:type="dxa"/>
            <w:tcBorders>
              <w:top w:val="nil"/>
              <w:left w:val="nil"/>
              <w:bottom w:val="nil"/>
              <w:right w:val="nil"/>
            </w:tcBorders>
            <w:shd w:val="clear" w:color="auto" w:fill="auto"/>
            <w:vAlign w:val="center"/>
          </w:tcPr>
          <w:p w14:paraId="62DB65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执行业务处置并反馈进展结果规则</w:t>
            </w:r>
          </w:p>
        </w:tc>
        <w:tc>
          <w:tcPr>
            <w:tcW w:w="966" w:type="dxa"/>
            <w:tcBorders>
              <w:top w:val="nil"/>
              <w:left w:val="nil"/>
              <w:bottom w:val="nil"/>
              <w:right w:val="nil"/>
            </w:tcBorders>
            <w:shd w:val="clear" w:color="auto" w:fill="auto"/>
            <w:vAlign w:val="center"/>
          </w:tcPr>
          <w:p w14:paraId="29CEEA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289CA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34E264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任务接收记录形成后</w:t>
            </w:r>
          </w:p>
        </w:tc>
        <w:tc>
          <w:tcPr>
            <w:tcW w:w="1406" w:type="dxa"/>
            <w:tcBorders>
              <w:top w:val="nil"/>
              <w:left w:val="nil"/>
              <w:bottom w:val="nil"/>
              <w:right w:val="nil"/>
            </w:tcBorders>
            <w:shd w:val="clear" w:color="auto" w:fill="auto"/>
            <w:vAlign w:val="center"/>
          </w:tcPr>
          <w:p w14:paraId="091BBB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在相关模块完成采购、补货、排程或质量等业务处置；处置受阻时说明原因和所需协同资源。</w:t>
            </w:r>
          </w:p>
        </w:tc>
        <w:tc>
          <w:tcPr>
            <w:tcW w:w="1088" w:type="dxa"/>
            <w:tcBorders>
              <w:top w:val="nil"/>
              <w:left w:val="nil"/>
              <w:bottom w:val="nil"/>
              <w:right w:val="nil"/>
            </w:tcBorders>
            <w:shd w:val="clear" w:color="auto" w:fill="auto"/>
            <w:vAlign w:val="center"/>
          </w:tcPr>
          <w:p w14:paraId="211530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处置动作、进展、结果和证据</w:t>
            </w:r>
          </w:p>
        </w:tc>
        <w:tc>
          <w:tcPr>
            <w:tcW w:w="1460" w:type="dxa"/>
            <w:tcBorders>
              <w:top w:val="nil"/>
              <w:left w:val="nil"/>
              <w:bottom w:val="nil"/>
              <w:right w:val="nil"/>
            </w:tcBorders>
            <w:shd w:val="clear" w:color="auto" w:fill="auto"/>
            <w:vAlign w:val="center"/>
          </w:tcPr>
          <w:p w14:paraId="7CD2834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7FEFF54">
        <w:trPr>
          <w:cantSplit/>
          <w:trHeight w:val="0" w:hRule="atLeast"/>
          <w:jc w:val="center"/>
        </w:trPr>
        <w:tc>
          <w:tcPr>
            <w:tcW w:w="2944" w:type="dxa"/>
            <w:tcBorders>
              <w:top w:val="nil"/>
              <w:left w:val="nil"/>
              <w:bottom w:val="nil"/>
              <w:right w:val="nil"/>
            </w:tcBorders>
            <w:shd w:val="clear" w:color="auto" w:fill="auto"/>
            <w:vAlign w:val="center"/>
          </w:tcPr>
          <w:p w14:paraId="0937E6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P-ZLTC-SCOS-JSC-006-30-001</w:t>
            </w:r>
          </w:p>
        </w:tc>
        <w:tc>
          <w:tcPr>
            <w:tcW w:w="945" w:type="dxa"/>
            <w:tcBorders>
              <w:top w:val="nil"/>
              <w:left w:val="nil"/>
              <w:bottom w:val="nil"/>
              <w:right w:val="nil"/>
            </w:tcBorders>
            <w:shd w:val="clear" w:color="auto" w:fill="auto"/>
            <w:vAlign w:val="center"/>
          </w:tcPr>
          <w:p w14:paraId="2B3727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跟踪处置进度与指标恢复情况规则</w:t>
            </w:r>
          </w:p>
        </w:tc>
        <w:tc>
          <w:tcPr>
            <w:tcW w:w="966" w:type="dxa"/>
            <w:tcBorders>
              <w:top w:val="nil"/>
              <w:left w:val="nil"/>
              <w:bottom w:val="nil"/>
              <w:right w:val="nil"/>
            </w:tcBorders>
            <w:shd w:val="clear" w:color="auto" w:fill="auto"/>
            <w:vAlign w:val="center"/>
          </w:tcPr>
          <w:p w14:paraId="7B4ABAC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C7CE8E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16EA9A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处置动作、进展、结果和证据形成后</w:t>
            </w:r>
          </w:p>
        </w:tc>
        <w:tc>
          <w:tcPr>
            <w:tcW w:w="1406" w:type="dxa"/>
            <w:tcBorders>
              <w:top w:val="nil"/>
              <w:left w:val="nil"/>
              <w:bottom w:val="nil"/>
              <w:right w:val="nil"/>
            </w:tcBorders>
            <w:shd w:val="clear" w:color="auto" w:fill="auto"/>
            <w:vAlign w:val="center"/>
          </w:tcPr>
          <w:p w14:paraId="7FF88EF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持续比较处置时限、业务对象状态和指标恢复情况；数据延迟时明确标注最近更新时间。</w:t>
            </w:r>
          </w:p>
        </w:tc>
        <w:tc>
          <w:tcPr>
            <w:tcW w:w="1088" w:type="dxa"/>
            <w:tcBorders>
              <w:top w:val="nil"/>
              <w:left w:val="nil"/>
              <w:bottom w:val="nil"/>
              <w:right w:val="nil"/>
            </w:tcBorders>
            <w:shd w:val="clear" w:color="auto" w:fill="auto"/>
            <w:vAlign w:val="center"/>
          </w:tcPr>
          <w:p w14:paraId="03A5920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进度与恢复状态</w:t>
            </w:r>
          </w:p>
        </w:tc>
        <w:tc>
          <w:tcPr>
            <w:tcW w:w="1460" w:type="dxa"/>
            <w:tcBorders>
              <w:top w:val="nil"/>
              <w:left w:val="nil"/>
              <w:bottom w:val="nil"/>
              <w:right w:val="nil"/>
            </w:tcBorders>
            <w:shd w:val="clear" w:color="auto" w:fill="auto"/>
            <w:vAlign w:val="center"/>
          </w:tcPr>
          <w:p w14:paraId="6ED59A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3E0DBEC">
        <w:trPr>
          <w:cantSplit/>
          <w:trHeight w:val="0" w:hRule="atLeast"/>
          <w:jc w:val="center"/>
        </w:trPr>
        <w:tc>
          <w:tcPr>
            <w:tcW w:w="2944" w:type="dxa"/>
            <w:tcBorders>
              <w:top w:val="nil"/>
              <w:left w:val="nil"/>
              <w:bottom w:val="nil"/>
              <w:right w:val="nil"/>
            </w:tcBorders>
            <w:shd w:val="clear" w:color="auto" w:fill="auto"/>
            <w:vAlign w:val="center"/>
          </w:tcPr>
          <w:p w14:paraId="61449E3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P-ZLTC-SCOS-JSC-006-40-001</w:t>
            </w:r>
          </w:p>
        </w:tc>
        <w:tc>
          <w:tcPr>
            <w:tcW w:w="945" w:type="dxa"/>
            <w:tcBorders>
              <w:top w:val="nil"/>
              <w:left w:val="nil"/>
              <w:bottom w:val="nil"/>
              <w:right w:val="nil"/>
            </w:tcBorders>
            <w:shd w:val="clear" w:color="auto" w:fill="auto"/>
            <w:vAlign w:val="center"/>
          </w:tcPr>
          <w:p w14:paraId="1B9D78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判断是否超时或处置失败规则</w:t>
            </w:r>
          </w:p>
        </w:tc>
        <w:tc>
          <w:tcPr>
            <w:tcW w:w="966" w:type="dxa"/>
            <w:tcBorders>
              <w:top w:val="nil"/>
              <w:left w:val="nil"/>
              <w:bottom w:val="nil"/>
              <w:right w:val="nil"/>
            </w:tcBorders>
            <w:shd w:val="clear" w:color="auto" w:fill="auto"/>
            <w:vAlign w:val="center"/>
          </w:tcPr>
          <w:p w14:paraId="3D4A8E0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9B026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2864D5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进度与恢复状态形成后</w:t>
            </w:r>
          </w:p>
        </w:tc>
        <w:tc>
          <w:tcPr>
            <w:tcW w:w="1406" w:type="dxa"/>
            <w:tcBorders>
              <w:top w:val="nil"/>
              <w:left w:val="nil"/>
              <w:bottom w:val="nil"/>
              <w:right w:val="nil"/>
            </w:tcBorders>
            <w:shd w:val="clear" w:color="auto" w:fill="auto"/>
            <w:vAlign w:val="center"/>
          </w:tcPr>
          <w:p w14:paraId="740230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识别超时、失败或影响扩大的任务；未超时且处置未失败时继续跟踪；超时或处置失败时继续处理。</w:t>
            </w:r>
          </w:p>
        </w:tc>
        <w:tc>
          <w:tcPr>
            <w:tcW w:w="1088" w:type="dxa"/>
            <w:tcBorders>
              <w:top w:val="nil"/>
              <w:left w:val="nil"/>
              <w:bottom w:val="nil"/>
              <w:right w:val="nil"/>
            </w:tcBorders>
            <w:shd w:val="clear" w:color="auto" w:fill="auto"/>
            <w:vAlign w:val="center"/>
          </w:tcPr>
          <w:p w14:paraId="0A62D0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升级判断</w:t>
            </w:r>
          </w:p>
        </w:tc>
        <w:tc>
          <w:tcPr>
            <w:tcW w:w="1460" w:type="dxa"/>
            <w:tcBorders>
              <w:top w:val="nil"/>
              <w:left w:val="nil"/>
              <w:bottom w:val="nil"/>
              <w:right w:val="nil"/>
            </w:tcBorders>
            <w:shd w:val="clear" w:color="auto" w:fill="auto"/>
            <w:vAlign w:val="center"/>
          </w:tcPr>
          <w:p w14:paraId="6B57794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EF54C48">
        <w:trPr>
          <w:cantSplit/>
          <w:trHeight w:val="0" w:hRule="atLeast"/>
          <w:jc w:val="center"/>
        </w:trPr>
        <w:tc>
          <w:tcPr>
            <w:tcW w:w="2944" w:type="dxa"/>
            <w:tcBorders>
              <w:top w:val="nil"/>
              <w:left w:val="nil"/>
              <w:bottom w:val="nil"/>
              <w:right w:val="nil"/>
            </w:tcBorders>
            <w:shd w:val="clear" w:color="auto" w:fill="auto"/>
            <w:vAlign w:val="center"/>
          </w:tcPr>
          <w:p w14:paraId="497CC3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P-ZLTC-SCOS-JSC-006-50-001</w:t>
            </w:r>
          </w:p>
        </w:tc>
        <w:tc>
          <w:tcPr>
            <w:tcW w:w="945" w:type="dxa"/>
            <w:tcBorders>
              <w:top w:val="nil"/>
              <w:left w:val="nil"/>
              <w:bottom w:val="nil"/>
              <w:right w:val="nil"/>
            </w:tcBorders>
            <w:shd w:val="clear" w:color="auto" w:fill="auto"/>
            <w:vAlign w:val="center"/>
          </w:tcPr>
          <w:p w14:paraId="50A050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升级提醒并协调处置资源规则</w:t>
            </w:r>
          </w:p>
        </w:tc>
        <w:tc>
          <w:tcPr>
            <w:tcW w:w="966" w:type="dxa"/>
            <w:tcBorders>
              <w:top w:val="nil"/>
              <w:left w:val="nil"/>
              <w:bottom w:val="nil"/>
              <w:right w:val="nil"/>
            </w:tcBorders>
            <w:shd w:val="clear" w:color="auto" w:fill="auto"/>
            <w:vAlign w:val="center"/>
          </w:tcPr>
          <w:p w14:paraId="0E22729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B4B76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6F18D12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超时或处置失败时</w:t>
            </w:r>
          </w:p>
        </w:tc>
        <w:tc>
          <w:tcPr>
            <w:tcW w:w="1406" w:type="dxa"/>
            <w:tcBorders>
              <w:top w:val="nil"/>
              <w:left w:val="nil"/>
              <w:bottom w:val="nil"/>
              <w:right w:val="nil"/>
            </w:tcBorders>
            <w:shd w:val="clear" w:color="auto" w:fill="auto"/>
            <w:vAlign w:val="center"/>
          </w:tcPr>
          <w:p w14:paraId="3C2F06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按预警级别升级提醒，协调跨部门资源或调整处置责任；无法协调时保持升级状态并持续提醒。</w:t>
            </w:r>
          </w:p>
        </w:tc>
        <w:tc>
          <w:tcPr>
            <w:tcW w:w="1088" w:type="dxa"/>
            <w:tcBorders>
              <w:top w:val="nil"/>
              <w:left w:val="nil"/>
              <w:bottom w:val="nil"/>
              <w:right w:val="nil"/>
            </w:tcBorders>
            <w:shd w:val="clear" w:color="auto" w:fill="auto"/>
            <w:vAlign w:val="center"/>
          </w:tcPr>
          <w:p w14:paraId="0E9765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升级要求和协调意见</w:t>
            </w:r>
          </w:p>
        </w:tc>
        <w:tc>
          <w:tcPr>
            <w:tcW w:w="1460" w:type="dxa"/>
            <w:tcBorders>
              <w:top w:val="nil"/>
              <w:left w:val="nil"/>
              <w:bottom w:val="nil"/>
              <w:right w:val="nil"/>
            </w:tcBorders>
            <w:shd w:val="clear" w:color="auto" w:fill="auto"/>
            <w:vAlign w:val="center"/>
          </w:tcPr>
          <w:p w14:paraId="01E71BC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8DE9EF">
        <w:trPr>
          <w:cantSplit/>
          <w:trHeight w:val="0" w:hRule="atLeast"/>
          <w:jc w:val="center"/>
        </w:trPr>
        <w:tc>
          <w:tcPr>
            <w:tcW w:w="2944" w:type="dxa"/>
            <w:tcBorders>
              <w:top w:val="nil"/>
              <w:left w:val="nil"/>
              <w:bottom w:val="nil"/>
              <w:right w:val="nil"/>
            </w:tcBorders>
            <w:shd w:val="clear" w:color="auto" w:fill="auto"/>
            <w:vAlign w:val="center"/>
          </w:tcPr>
          <w:p w14:paraId="1E83A2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P-ZLTC-SCOS-JSC-006-60-001</w:t>
            </w:r>
          </w:p>
        </w:tc>
        <w:tc>
          <w:tcPr>
            <w:tcW w:w="945" w:type="dxa"/>
            <w:tcBorders>
              <w:top w:val="nil"/>
              <w:left w:val="nil"/>
              <w:bottom w:val="nil"/>
              <w:right w:val="nil"/>
            </w:tcBorders>
            <w:shd w:val="clear" w:color="auto" w:fill="auto"/>
            <w:vAlign w:val="center"/>
          </w:tcPr>
          <w:p w14:paraId="476E725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判断风险是否验证关闭规则</w:t>
            </w:r>
          </w:p>
        </w:tc>
        <w:tc>
          <w:tcPr>
            <w:tcW w:w="966" w:type="dxa"/>
            <w:tcBorders>
              <w:top w:val="nil"/>
              <w:left w:val="nil"/>
              <w:bottom w:val="nil"/>
              <w:right w:val="nil"/>
            </w:tcBorders>
            <w:shd w:val="clear" w:color="auto" w:fill="auto"/>
            <w:vAlign w:val="center"/>
          </w:tcPr>
          <w:p w14:paraId="537E7AC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5AA36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7F0DE1E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升级要求和协调意见形成后</w:t>
            </w:r>
          </w:p>
        </w:tc>
        <w:tc>
          <w:tcPr>
            <w:tcW w:w="1406" w:type="dxa"/>
            <w:tcBorders>
              <w:top w:val="nil"/>
              <w:left w:val="nil"/>
              <w:bottom w:val="nil"/>
              <w:right w:val="nil"/>
            </w:tcBorders>
            <w:shd w:val="clear" w:color="auto" w:fill="auto"/>
            <w:vAlign w:val="center"/>
          </w:tcPr>
          <w:p w14:paraId="1F0A61D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以异常原因已处理、影响可控且指标恢复为关闭标准；风险尚未验证关闭时退回继续处置；风险验证关闭时继续处理。</w:t>
            </w:r>
          </w:p>
        </w:tc>
        <w:tc>
          <w:tcPr>
            <w:tcW w:w="1088" w:type="dxa"/>
            <w:tcBorders>
              <w:top w:val="nil"/>
              <w:left w:val="nil"/>
              <w:bottom w:val="nil"/>
              <w:right w:val="nil"/>
            </w:tcBorders>
            <w:shd w:val="clear" w:color="auto" w:fill="auto"/>
            <w:vAlign w:val="center"/>
          </w:tcPr>
          <w:p w14:paraId="3DB9F0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关闭验证结论</w:t>
            </w:r>
          </w:p>
        </w:tc>
        <w:tc>
          <w:tcPr>
            <w:tcW w:w="1460" w:type="dxa"/>
            <w:tcBorders>
              <w:top w:val="nil"/>
              <w:left w:val="nil"/>
              <w:bottom w:val="nil"/>
              <w:right w:val="nil"/>
            </w:tcBorders>
            <w:shd w:val="clear" w:color="auto" w:fill="auto"/>
            <w:vAlign w:val="center"/>
          </w:tcPr>
          <w:p w14:paraId="5DF8C4F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771815E">
        <w:trPr>
          <w:cantSplit/>
          <w:trHeight w:val="0" w:hRule="atLeast"/>
          <w:jc w:val="center"/>
        </w:trPr>
        <w:tc>
          <w:tcPr>
            <w:tcW w:w="2944" w:type="dxa"/>
            <w:tcBorders>
              <w:top w:val="nil"/>
              <w:left w:val="nil"/>
              <w:bottom w:val="nil"/>
              <w:right w:val="nil"/>
            </w:tcBorders>
            <w:shd w:val="clear" w:color="auto" w:fill="auto"/>
            <w:vAlign w:val="center"/>
          </w:tcPr>
          <w:p w14:paraId="10C806D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P-ZLTC-SCOS-JSC-006-70-001</w:t>
            </w:r>
          </w:p>
        </w:tc>
        <w:tc>
          <w:tcPr>
            <w:tcW w:w="945" w:type="dxa"/>
            <w:tcBorders>
              <w:top w:val="nil"/>
              <w:left w:val="nil"/>
              <w:bottom w:val="nil"/>
              <w:right w:val="nil"/>
            </w:tcBorders>
            <w:shd w:val="clear" w:color="auto" w:fill="auto"/>
            <w:vAlign w:val="center"/>
          </w:tcPr>
          <w:p w14:paraId="066EA78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关闭预警并记录完整轨迹规则</w:t>
            </w:r>
          </w:p>
        </w:tc>
        <w:tc>
          <w:tcPr>
            <w:tcW w:w="966" w:type="dxa"/>
            <w:tcBorders>
              <w:top w:val="nil"/>
              <w:left w:val="nil"/>
              <w:bottom w:val="nil"/>
              <w:right w:val="nil"/>
            </w:tcBorders>
            <w:shd w:val="clear" w:color="auto" w:fill="auto"/>
            <w:vAlign w:val="center"/>
          </w:tcPr>
          <w:p w14:paraId="3C8971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22A78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71053A1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风险验证关闭时</w:t>
            </w:r>
          </w:p>
        </w:tc>
        <w:tc>
          <w:tcPr>
            <w:tcW w:w="1406" w:type="dxa"/>
            <w:tcBorders>
              <w:top w:val="nil"/>
              <w:left w:val="nil"/>
              <w:bottom w:val="nil"/>
              <w:right w:val="nil"/>
            </w:tcBorders>
            <w:shd w:val="clear" w:color="auto" w:fill="auto"/>
            <w:vAlign w:val="center"/>
          </w:tcPr>
          <w:p w14:paraId="3EE9D90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保留事件、分级、派发、处置、升级、验证和关闭全过程；同类事件再次触发时创建新事件并关联历史记录。</w:t>
            </w:r>
          </w:p>
        </w:tc>
        <w:tc>
          <w:tcPr>
            <w:tcW w:w="1088" w:type="dxa"/>
            <w:tcBorders>
              <w:top w:val="nil"/>
              <w:left w:val="nil"/>
              <w:bottom w:val="nil"/>
              <w:right w:val="nil"/>
            </w:tcBorders>
            <w:shd w:val="clear" w:color="auto" w:fill="auto"/>
            <w:vAlign w:val="center"/>
          </w:tcPr>
          <w:p w14:paraId="429E1D4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已关闭预警和闭环记录</w:t>
            </w:r>
          </w:p>
        </w:tc>
        <w:tc>
          <w:tcPr>
            <w:tcW w:w="1460" w:type="dxa"/>
            <w:tcBorders>
              <w:top w:val="nil"/>
              <w:left w:val="nil"/>
              <w:bottom w:val="nil"/>
              <w:right w:val="nil"/>
            </w:tcBorders>
            <w:shd w:val="clear" w:color="auto" w:fill="auto"/>
            <w:vAlign w:val="center"/>
          </w:tcPr>
          <w:p w14:paraId="7F2FF58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6471B6F">
        <w:trPr>
          <w:cantSplit/>
          <w:trHeight w:val="0" w:hRule="atLeast"/>
          <w:jc w:val="center"/>
        </w:trPr>
        <w:tc>
          <w:tcPr>
            <w:tcW w:w="2944" w:type="dxa"/>
            <w:tcBorders>
              <w:top w:val="nil"/>
              <w:left w:val="nil"/>
              <w:bottom w:val="nil"/>
              <w:right w:val="nil"/>
            </w:tcBorders>
            <w:shd w:val="clear" w:color="auto" w:fill="auto"/>
            <w:vAlign w:val="center"/>
          </w:tcPr>
          <w:p w14:paraId="77FB747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P-ZLTC-SCOS-JSC-007-10-001</w:t>
            </w:r>
          </w:p>
        </w:tc>
        <w:tc>
          <w:tcPr>
            <w:tcW w:w="945" w:type="dxa"/>
            <w:tcBorders>
              <w:top w:val="nil"/>
              <w:left w:val="nil"/>
              <w:bottom w:val="nil"/>
              <w:right w:val="nil"/>
            </w:tcBorders>
            <w:shd w:val="clear" w:color="auto" w:fill="auto"/>
            <w:vAlign w:val="center"/>
          </w:tcPr>
          <w:p w14:paraId="4F7146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选择模拟情景并设定假设参数规则</w:t>
            </w:r>
          </w:p>
        </w:tc>
        <w:tc>
          <w:tcPr>
            <w:tcW w:w="966" w:type="dxa"/>
            <w:tcBorders>
              <w:top w:val="nil"/>
              <w:left w:val="nil"/>
              <w:bottom w:val="nil"/>
              <w:right w:val="nil"/>
            </w:tcBorders>
            <w:shd w:val="clear" w:color="auto" w:fill="auto"/>
            <w:vAlign w:val="center"/>
          </w:tcPr>
          <w:p w14:paraId="7AD8C02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5676D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2D3E9A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管理人员主动发起假设分析，或从态势监测、异常分析和预警进入沙盘推演时</w:t>
            </w:r>
          </w:p>
        </w:tc>
        <w:tc>
          <w:tcPr>
            <w:tcW w:w="1406" w:type="dxa"/>
            <w:tcBorders>
              <w:top w:val="nil"/>
              <w:left w:val="nil"/>
              <w:bottom w:val="nil"/>
              <w:right w:val="nil"/>
            </w:tcBorders>
            <w:shd w:val="clear" w:color="auto" w:fill="auto"/>
            <w:vAlign w:val="center"/>
          </w:tcPr>
          <w:p w14:paraId="6C52BD9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选择需求、供应、采购、成本或库存策略等模拟情景；参数超出可模拟边界时提示修改。</w:t>
            </w:r>
          </w:p>
        </w:tc>
        <w:tc>
          <w:tcPr>
            <w:tcW w:w="1088" w:type="dxa"/>
            <w:tcBorders>
              <w:top w:val="nil"/>
              <w:left w:val="nil"/>
              <w:bottom w:val="nil"/>
              <w:right w:val="nil"/>
            </w:tcBorders>
            <w:shd w:val="clear" w:color="auto" w:fill="auto"/>
            <w:vAlign w:val="center"/>
          </w:tcPr>
          <w:p w14:paraId="2DE515A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情景模拟任务</w:t>
            </w:r>
          </w:p>
        </w:tc>
        <w:tc>
          <w:tcPr>
            <w:tcW w:w="1460" w:type="dxa"/>
            <w:tcBorders>
              <w:top w:val="nil"/>
              <w:left w:val="nil"/>
              <w:bottom w:val="nil"/>
              <w:right w:val="nil"/>
            </w:tcBorders>
            <w:shd w:val="clear" w:color="auto" w:fill="auto"/>
            <w:vAlign w:val="center"/>
          </w:tcPr>
          <w:p w14:paraId="7BFD9EF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370865">
        <w:trPr>
          <w:cantSplit/>
          <w:trHeight w:val="0" w:hRule="atLeast"/>
          <w:jc w:val="center"/>
        </w:trPr>
        <w:tc>
          <w:tcPr>
            <w:tcW w:w="2944" w:type="dxa"/>
            <w:tcBorders>
              <w:top w:val="nil"/>
              <w:left w:val="nil"/>
              <w:bottom w:val="nil"/>
              <w:right w:val="nil"/>
            </w:tcBorders>
            <w:shd w:val="clear" w:color="auto" w:fill="auto"/>
            <w:vAlign w:val="center"/>
          </w:tcPr>
          <w:p w14:paraId="20C230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P-ZLTC-SCOS-JSC-007-20-001</w:t>
            </w:r>
          </w:p>
        </w:tc>
        <w:tc>
          <w:tcPr>
            <w:tcW w:w="945" w:type="dxa"/>
            <w:tcBorders>
              <w:top w:val="nil"/>
              <w:left w:val="nil"/>
              <w:bottom w:val="nil"/>
              <w:right w:val="nil"/>
            </w:tcBorders>
            <w:shd w:val="clear" w:color="auto" w:fill="auto"/>
            <w:vAlign w:val="center"/>
          </w:tcPr>
          <w:p w14:paraId="56E0B0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冻结当前基线并构建沙盘快照规则</w:t>
            </w:r>
          </w:p>
        </w:tc>
        <w:tc>
          <w:tcPr>
            <w:tcW w:w="966" w:type="dxa"/>
            <w:tcBorders>
              <w:top w:val="nil"/>
              <w:left w:val="nil"/>
              <w:bottom w:val="nil"/>
              <w:right w:val="nil"/>
            </w:tcBorders>
            <w:shd w:val="clear" w:color="auto" w:fill="auto"/>
            <w:vAlign w:val="center"/>
          </w:tcPr>
          <w:p w14:paraId="78BEE33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9A933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046A8F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情景模拟任务形成后</w:t>
            </w:r>
          </w:p>
        </w:tc>
        <w:tc>
          <w:tcPr>
            <w:tcW w:w="1406" w:type="dxa"/>
            <w:tcBorders>
              <w:top w:val="nil"/>
              <w:left w:val="nil"/>
              <w:bottom w:val="nil"/>
              <w:right w:val="nil"/>
            </w:tcBorders>
            <w:shd w:val="clear" w:color="auto" w:fill="auto"/>
            <w:vAlign w:val="center"/>
          </w:tcPr>
          <w:p w14:paraId="4F93B8F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使用同一时点数据作为比较基线；基线不完整或过期时禁止正式比较。</w:t>
            </w:r>
          </w:p>
        </w:tc>
        <w:tc>
          <w:tcPr>
            <w:tcW w:w="1088" w:type="dxa"/>
            <w:tcBorders>
              <w:top w:val="nil"/>
              <w:left w:val="nil"/>
              <w:bottom w:val="nil"/>
              <w:right w:val="nil"/>
            </w:tcBorders>
            <w:shd w:val="clear" w:color="auto" w:fill="auto"/>
            <w:vAlign w:val="center"/>
          </w:tcPr>
          <w:p w14:paraId="7DBE1B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基线方案、数据快照和参数集</w:t>
            </w:r>
          </w:p>
        </w:tc>
        <w:tc>
          <w:tcPr>
            <w:tcW w:w="1460" w:type="dxa"/>
            <w:tcBorders>
              <w:top w:val="nil"/>
              <w:left w:val="nil"/>
              <w:bottom w:val="nil"/>
              <w:right w:val="nil"/>
            </w:tcBorders>
            <w:shd w:val="clear" w:color="auto" w:fill="auto"/>
            <w:vAlign w:val="center"/>
          </w:tcPr>
          <w:p w14:paraId="0FAAB6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B0398B">
        <w:trPr>
          <w:cantSplit/>
          <w:trHeight w:val="0" w:hRule="atLeast"/>
          <w:jc w:val="center"/>
        </w:trPr>
        <w:tc>
          <w:tcPr>
            <w:tcW w:w="2944" w:type="dxa"/>
            <w:tcBorders>
              <w:top w:val="nil"/>
              <w:left w:val="nil"/>
              <w:bottom w:val="nil"/>
              <w:right w:val="nil"/>
            </w:tcBorders>
            <w:shd w:val="clear" w:color="auto" w:fill="auto"/>
            <w:vAlign w:val="center"/>
          </w:tcPr>
          <w:p w14:paraId="7249B1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P-ZLTC-SCOS-JSC-007-30-001</w:t>
            </w:r>
          </w:p>
        </w:tc>
        <w:tc>
          <w:tcPr>
            <w:tcW w:w="945" w:type="dxa"/>
            <w:tcBorders>
              <w:top w:val="nil"/>
              <w:left w:val="nil"/>
              <w:bottom w:val="nil"/>
              <w:right w:val="nil"/>
            </w:tcBorders>
            <w:shd w:val="clear" w:color="auto" w:fill="auto"/>
            <w:vAlign w:val="center"/>
          </w:tcPr>
          <w:p w14:paraId="234A15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调用相关业务模型计算规则</w:t>
            </w:r>
          </w:p>
        </w:tc>
        <w:tc>
          <w:tcPr>
            <w:tcW w:w="966" w:type="dxa"/>
            <w:tcBorders>
              <w:top w:val="nil"/>
              <w:left w:val="nil"/>
              <w:bottom w:val="nil"/>
              <w:right w:val="nil"/>
            </w:tcBorders>
            <w:shd w:val="clear" w:color="auto" w:fill="auto"/>
            <w:vAlign w:val="center"/>
          </w:tcPr>
          <w:p w14:paraId="7A10C0A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D89E3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221F44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基线方案、数据快照和参数集形成后</w:t>
            </w:r>
          </w:p>
        </w:tc>
        <w:tc>
          <w:tcPr>
            <w:tcW w:w="1406" w:type="dxa"/>
            <w:tcBorders>
              <w:top w:val="nil"/>
              <w:left w:val="nil"/>
              <w:bottom w:val="nil"/>
              <w:right w:val="nil"/>
            </w:tcBorders>
            <w:shd w:val="clear" w:color="auto" w:fill="auto"/>
            <w:vAlign w:val="center"/>
          </w:tcPr>
          <w:p w14:paraId="0860806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驾驶舱调用相关业务模块进行情景模拟；计算失败时说明原因，且不改变正式业务数据。</w:t>
            </w:r>
          </w:p>
        </w:tc>
        <w:tc>
          <w:tcPr>
            <w:tcW w:w="1088" w:type="dxa"/>
            <w:tcBorders>
              <w:top w:val="nil"/>
              <w:left w:val="nil"/>
              <w:bottom w:val="nil"/>
              <w:right w:val="nil"/>
            </w:tcBorders>
            <w:shd w:val="clear" w:color="auto" w:fill="auto"/>
            <w:vAlign w:val="center"/>
          </w:tcPr>
          <w:p w14:paraId="55D1056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情景计算结果</w:t>
            </w:r>
          </w:p>
        </w:tc>
        <w:tc>
          <w:tcPr>
            <w:tcW w:w="1460" w:type="dxa"/>
            <w:tcBorders>
              <w:top w:val="nil"/>
              <w:left w:val="nil"/>
              <w:bottom w:val="nil"/>
              <w:right w:val="nil"/>
            </w:tcBorders>
            <w:shd w:val="clear" w:color="auto" w:fill="auto"/>
            <w:vAlign w:val="center"/>
          </w:tcPr>
          <w:p w14:paraId="5D6B0F9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EA5CFA7">
        <w:trPr>
          <w:cantSplit/>
          <w:trHeight w:val="0" w:hRule="atLeast"/>
          <w:jc w:val="center"/>
        </w:trPr>
        <w:tc>
          <w:tcPr>
            <w:tcW w:w="2944" w:type="dxa"/>
            <w:tcBorders>
              <w:top w:val="nil"/>
              <w:left w:val="nil"/>
              <w:bottom w:val="nil"/>
              <w:right w:val="nil"/>
            </w:tcBorders>
            <w:shd w:val="clear" w:color="auto" w:fill="auto"/>
            <w:vAlign w:val="center"/>
          </w:tcPr>
          <w:p w14:paraId="6FC9C9B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P-ZLTC-SCOS-JSC-007-40-001</w:t>
            </w:r>
          </w:p>
        </w:tc>
        <w:tc>
          <w:tcPr>
            <w:tcW w:w="945" w:type="dxa"/>
            <w:tcBorders>
              <w:top w:val="nil"/>
              <w:left w:val="nil"/>
              <w:bottom w:val="nil"/>
              <w:right w:val="nil"/>
            </w:tcBorders>
            <w:shd w:val="clear" w:color="auto" w:fill="auto"/>
            <w:vAlign w:val="center"/>
          </w:tcPr>
          <w:p w14:paraId="49331D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判断模拟结果是否完整可比规则</w:t>
            </w:r>
          </w:p>
        </w:tc>
        <w:tc>
          <w:tcPr>
            <w:tcW w:w="966" w:type="dxa"/>
            <w:tcBorders>
              <w:top w:val="nil"/>
              <w:left w:val="nil"/>
              <w:bottom w:val="nil"/>
              <w:right w:val="nil"/>
            </w:tcBorders>
            <w:shd w:val="clear" w:color="auto" w:fill="auto"/>
            <w:vAlign w:val="center"/>
          </w:tcPr>
          <w:p w14:paraId="3F13502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6F45A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14CE2E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情景计算结果形成后</w:t>
            </w:r>
          </w:p>
        </w:tc>
        <w:tc>
          <w:tcPr>
            <w:tcW w:w="1406" w:type="dxa"/>
            <w:tcBorders>
              <w:top w:val="nil"/>
              <w:left w:val="nil"/>
              <w:bottom w:val="nil"/>
              <w:right w:val="nil"/>
            </w:tcBorders>
            <w:shd w:val="clear" w:color="auto" w:fill="auto"/>
            <w:vAlign w:val="center"/>
          </w:tcPr>
          <w:p w14:paraId="2194308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校验结果是否齐全，时间口径、指标单位和基线是否一致；模拟结果不完整或不可比时退回重算或修正参数；模拟结果完整可比时继续处理。</w:t>
            </w:r>
          </w:p>
        </w:tc>
        <w:tc>
          <w:tcPr>
            <w:tcW w:w="1088" w:type="dxa"/>
            <w:tcBorders>
              <w:top w:val="nil"/>
              <w:left w:val="nil"/>
              <w:bottom w:val="nil"/>
              <w:right w:val="nil"/>
            </w:tcBorders>
            <w:shd w:val="clear" w:color="auto" w:fill="auto"/>
            <w:vAlign w:val="center"/>
          </w:tcPr>
          <w:p w14:paraId="42F31B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可比性判断</w:t>
            </w:r>
          </w:p>
        </w:tc>
        <w:tc>
          <w:tcPr>
            <w:tcW w:w="1460" w:type="dxa"/>
            <w:tcBorders>
              <w:top w:val="nil"/>
              <w:left w:val="nil"/>
              <w:bottom w:val="nil"/>
              <w:right w:val="nil"/>
            </w:tcBorders>
            <w:shd w:val="clear" w:color="auto" w:fill="auto"/>
            <w:vAlign w:val="center"/>
          </w:tcPr>
          <w:p w14:paraId="1BAC1F6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7308A90">
        <w:trPr>
          <w:cantSplit/>
          <w:trHeight w:val="0" w:hRule="atLeast"/>
          <w:jc w:val="center"/>
        </w:trPr>
        <w:tc>
          <w:tcPr>
            <w:tcW w:w="2944" w:type="dxa"/>
            <w:tcBorders>
              <w:top w:val="nil"/>
              <w:left w:val="nil"/>
              <w:bottom w:val="nil"/>
              <w:right w:val="nil"/>
            </w:tcBorders>
            <w:shd w:val="clear" w:color="auto" w:fill="auto"/>
            <w:vAlign w:val="center"/>
          </w:tcPr>
          <w:p w14:paraId="7048D9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P-ZLTC-SCOS-JSC-007-50-001</w:t>
            </w:r>
          </w:p>
        </w:tc>
        <w:tc>
          <w:tcPr>
            <w:tcW w:w="945" w:type="dxa"/>
            <w:tcBorders>
              <w:top w:val="nil"/>
              <w:left w:val="nil"/>
              <w:bottom w:val="nil"/>
              <w:right w:val="nil"/>
            </w:tcBorders>
            <w:shd w:val="clear" w:color="auto" w:fill="auto"/>
            <w:vAlign w:val="center"/>
          </w:tcPr>
          <w:p w14:paraId="0934A0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比较基线与情景并评估成本、服务与风险规则</w:t>
            </w:r>
          </w:p>
        </w:tc>
        <w:tc>
          <w:tcPr>
            <w:tcW w:w="966" w:type="dxa"/>
            <w:tcBorders>
              <w:top w:val="nil"/>
              <w:left w:val="nil"/>
              <w:bottom w:val="nil"/>
              <w:right w:val="nil"/>
            </w:tcBorders>
            <w:shd w:val="clear" w:color="auto" w:fill="auto"/>
            <w:vAlign w:val="center"/>
          </w:tcPr>
          <w:p w14:paraId="2478EF0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37343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45A9F6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模拟结果完整可比时</w:t>
            </w:r>
          </w:p>
        </w:tc>
        <w:tc>
          <w:tcPr>
            <w:tcW w:w="1406" w:type="dxa"/>
            <w:tcBorders>
              <w:top w:val="nil"/>
              <w:left w:val="nil"/>
              <w:bottom w:val="nil"/>
              <w:right w:val="nil"/>
            </w:tcBorders>
            <w:shd w:val="clear" w:color="auto" w:fill="auto"/>
            <w:vAlign w:val="center"/>
          </w:tcPr>
          <w:p w14:paraId="7384B4A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比较产能、库存、交付、成本、服务水平和供应风险；口径不一致时不强行形成综合结论。</w:t>
            </w:r>
          </w:p>
        </w:tc>
        <w:tc>
          <w:tcPr>
            <w:tcW w:w="1088" w:type="dxa"/>
            <w:tcBorders>
              <w:top w:val="nil"/>
              <w:left w:val="nil"/>
              <w:bottom w:val="nil"/>
              <w:right w:val="nil"/>
            </w:tcBorders>
            <w:shd w:val="clear" w:color="auto" w:fill="auto"/>
            <w:vAlign w:val="center"/>
          </w:tcPr>
          <w:p w14:paraId="5D657C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对比分析</w:t>
            </w:r>
          </w:p>
        </w:tc>
        <w:tc>
          <w:tcPr>
            <w:tcW w:w="1460" w:type="dxa"/>
            <w:tcBorders>
              <w:top w:val="nil"/>
              <w:left w:val="nil"/>
              <w:bottom w:val="nil"/>
              <w:right w:val="nil"/>
            </w:tcBorders>
            <w:shd w:val="clear" w:color="auto" w:fill="auto"/>
            <w:vAlign w:val="center"/>
          </w:tcPr>
          <w:p w14:paraId="42570EC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8C38646">
        <w:trPr>
          <w:cantSplit/>
          <w:trHeight w:val="0" w:hRule="atLeast"/>
          <w:jc w:val="center"/>
        </w:trPr>
        <w:tc>
          <w:tcPr>
            <w:tcW w:w="2944" w:type="dxa"/>
            <w:tcBorders>
              <w:top w:val="nil"/>
              <w:left w:val="nil"/>
              <w:bottom w:val="nil"/>
              <w:right w:val="nil"/>
            </w:tcBorders>
            <w:shd w:val="clear" w:color="auto" w:fill="auto"/>
            <w:vAlign w:val="center"/>
          </w:tcPr>
          <w:p w14:paraId="13CB8A1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P-ZLTC-SCOS-JSC-007-60-001</w:t>
            </w:r>
          </w:p>
        </w:tc>
        <w:tc>
          <w:tcPr>
            <w:tcW w:w="945" w:type="dxa"/>
            <w:tcBorders>
              <w:top w:val="nil"/>
              <w:left w:val="nil"/>
              <w:bottom w:val="nil"/>
              <w:right w:val="nil"/>
            </w:tcBorders>
            <w:shd w:val="clear" w:color="auto" w:fill="auto"/>
            <w:vAlign w:val="center"/>
          </w:tcPr>
          <w:p w14:paraId="124436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形成影响结论、风险提示与备选方案规则</w:t>
            </w:r>
          </w:p>
        </w:tc>
        <w:tc>
          <w:tcPr>
            <w:tcW w:w="966" w:type="dxa"/>
            <w:tcBorders>
              <w:top w:val="nil"/>
              <w:left w:val="nil"/>
              <w:bottom w:val="nil"/>
              <w:right w:val="nil"/>
            </w:tcBorders>
            <w:shd w:val="clear" w:color="auto" w:fill="auto"/>
            <w:vAlign w:val="center"/>
          </w:tcPr>
          <w:p w14:paraId="239D8F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CB7B4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5A20C3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对比分析形成后</w:t>
            </w:r>
          </w:p>
        </w:tc>
        <w:tc>
          <w:tcPr>
            <w:tcW w:w="1406" w:type="dxa"/>
            <w:tcBorders>
              <w:top w:val="nil"/>
              <w:left w:val="nil"/>
              <w:bottom w:val="nil"/>
              <w:right w:val="nil"/>
            </w:tcBorders>
            <w:shd w:val="clear" w:color="auto" w:fill="auto"/>
            <w:vAlign w:val="center"/>
          </w:tcPr>
          <w:p w14:paraId="2675D5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归纳各方案的收益、代价、风险和适用条件；关键评价维度缺失时标记结论限制。</w:t>
            </w:r>
          </w:p>
        </w:tc>
        <w:tc>
          <w:tcPr>
            <w:tcW w:w="1088" w:type="dxa"/>
            <w:tcBorders>
              <w:top w:val="nil"/>
              <w:left w:val="nil"/>
              <w:bottom w:val="nil"/>
              <w:right w:val="nil"/>
            </w:tcBorders>
            <w:shd w:val="clear" w:color="auto" w:fill="auto"/>
            <w:vAlign w:val="center"/>
          </w:tcPr>
          <w:p w14:paraId="0E37F1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影响结论、风险提示和备选方案</w:t>
            </w:r>
          </w:p>
        </w:tc>
        <w:tc>
          <w:tcPr>
            <w:tcW w:w="1460" w:type="dxa"/>
            <w:tcBorders>
              <w:top w:val="nil"/>
              <w:left w:val="nil"/>
              <w:bottom w:val="nil"/>
              <w:right w:val="nil"/>
            </w:tcBorders>
            <w:shd w:val="clear" w:color="auto" w:fill="auto"/>
            <w:vAlign w:val="center"/>
          </w:tcPr>
          <w:p w14:paraId="716B64A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934A40C">
        <w:trPr>
          <w:cantSplit/>
          <w:trHeight w:val="0" w:hRule="atLeast"/>
          <w:jc w:val="center"/>
        </w:trPr>
        <w:tc>
          <w:tcPr>
            <w:tcW w:w="2944" w:type="dxa"/>
            <w:tcBorders>
              <w:top w:val="nil"/>
              <w:left w:val="nil"/>
              <w:bottom w:val="nil"/>
              <w:right w:val="nil"/>
            </w:tcBorders>
            <w:shd w:val="clear" w:color="auto" w:fill="auto"/>
            <w:vAlign w:val="center"/>
          </w:tcPr>
          <w:p w14:paraId="500F9D9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P-ZLTC-SCOS-JSC-007-70-001</w:t>
            </w:r>
          </w:p>
        </w:tc>
        <w:tc>
          <w:tcPr>
            <w:tcW w:w="945" w:type="dxa"/>
            <w:tcBorders>
              <w:top w:val="nil"/>
              <w:left w:val="nil"/>
              <w:bottom w:val="nil"/>
              <w:right w:val="nil"/>
            </w:tcBorders>
            <w:shd w:val="clear" w:color="auto" w:fill="auto"/>
            <w:vAlign w:val="center"/>
          </w:tcPr>
          <w:p w14:paraId="52C725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审阅模拟结果规则</w:t>
            </w:r>
          </w:p>
        </w:tc>
        <w:tc>
          <w:tcPr>
            <w:tcW w:w="966" w:type="dxa"/>
            <w:tcBorders>
              <w:top w:val="nil"/>
              <w:left w:val="nil"/>
              <w:bottom w:val="nil"/>
              <w:right w:val="nil"/>
            </w:tcBorders>
            <w:shd w:val="clear" w:color="auto" w:fill="auto"/>
            <w:vAlign w:val="center"/>
          </w:tcPr>
          <w:p w14:paraId="13FE7DA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47BB7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6C0D3F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影响结论、风险提示和备选方案形成后</w:t>
            </w:r>
          </w:p>
        </w:tc>
        <w:tc>
          <w:tcPr>
            <w:tcW w:w="1406" w:type="dxa"/>
            <w:tcBorders>
              <w:top w:val="nil"/>
              <w:left w:val="nil"/>
              <w:bottom w:val="nil"/>
              <w:right w:val="nil"/>
            </w:tcBorders>
            <w:shd w:val="clear" w:color="auto" w:fill="auto"/>
            <w:vAlign w:val="center"/>
          </w:tcPr>
          <w:p w14:paraId="24722C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核实业务假设和模拟结果是否合理；需要重算时明确调整内容，修正后重新测算。</w:t>
            </w:r>
          </w:p>
        </w:tc>
        <w:tc>
          <w:tcPr>
            <w:tcW w:w="1088" w:type="dxa"/>
            <w:tcBorders>
              <w:top w:val="nil"/>
              <w:left w:val="nil"/>
              <w:bottom w:val="nil"/>
              <w:right w:val="nil"/>
            </w:tcBorders>
            <w:shd w:val="clear" w:color="auto" w:fill="auto"/>
            <w:vAlign w:val="center"/>
          </w:tcPr>
          <w:p w14:paraId="6E4BC55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审阅意见</w:t>
            </w:r>
          </w:p>
        </w:tc>
        <w:tc>
          <w:tcPr>
            <w:tcW w:w="1460" w:type="dxa"/>
            <w:tcBorders>
              <w:top w:val="nil"/>
              <w:left w:val="nil"/>
              <w:bottom w:val="nil"/>
              <w:right w:val="nil"/>
            </w:tcBorders>
            <w:shd w:val="clear" w:color="auto" w:fill="auto"/>
            <w:vAlign w:val="center"/>
          </w:tcPr>
          <w:p w14:paraId="4A1ED2E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4F0D767">
        <w:trPr>
          <w:cantSplit/>
          <w:trHeight w:val="0" w:hRule="atLeast"/>
          <w:jc w:val="center"/>
        </w:trPr>
        <w:tc>
          <w:tcPr>
            <w:tcW w:w="2944" w:type="dxa"/>
            <w:tcBorders>
              <w:top w:val="nil"/>
              <w:left w:val="nil"/>
              <w:bottom w:val="nil"/>
              <w:right w:val="nil"/>
            </w:tcBorders>
            <w:shd w:val="clear" w:color="auto" w:fill="auto"/>
            <w:vAlign w:val="center"/>
          </w:tcPr>
          <w:p w14:paraId="0B8BCAD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P-ZLTC-SCOS-JSC-008-10-001</w:t>
            </w:r>
          </w:p>
        </w:tc>
        <w:tc>
          <w:tcPr>
            <w:tcW w:w="945" w:type="dxa"/>
            <w:tcBorders>
              <w:top w:val="nil"/>
              <w:left w:val="nil"/>
              <w:bottom w:val="nil"/>
              <w:right w:val="nil"/>
            </w:tcBorders>
            <w:shd w:val="clear" w:color="auto" w:fill="auto"/>
            <w:vAlign w:val="center"/>
          </w:tcPr>
          <w:p w14:paraId="05D120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比较备选方案并权衡成本、服务与风险规则</w:t>
            </w:r>
          </w:p>
        </w:tc>
        <w:tc>
          <w:tcPr>
            <w:tcW w:w="966" w:type="dxa"/>
            <w:tcBorders>
              <w:top w:val="nil"/>
              <w:left w:val="nil"/>
              <w:bottom w:val="nil"/>
              <w:right w:val="nil"/>
            </w:tcBorders>
            <w:shd w:val="clear" w:color="auto" w:fill="auto"/>
            <w:vAlign w:val="center"/>
          </w:tcPr>
          <w:p w14:paraId="0BDF237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93ED1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78F215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决策管理人员需要判断是否把模拟建议转入正式业务调整时</w:t>
            </w:r>
          </w:p>
        </w:tc>
        <w:tc>
          <w:tcPr>
            <w:tcW w:w="1406" w:type="dxa"/>
            <w:tcBorders>
              <w:top w:val="nil"/>
              <w:left w:val="nil"/>
              <w:bottom w:val="nil"/>
              <w:right w:val="nil"/>
            </w:tcBorders>
            <w:shd w:val="clear" w:color="auto" w:fill="auto"/>
            <w:vAlign w:val="center"/>
          </w:tcPr>
          <w:p w14:paraId="34C1DB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结合成本、交付、服务和供应安全选择可实施的候选方案；无可接受方案时结束并保存分析记录。</w:t>
            </w:r>
          </w:p>
        </w:tc>
        <w:tc>
          <w:tcPr>
            <w:tcW w:w="1088" w:type="dxa"/>
            <w:tcBorders>
              <w:top w:val="nil"/>
              <w:left w:val="nil"/>
              <w:bottom w:val="nil"/>
              <w:right w:val="nil"/>
            </w:tcBorders>
            <w:shd w:val="clear" w:color="auto" w:fill="auto"/>
            <w:vAlign w:val="center"/>
          </w:tcPr>
          <w:p w14:paraId="3A873C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方案选择意见</w:t>
            </w:r>
          </w:p>
        </w:tc>
        <w:tc>
          <w:tcPr>
            <w:tcW w:w="1460" w:type="dxa"/>
            <w:tcBorders>
              <w:top w:val="nil"/>
              <w:left w:val="nil"/>
              <w:bottom w:val="nil"/>
              <w:right w:val="nil"/>
            </w:tcBorders>
            <w:shd w:val="clear" w:color="auto" w:fill="auto"/>
            <w:vAlign w:val="center"/>
          </w:tcPr>
          <w:p w14:paraId="252DA54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A1173E7">
        <w:trPr>
          <w:cantSplit/>
          <w:trHeight w:val="0" w:hRule="atLeast"/>
          <w:jc w:val="center"/>
        </w:trPr>
        <w:tc>
          <w:tcPr>
            <w:tcW w:w="2944" w:type="dxa"/>
            <w:tcBorders>
              <w:top w:val="nil"/>
              <w:left w:val="nil"/>
              <w:bottom w:val="nil"/>
              <w:right w:val="nil"/>
            </w:tcBorders>
            <w:shd w:val="clear" w:color="auto" w:fill="auto"/>
            <w:vAlign w:val="center"/>
          </w:tcPr>
          <w:p w14:paraId="635436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P-ZLTC-SCOS-JSC-008-20-001</w:t>
            </w:r>
          </w:p>
        </w:tc>
        <w:tc>
          <w:tcPr>
            <w:tcW w:w="945" w:type="dxa"/>
            <w:tcBorders>
              <w:top w:val="nil"/>
              <w:left w:val="nil"/>
              <w:bottom w:val="nil"/>
              <w:right w:val="nil"/>
            </w:tcBorders>
            <w:shd w:val="clear" w:color="auto" w:fill="auto"/>
            <w:vAlign w:val="center"/>
          </w:tcPr>
          <w:p w14:paraId="6F6F06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判断是否采纳模拟建议规则</w:t>
            </w:r>
          </w:p>
        </w:tc>
        <w:tc>
          <w:tcPr>
            <w:tcW w:w="966" w:type="dxa"/>
            <w:tcBorders>
              <w:top w:val="nil"/>
              <w:left w:val="nil"/>
              <w:bottom w:val="nil"/>
              <w:right w:val="nil"/>
            </w:tcBorders>
            <w:shd w:val="clear" w:color="auto" w:fill="auto"/>
            <w:vAlign w:val="center"/>
          </w:tcPr>
          <w:p w14:paraId="0CFB06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9D83D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705F486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方案选择意见形成后</w:t>
            </w:r>
          </w:p>
        </w:tc>
        <w:tc>
          <w:tcPr>
            <w:tcW w:w="1406" w:type="dxa"/>
            <w:tcBorders>
              <w:top w:val="nil"/>
              <w:left w:val="nil"/>
              <w:bottom w:val="nil"/>
              <w:right w:val="nil"/>
            </w:tcBorders>
            <w:shd w:val="clear" w:color="auto" w:fill="auto"/>
            <w:vAlign w:val="center"/>
          </w:tcPr>
          <w:p w14:paraId="5735F5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采纳属于管理决策，不由模型或驾驶舱自动完成；未采纳模拟建议时保存模拟记录；采纳模拟建议时继续处理。</w:t>
            </w:r>
          </w:p>
        </w:tc>
        <w:tc>
          <w:tcPr>
            <w:tcW w:w="1088" w:type="dxa"/>
            <w:tcBorders>
              <w:top w:val="nil"/>
              <w:left w:val="nil"/>
              <w:bottom w:val="nil"/>
              <w:right w:val="nil"/>
            </w:tcBorders>
            <w:shd w:val="clear" w:color="auto" w:fill="auto"/>
            <w:vAlign w:val="center"/>
          </w:tcPr>
          <w:p w14:paraId="1488268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采纳结论</w:t>
            </w:r>
          </w:p>
        </w:tc>
        <w:tc>
          <w:tcPr>
            <w:tcW w:w="1460" w:type="dxa"/>
            <w:tcBorders>
              <w:top w:val="nil"/>
              <w:left w:val="nil"/>
              <w:bottom w:val="nil"/>
              <w:right w:val="nil"/>
            </w:tcBorders>
            <w:shd w:val="clear" w:color="auto" w:fill="auto"/>
            <w:vAlign w:val="center"/>
          </w:tcPr>
          <w:p w14:paraId="4C3BDC9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993A3E">
        <w:trPr>
          <w:cantSplit/>
          <w:trHeight w:val="0" w:hRule="atLeast"/>
          <w:jc w:val="center"/>
        </w:trPr>
        <w:tc>
          <w:tcPr>
            <w:tcW w:w="2944" w:type="dxa"/>
            <w:tcBorders>
              <w:top w:val="nil"/>
              <w:left w:val="nil"/>
              <w:bottom w:val="nil"/>
              <w:right w:val="nil"/>
            </w:tcBorders>
            <w:shd w:val="clear" w:color="auto" w:fill="auto"/>
            <w:vAlign w:val="center"/>
          </w:tcPr>
          <w:p w14:paraId="1BB00F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P-ZLTC-SCOS-JSC-008-30-001</w:t>
            </w:r>
          </w:p>
        </w:tc>
        <w:tc>
          <w:tcPr>
            <w:tcW w:w="945" w:type="dxa"/>
            <w:tcBorders>
              <w:top w:val="nil"/>
              <w:left w:val="nil"/>
              <w:bottom w:val="nil"/>
              <w:right w:val="nil"/>
            </w:tcBorders>
            <w:shd w:val="clear" w:color="auto" w:fill="auto"/>
            <w:vAlign w:val="center"/>
          </w:tcPr>
          <w:p w14:paraId="1A2532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记录决策结论及采纳依据规则</w:t>
            </w:r>
          </w:p>
        </w:tc>
        <w:tc>
          <w:tcPr>
            <w:tcW w:w="966" w:type="dxa"/>
            <w:tcBorders>
              <w:top w:val="nil"/>
              <w:left w:val="nil"/>
              <w:bottom w:val="nil"/>
              <w:right w:val="nil"/>
            </w:tcBorders>
            <w:shd w:val="clear" w:color="auto" w:fill="auto"/>
            <w:vAlign w:val="center"/>
          </w:tcPr>
          <w:p w14:paraId="7885F4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99D911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432434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采纳模拟建议时</w:t>
            </w:r>
          </w:p>
        </w:tc>
        <w:tc>
          <w:tcPr>
            <w:tcW w:w="1406" w:type="dxa"/>
            <w:tcBorders>
              <w:top w:val="nil"/>
              <w:left w:val="nil"/>
              <w:bottom w:val="nil"/>
              <w:right w:val="nil"/>
            </w:tcBorders>
            <w:shd w:val="clear" w:color="auto" w:fill="auto"/>
            <w:vAlign w:val="center"/>
          </w:tcPr>
          <w:p w14:paraId="1839308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保存采纳方案、决策依据、适用范围、决策人和时间；记录失败时不发起后续业务调整。</w:t>
            </w:r>
          </w:p>
        </w:tc>
        <w:tc>
          <w:tcPr>
            <w:tcW w:w="1088" w:type="dxa"/>
            <w:tcBorders>
              <w:top w:val="nil"/>
              <w:left w:val="nil"/>
              <w:bottom w:val="nil"/>
              <w:right w:val="nil"/>
            </w:tcBorders>
            <w:shd w:val="clear" w:color="auto" w:fill="auto"/>
            <w:vAlign w:val="center"/>
          </w:tcPr>
          <w:p w14:paraId="73A3441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决策记录</w:t>
            </w:r>
          </w:p>
        </w:tc>
        <w:tc>
          <w:tcPr>
            <w:tcW w:w="1460" w:type="dxa"/>
            <w:tcBorders>
              <w:top w:val="nil"/>
              <w:left w:val="nil"/>
              <w:bottom w:val="nil"/>
              <w:right w:val="nil"/>
            </w:tcBorders>
            <w:shd w:val="clear" w:color="auto" w:fill="auto"/>
            <w:vAlign w:val="center"/>
          </w:tcPr>
          <w:p w14:paraId="73E2F79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F1D4CE9">
        <w:trPr>
          <w:cantSplit/>
          <w:trHeight w:val="0" w:hRule="atLeast"/>
          <w:jc w:val="center"/>
        </w:trPr>
        <w:tc>
          <w:tcPr>
            <w:tcW w:w="2944" w:type="dxa"/>
            <w:tcBorders>
              <w:top w:val="nil"/>
              <w:left w:val="nil"/>
              <w:bottom w:val="nil"/>
              <w:right w:val="nil"/>
            </w:tcBorders>
            <w:shd w:val="clear" w:color="auto" w:fill="auto"/>
            <w:vAlign w:val="center"/>
          </w:tcPr>
          <w:p w14:paraId="61A06EF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P-ZLTC-SCOS-JSC-008-40-001</w:t>
            </w:r>
          </w:p>
        </w:tc>
        <w:tc>
          <w:tcPr>
            <w:tcW w:w="945" w:type="dxa"/>
            <w:tcBorders>
              <w:top w:val="nil"/>
              <w:left w:val="nil"/>
              <w:bottom w:val="nil"/>
              <w:right w:val="nil"/>
            </w:tcBorders>
            <w:shd w:val="clear" w:color="auto" w:fill="auto"/>
            <w:vAlign w:val="center"/>
          </w:tcPr>
          <w:p w14:paraId="55B135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确认调整范围与承接责任规则</w:t>
            </w:r>
          </w:p>
        </w:tc>
        <w:tc>
          <w:tcPr>
            <w:tcW w:w="966" w:type="dxa"/>
            <w:tcBorders>
              <w:top w:val="nil"/>
              <w:left w:val="nil"/>
              <w:bottom w:val="nil"/>
              <w:right w:val="nil"/>
            </w:tcBorders>
            <w:shd w:val="clear" w:color="auto" w:fill="auto"/>
            <w:vAlign w:val="center"/>
          </w:tcPr>
          <w:p w14:paraId="628401E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552BF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6DC0C14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决策记录形成并具备评审条件后</w:t>
            </w:r>
          </w:p>
        </w:tc>
        <w:tc>
          <w:tcPr>
            <w:tcW w:w="1406" w:type="dxa"/>
            <w:tcBorders>
              <w:top w:val="nil"/>
              <w:left w:val="nil"/>
              <w:bottom w:val="nil"/>
              <w:right w:val="nil"/>
            </w:tcBorders>
            <w:shd w:val="clear" w:color="auto" w:fill="auto"/>
            <w:vAlign w:val="center"/>
          </w:tcPr>
          <w:p w14:paraId="3FF2A56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将建议拆分为相关业务模块可以承接的调整事项；涉及范围不清时返回决策管理人员补充。</w:t>
            </w:r>
          </w:p>
        </w:tc>
        <w:tc>
          <w:tcPr>
            <w:tcW w:w="1088" w:type="dxa"/>
            <w:tcBorders>
              <w:top w:val="nil"/>
              <w:left w:val="nil"/>
              <w:bottom w:val="nil"/>
              <w:right w:val="nil"/>
            </w:tcBorders>
            <w:shd w:val="clear" w:color="auto" w:fill="auto"/>
            <w:vAlign w:val="center"/>
          </w:tcPr>
          <w:p w14:paraId="5091D96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调整事项、责任人和承接模块</w:t>
            </w:r>
          </w:p>
        </w:tc>
        <w:tc>
          <w:tcPr>
            <w:tcW w:w="1460" w:type="dxa"/>
            <w:tcBorders>
              <w:top w:val="nil"/>
              <w:left w:val="nil"/>
              <w:bottom w:val="nil"/>
              <w:right w:val="nil"/>
            </w:tcBorders>
            <w:shd w:val="clear" w:color="auto" w:fill="auto"/>
            <w:vAlign w:val="center"/>
          </w:tcPr>
          <w:p w14:paraId="473566A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D552BB6">
        <w:trPr>
          <w:cantSplit/>
          <w:trHeight w:val="0" w:hRule="atLeast"/>
          <w:jc w:val="center"/>
        </w:trPr>
        <w:tc>
          <w:tcPr>
            <w:tcW w:w="2944" w:type="dxa"/>
            <w:tcBorders>
              <w:top w:val="nil"/>
              <w:left w:val="nil"/>
              <w:bottom w:val="nil"/>
              <w:right w:val="nil"/>
            </w:tcBorders>
            <w:shd w:val="clear" w:color="auto" w:fill="auto"/>
            <w:vAlign w:val="center"/>
          </w:tcPr>
          <w:p w14:paraId="244C57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P-ZLTC-SCOS-JSC-008-50-001</w:t>
            </w:r>
          </w:p>
        </w:tc>
        <w:tc>
          <w:tcPr>
            <w:tcW w:w="945" w:type="dxa"/>
            <w:tcBorders>
              <w:top w:val="nil"/>
              <w:left w:val="nil"/>
              <w:bottom w:val="nil"/>
              <w:right w:val="nil"/>
            </w:tcBorders>
            <w:shd w:val="clear" w:color="auto" w:fill="auto"/>
            <w:vAlign w:val="center"/>
          </w:tcPr>
          <w:p w14:paraId="52DCC5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发起正式业务方案调整流程规则</w:t>
            </w:r>
          </w:p>
        </w:tc>
        <w:tc>
          <w:tcPr>
            <w:tcW w:w="966" w:type="dxa"/>
            <w:tcBorders>
              <w:top w:val="nil"/>
              <w:left w:val="nil"/>
              <w:bottom w:val="nil"/>
              <w:right w:val="nil"/>
            </w:tcBorders>
            <w:shd w:val="clear" w:color="auto" w:fill="auto"/>
            <w:vAlign w:val="center"/>
          </w:tcPr>
          <w:p w14:paraId="70A05E9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035237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28AED7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调整事项、责任人和承接模块形成后</w:t>
            </w:r>
          </w:p>
        </w:tc>
        <w:tc>
          <w:tcPr>
            <w:tcW w:w="1406" w:type="dxa"/>
            <w:tcBorders>
              <w:top w:val="nil"/>
              <w:left w:val="nil"/>
              <w:bottom w:val="nil"/>
              <w:right w:val="nil"/>
            </w:tcBorders>
            <w:shd w:val="clear" w:color="auto" w:fill="auto"/>
            <w:vAlign w:val="center"/>
          </w:tcPr>
          <w:p w14:paraId="71DEF2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由相关模块按自身评审、确认和审批流程形成正式方案；原正式方案在新方案生效前继续有效。</w:t>
            </w:r>
          </w:p>
        </w:tc>
        <w:tc>
          <w:tcPr>
            <w:tcW w:w="1088" w:type="dxa"/>
            <w:tcBorders>
              <w:top w:val="nil"/>
              <w:left w:val="nil"/>
              <w:bottom w:val="nil"/>
              <w:right w:val="nil"/>
            </w:tcBorders>
            <w:shd w:val="clear" w:color="auto" w:fill="auto"/>
            <w:vAlign w:val="center"/>
          </w:tcPr>
          <w:p w14:paraId="711B74E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采购方案、库存策略、生产排程或其他调整任务</w:t>
            </w:r>
          </w:p>
        </w:tc>
        <w:tc>
          <w:tcPr>
            <w:tcW w:w="1460" w:type="dxa"/>
            <w:tcBorders>
              <w:top w:val="nil"/>
              <w:left w:val="nil"/>
              <w:bottom w:val="nil"/>
              <w:right w:val="nil"/>
            </w:tcBorders>
            <w:shd w:val="clear" w:color="auto" w:fill="auto"/>
            <w:vAlign w:val="center"/>
          </w:tcPr>
          <w:p w14:paraId="5D55004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7F74D2">
        <w:trPr>
          <w:cantSplit/>
          <w:trHeight w:val="0" w:hRule="atLeast"/>
          <w:jc w:val="center"/>
        </w:trPr>
        <w:tc>
          <w:tcPr>
            <w:tcW w:w="2944" w:type="dxa"/>
            <w:tcBorders>
              <w:top w:val="nil"/>
              <w:left w:val="nil"/>
              <w:bottom w:val="nil"/>
              <w:right w:val="nil"/>
            </w:tcBorders>
            <w:shd w:val="clear" w:color="auto" w:fill="auto"/>
            <w:vAlign w:val="center"/>
          </w:tcPr>
          <w:p w14:paraId="33121D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P-ZLTC-SCOS-JSC-008-60-001</w:t>
            </w:r>
          </w:p>
        </w:tc>
        <w:tc>
          <w:tcPr>
            <w:tcW w:w="945" w:type="dxa"/>
            <w:tcBorders>
              <w:top w:val="nil"/>
              <w:left w:val="nil"/>
              <w:bottom w:val="nil"/>
              <w:right w:val="nil"/>
            </w:tcBorders>
            <w:shd w:val="clear" w:color="auto" w:fill="auto"/>
            <w:vAlign w:val="center"/>
          </w:tcPr>
          <w:p w14:paraId="02C0CF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判断调整任务是否受理规则</w:t>
            </w:r>
          </w:p>
        </w:tc>
        <w:tc>
          <w:tcPr>
            <w:tcW w:w="966" w:type="dxa"/>
            <w:tcBorders>
              <w:top w:val="nil"/>
              <w:left w:val="nil"/>
              <w:bottom w:val="nil"/>
              <w:right w:val="nil"/>
            </w:tcBorders>
            <w:shd w:val="clear" w:color="auto" w:fill="auto"/>
            <w:vAlign w:val="center"/>
          </w:tcPr>
          <w:p w14:paraId="6297AD0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94848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5B67C4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采购方案、库存策略、生产排程或其他调整任务形成后</w:t>
            </w:r>
          </w:p>
        </w:tc>
        <w:tc>
          <w:tcPr>
            <w:tcW w:w="1406" w:type="dxa"/>
            <w:tcBorders>
              <w:top w:val="nil"/>
              <w:left w:val="nil"/>
              <w:bottom w:val="nil"/>
              <w:right w:val="nil"/>
            </w:tcBorders>
            <w:shd w:val="clear" w:color="auto" w:fill="auto"/>
            <w:vAlign w:val="center"/>
          </w:tcPr>
          <w:p w14:paraId="0D99B2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确认相关模块是否接受调整任务及计划完成时间；调整任务未受理时反馈原因并协商调整；调整任务受理时继续处理。</w:t>
            </w:r>
          </w:p>
        </w:tc>
        <w:tc>
          <w:tcPr>
            <w:tcW w:w="1088" w:type="dxa"/>
            <w:tcBorders>
              <w:top w:val="nil"/>
              <w:left w:val="nil"/>
              <w:bottom w:val="nil"/>
              <w:right w:val="nil"/>
            </w:tcBorders>
            <w:shd w:val="clear" w:color="auto" w:fill="auto"/>
            <w:vAlign w:val="center"/>
          </w:tcPr>
          <w:p w14:paraId="550E8EF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受理结论</w:t>
            </w:r>
          </w:p>
        </w:tc>
        <w:tc>
          <w:tcPr>
            <w:tcW w:w="1460" w:type="dxa"/>
            <w:tcBorders>
              <w:top w:val="nil"/>
              <w:left w:val="nil"/>
              <w:bottom w:val="nil"/>
              <w:right w:val="nil"/>
            </w:tcBorders>
            <w:shd w:val="clear" w:color="auto" w:fill="auto"/>
            <w:vAlign w:val="center"/>
          </w:tcPr>
          <w:p w14:paraId="6F6EC1D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588D09A">
        <w:trPr>
          <w:cantSplit/>
          <w:trHeight w:val="0" w:hRule="atLeast"/>
          <w:jc w:val="center"/>
        </w:trPr>
        <w:tc>
          <w:tcPr>
            <w:tcW w:w="2944" w:type="dxa"/>
            <w:tcBorders>
              <w:top w:val="nil"/>
              <w:left w:val="nil"/>
              <w:bottom w:val="nil"/>
              <w:right w:val="nil"/>
            </w:tcBorders>
            <w:shd w:val="clear" w:color="auto" w:fill="auto"/>
            <w:vAlign w:val="center"/>
          </w:tcPr>
          <w:p w14:paraId="5F4AB96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P-ZLTC-SCOS-JSC-008-70-001</w:t>
            </w:r>
          </w:p>
        </w:tc>
        <w:tc>
          <w:tcPr>
            <w:tcW w:w="945" w:type="dxa"/>
            <w:tcBorders>
              <w:top w:val="nil"/>
              <w:left w:val="nil"/>
              <w:bottom w:val="nil"/>
              <w:right w:val="nil"/>
            </w:tcBorders>
            <w:shd w:val="clear" w:color="auto" w:fill="auto"/>
            <w:vAlign w:val="center"/>
          </w:tcPr>
          <w:p w14:paraId="089CA66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回写协同状态并持续跟踪结果规则</w:t>
            </w:r>
          </w:p>
        </w:tc>
        <w:tc>
          <w:tcPr>
            <w:tcW w:w="966" w:type="dxa"/>
            <w:tcBorders>
              <w:top w:val="nil"/>
              <w:left w:val="nil"/>
              <w:bottom w:val="nil"/>
              <w:right w:val="nil"/>
            </w:tcBorders>
            <w:shd w:val="clear" w:color="auto" w:fill="auto"/>
            <w:vAlign w:val="center"/>
          </w:tcPr>
          <w:p w14:paraId="6DD8853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24B46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5946C20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调整任务受理时</w:t>
            </w:r>
          </w:p>
        </w:tc>
        <w:tc>
          <w:tcPr>
            <w:tcW w:w="1406" w:type="dxa"/>
            <w:tcBorders>
              <w:top w:val="nil"/>
              <w:left w:val="nil"/>
              <w:bottom w:val="nil"/>
              <w:right w:val="nil"/>
            </w:tcBorders>
            <w:shd w:val="clear" w:color="auto" w:fill="auto"/>
            <w:vAlign w:val="center"/>
          </w:tcPr>
          <w:p w14:paraId="4DC9262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跟踪正式调整流程状态，执行结果重新进入全局态势监测；业务调整失败时保留原正式方案并回写原因。</w:t>
            </w:r>
          </w:p>
        </w:tc>
        <w:tc>
          <w:tcPr>
            <w:tcW w:w="1088" w:type="dxa"/>
            <w:tcBorders>
              <w:top w:val="nil"/>
              <w:left w:val="nil"/>
              <w:bottom w:val="nil"/>
              <w:right w:val="nil"/>
            </w:tcBorders>
            <w:shd w:val="clear" w:color="auto" w:fill="auto"/>
            <w:vAlign w:val="center"/>
          </w:tcPr>
          <w:p w14:paraId="66053E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协同跟踪记录</w:t>
            </w:r>
          </w:p>
        </w:tc>
        <w:tc>
          <w:tcPr>
            <w:tcW w:w="1460" w:type="dxa"/>
            <w:tcBorders>
              <w:top w:val="nil"/>
              <w:left w:val="nil"/>
              <w:bottom w:val="nil"/>
              <w:right w:val="nil"/>
            </w:tcBorders>
            <w:shd w:val="clear" w:color="auto" w:fill="auto"/>
            <w:vAlign w:val="center"/>
          </w:tcPr>
          <w:p w14:paraId="2DEFF89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D979C75">
        <w:trPr>
          <w:cantSplit/>
          <w:trHeight w:val="0" w:hRule="atLeast"/>
          <w:jc w:val="center"/>
        </w:trPr>
        <w:tc>
          <w:tcPr>
            <w:tcW w:w="2944" w:type="dxa"/>
            <w:tcBorders>
              <w:top w:val="nil"/>
              <w:left w:val="nil"/>
              <w:bottom w:val="nil"/>
              <w:right w:val="nil"/>
            </w:tcBorders>
            <w:shd w:val="clear" w:color="auto" w:fill="auto"/>
            <w:vAlign w:val="center"/>
          </w:tcPr>
          <w:p w14:paraId="604442D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P-ZLTC-SCOS-FYCB-001-10-001</w:t>
            </w:r>
          </w:p>
        </w:tc>
        <w:tc>
          <w:tcPr>
            <w:tcW w:w="945" w:type="dxa"/>
            <w:tcBorders>
              <w:top w:val="nil"/>
              <w:left w:val="nil"/>
              <w:bottom w:val="nil"/>
              <w:right w:val="nil"/>
            </w:tcBorders>
            <w:shd w:val="clear" w:color="auto" w:fill="auto"/>
            <w:vAlign w:val="center"/>
          </w:tcPr>
          <w:p w14:paraId="0E1AA46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提供生产执行和主数据规则</w:t>
            </w:r>
          </w:p>
        </w:tc>
        <w:tc>
          <w:tcPr>
            <w:tcW w:w="966" w:type="dxa"/>
            <w:tcBorders>
              <w:top w:val="nil"/>
              <w:left w:val="nil"/>
              <w:bottom w:val="nil"/>
              <w:right w:val="nil"/>
            </w:tcBorders>
            <w:shd w:val="clear" w:color="auto" w:fill="auto"/>
            <w:vAlign w:val="center"/>
          </w:tcPr>
          <w:p w14:paraId="3640728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067D4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026D4E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每月月末由SCOS启动当月生产批次生成时</w:t>
            </w:r>
          </w:p>
        </w:tc>
        <w:tc>
          <w:tcPr>
            <w:tcW w:w="1406" w:type="dxa"/>
            <w:tcBorders>
              <w:top w:val="nil"/>
              <w:left w:val="nil"/>
              <w:bottom w:val="nil"/>
              <w:right w:val="nil"/>
            </w:tcBorders>
            <w:shd w:val="clear" w:color="auto" w:fill="auto"/>
            <w:vAlign w:val="center"/>
          </w:tcPr>
          <w:p w14:paraId="1755CA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按工厂、自然月和截止时间提供标准数据；缺失字段、计量复位或来源冲突随数据质量标识返回，不按零处理。</w:t>
            </w:r>
          </w:p>
        </w:tc>
        <w:tc>
          <w:tcPr>
            <w:tcW w:w="1088" w:type="dxa"/>
            <w:tcBorders>
              <w:top w:val="nil"/>
              <w:left w:val="nil"/>
              <w:bottom w:val="nil"/>
              <w:right w:val="nil"/>
            </w:tcBorders>
            <w:shd w:val="clear" w:color="auto" w:fill="auto"/>
            <w:vAlign w:val="center"/>
          </w:tcPr>
          <w:p w14:paraId="30C862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工单、收发存、投料、设备、阀门、计量、质检、发运、路线和批次规则</w:t>
            </w:r>
          </w:p>
        </w:tc>
        <w:tc>
          <w:tcPr>
            <w:tcW w:w="1460" w:type="dxa"/>
            <w:tcBorders>
              <w:top w:val="nil"/>
              <w:left w:val="nil"/>
              <w:bottom w:val="nil"/>
              <w:right w:val="nil"/>
            </w:tcBorders>
            <w:shd w:val="clear" w:color="auto" w:fill="auto"/>
            <w:vAlign w:val="center"/>
          </w:tcPr>
          <w:p w14:paraId="794ABE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559F73CD">
        <w:trPr>
          <w:cantSplit/>
          <w:trHeight w:val="0" w:hRule="atLeast"/>
          <w:jc w:val="center"/>
        </w:trPr>
        <w:tc>
          <w:tcPr>
            <w:tcW w:w="2944" w:type="dxa"/>
            <w:tcBorders>
              <w:top w:val="nil"/>
              <w:left w:val="nil"/>
              <w:bottom w:val="nil"/>
              <w:right w:val="nil"/>
            </w:tcBorders>
            <w:shd w:val="clear" w:color="auto" w:fill="auto"/>
            <w:vAlign w:val="center"/>
          </w:tcPr>
          <w:p w14:paraId="448340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P-ZLTC-SCOS-FYCB-001-20-001</w:t>
            </w:r>
          </w:p>
        </w:tc>
        <w:tc>
          <w:tcPr>
            <w:tcW w:w="945" w:type="dxa"/>
            <w:tcBorders>
              <w:top w:val="nil"/>
              <w:left w:val="nil"/>
              <w:bottom w:val="nil"/>
              <w:right w:val="nil"/>
            </w:tcBorders>
            <w:shd w:val="clear" w:color="auto" w:fill="auto"/>
            <w:vAlign w:val="center"/>
          </w:tcPr>
          <w:p w14:paraId="0B60FF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标准化并锁定月度取数快照规则</w:t>
            </w:r>
          </w:p>
        </w:tc>
        <w:tc>
          <w:tcPr>
            <w:tcW w:w="966" w:type="dxa"/>
            <w:tcBorders>
              <w:top w:val="nil"/>
              <w:left w:val="nil"/>
              <w:bottom w:val="nil"/>
              <w:right w:val="nil"/>
            </w:tcBorders>
            <w:shd w:val="clear" w:color="auto" w:fill="auto"/>
            <w:vAlign w:val="center"/>
          </w:tcPr>
          <w:p w14:paraId="4171726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F1DDA7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48D9D2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工单、收发存、投料、设备、阀门、计量、质检、发运、路线和批次规则形成后</w:t>
            </w:r>
          </w:p>
        </w:tc>
        <w:tc>
          <w:tcPr>
            <w:tcW w:w="1406" w:type="dxa"/>
            <w:tcBorders>
              <w:top w:val="nil"/>
              <w:left w:val="nil"/>
              <w:bottom w:val="nil"/>
              <w:right w:val="nil"/>
            </w:tcBorders>
            <w:shd w:val="clear" w:color="auto" w:fill="auto"/>
            <w:vAlign w:val="center"/>
          </w:tcPr>
          <w:p w14:paraId="4820770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统一时区、单位、事件序号和主数据版本；迟到或更正数据形成后续调整版本，不覆盖本轮快照。</w:t>
            </w:r>
          </w:p>
        </w:tc>
        <w:tc>
          <w:tcPr>
            <w:tcW w:w="1088" w:type="dxa"/>
            <w:tcBorders>
              <w:top w:val="nil"/>
              <w:left w:val="nil"/>
              <w:bottom w:val="nil"/>
              <w:right w:val="nil"/>
            </w:tcBorders>
            <w:shd w:val="clear" w:color="auto" w:fill="auto"/>
            <w:vAlign w:val="center"/>
          </w:tcPr>
          <w:p w14:paraId="14F7FD3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月度取数快照</w:t>
            </w:r>
          </w:p>
        </w:tc>
        <w:tc>
          <w:tcPr>
            <w:tcW w:w="1460" w:type="dxa"/>
            <w:tcBorders>
              <w:top w:val="nil"/>
              <w:left w:val="nil"/>
              <w:bottom w:val="nil"/>
              <w:right w:val="nil"/>
            </w:tcBorders>
            <w:shd w:val="clear" w:color="auto" w:fill="auto"/>
            <w:vAlign w:val="center"/>
          </w:tcPr>
          <w:p w14:paraId="3F32E3E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D153347">
        <w:trPr>
          <w:cantSplit/>
          <w:trHeight w:val="0" w:hRule="atLeast"/>
          <w:jc w:val="center"/>
        </w:trPr>
        <w:tc>
          <w:tcPr>
            <w:tcW w:w="2944" w:type="dxa"/>
            <w:tcBorders>
              <w:top w:val="nil"/>
              <w:left w:val="nil"/>
              <w:bottom w:val="nil"/>
              <w:right w:val="nil"/>
            </w:tcBorders>
            <w:shd w:val="clear" w:color="auto" w:fill="auto"/>
            <w:vAlign w:val="center"/>
          </w:tcPr>
          <w:p w14:paraId="44BD20D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P-ZLTC-SCOS-FYCB-001-30-001</w:t>
            </w:r>
          </w:p>
        </w:tc>
        <w:tc>
          <w:tcPr>
            <w:tcW w:w="945" w:type="dxa"/>
            <w:tcBorders>
              <w:top w:val="nil"/>
              <w:left w:val="nil"/>
              <w:bottom w:val="nil"/>
              <w:right w:val="nil"/>
            </w:tcBorders>
            <w:shd w:val="clear" w:color="auto" w:fill="auto"/>
            <w:vAlign w:val="center"/>
          </w:tcPr>
          <w:p w14:paraId="6C2DC1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识别路线节点和批次对象类型规则</w:t>
            </w:r>
          </w:p>
        </w:tc>
        <w:tc>
          <w:tcPr>
            <w:tcW w:w="966" w:type="dxa"/>
            <w:tcBorders>
              <w:top w:val="nil"/>
              <w:left w:val="nil"/>
              <w:bottom w:val="nil"/>
              <w:right w:val="nil"/>
            </w:tcBorders>
            <w:shd w:val="clear" w:color="auto" w:fill="auto"/>
            <w:vAlign w:val="center"/>
          </w:tcPr>
          <w:p w14:paraId="1271DA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D3B565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629FFA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月度取数快照形成后</w:t>
            </w:r>
          </w:p>
        </w:tc>
        <w:tc>
          <w:tcPr>
            <w:tcW w:w="1406" w:type="dxa"/>
            <w:tcBorders>
              <w:top w:val="nil"/>
              <w:left w:val="nil"/>
              <w:bottom w:val="nil"/>
              <w:right w:val="nil"/>
            </w:tcBorders>
            <w:shd w:val="clear" w:color="auto" w:fill="auto"/>
            <w:vAlign w:val="center"/>
          </w:tcPr>
          <w:p w14:paraId="3946C3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按实际生产路线识别各类生产批次及其所在工艺环节；短路线不补建不存在的层级；共享设备按路线和物料隔离。</w:t>
            </w:r>
          </w:p>
        </w:tc>
        <w:tc>
          <w:tcPr>
            <w:tcW w:w="1088" w:type="dxa"/>
            <w:tcBorders>
              <w:top w:val="nil"/>
              <w:left w:val="nil"/>
              <w:bottom w:val="nil"/>
              <w:right w:val="nil"/>
            </w:tcBorders>
            <w:shd w:val="clear" w:color="auto" w:fill="auto"/>
            <w:vAlign w:val="center"/>
          </w:tcPr>
          <w:p w14:paraId="6DD36D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节点级批次对象清单</w:t>
            </w:r>
          </w:p>
        </w:tc>
        <w:tc>
          <w:tcPr>
            <w:tcW w:w="1460" w:type="dxa"/>
            <w:tcBorders>
              <w:top w:val="nil"/>
              <w:left w:val="nil"/>
              <w:bottom w:val="nil"/>
              <w:right w:val="nil"/>
            </w:tcBorders>
            <w:shd w:val="clear" w:color="auto" w:fill="auto"/>
            <w:vAlign w:val="center"/>
          </w:tcPr>
          <w:p w14:paraId="3B74A4F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05912C7">
        <w:trPr>
          <w:cantSplit/>
          <w:trHeight w:val="0" w:hRule="atLeast"/>
          <w:jc w:val="center"/>
        </w:trPr>
        <w:tc>
          <w:tcPr>
            <w:tcW w:w="2944" w:type="dxa"/>
            <w:tcBorders>
              <w:top w:val="nil"/>
              <w:left w:val="nil"/>
              <w:bottom w:val="nil"/>
              <w:right w:val="nil"/>
            </w:tcBorders>
            <w:shd w:val="clear" w:color="auto" w:fill="auto"/>
            <w:vAlign w:val="center"/>
          </w:tcPr>
          <w:p w14:paraId="71E6D3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P-ZLTC-SCOS-FYCB-001-40-001</w:t>
            </w:r>
          </w:p>
        </w:tc>
        <w:tc>
          <w:tcPr>
            <w:tcW w:w="945" w:type="dxa"/>
            <w:tcBorders>
              <w:top w:val="nil"/>
              <w:left w:val="nil"/>
              <w:bottom w:val="nil"/>
              <w:right w:val="nil"/>
            </w:tcBorders>
            <w:shd w:val="clear" w:color="auto" w:fill="auto"/>
            <w:vAlign w:val="center"/>
          </w:tcPr>
          <w:p w14:paraId="3B13CC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计算批次边界和投入产出量规则</w:t>
            </w:r>
          </w:p>
        </w:tc>
        <w:tc>
          <w:tcPr>
            <w:tcW w:w="966" w:type="dxa"/>
            <w:tcBorders>
              <w:top w:val="nil"/>
              <w:left w:val="nil"/>
              <w:bottom w:val="nil"/>
              <w:right w:val="nil"/>
            </w:tcBorders>
            <w:shd w:val="clear" w:color="auto" w:fill="auto"/>
            <w:vAlign w:val="center"/>
          </w:tcPr>
          <w:p w14:paraId="66C8A1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91EC0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0D7280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节点级批次对象清单形成后</w:t>
            </w:r>
          </w:p>
        </w:tc>
        <w:tc>
          <w:tcPr>
            <w:tcW w:w="1406" w:type="dxa"/>
            <w:tcBorders>
              <w:top w:val="nil"/>
              <w:left w:val="nil"/>
              <w:bottom w:val="nil"/>
              <w:right w:val="nil"/>
            </w:tcBorders>
            <w:shd w:val="clear" w:color="auto" w:fill="auto"/>
            <w:vAlign w:val="center"/>
          </w:tcPr>
          <w:p w14:paraId="6FC21F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连续段按切换、停机和动态到达时间划窗；停流不累计；估算边界和数量时记录方法、参数与可信度。</w:t>
            </w:r>
          </w:p>
        </w:tc>
        <w:tc>
          <w:tcPr>
            <w:tcW w:w="1088" w:type="dxa"/>
            <w:tcBorders>
              <w:top w:val="nil"/>
              <w:left w:val="nil"/>
              <w:bottom w:val="nil"/>
              <w:right w:val="nil"/>
            </w:tcBorders>
            <w:shd w:val="clear" w:color="auto" w:fill="auto"/>
            <w:vAlign w:val="center"/>
          </w:tcPr>
          <w:p w14:paraId="29D1D6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候选批次边界、投入量、产出量和合格量</w:t>
            </w:r>
          </w:p>
        </w:tc>
        <w:tc>
          <w:tcPr>
            <w:tcW w:w="1460" w:type="dxa"/>
            <w:tcBorders>
              <w:top w:val="nil"/>
              <w:left w:val="nil"/>
              <w:bottom w:val="nil"/>
              <w:right w:val="nil"/>
            </w:tcBorders>
            <w:shd w:val="clear" w:color="auto" w:fill="auto"/>
            <w:vAlign w:val="center"/>
          </w:tcPr>
          <w:p w14:paraId="6DB7156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F001D2">
        <w:trPr>
          <w:cantSplit/>
          <w:trHeight w:val="0" w:hRule="atLeast"/>
          <w:jc w:val="center"/>
        </w:trPr>
        <w:tc>
          <w:tcPr>
            <w:tcW w:w="2944" w:type="dxa"/>
            <w:tcBorders>
              <w:top w:val="nil"/>
              <w:left w:val="nil"/>
              <w:bottom w:val="nil"/>
              <w:right w:val="nil"/>
            </w:tcBorders>
            <w:shd w:val="clear" w:color="auto" w:fill="auto"/>
            <w:vAlign w:val="center"/>
          </w:tcPr>
          <w:p w14:paraId="67BAEDA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P-ZLTC-SCOS-FYCB-001-50-001</w:t>
            </w:r>
          </w:p>
        </w:tc>
        <w:tc>
          <w:tcPr>
            <w:tcW w:w="945" w:type="dxa"/>
            <w:tcBorders>
              <w:top w:val="nil"/>
              <w:left w:val="nil"/>
              <w:bottom w:val="nil"/>
              <w:right w:val="nil"/>
            </w:tcBorders>
            <w:shd w:val="clear" w:color="auto" w:fill="auto"/>
            <w:vAlign w:val="center"/>
          </w:tcPr>
          <w:p w14:paraId="26BE733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判断批次完整性和一致性规则</w:t>
            </w:r>
          </w:p>
        </w:tc>
        <w:tc>
          <w:tcPr>
            <w:tcW w:w="966" w:type="dxa"/>
            <w:tcBorders>
              <w:top w:val="nil"/>
              <w:left w:val="nil"/>
              <w:bottom w:val="nil"/>
              <w:right w:val="nil"/>
            </w:tcBorders>
            <w:shd w:val="clear" w:color="auto" w:fill="auto"/>
            <w:vAlign w:val="center"/>
          </w:tcPr>
          <w:p w14:paraId="03F81FE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E2C58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54E369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候选批次边界、投入量、产出量和合格量形成后</w:t>
            </w:r>
          </w:p>
        </w:tc>
        <w:tc>
          <w:tcPr>
            <w:tcW w:w="1406" w:type="dxa"/>
            <w:tcBorders>
              <w:top w:val="nil"/>
              <w:left w:val="nil"/>
              <w:bottom w:val="nil"/>
              <w:right w:val="nil"/>
            </w:tcBorders>
            <w:shd w:val="clear" w:color="auto" w:fill="auto"/>
            <w:vAlign w:val="center"/>
          </w:tcPr>
          <w:p w14:paraId="60A9F8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检查编码唯一性、时间连续性、设备占用、容量、数量平衡；未通过时补充事实；通过后生成结果。</w:t>
            </w:r>
          </w:p>
        </w:tc>
        <w:tc>
          <w:tcPr>
            <w:tcW w:w="1088" w:type="dxa"/>
            <w:tcBorders>
              <w:top w:val="nil"/>
              <w:left w:val="nil"/>
              <w:bottom w:val="nil"/>
              <w:right w:val="nil"/>
            </w:tcBorders>
            <w:shd w:val="clear" w:color="auto" w:fill="auto"/>
            <w:vAlign w:val="center"/>
          </w:tcPr>
          <w:p w14:paraId="52E543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完整性检查结果</w:t>
            </w:r>
          </w:p>
        </w:tc>
        <w:tc>
          <w:tcPr>
            <w:tcW w:w="1460" w:type="dxa"/>
            <w:tcBorders>
              <w:top w:val="nil"/>
              <w:left w:val="nil"/>
              <w:bottom w:val="nil"/>
              <w:right w:val="nil"/>
            </w:tcBorders>
            <w:shd w:val="clear" w:color="auto" w:fill="auto"/>
            <w:vAlign w:val="center"/>
          </w:tcPr>
          <w:p w14:paraId="01F690F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1DEE0AD">
        <w:trPr>
          <w:cantSplit/>
          <w:trHeight w:val="0" w:hRule="atLeast"/>
          <w:jc w:val="center"/>
        </w:trPr>
        <w:tc>
          <w:tcPr>
            <w:tcW w:w="2944" w:type="dxa"/>
            <w:tcBorders>
              <w:top w:val="nil"/>
              <w:left w:val="nil"/>
              <w:bottom w:val="nil"/>
              <w:right w:val="nil"/>
            </w:tcBorders>
            <w:shd w:val="clear" w:color="auto" w:fill="auto"/>
            <w:vAlign w:val="center"/>
          </w:tcPr>
          <w:p w14:paraId="6D67650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P-ZLTC-SCOS-FYCB-001-60-001</w:t>
            </w:r>
          </w:p>
        </w:tc>
        <w:tc>
          <w:tcPr>
            <w:tcW w:w="945" w:type="dxa"/>
            <w:tcBorders>
              <w:top w:val="nil"/>
              <w:left w:val="nil"/>
              <w:bottom w:val="nil"/>
              <w:right w:val="nil"/>
            </w:tcBorders>
            <w:shd w:val="clear" w:color="auto" w:fill="auto"/>
            <w:vAlign w:val="center"/>
          </w:tcPr>
          <w:p w14:paraId="0B9E642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补充异常批次业务事实规则</w:t>
            </w:r>
          </w:p>
        </w:tc>
        <w:tc>
          <w:tcPr>
            <w:tcW w:w="966" w:type="dxa"/>
            <w:tcBorders>
              <w:top w:val="nil"/>
              <w:left w:val="nil"/>
              <w:bottom w:val="nil"/>
              <w:right w:val="nil"/>
            </w:tcBorders>
            <w:shd w:val="clear" w:color="auto" w:fill="auto"/>
            <w:vAlign w:val="center"/>
          </w:tcPr>
          <w:p w14:paraId="5598ADC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0F7C5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2C0BC8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判断批次完整性和一致性未通过时</w:t>
            </w:r>
          </w:p>
        </w:tc>
        <w:tc>
          <w:tcPr>
            <w:tcW w:w="1406" w:type="dxa"/>
            <w:tcBorders>
              <w:top w:val="nil"/>
              <w:left w:val="nil"/>
              <w:bottom w:val="nil"/>
              <w:right w:val="nil"/>
            </w:tcBorders>
            <w:shd w:val="clear" w:color="auto" w:fill="auto"/>
            <w:vAlign w:val="center"/>
          </w:tcPr>
          <w:p w14:paraId="4C55FE3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生产负责人在SCOS查看证据并补充实际业务事实；无可靠依据的批次保持待确认，不进入正式参考结果。</w:t>
            </w:r>
          </w:p>
        </w:tc>
        <w:tc>
          <w:tcPr>
            <w:tcW w:w="1088" w:type="dxa"/>
            <w:tcBorders>
              <w:top w:val="nil"/>
              <w:left w:val="nil"/>
              <w:bottom w:val="nil"/>
              <w:right w:val="nil"/>
            </w:tcBorders>
            <w:shd w:val="clear" w:color="auto" w:fill="auto"/>
            <w:vAlign w:val="center"/>
          </w:tcPr>
          <w:p w14:paraId="08B92A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停机、旁路、清洗、切换、罐底或返工注入说明</w:t>
            </w:r>
          </w:p>
        </w:tc>
        <w:tc>
          <w:tcPr>
            <w:tcW w:w="1460" w:type="dxa"/>
            <w:tcBorders>
              <w:top w:val="nil"/>
              <w:left w:val="nil"/>
              <w:bottom w:val="nil"/>
              <w:right w:val="nil"/>
            </w:tcBorders>
            <w:shd w:val="clear" w:color="auto" w:fill="auto"/>
            <w:vAlign w:val="center"/>
          </w:tcPr>
          <w:p w14:paraId="52CDA70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B22A361">
        <w:trPr>
          <w:cantSplit/>
          <w:trHeight w:val="0" w:hRule="atLeast"/>
          <w:jc w:val="center"/>
        </w:trPr>
        <w:tc>
          <w:tcPr>
            <w:tcW w:w="2944" w:type="dxa"/>
            <w:tcBorders>
              <w:top w:val="nil"/>
              <w:left w:val="nil"/>
              <w:bottom w:val="nil"/>
              <w:right w:val="nil"/>
            </w:tcBorders>
            <w:shd w:val="clear" w:color="auto" w:fill="auto"/>
            <w:vAlign w:val="center"/>
          </w:tcPr>
          <w:p w14:paraId="2A3C966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P-ZLTC-SCOS-FYCB-001-70-001</w:t>
            </w:r>
          </w:p>
        </w:tc>
        <w:tc>
          <w:tcPr>
            <w:tcW w:w="945" w:type="dxa"/>
            <w:tcBorders>
              <w:top w:val="nil"/>
              <w:left w:val="nil"/>
              <w:bottom w:val="nil"/>
              <w:right w:val="nil"/>
            </w:tcBorders>
            <w:shd w:val="clear" w:color="auto" w:fill="auto"/>
            <w:vAlign w:val="center"/>
          </w:tcPr>
          <w:p w14:paraId="7163EA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生成当月生产批次结果规则</w:t>
            </w:r>
          </w:p>
        </w:tc>
        <w:tc>
          <w:tcPr>
            <w:tcW w:w="966" w:type="dxa"/>
            <w:tcBorders>
              <w:top w:val="nil"/>
              <w:left w:val="nil"/>
              <w:bottom w:val="nil"/>
              <w:right w:val="nil"/>
            </w:tcBorders>
            <w:shd w:val="clear" w:color="auto" w:fill="auto"/>
            <w:vAlign w:val="center"/>
          </w:tcPr>
          <w:p w14:paraId="5084DAD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A2D7B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6DA87D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判断批次完整性和一致性通过时</w:t>
            </w:r>
          </w:p>
        </w:tc>
        <w:tc>
          <w:tcPr>
            <w:tcW w:w="1406" w:type="dxa"/>
            <w:tcBorders>
              <w:top w:val="nil"/>
              <w:left w:val="nil"/>
              <w:bottom w:val="nil"/>
              <w:right w:val="nil"/>
            </w:tcBorders>
            <w:shd w:val="clear" w:color="auto" w:fill="auto"/>
            <w:vAlign w:val="center"/>
          </w:tcPr>
          <w:p w14:paraId="0B947A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汇总批次编码、类型、时间边界、数量、状态及规则版本等信息；低可信度但允许保留的批次单独标识，不与已确认批次混淆。</w:t>
            </w:r>
          </w:p>
        </w:tc>
        <w:tc>
          <w:tcPr>
            <w:tcW w:w="1088" w:type="dxa"/>
            <w:tcBorders>
              <w:top w:val="nil"/>
              <w:left w:val="nil"/>
              <w:bottom w:val="nil"/>
              <w:right w:val="nil"/>
            </w:tcBorders>
            <w:shd w:val="clear" w:color="auto" w:fill="auto"/>
            <w:vAlign w:val="center"/>
          </w:tcPr>
          <w:p w14:paraId="7D47E78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当月生产批次结果</w:t>
            </w:r>
          </w:p>
        </w:tc>
        <w:tc>
          <w:tcPr>
            <w:tcW w:w="1460" w:type="dxa"/>
            <w:tcBorders>
              <w:top w:val="nil"/>
              <w:left w:val="nil"/>
              <w:bottom w:val="nil"/>
              <w:right w:val="nil"/>
            </w:tcBorders>
            <w:shd w:val="clear" w:color="auto" w:fill="auto"/>
            <w:vAlign w:val="center"/>
          </w:tcPr>
          <w:p w14:paraId="436BAF8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FC6F89B">
        <w:trPr>
          <w:cantSplit/>
          <w:trHeight w:val="0" w:hRule="atLeast"/>
          <w:jc w:val="center"/>
        </w:trPr>
        <w:tc>
          <w:tcPr>
            <w:tcW w:w="2944" w:type="dxa"/>
            <w:tcBorders>
              <w:top w:val="nil"/>
              <w:left w:val="nil"/>
              <w:bottom w:val="nil"/>
              <w:right w:val="nil"/>
            </w:tcBorders>
            <w:shd w:val="clear" w:color="auto" w:fill="auto"/>
            <w:vAlign w:val="center"/>
          </w:tcPr>
          <w:p w14:paraId="3E0F319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P-ZLTC-SCOS-FYCB-001-80-001</w:t>
            </w:r>
          </w:p>
        </w:tc>
        <w:tc>
          <w:tcPr>
            <w:tcW w:w="945" w:type="dxa"/>
            <w:tcBorders>
              <w:top w:val="nil"/>
              <w:left w:val="nil"/>
              <w:bottom w:val="nil"/>
              <w:right w:val="nil"/>
            </w:tcBorders>
            <w:shd w:val="clear" w:color="auto" w:fill="auto"/>
            <w:vAlign w:val="center"/>
          </w:tcPr>
          <w:p w14:paraId="1F8EAC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保存当月批次主数据规则</w:t>
            </w:r>
          </w:p>
        </w:tc>
        <w:tc>
          <w:tcPr>
            <w:tcW w:w="966" w:type="dxa"/>
            <w:tcBorders>
              <w:top w:val="nil"/>
              <w:left w:val="nil"/>
              <w:bottom w:val="nil"/>
              <w:right w:val="nil"/>
            </w:tcBorders>
            <w:shd w:val="clear" w:color="auto" w:fill="auto"/>
            <w:vAlign w:val="center"/>
          </w:tcPr>
          <w:p w14:paraId="0453B1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A97962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2CF5E7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当月生产批次结果形成后</w:t>
            </w:r>
          </w:p>
        </w:tc>
        <w:tc>
          <w:tcPr>
            <w:tcW w:w="1406" w:type="dxa"/>
            <w:tcBorders>
              <w:top w:val="nil"/>
              <w:left w:val="nil"/>
              <w:bottom w:val="nil"/>
              <w:right w:val="nil"/>
            </w:tcBorders>
            <w:shd w:val="clear" w:color="auto" w:fill="auto"/>
            <w:vAlign w:val="center"/>
          </w:tcPr>
          <w:p w14:paraId="1C01BD4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保存批次结果及版本关系，提供给谱系关联和成本追溯使用；更正时新增替代版本并保留旧版本引用。</w:t>
            </w:r>
          </w:p>
        </w:tc>
        <w:tc>
          <w:tcPr>
            <w:tcW w:w="1088" w:type="dxa"/>
            <w:tcBorders>
              <w:top w:val="nil"/>
              <w:left w:val="nil"/>
              <w:bottom w:val="nil"/>
              <w:right w:val="nil"/>
            </w:tcBorders>
            <w:shd w:val="clear" w:color="auto" w:fill="auto"/>
            <w:vAlign w:val="center"/>
          </w:tcPr>
          <w:p w14:paraId="1F6985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当月批次主数据版本</w:t>
            </w:r>
          </w:p>
        </w:tc>
        <w:tc>
          <w:tcPr>
            <w:tcW w:w="1460" w:type="dxa"/>
            <w:tcBorders>
              <w:top w:val="nil"/>
              <w:left w:val="nil"/>
              <w:bottom w:val="nil"/>
              <w:right w:val="nil"/>
            </w:tcBorders>
            <w:shd w:val="clear" w:color="auto" w:fill="auto"/>
            <w:vAlign w:val="center"/>
          </w:tcPr>
          <w:p w14:paraId="6C4FA48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3203FBC">
        <w:trPr>
          <w:cantSplit/>
          <w:trHeight w:val="0" w:hRule="atLeast"/>
          <w:jc w:val="center"/>
        </w:trPr>
        <w:tc>
          <w:tcPr>
            <w:tcW w:w="2944" w:type="dxa"/>
            <w:tcBorders>
              <w:top w:val="nil"/>
              <w:left w:val="nil"/>
              <w:bottom w:val="nil"/>
              <w:right w:val="nil"/>
            </w:tcBorders>
            <w:shd w:val="clear" w:color="auto" w:fill="auto"/>
            <w:vAlign w:val="center"/>
          </w:tcPr>
          <w:p w14:paraId="793102D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P-ZLTC-SCOS-FYCB-002-10-001</w:t>
            </w:r>
          </w:p>
        </w:tc>
        <w:tc>
          <w:tcPr>
            <w:tcW w:w="945" w:type="dxa"/>
            <w:tcBorders>
              <w:top w:val="nil"/>
              <w:left w:val="nil"/>
              <w:bottom w:val="nil"/>
              <w:right w:val="nil"/>
            </w:tcBorders>
            <w:shd w:val="clear" w:color="auto" w:fill="auto"/>
            <w:vAlign w:val="center"/>
          </w:tcPr>
          <w:p w14:paraId="485D1DC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提供路由和关联证据规则</w:t>
            </w:r>
          </w:p>
        </w:tc>
        <w:tc>
          <w:tcPr>
            <w:tcW w:w="966" w:type="dxa"/>
            <w:tcBorders>
              <w:top w:val="nil"/>
              <w:left w:val="nil"/>
              <w:bottom w:val="nil"/>
              <w:right w:val="nil"/>
            </w:tcBorders>
            <w:shd w:val="clear" w:color="auto" w:fill="auto"/>
            <w:vAlign w:val="center"/>
          </w:tcPr>
          <w:p w14:paraId="6CD5B01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38158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2EB848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批次生成完成后由SCOS启动当月谱系关联时</w:t>
            </w:r>
          </w:p>
        </w:tc>
        <w:tc>
          <w:tcPr>
            <w:tcW w:w="1406" w:type="dxa"/>
            <w:tcBorders>
              <w:top w:val="nil"/>
              <w:left w:val="nil"/>
              <w:bottom w:val="nil"/>
              <w:right w:val="nil"/>
            </w:tcBorders>
            <w:shd w:val="clear" w:color="auto" w:fill="auto"/>
            <w:vAlign w:val="center"/>
          </w:tcPr>
          <w:p w14:paraId="7E73F4A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按与批次生成一致的时间、单位和版本口径提供关联证据；时钟漂移、计量复位和数据缺口随质量标识返回。</w:t>
            </w:r>
          </w:p>
        </w:tc>
        <w:tc>
          <w:tcPr>
            <w:tcW w:w="1088" w:type="dxa"/>
            <w:tcBorders>
              <w:top w:val="nil"/>
              <w:left w:val="nil"/>
              <w:bottom w:val="nil"/>
              <w:right w:val="nil"/>
            </w:tcBorders>
            <w:shd w:val="clear" w:color="auto" w:fill="auto"/>
            <w:vAlign w:val="center"/>
          </w:tcPr>
          <w:p w14:paraId="4038715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有效路由、阀门、转罐、物流、称重、计量和QC数据</w:t>
            </w:r>
          </w:p>
        </w:tc>
        <w:tc>
          <w:tcPr>
            <w:tcW w:w="1460" w:type="dxa"/>
            <w:tcBorders>
              <w:top w:val="nil"/>
              <w:left w:val="nil"/>
              <w:bottom w:val="nil"/>
              <w:right w:val="nil"/>
            </w:tcBorders>
            <w:shd w:val="clear" w:color="auto" w:fill="auto"/>
            <w:vAlign w:val="center"/>
          </w:tcPr>
          <w:p w14:paraId="7B55057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053CE2E4">
        <w:trPr>
          <w:cantSplit/>
          <w:trHeight w:val="0" w:hRule="atLeast"/>
          <w:jc w:val="center"/>
        </w:trPr>
        <w:tc>
          <w:tcPr>
            <w:tcW w:w="2944" w:type="dxa"/>
            <w:tcBorders>
              <w:top w:val="nil"/>
              <w:left w:val="nil"/>
              <w:bottom w:val="nil"/>
              <w:right w:val="nil"/>
            </w:tcBorders>
            <w:shd w:val="clear" w:color="auto" w:fill="auto"/>
            <w:vAlign w:val="center"/>
          </w:tcPr>
          <w:p w14:paraId="69EEBE3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P-ZLTC-SCOS-FYCB-002-20-001</w:t>
            </w:r>
          </w:p>
        </w:tc>
        <w:tc>
          <w:tcPr>
            <w:tcW w:w="945" w:type="dxa"/>
            <w:tcBorders>
              <w:top w:val="nil"/>
              <w:left w:val="nil"/>
              <w:bottom w:val="nil"/>
              <w:right w:val="nil"/>
            </w:tcBorders>
            <w:shd w:val="clear" w:color="auto" w:fill="auto"/>
            <w:vAlign w:val="center"/>
          </w:tcPr>
          <w:p w14:paraId="70475BF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加载有效路由并统一事件口径规则</w:t>
            </w:r>
          </w:p>
        </w:tc>
        <w:tc>
          <w:tcPr>
            <w:tcW w:w="966" w:type="dxa"/>
            <w:tcBorders>
              <w:top w:val="nil"/>
              <w:left w:val="nil"/>
              <w:bottom w:val="nil"/>
              <w:right w:val="nil"/>
            </w:tcBorders>
            <w:shd w:val="clear" w:color="auto" w:fill="auto"/>
            <w:vAlign w:val="center"/>
          </w:tcPr>
          <w:p w14:paraId="1969AAD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D96312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276D78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有效路由、阀门、转罐、物流、称重、计量和QC数据形成后</w:t>
            </w:r>
          </w:p>
        </w:tc>
        <w:tc>
          <w:tcPr>
            <w:tcW w:w="1406" w:type="dxa"/>
            <w:tcBorders>
              <w:top w:val="nil"/>
              <w:left w:val="nil"/>
              <w:bottom w:val="nil"/>
              <w:right w:val="nil"/>
            </w:tcBorders>
            <w:shd w:val="clear" w:color="auto" w:fill="auto"/>
            <w:vAlign w:val="center"/>
          </w:tcPr>
          <w:p w14:paraId="0A1EF9B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按事件时间加载路由版本，统一时区、单位和事件顺序；跨版本事件不直接相连，先标记异常。</w:t>
            </w:r>
          </w:p>
        </w:tc>
        <w:tc>
          <w:tcPr>
            <w:tcW w:w="1088" w:type="dxa"/>
            <w:tcBorders>
              <w:top w:val="nil"/>
              <w:left w:val="nil"/>
              <w:bottom w:val="nil"/>
              <w:right w:val="nil"/>
            </w:tcBorders>
            <w:shd w:val="clear" w:color="auto" w:fill="auto"/>
            <w:vAlign w:val="center"/>
          </w:tcPr>
          <w:p w14:paraId="45F4888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事件时点有效路由及标准化事件</w:t>
            </w:r>
          </w:p>
        </w:tc>
        <w:tc>
          <w:tcPr>
            <w:tcW w:w="1460" w:type="dxa"/>
            <w:tcBorders>
              <w:top w:val="nil"/>
              <w:left w:val="nil"/>
              <w:bottom w:val="nil"/>
              <w:right w:val="nil"/>
            </w:tcBorders>
            <w:shd w:val="clear" w:color="auto" w:fill="auto"/>
            <w:vAlign w:val="center"/>
          </w:tcPr>
          <w:p w14:paraId="680F7A6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F98FB22">
        <w:trPr>
          <w:cantSplit/>
          <w:trHeight w:val="0" w:hRule="atLeast"/>
          <w:jc w:val="center"/>
        </w:trPr>
        <w:tc>
          <w:tcPr>
            <w:tcW w:w="2944" w:type="dxa"/>
            <w:tcBorders>
              <w:top w:val="nil"/>
              <w:left w:val="nil"/>
              <w:bottom w:val="nil"/>
              <w:right w:val="nil"/>
            </w:tcBorders>
            <w:shd w:val="clear" w:color="auto" w:fill="auto"/>
            <w:vAlign w:val="center"/>
          </w:tcPr>
          <w:p w14:paraId="37462D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P-ZLTC-SCOS-FYCB-002-30-001</w:t>
            </w:r>
          </w:p>
        </w:tc>
        <w:tc>
          <w:tcPr>
            <w:tcW w:w="945" w:type="dxa"/>
            <w:tcBorders>
              <w:top w:val="nil"/>
              <w:left w:val="nil"/>
              <w:bottom w:val="nil"/>
              <w:right w:val="nil"/>
            </w:tcBorders>
            <w:shd w:val="clear" w:color="auto" w:fill="auto"/>
            <w:vAlign w:val="center"/>
          </w:tcPr>
          <w:p w14:paraId="57FDD0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计算上游物料动态到达区间规则</w:t>
            </w:r>
          </w:p>
        </w:tc>
        <w:tc>
          <w:tcPr>
            <w:tcW w:w="966" w:type="dxa"/>
            <w:tcBorders>
              <w:top w:val="nil"/>
              <w:left w:val="nil"/>
              <w:bottom w:val="nil"/>
              <w:right w:val="nil"/>
            </w:tcBorders>
            <w:shd w:val="clear" w:color="auto" w:fill="auto"/>
            <w:vAlign w:val="center"/>
          </w:tcPr>
          <w:p w14:paraId="51E712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BDC3C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1DC4E0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事件时点有效路由及标准化事件形成后</w:t>
            </w:r>
          </w:p>
        </w:tc>
        <w:tc>
          <w:tcPr>
            <w:tcW w:w="1406" w:type="dxa"/>
            <w:tcBorders>
              <w:top w:val="nil"/>
              <w:left w:val="nil"/>
              <w:bottom w:val="nil"/>
              <w:right w:val="nil"/>
            </w:tcBorders>
            <w:shd w:val="clear" w:color="auto" w:fill="auto"/>
            <w:vAlign w:val="center"/>
          </w:tcPr>
          <w:p w14:paraId="40A215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连续段采用实际流量积分传递边界；固定时长仅作已维护的降级估算并降低可信度。</w:t>
            </w:r>
          </w:p>
        </w:tc>
        <w:tc>
          <w:tcPr>
            <w:tcW w:w="1088" w:type="dxa"/>
            <w:tcBorders>
              <w:top w:val="nil"/>
              <w:left w:val="nil"/>
              <w:bottom w:val="nil"/>
              <w:right w:val="nil"/>
            </w:tcBorders>
            <w:shd w:val="clear" w:color="auto" w:fill="auto"/>
            <w:vAlign w:val="center"/>
          </w:tcPr>
          <w:p w14:paraId="0D975FE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各路由边到达区间</w:t>
            </w:r>
          </w:p>
        </w:tc>
        <w:tc>
          <w:tcPr>
            <w:tcW w:w="1460" w:type="dxa"/>
            <w:tcBorders>
              <w:top w:val="nil"/>
              <w:left w:val="nil"/>
              <w:bottom w:val="nil"/>
              <w:right w:val="nil"/>
            </w:tcBorders>
            <w:shd w:val="clear" w:color="auto" w:fill="auto"/>
            <w:vAlign w:val="center"/>
          </w:tcPr>
          <w:p w14:paraId="5B8EB5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4C5ADA">
        <w:trPr>
          <w:cantSplit/>
          <w:trHeight w:val="0" w:hRule="atLeast"/>
          <w:jc w:val="center"/>
        </w:trPr>
        <w:tc>
          <w:tcPr>
            <w:tcW w:w="2944" w:type="dxa"/>
            <w:tcBorders>
              <w:top w:val="nil"/>
              <w:left w:val="nil"/>
              <w:bottom w:val="nil"/>
              <w:right w:val="nil"/>
            </w:tcBorders>
            <w:shd w:val="clear" w:color="auto" w:fill="auto"/>
            <w:vAlign w:val="center"/>
          </w:tcPr>
          <w:p w14:paraId="04712FD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P-ZLTC-SCOS-FYCB-002-40-001</w:t>
            </w:r>
          </w:p>
        </w:tc>
        <w:tc>
          <w:tcPr>
            <w:tcW w:w="945" w:type="dxa"/>
            <w:tcBorders>
              <w:top w:val="nil"/>
              <w:left w:val="nil"/>
              <w:bottom w:val="nil"/>
              <w:right w:val="nil"/>
            </w:tcBorders>
            <w:shd w:val="clear" w:color="auto" w:fill="auto"/>
            <w:vAlign w:val="center"/>
          </w:tcPr>
          <w:p w14:paraId="74EC0B0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筛选路线连通的待确认的关联关系规则</w:t>
            </w:r>
          </w:p>
        </w:tc>
        <w:tc>
          <w:tcPr>
            <w:tcW w:w="966" w:type="dxa"/>
            <w:tcBorders>
              <w:top w:val="nil"/>
              <w:left w:val="nil"/>
              <w:bottom w:val="nil"/>
              <w:right w:val="nil"/>
            </w:tcBorders>
            <w:shd w:val="clear" w:color="auto" w:fill="auto"/>
            <w:vAlign w:val="center"/>
          </w:tcPr>
          <w:p w14:paraId="7181601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38473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70DDA1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各路由边到达区间形成后</w:t>
            </w:r>
          </w:p>
        </w:tc>
        <w:tc>
          <w:tcPr>
            <w:tcW w:w="1406" w:type="dxa"/>
            <w:tcBorders>
              <w:top w:val="nil"/>
              <w:left w:val="nil"/>
              <w:bottom w:val="nil"/>
              <w:right w:val="nil"/>
            </w:tcBorders>
            <w:shd w:val="clear" w:color="auto" w:fill="auto"/>
            <w:vAlign w:val="center"/>
          </w:tcPr>
          <w:p w14:paraId="263FF0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筛选同时符合路线、物料、设备占用和时间条件的上下游批次关系；时间重叠仅筛选候选，不直接代表数量归属。</w:t>
            </w:r>
          </w:p>
        </w:tc>
        <w:tc>
          <w:tcPr>
            <w:tcW w:w="1088" w:type="dxa"/>
            <w:tcBorders>
              <w:top w:val="nil"/>
              <w:left w:val="nil"/>
              <w:bottom w:val="nil"/>
              <w:right w:val="nil"/>
            </w:tcBorders>
            <w:shd w:val="clear" w:color="auto" w:fill="auto"/>
            <w:vAlign w:val="center"/>
          </w:tcPr>
          <w:p w14:paraId="69F7F9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候选上下游关系</w:t>
            </w:r>
          </w:p>
        </w:tc>
        <w:tc>
          <w:tcPr>
            <w:tcW w:w="1460" w:type="dxa"/>
            <w:tcBorders>
              <w:top w:val="nil"/>
              <w:left w:val="nil"/>
              <w:bottom w:val="nil"/>
              <w:right w:val="nil"/>
            </w:tcBorders>
            <w:shd w:val="clear" w:color="auto" w:fill="auto"/>
            <w:vAlign w:val="center"/>
          </w:tcPr>
          <w:p w14:paraId="2879D08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4D8AA9B">
        <w:trPr>
          <w:cantSplit/>
          <w:trHeight w:val="0" w:hRule="atLeast"/>
          <w:jc w:val="center"/>
        </w:trPr>
        <w:tc>
          <w:tcPr>
            <w:tcW w:w="2944" w:type="dxa"/>
            <w:tcBorders>
              <w:top w:val="nil"/>
              <w:left w:val="nil"/>
              <w:bottom w:val="nil"/>
              <w:right w:val="nil"/>
            </w:tcBorders>
            <w:shd w:val="clear" w:color="auto" w:fill="auto"/>
            <w:vAlign w:val="center"/>
          </w:tcPr>
          <w:p w14:paraId="158FFBB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P-ZLTC-SCOS-FYCB-002-50-001</w:t>
            </w:r>
          </w:p>
        </w:tc>
        <w:tc>
          <w:tcPr>
            <w:tcW w:w="945" w:type="dxa"/>
            <w:tcBorders>
              <w:top w:val="nil"/>
              <w:left w:val="nil"/>
              <w:bottom w:val="nil"/>
              <w:right w:val="nil"/>
            </w:tcBorders>
            <w:shd w:val="clear" w:color="auto" w:fill="auto"/>
            <w:vAlign w:val="center"/>
          </w:tcPr>
          <w:p w14:paraId="309B0F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计算关系数量占比和转化率规则</w:t>
            </w:r>
          </w:p>
        </w:tc>
        <w:tc>
          <w:tcPr>
            <w:tcW w:w="966" w:type="dxa"/>
            <w:tcBorders>
              <w:top w:val="nil"/>
              <w:left w:val="nil"/>
              <w:bottom w:val="nil"/>
              <w:right w:val="nil"/>
            </w:tcBorders>
            <w:shd w:val="clear" w:color="auto" w:fill="auto"/>
            <w:vAlign w:val="center"/>
          </w:tcPr>
          <w:p w14:paraId="4ECFC29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6B82D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299B46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候选上下游关系形成后</w:t>
            </w:r>
          </w:p>
        </w:tc>
        <w:tc>
          <w:tcPr>
            <w:tcW w:w="1406" w:type="dxa"/>
            <w:tcBorders>
              <w:top w:val="nil"/>
              <w:left w:val="nil"/>
              <w:bottom w:val="nil"/>
              <w:right w:val="nil"/>
            </w:tcBorders>
            <w:shd w:val="clear" w:color="auto" w:fill="auto"/>
            <w:vAlign w:val="center"/>
          </w:tcPr>
          <w:p w14:paraId="316C6BA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优先按支路和接收点实测质量定量；不以标准配方或固定收率改写实际谱系。</w:t>
            </w:r>
          </w:p>
        </w:tc>
        <w:tc>
          <w:tcPr>
            <w:tcW w:w="1088" w:type="dxa"/>
            <w:tcBorders>
              <w:top w:val="nil"/>
              <w:left w:val="nil"/>
              <w:bottom w:val="nil"/>
              <w:right w:val="nil"/>
            </w:tcBorders>
            <w:shd w:val="clear" w:color="auto" w:fill="auto"/>
            <w:vAlign w:val="center"/>
          </w:tcPr>
          <w:p w14:paraId="4FF6C7C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转出量、接收量、去向占比、来源占比和转化率</w:t>
            </w:r>
          </w:p>
        </w:tc>
        <w:tc>
          <w:tcPr>
            <w:tcW w:w="1460" w:type="dxa"/>
            <w:tcBorders>
              <w:top w:val="nil"/>
              <w:left w:val="nil"/>
              <w:bottom w:val="nil"/>
              <w:right w:val="nil"/>
            </w:tcBorders>
            <w:shd w:val="clear" w:color="auto" w:fill="auto"/>
            <w:vAlign w:val="center"/>
          </w:tcPr>
          <w:p w14:paraId="155568D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AAD4DD9">
        <w:trPr>
          <w:cantSplit/>
          <w:trHeight w:val="0" w:hRule="atLeast"/>
          <w:jc w:val="center"/>
        </w:trPr>
        <w:tc>
          <w:tcPr>
            <w:tcW w:w="2944" w:type="dxa"/>
            <w:tcBorders>
              <w:top w:val="nil"/>
              <w:left w:val="nil"/>
              <w:bottom w:val="nil"/>
              <w:right w:val="nil"/>
            </w:tcBorders>
            <w:shd w:val="clear" w:color="auto" w:fill="auto"/>
            <w:vAlign w:val="center"/>
          </w:tcPr>
          <w:p w14:paraId="475F67B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P-ZLTC-SCOS-FYCB-002-60-001</w:t>
            </w:r>
          </w:p>
        </w:tc>
        <w:tc>
          <w:tcPr>
            <w:tcW w:w="945" w:type="dxa"/>
            <w:tcBorders>
              <w:top w:val="nil"/>
              <w:left w:val="nil"/>
              <w:bottom w:val="nil"/>
              <w:right w:val="nil"/>
            </w:tcBorders>
            <w:shd w:val="clear" w:color="auto" w:fill="auto"/>
            <w:vAlign w:val="center"/>
          </w:tcPr>
          <w:p w14:paraId="57A4ED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判断谱系关系是否可追溯规则</w:t>
            </w:r>
          </w:p>
        </w:tc>
        <w:tc>
          <w:tcPr>
            <w:tcW w:w="966" w:type="dxa"/>
            <w:tcBorders>
              <w:top w:val="nil"/>
              <w:left w:val="nil"/>
              <w:bottom w:val="nil"/>
              <w:right w:val="nil"/>
            </w:tcBorders>
            <w:shd w:val="clear" w:color="auto" w:fill="auto"/>
            <w:vAlign w:val="center"/>
          </w:tcPr>
          <w:p w14:paraId="7843566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B846A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4F57EB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转出量、接收量、去向占比、来源占比和转化率形成后</w:t>
            </w:r>
          </w:p>
        </w:tc>
        <w:tc>
          <w:tcPr>
            <w:tcW w:w="1406" w:type="dxa"/>
            <w:tcBorders>
              <w:top w:val="nil"/>
              <w:left w:val="nil"/>
              <w:bottom w:val="nil"/>
              <w:right w:val="nil"/>
            </w:tcBorders>
            <w:shd w:val="clear" w:color="auto" w:fill="auto"/>
            <w:vAlign w:val="center"/>
          </w:tcPr>
          <w:p w14:paraId="0A449B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校验分流汇流数量、共享设备占用、质量放行及返工来源；谱系关系不可追溯时补充事实；谱系关系可追溯时生成结果。</w:t>
            </w:r>
          </w:p>
        </w:tc>
        <w:tc>
          <w:tcPr>
            <w:tcW w:w="1088" w:type="dxa"/>
            <w:tcBorders>
              <w:top w:val="nil"/>
              <w:left w:val="nil"/>
              <w:bottom w:val="nil"/>
              <w:right w:val="nil"/>
            </w:tcBorders>
            <w:shd w:val="clear" w:color="auto" w:fill="auto"/>
            <w:vAlign w:val="center"/>
          </w:tcPr>
          <w:p w14:paraId="03FB039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路线、重量、容量、顺序、配方、QC和返工校验结果</w:t>
            </w:r>
          </w:p>
        </w:tc>
        <w:tc>
          <w:tcPr>
            <w:tcW w:w="1460" w:type="dxa"/>
            <w:tcBorders>
              <w:top w:val="nil"/>
              <w:left w:val="nil"/>
              <w:bottom w:val="nil"/>
              <w:right w:val="nil"/>
            </w:tcBorders>
            <w:shd w:val="clear" w:color="auto" w:fill="auto"/>
            <w:vAlign w:val="center"/>
          </w:tcPr>
          <w:p w14:paraId="6639B39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C46A6A">
        <w:trPr>
          <w:cantSplit/>
          <w:trHeight w:val="0" w:hRule="atLeast"/>
          <w:jc w:val="center"/>
        </w:trPr>
        <w:tc>
          <w:tcPr>
            <w:tcW w:w="2944" w:type="dxa"/>
            <w:tcBorders>
              <w:top w:val="nil"/>
              <w:left w:val="nil"/>
              <w:bottom w:val="nil"/>
              <w:right w:val="nil"/>
            </w:tcBorders>
            <w:shd w:val="clear" w:color="auto" w:fill="auto"/>
            <w:vAlign w:val="center"/>
          </w:tcPr>
          <w:p w14:paraId="414532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P-ZLTC-SCOS-FYCB-002-70-001</w:t>
            </w:r>
          </w:p>
        </w:tc>
        <w:tc>
          <w:tcPr>
            <w:tcW w:w="945" w:type="dxa"/>
            <w:tcBorders>
              <w:top w:val="nil"/>
              <w:left w:val="nil"/>
              <w:bottom w:val="nil"/>
              <w:right w:val="nil"/>
            </w:tcBorders>
            <w:shd w:val="clear" w:color="auto" w:fill="auto"/>
            <w:vAlign w:val="center"/>
          </w:tcPr>
          <w:p w14:paraId="61891C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补充异常关系业务事实规则</w:t>
            </w:r>
          </w:p>
        </w:tc>
        <w:tc>
          <w:tcPr>
            <w:tcW w:w="966" w:type="dxa"/>
            <w:tcBorders>
              <w:top w:val="nil"/>
              <w:left w:val="nil"/>
              <w:bottom w:val="nil"/>
              <w:right w:val="nil"/>
            </w:tcBorders>
            <w:shd w:val="clear" w:color="auto" w:fill="auto"/>
            <w:vAlign w:val="center"/>
          </w:tcPr>
          <w:p w14:paraId="5BDDFCB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89DFA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57D4BF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谱系关系不可追溯时</w:t>
            </w:r>
          </w:p>
        </w:tc>
        <w:tc>
          <w:tcPr>
            <w:tcW w:w="1406" w:type="dxa"/>
            <w:tcBorders>
              <w:top w:val="nil"/>
              <w:left w:val="nil"/>
              <w:bottom w:val="nil"/>
              <w:right w:val="nil"/>
            </w:tcBorders>
            <w:shd w:val="clear" w:color="auto" w:fill="auto"/>
            <w:vAlign w:val="center"/>
          </w:tcPr>
          <w:p w14:paraId="119443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生产负责人在SCOS核对异常关系并补充现场事实；无可靠依据的关系保持候选状态。</w:t>
            </w:r>
          </w:p>
        </w:tc>
        <w:tc>
          <w:tcPr>
            <w:tcW w:w="1088" w:type="dxa"/>
            <w:tcBorders>
              <w:top w:val="nil"/>
              <w:left w:val="nil"/>
              <w:bottom w:val="nil"/>
              <w:right w:val="nil"/>
            </w:tcBorders>
            <w:shd w:val="clear" w:color="auto" w:fill="auto"/>
            <w:vAlign w:val="center"/>
          </w:tcPr>
          <w:p w14:paraId="1F42E7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旁路、停机、切换、返工和实际操作说明</w:t>
            </w:r>
          </w:p>
        </w:tc>
        <w:tc>
          <w:tcPr>
            <w:tcW w:w="1460" w:type="dxa"/>
            <w:tcBorders>
              <w:top w:val="nil"/>
              <w:left w:val="nil"/>
              <w:bottom w:val="nil"/>
              <w:right w:val="nil"/>
            </w:tcBorders>
            <w:shd w:val="clear" w:color="auto" w:fill="auto"/>
            <w:vAlign w:val="center"/>
          </w:tcPr>
          <w:p w14:paraId="28C00C4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6E3E5D8">
        <w:trPr>
          <w:cantSplit/>
          <w:trHeight w:val="0" w:hRule="atLeast"/>
          <w:jc w:val="center"/>
        </w:trPr>
        <w:tc>
          <w:tcPr>
            <w:tcW w:w="2944" w:type="dxa"/>
            <w:tcBorders>
              <w:top w:val="nil"/>
              <w:left w:val="nil"/>
              <w:bottom w:val="nil"/>
              <w:right w:val="nil"/>
            </w:tcBorders>
            <w:shd w:val="clear" w:color="auto" w:fill="auto"/>
            <w:vAlign w:val="center"/>
          </w:tcPr>
          <w:p w14:paraId="76407A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P-ZLTC-SCOS-FYCB-002-80-001</w:t>
            </w:r>
          </w:p>
        </w:tc>
        <w:tc>
          <w:tcPr>
            <w:tcW w:w="945" w:type="dxa"/>
            <w:tcBorders>
              <w:top w:val="nil"/>
              <w:left w:val="nil"/>
              <w:bottom w:val="nil"/>
              <w:right w:val="nil"/>
            </w:tcBorders>
            <w:shd w:val="clear" w:color="auto" w:fill="auto"/>
            <w:vAlign w:val="center"/>
          </w:tcPr>
          <w:p w14:paraId="3DECB6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生成当月批次谱系结果规则</w:t>
            </w:r>
          </w:p>
        </w:tc>
        <w:tc>
          <w:tcPr>
            <w:tcW w:w="966" w:type="dxa"/>
            <w:tcBorders>
              <w:top w:val="nil"/>
              <w:left w:val="nil"/>
              <w:bottom w:val="nil"/>
              <w:right w:val="nil"/>
            </w:tcBorders>
            <w:shd w:val="clear" w:color="auto" w:fill="auto"/>
            <w:vAlign w:val="center"/>
          </w:tcPr>
          <w:p w14:paraId="3664D52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4615E4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0073A9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谱系关系可追溯时</w:t>
            </w:r>
          </w:p>
        </w:tc>
        <w:tc>
          <w:tcPr>
            <w:tcW w:w="1406" w:type="dxa"/>
            <w:tcBorders>
              <w:top w:val="nil"/>
              <w:left w:val="nil"/>
              <w:bottom w:val="nil"/>
              <w:right w:val="nil"/>
            </w:tcBorders>
            <w:shd w:val="clear" w:color="auto" w:fill="auto"/>
            <w:vAlign w:val="center"/>
          </w:tcPr>
          <w:p w14:paraId="6B66B9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形成上下游批次关系，记录数量、占比、依据和可信状态；候选、确认和低可信度关系分状态输出。</w:t>
            </w:r>
          </w:p>
        </w:tc>
        <w:tc>
          <w:tcPr>
            <w:tcW w:w="1088" w:type="dxa"/>
            <w:tcBorders>
              <w:top w:val="nil"/>
              <w:left w:val="nil"/>
              <w:bottom w:val="nil"/>
              <w:right w:val="nil"/>
            </w:tcBorders>
            <w:shd w:val="clear" w:color="auto" w:fill="auto"/>
            <w:vAlign w:val="center"/>
          </w:tcPr>
          <w:p w14:paraId="3383ED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当月批次谱系结果</w:t>
            </w:r>
          </w:p>
        </w:tc>
        <w:tc>
          <w:tcPr>
            <w:tcW w:w="1460" w:type="dxa"/>
            <w:tcBorders>
              <w:top w:val="nil"/>
              <w:left w:val="nil"/>
              <w:bottom w:val="nil"/>
              <w:right w:val="nil"/>
            </w:tcBorders>
            <w:shd w:val="clear" w:color="auto" w:fill="auto"/>
            <w:vAlign w:val="center"/>
          </w:tcPr>
          <w:p w14:paraId="7D7B776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7CEA535">
        <w:trPr>
          <w:cantSplit/>
          <w:trHeight w:val="0" w:hRule="atLeast"/>
          <w:jc w:val="center"/>
        </w:trPr>
        <w:tc>
          <w:tcPr>
            <w:tcW w:w="2944" w:type="dxa"/>
            <w:tcBorders>
              <w:top w:val="nil"/>
              <w:left w:val="nil"/>
              <w:bottom w:val="nil"/>
              <w:right w:val="nil"/>
            </w:tcBorders>
            <w:shd w:val="clear" w:color="auto" w:fill="auto"/>
            <w:vAlign w:val="center"/>
          </w:tcPr>
          <w:p w14:paraId="78CEE3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P-ZLTC-SCOS-FYCB-002-90-001</w:t>
            </w:r>
          </w:p>
        </w:tc>
        <w:tc>
          <w:tcPr>
            <w:tcW w:w="945" w:type="dxa"/>
            <w:tcBorders>
              <w:top w:val="nil"/>
              <w:left w:val="nil"/>
              <w:bottom w:val="nil"/>
              <w:right w:val="nil"/>
            </w:tcBorders>
            <w:shd w:val="clear" w:color="auto" w:fill="auto"/>
            <w:vAlign w:val="center"/>
          </w:tcPr>
          <w:p w14:paraId="0BD9D6C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保存当月批次谱系规则</w:t>
            </w:r>
          </w:p>
        </w:tc>
        <w:tc>
          <w:tcPr>
            <w:tcW w:w="966" w:type="dxa"/>
            <w:tcBorders>
              <w:top w:val="nil"/>
              <w:left w:val="nil"/>
              <w:bottom w:val="nil"/>
              <w:right w:val="nil"/>
            </w:tcBorders>
            <w:shd w:val="clear" w:color="auto" w:fill="auto"/>
            <w:vAlign w:val="center"/>
          </w:tcPr>
          <w:p w14:paraId="29D5392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0B85C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6CC423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当月批次谱系结果形成后</w:t>
            </w:r>
          </w:p>
        </w:tc>
        <w:tc>
          <w:tcPr>
            <w:tcW w:w="1406" w:type="dxa"/>
            <w:tcBorders>
              <w:top w:val="nil"/>
              <w:left w:val="nil"/>
              <w:bottom w:val="nil"/>
              <w:right w:val="nil"/>
            </w:tcBorders>
            <w:shd w:val="clear" w:color="auto" w:fill="auto"/>
            <w:vAlign w:val="center"/>
          </w:tcPr>
          <w:p w14:paraId="00CB89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保存关系结果和受影响后代索引，支持成本计算与双向追溯；迟到或更正数据形成替代版本，不覆盖历史。</w:t>
            </w:r>
          </w:p>
        </w:tc>
        <w:tc>
          <w:tcPr>
            <w:tcW w:w="1088" w:type="dxa"/>
            <w:tcBorders>
              <w:top w:val="nil"/>
              <w:left w:val="nil"/>
              <w:bottom w:val="nil"/>
              <w:right w:val="nil"/>
            </w:tcBorders>
            <w:shd w:val="clear" w:color="auto" w:fill="auto"/>
            <w:vAlign w:val="center"/>
          </w:tcPr>
          <w:p w14:paraId="1AAC893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月度批次谱系版本</w:t>
            </w:r>
          </w:p>
        </w:tc>
        <w:tc>
          <w:tcPr>
            <w:tcW w:w="1460" w:type="dxa"/>
            <w:tcBorders>
              <w:top w:val="nil"/>
              <w:left w:val="nil"/>
              <w:bottom w:val="nil"/>
              <w:right w:val="nil"/>
            </w:tcBorders>
            <w:shd w:val="clear" w:color="auto" w:fill="auto"/>
            <w:vAlign w:val="center"/>
          </w:tcPr>
          <w:p w14:paraId="37162D1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25980DFC">
        <w:trPr>
          <w:cantSplit/>
          <w:trHeight w:val="0" w:hRule="atLeast"/>
          <w:jc w:val="center"/>
        </w:trPr>
        <w:tc>
          <w:tcPr>
            <w:tcW w:w="2944" w:type="dxa"/>
            <w:tcBorders>
              <w:top w:val="nil"/>
              <w:left w:val="nil"/>
              <w:bottom w:val="nil"/>
              <w:right w:val="nil"/>
            </w:tcBorders>
            <w:shd w:val="clear" w:color="auto" w:fill="auto"/>
            <w:vAlign w:val="center"/>
          </w:tcPr>
          <w:p w14:paraId="15F2E9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P-ZLTC-SCOS-FYCB-003-10-001</w:t>
            </w:r>
          </w:p>
        </w:tc>
        <w:tc>
          <w:tcPr>
            <w:tcW w:w="945" w:type="dxa"/>
            <w:tcBorders>
              <w:top w:val="nil"/>
              <w:left w:val="nil"/>
              <w:bottom w:val="nil"/>
              <w:right w:val="nil"/>
            </w:tcBorders>
            <w:shd w:val="clear" w:color="auto" w:fill="auto"/>
            <w:vAlign w:val="center"/>
          </w:tcPr>
          <w:p w14:paraId="412701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提供当月成本事实数据规则</w:t>
            </w:r>
          </w:p>
        </w:tc>
        <w:tc>
          <w:tcPr>
            <w:tcW w:w="966" w:type="dxa"/>
            <w:tcBorders>
              <w:top w:val="nil"/>
              <w:left w:val="nil"/>
              <w:bottom w:val="nil"/>
              <w:right w:val="nil"/>
            </w:tcBorders>
            <w:shd w:val="clear" w:color="auto" w:fill="auto"/>
            <w:vAlign w:val="center"/>
          </w:tcPr>
          <w:p w14:paraId="2A474AF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16731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4B418F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谱系可用后由SCOS启动直接成本归集时</w:t>
            </w:r>
          </w:p>
        </w:tc>
        <w:tc>
          <w:tcPr>
            <w:tcW w:w="1406" w:type="dxa"/>
            <w:tcBorders>
              <w:top w:val="nil"/>
              <w:left w:val="nil"/>
              <w:bottom w:val="nil"/>
              <w:right w:val="nil"/>
            </w:tcBorders>
            <w:shd w:val="clear" w:color="auto" w:fill="auto"/>
            <w:vAlign w:val="center"/>
          </w:tcPr>
          <w:p w14:paraId="761EA7F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提供成本记录的来源、时间、数量、单价、金额及税额；缺失、重复或期间外记录携带数据质量标识。</w:t>
            </w:r>
          </w:p>
        </w:tc>
        <w:tc>
          <w:tcPr>
            <w:tcW w:w="1088" w:type="dxa"/>
            <w:tcBorders>
              <w:top w:val="nil"/>
              <w:left w:val="nil"/>
              <w:bottom w:val="nil"/>
              <w:right w:val="nil"/>
            </w:tcBorders>
            <w:shd w:val="clear" w:color="auto" w:fill="auto"/>
            <w:vAlign w:val="center"/>
          </w:tcPr>
          <w:p w14:paraId="77CFD71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采购、领料、能源、维修、检验、包装和运输成本事实</w:t>
            </w:r>
          </w:p>
        </w:tc>
        <w:tc>
          <w:tcPr>
            <w:tcW w:w="1460" w:type="dxa"/>
            <w:tcBorders>
              <w:top w:val="nil"/>
              <w:left w:val="nil"/>
              <w:bottom w:val="nil"/>
              <w:right w:val="nil"/>
            </w:tcBorders>
            <w:shd w:val="clear" w:color="auto" w:fill="auto"/>
            <w:vAlign w:val="center"/>
          </w:tcPr>
          <w:p w14:paraId="7CBB8F1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381D461">
        <w:trPr>
          <w:cantSplit/>
          <w:trHeight w:val="0" w:hRule="atLeast"/>
          <w:jc w:val="center"/>
        </w:trPr>
        <w:tc>
          <w:tcPr>
            <w:tcW w:w="2944" w:type="dxa"/>
            <w:tcBorders>
              <w:top w:val="nil"/>
              <w:left w:val="nil"/>
              <w:bottom w:val="nil"/>
              <w:right w:val="nil"/>
            </w:tcBorders>
            <w:shd w:val="clear" w:color="auto" w:fill="auto"/>
            <w:vAlign w:val="center"/>
          </w:tcPr>
          <w:p w14:paraId="1B72306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P-ZLTC-SCOS-FYCB-003-20-001</w:t>
            </w:r>
          </w:p>
        </w:tc>
        <w:tc>
          <w:tcPr>
            <w:tcW w:w="945" w:type="dxa"/>
            <w:tcBorders>
              <w:top w:val="nil"/>
              <w:left w:val="nil"/>
              <w:bottom w:val="nil"/>
              <w:right w:val="nil"/>
            </w:tcBorders>
            <w:shd w:val="clear" w:color="auto" w:fill="auto"/>
            <w:vAlign w:val="center"/>
          </w:tcPr>
          <w:p w14:paraId="2032FD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标准化并去重成本事实规则</w:t>
            </w:r>
          </w:p>
        </w:tc>
        <w:tc>
          <w:tcPr>
            <w:tcW w:w="966" w:type="dxa"/>
            <w:tcBorders>
              <w:top w:val="nil"/>
              <w:left w:val="nil"/>
              <w:bottom w:val="nil"/>
              <w:right w:val="nil"/>
            </w:tcBorders>
            <w:shd w:val="clear" w:color="auto" w:fill="auto"/>
            <w:vAlign w:val="center"/>
          </w:tcPr>
          <w:p w14:paraId="4CE77C5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515C8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73F444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采购、领料、能源、维修、检验、包装和运输成本事实形成后</w:t>
            </w:r>
          </w:p>
        </w:tc>
        <w:tc>
          <w:tcPr>
            <w:tcW w:w="1406" w:type="dxa"/>
            <w:tcBorders>
              <w:top w:val="nil"/>
              <w:left w:val="nil"/>
              <w:bottom w:val="nil"/>
              <w:right w:val="nil"/>
            </w:tcBorders>
            <w:shd w:val="clear" w:color="auto" w:fill="auto"/>
            <w:vAlign w:val="center"/>
          </w:tcPr>
          <w:p w14:paraId="6849F3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统一期间、币种、税口径、数量单位和成本要素；重复记录拒绝进入后续计算；暂估与实际保留关联。</w:t>
            </w:r>
          </w:p>
        </w:tc>
        <w:tc>
          <w:tcPr>
            <w:tcW w:w="1088" w:type="dxa"/>
            <w:tcBorders>
              <w:top w:val="nil"/>
              <w:left w:val="nil"/>
              <w:bottom w:val="nil"/>
              <w:right w:val="nil"/>
            </w:tcBorders>
            <w:shd w:val="clear" w:color="auto" w:fill="auto"/>
            <w:vAlign w:val="center"/>
          </w:tcPr>
          <w:p w14:paraId="4164639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标准化且唯一的成本记录</w:t>
            </w:r>
          </w:p>
        </w:tc>
        <w:tc>
          <w:tcPr>
            <w:tcW w:w="1460" w:type="dxa"/>
            <w:tcBorders>
              <w:top w:val="nil"/>
              <w:left w:val="nil"/>
              <w:bottom w:val="nil"/>
              <w:right w:val="nil"/>
            </w:tcBorders>
            <w:shd w:val="clear" w:color="auto" w:fill="auto"/>
            <w:vAlign w:val="center"/>
          </w:tcPr>
          <w:p w14:paraId="3D5065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754B727">
        <w:trPr>
          <w:cantSplit/>
          <w:trHeight w:val="0" w:hRule="atLeast"/>
          <w:jc w:val="center"/>
        </w:trPr>
        <w:tc>
          <w:tcPr>
            <w:tcW w:w="2944" w:type="dxa"/>
            <w:tcBorders>
              <w:top w:val="nil"/>
              <w:left w:val="nil"/>
              <w:bottom w:val="nil"/>
              <w:right w:val="nil"/>
            </w:tcBorders>
            <w:shd w:val="clear" w:color="auto" w:fill="auto"/>
            <w:vAlign w:val="center"/>
          </w:tcPr>
          <w:p w14:paraId="3455F7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P-ZLTC-SCOS-FYCB-003-30-001</w:t>
            </w:r>
          </w:p>
        </w:tc>
        <w:tc>
          <w:tcPr>
            <w:tcW w:w="945" w:type="dxa"/>
            <w:tcBorders>
              <w:top w:val="nil"/>
              <w:left w:val="nil"/>
              <w:bottom w:val="nil"/>
              <w:right w:val="nil"/>
            </w:tcBorders>
            <w:shd w:val="clear" w:color="auto" w:fill="auto"/>
            <w:vAlign w:val="center"/>
          </w:tcPr>
          <w:p w14:paraId="2EDC62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识别直接计批与待分摊费用规则</w:t>
            </w:r>
          </w:p>
        </w:tc>
        <w:tc>
          <w:tcPr>
            <w:tcW w:w="966" w:type="dxa"/>
            <w:tcBorders>
              <w:top w:val="nil"/>
              <w:left w:val="nil"/>
              <w:bottom w:val="nil"/>
              <w:right w:val="nil"/>
            </w:tcBorders>
            <w:shd w:val="clear" w:color="auto" w:fill="auto"/>
            <w:vAlign w:val="center"/>
          </w:tcPr>
          <w:p w14:paraId="538D7C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634EB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40F775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标准化且唯一的成本记录形成后</w:t>
            </w:r>
          </w:p>
        </w:tc>
        <w:tc>
          <w:tcPr>
            <w:tcW w:w="1406" w:type="dxa"/>
            <w:tcBorders>
              <w:top w:val="nil"/>
              <w:left w:val="nil"/>
              <w:bottom w:val="nil"/>
              <w:right w:val="nil"/>
            </w:tcBorders>
            <w:shd w:val="clear" w:color="auto" w:fill="auto"/>
            <w:vAlign w:val="center"/>
          </w:tcPr>
          <w:p w14:paraId="0F35B5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检查产线环节、批次范围、数量金额及费用归属是否明确；不能可靠定位的成本进入待确认费用池，不强行平均。</w:t>
            </w:r>
          </w:p>
        </w:tc>
        <w:tc>
          <w:tcPr>
            <w:tcW w:w="1088" w:type="dxa"/>
            <w:tcBorders>
              <w:top w:val="nil"/>
              <w:left w:val="nil"/>
              <w:bottom w:val="nil"/>
              <w:right w:val="nil"/>
            </w:tcBorders>
            <w:shd w:val="clear" w:color="auto" w:fill="auto"/>
            <w:vAlign w:val="center"/>
          </w:tcPr>
          <w:p w14:paraId="15DBA5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可直接计批记录和待确认费用池记录</w:t>
            </w:r>
          </w:p>
        </w:tc>
        <w:tc>
          <w:tcPr>
            <w:tcW w:w="1460" w:type="dxa"/>
            <w:tcBorders>
              <w:top w:val="nil"/>
              <w:left w:val="nil"/>
              <w:bottom w:val="nil"/>
              <w:right w:val="nil"/>
            </w:tcBorders>
            <w:shd w:val="clear" w:color="auto" w:fill="auto"/>
            <w:vAlign w:val="center"/>
          </w:tcPr>
          <w:p w14:paraId="494758F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0B5A67">
        <w:trPr>
          <w:cantSplit/>
          <w:trHeight w:val="0" w:hRule="atLeast"/>
          <w:jc w:val="center"/>
        </w:trPr>
        <w:tc>
          <w:tcPr>
            <w:tcW w:w="2944" w:type="dxa"/>
            <w:tcBorders>
              <w:top w:val="nil"/>
              <w:left w:val="nil"/>
              <w:bottom w:val="nil"/>
              <w:right w:val="nil"/>
            </w:tcBorders>
            <w:shd w:val="clear" w:color="auto" w:fill="auto"/>
            <w:vAlign w:val="center"/>
          </w:tcPr>
          <w:p w14:paraId="040C23B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P-ZLTC-SCOS-FYCB-003-40-001</w:t>
            </w:r>
          </w:p>
        </w:tc>
        <w:tc>
          <w:tcPr>
            <w:tcW w:w="945" w:type="dxa"/>
            <w:tcBorders>
              <w:top w:val="nil"/>
              <w:left w:val="nil"/>
              <w:bottom w:val="nil"/>
              <w:right w:val="nil"/>
            </w:tcBorders>
            <w:shd w:val="clear" w:color="auto" w:fill="auto"/>
            <w:vAlign w:val="center"/>
          </w:tcPr>
          <w:p w14:paraId="1BF234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计算批次直接成本规则</w:t>
            </w:r>
          </w:p>
        </w:tc>
        <w:tc>
          <w:tcPr>
            <w:tcW w:w="966" w:type="dxa"/>
            <w:tcBorders>
              <w:top w:val="nil"/>
              <w:left w:val="nil"/>
              <w:bottom w:val="nil"/>
              <w:right w:val="nil"/>
            </w:tcBorders>
            <w:shd w:val="clear" w:color="auto" w:fill="auto"/>
            <w:vAlign w:val="center"/>
          </w:tcPr>
          <w:p w14:paraId="7A26C1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C53DA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48F065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可直接计批记录和待确认费用池记录形成后</w:t>
            </w:r>
          </w:p>
        </w:tc>
        <w:tc>
          <w:tcPr>
            <w:tcW w:w="1406" w:type="dxa"/>
            <w:tcBorders>
              <w:top w:val="nil"/>
              <w:left w:val="nil"/>
              <w:bottom w:val="nil"/>
              <w:right w:val="nil"/>
            </w:tcBorders>
            <w:shd w:val="clear" w:color="auto" w:fill="auto"/>
            <w:vAlign w:val="center"/>
          </w:tcPr>
          <w:p w14:paraId="478A14B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按实际业务数量拆分金额，计入成本实际发生节点；发票未到时保留采购批暂估，实际到达后形成差异版本。</w:t>
            </w:r>
          </w:p>
        </w:tc>
        <w:tc>
          <w:tcPr>
            <w:tcW w:w="1088" w:type="dxa"/>
            <w:tcBorders>
              <w:top w:val="nil"/>
              <w:left w:val="nil"/>
              <w:bottom w:val="nil"/>
              <w:right w:val="nil"/>
            </w:tcBorders>
            <w:shd w:val="clear" w:color="auto" w:fill="auto"/>
            <w:vAlign w:val="center"/>
          </w:tcPr>
          <w:p w14:paraId="7B82334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批次直接成本明细</w:t>
            </w:r>
          </w:p>
        </w:tc>
        <w:tc>
          <w:tcPr>
            <w:tcW w:w="1460" w:type="dxa"/>
            <w:tcBorders>
              <w:top w:val="nil"/>
              <w:left w:val="nil"/>
              <w:bottom w:val="nil"/>
              <w:right w:val="nil"/>
            </w:tcBorders>
            <w:shd w:val="clear" w:color="auto" w:fill="auto"/>
            <w:vAlign w:val="center"/>
          </w:tcPr>
          <w:p w14:paraId="4F8D9FA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3B8C59D">
        <w:trPr>
          <w:cantSplit/>
          <w:trHeight w:val="0" w:hRule="atLeast"/>
          <w:jc w:val="center"/>
        </w:trPr>
        <w:tc>
          <w:tcPr>
            <w:tcW w:w="2944" w:type="dxa"/>
            <w:tcBorders>
              <w:top w:val="nil"/>
              <w:left w:val="nil"/>
              <w:bottom w:val="nil"/>
              <w:right w:val="nil"/>
            </w:tcBorders>
            <w:shd w:val="clear" w:color="auto" w:fill="auto"/>
            <w:vAlign w:val="center"/>
          </w:tcPr>
          <w:p w14:paraId="3E75BD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P-ZLTC-SCOS-FYCB-003-50-001</w:t>
            </w:r>
          </w:p>
        </w:tc>
        <w:tc>
          <w:tcPr>
            <w:tcW w:w="945" w:type="dxa"/>
            <w:tcBorders>
              <w:top w:val="nil"/>
              <w:left w:val="nil"/>
              <w:bottom w:val="nil"/>
              <w:right w:val="nil"/>
            </w:tcBorders>
            <w:shd w:val="clear" w:color="auto" w:fill="auto"/>
            <w:vAlign w:val="center"/>
          </w:tcPr>
          <w:p w14:paraId="496FA0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判断来源和追溯链是否完整规则</w:t>
            </w:r>
          </w:p>
        </w:tc>
        <w:tc>
          <w:tcPr>
            <w:tcW w:w="966" w:type="dxa"/>
            <w:tcBorders>
              <w:top w:val="nil"/>
              <w:left w:val="nil"/>
              <w:bottom w:val="nil"/>
              <w:right w:val="nil"/>
            </w:tcBorders>
            <w:shd w:val="clear" w:color="auto" w:fill="auto"/>
            <w:vAlign w:val="center"/>
          </w:tcPr>
          <w:p w14:paraId="5061564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FB019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438AC9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批次直接成本明细形成后</w:t>
            </w:r>
          </w:p>
        </w:tc>
        <w:tc>
          <w:tcPr>
            <w:tcW w:w="1406" w:type="dxa"/>
            <w:tcBorders>
              <w:top w:val="nil"/>
              <w:left w:val="nil"/>
              <w:bottom w:val="nil"/>
              <w:right w:val="nil"/>
            </w:tcBorders>
            <w:shd w:val="clear" w:color="auto" w:fill="auto"/>
            <w:vAlign w:val="center"/>
          </w:tcPr>
          <w:p w14:paraId="25B571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确认每笔成本可回到来源记录、只进入一种归集结果；来源和追溯链不完整时补充成本口径；来源和追溯链完整时生成结果。</w:t>
            </w:r>
          </w:p>
        </w:tc>
        <w:tc>
          <w:tcPr>
            <w:tcW w:w="1088" w:type="dxa"/>
            <w:tcBorders>
              <w:top w:val="nil"/>
              <w:left w:val="nil"/>
              <w:bottom w:val="nil"/>
              <w:right w:val="nil"/>
            </w:tcBorders>
            <w:shd w:val="clear" w:color="auto" w:fill="auto"/>
            <w:vAlign w:val="center"/>
          </w:tcPr>
          <w:p w14:paraId="0F50AD2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来源唯一性、分类完整性和追溯链检查结果</w:t>
            </w:r>
          </w:p>
        </w:tc>
        <w:tc>
          <w:tcPr>
            <w:tcW w:w="1460" w:type="dxa"/>
            <w:tcBorders>
              <w:top w:val="nil"/>
              <w:left w:val="nil"/>
              <w:bottom w:val="nil"/>
              <w:right w:val="nil"/>
            </w:tcBorders>
            <w:shd w:val="clear" w:color="auto" w:fill="auto"/>
            <w:vAlign w:val="center"/>
          </w:tcPr>
          <w:p w14:paraId="032A844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F350F82">
        <w:trPr>
          <w:cantSplit/>
          <w:trHeight w:val="0" w:hRule="atLeast"/>
          <w:jc w:val="center"/>
        </w:trPr>
        <w:tc>
          <w:tcPr>
            <w:tcW w:w="2944" w:type="dxa"/>
            <w:tcBorders>
              <w:top w:val="nil"/>
              <w:left w:val="nil"/>
              <w:bottom w:val="nil"/>
              <w:right w:val="nil"/>
            </w:tcBorders>
            <w:shd w:val="clear" w:color="auto" w:fill="auto"/>
            <w:vAlign w:val="center"/>
          </w:tcPr>
          <w:p w14:paraId="222BF1C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P-ZLTC-SCOS-FYCB-003-60-001</w:t>
            </w:r>
          </w:p>
        </w:tc>
        <w:tc>
          <w:tcPr>
            <w:tcW w:w="945" w:type="dxa"/>
            <w:tcBorders>
              <w:top w:val="nil"/>
              <w:left w:val="nil"/>
              <w:bottom w:val="nil"/>
              <w:right w:val="nil"/>
            </w:tcBorders>
            <w:shd w:val="clear" w:color="auto" w:fill="auto"/>
            <w:vAlign w:val="center"/>
          </w:tcPr>
          <w:p w14:paraId="12A8A54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补充成本口径和异常分类规则</w:t>
            </w:r>
          </w:p>
        </w:tc>
        <w:tc>
          <w:tcPr>
            <w:tcW w:w="966" w:type="dxa"/>
            <w:tcBorders>
              <w:top w:val="nil"/>
              <w:left w:val="nil"/>
              <w:bottom w:val="nil"/>
              <w:right w:val="nil"/>
            </w:tcBorders>
            <w:shd w:val="clear" w:color="auto" w:fill="auto"/>
            <w:vAlign w:val="center"/>
          </w:tcPr>
          <w:p w14:paraId="366565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663F7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0B6A8B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来源和追溯链不完整时</w:t>
            </w:r>
          </w:p>
        </w:tc>
        <w:tc>
          <w:tcPr>
            <w:tcW w:w="1406" w:type="dxa"/>
            <w:tcBorders>
              <w:top w:val="nil"/>
              <w:left w:val="nil"/>
              <w:bottom w:val="nil"/>
              <w:right w:val="nil"/>
            </w:tcBorders>
            <w:shd w:val="clear" w:color="auto" w:fill="auto"/>
            <w:vAlign w:val="center"/>
          </w:tcPr>
          <w:p w14:paraId="428E7C7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财务负责人在SCOS核对业务事实并维护参考映射或说明；修正后由SCOS重新分类和计算；无依据记录保持待处理。</w:t>
            </w:r>
          </w:p>
        </w:tc>
        <w:tc>
          <w:tcPr>
            <w:tcW w:w="1088" w:type="dxa"/>
            <w:tcBorders>
              <w:top w:val="nil"/>
              <w:left w:val="nil"/>
              <w:bottom w:val="nil"/>
              <w:right w:val="nil"/>
            </w:tcBorders>
            <w:shd w:val="clear" w:color="auto" w:fill="auto"/>
            <w:vAlign w:val="center"/>
          </w:tcPr>
          <w:p w14:paraId="15A33E5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成本要素映射和分类说明</w:t>
            </w:r>
          </w:p>
        </w:tc>
        <w:tc>
          <w:tcPr>
            <w:tcW w:w="1460" w:type="dxa"/>
            <w:tcBorders>
              <w:top w:val="nil"/>
              <w:left w:val="nil"/>
              <w:bottom w:val="nil"/>
              <w:right w:val="nil"/>
            </w:tcBorders>
            <w:shd w:val="clear" w:color="auto" w:fill="auto"/>
            <w:vAlign w:val="center"/>
          </w:tcPr>
          <w:p w14:paraId="4CD7D6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2D26B6E">
        <w:trPr>
          <w:cantSplit/>
          <w:trHeight w:val="0" w:hRule="atLeast"/>
          <w:jc w:val="center"/>
        </w:trPr>
        <w:tc>
          <w:tcPr>
            <w:tcW w:w="2944" w:type="dxa"/>
            <w:tcBorders>
              <w:top w:val="nil"/>
              <w:left w:val="nil"/>
              <w:bottom w:val="nil"/>
              <w:right w:val="nil"/>
            </w:tcBorders>
            <w:shd w:val="clear" w:color="auto" w:fill="auto"/>
            <w:vAlign w:val="center"/>
          </w:tcPr>
          <w:p w14:paraId="202C84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P-ZLTC-SCOS-FYCB-003-70-001</w:t>
            </w:r>
          </w:p>
        </w:tc>
        <w:tc>
          <w:tcPr>
            <w:tcW w:w="945" w:type="dxa"/>
            <w:tcBorders>
              <w:top w:val="nil"/>
              <w:left w:val="nil"/>
              <w:bottom w:val="nil"/>
              <w:right w:val="nil"/>
            </w:tcBorders>
            <w:shd w:val="clear" w:color="auto" w:fill="auto"/>
            <w:vAlign w:val="center"/>
          </w:tcPr>
          <w:p w14:paraId="391E97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生成批次直接成本结果规则</w:t>
            </w:r>
          </w:p>
        </w:tc>
        <w:tc>
          <w:tcPr>
            <w:tcW w:w="966" w:type="dxa"/>
            <w:tcBorders>
              <w:top w:val="nil"/>
              <w:left w:val="nil"/>
              <w:bottom w:val="nil"/>
              <w:right w:val="nil"/>
            </w:tcBorders>
            <w:shd w:val="clear" w:color="auto" w:fill="auto"/>
            <w:vAlign w:val="center"/>
          </w:tcPr>
          <w:p w14:paraId="1B9B1A5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C0A25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54C4AB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来源和追溯链完整时</w:t>
            </w:r>
          </w:p>
        </w:tc>
        <w:tc>
          <w:tcPr>
            <w:tcW w:w="1406" w:type="dxa"/>
            <w:tcBorders>
              <w:top w:val="nil"/>
              <w:left w:val="nil"/>
              <w:bottom w:val="nil"/>
              <w:right w:val="nil"/>
            </w:tcBorders>
            <w:shd w:val="clear" w:color="auto" w:fill="auto"/>
            <w:vAlign w:val="center"/>
          </w:tcPr>
          <w:p w14:paraId="2FA2B3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形成批次直接成本明细，记录来源、成本要素、金额和暂估状态；待处理差异单列，不阻断其他可追溯成本。</w:t>
            </w:r>
          </w:p>
        </w:tc>
        <w:tc>
          <w:tcPr>
            <w:tcW w:w="1088" w:type="dxa"/>
            <w:tcBorders>
              <w:top w:val="nil"/>
              <w:left w:val="nil"/>
              <w:bottom w:val="nil"/>
              <w:right w:val="nil"/>
            </w:tcBorders>
            <w:shd w:val="clear" w:color="auto" w:fill="auto"/>
            <w:vAlign w:val="center"/>
          </w:tcPr>
          <w:p w14:paraId="7BD498F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批次直接成本结果</w:t>
            </w:r>
          </w:p>
        </w:tc>
        <w:tc>
          <w:tcPr>
            <w:tcW w:w="1460" w:type="dxa"/>
            <w:tcBorders>
              <w:top w:val="nil"/>
              <w:left w:val="nil"/>
              <w:bottom w:val="nil"/>
              <w:right w:val="nil"/>
            </w:tcBorders>
            <w:shd w:val="clear" w:color="auto" w:fill="auto"/>
            <w:vAlign w:val="center"/>
          </w:tcPr>
          <w:p w14:paraId="1848113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A5605A">
        <w:trPr>
          <w:cantSplit/>
          <w:trHeight w:val="0" w:hRule="atLeast"/>
          <w:jc w:val="center"/>
        </w:trPr>
        <w:tc>
          <w:tcPr>
            <w:tcW w:w="2944" w:type="dxa"/>
            <w:tcBorders>
              <w:top w:val="nil"/>
              <w:left w:val="nil"/>
              <w:bottom w:val="nil"/>
              <w:right w:val="nil"/>
            </w:tcBorders>
            <w:shd w:val="clear" w:color="auto" w:fill="auto"/>
            <w:vAlign w:val="center"/>
          </w:tcPr>
          <w:p w14:paraId="28D68CA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P-ZLTC-SCOS-FYCB-003-80-001</w:t>
            </w:r>
          </w:p>
        </w:tc>
        <w:tc>
          <w:tcPr>
            <w:tcW w:w="945" w:type="dxa"/>
            <w:tcBorders>
              <w:top w:val="nil"/>
              <w:left w:val="nil"/>
              <w:bottom w:val="nil"/>
              <w:right w:val="nil"/>
            </w:tcBorders>
            <w:shd w:val="clear" w:color="auto" w:fill="auto"/>
            <w:vAlign w:val="center"/>
          </w:tcPr>
          <w:p w14:paraId="3CCBA40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保存批次直接成本结果规则</w:t>
            </w:r>
          </w:p>
        </w:tc>
        <w:tc>
          <w:tcPr>
            <w:tcW w:w="966" w:type="dxa"/>
            <w:tcBorders>
              <w:top w:val="nil"/>
              <w:left w:val="nil"/>
              <w:bottom w:val="nil"/>
              <w:right w:val="nil"/>
            </w:tcBorders>
            <w:shd w:val="clear" w:color="auto" w:fill="auto"/>
            <w:vAlign w:val="center"/>
          </w:tcPr>
          <w:p w14:paraId="2B1746F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66857D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6C7EAA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批次直接成本结果形成后</w:t>
            </w:r>
          </w:p>
        </w:tc>
        <w:tc>
          <w:tcPr>
            <w:tcW w:w="1406" w:type="dxa"/>
            <w:tcBorders>
              <w:top w:val="nil"/>
              <w:left w:val="nil"/>
              <w:bottom w:val="nil"/>
              <w:right w:val="nil"/>
            </w:tcBorders>
            <w:shd w:val="clear" w:color="auto" w:fill="auto"/>
            <w:vAlign w:val="center"/>
          </w:tcPr>
          <w:p w14:paraId="1B104F5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保存直接成本、待确认费用池和来源引用；结果用于经营分析参考，不替代财务实际核算。</w:t>
            </w:r>
          </w:p>
        </w:tc>
        <w:tc>
          <w:tcPr>
            <w:tcW w:w="1088" w:type="dxa"/>
            <w:tcBorders>
              <w:top w:val="nil"/>
              <w:left w:val="nil"/>
              <w:bottom w:val="nil"/>
              <w:right w:val="nil"/>
            </w:tcBorders>
            <w:shd w:val="clear" w:color="auto" w:fill="auto"/>
            <w:vAlign w:val="center"/>
          </w:tcPr>
          <w:p w14:paraId="5E27A50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批次直接成本参考版本</w:t>
            </w:r>
          </w:p>
        </w:tc>
        <w:tc>
          <w:tcPr>
            <w:tcW w:w="1460" w:type="dxa"/>
            <w:tcBorders>
              <w:top w:val="nil"/>
              <w:left w:val="nil"/>
              <w:bottom w:val="nil"/>
              <w:right w:val="nil"/>
            </w:tcBorders>
            <w:shd w:val="clear" w:color="auto" w:fill="auto"/>
            <w:vAlign w:val="center"/>
          </w:tcPr>
          <w:p w14:paraId="1768005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803A46C">
        <w:trPr>
          <w:cantSplit/>
          <w:trHeight w:val="0" w:hRule="atLeast"/>
          <w:jc w:val="center"/>
        </w:trPr>
        <w:tc>
          <w:tcPr>
            <w:tcW w:w="2944" w:type="dxa"/>
            <w:tcBorders>
              <w:top w:val="nil"/>
              <w:left w:val="nil"/>
              <w:bottom w:val="nil"/>
              <w:right w:val="nil"/>
            </w:tcBorders>
            <w:shd w:val="clear" w:color="auto" w:fill="auto"/>
            <w:vAlign w:val="center"/>
          </w:tcPr>
          <w:p w14:paraId="46F82A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P-ZLTC-SCOS-FYCB-004-10-001</w:t>
            </w:r>
          </w:p>
        </w:tc>
        <w:tc>
          <w:tcPr>
            <w:tcW w:w="945" w:type="dxa"/>
            <w:tcBorders>
              <w:top w:val="nil"/>
              <w:left w:val="nil"/>
              <w:bottom w:val="nil"/>
              <w:right w:val="nil"/>
            </w:tcBorders>
            <w:shd w:val="clear" w:color="auto" w:fill="auto"/>
            <w:vAlign w:val="center"/>
          </w:tcPr>
          <w:p w14:paraId="55D455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提供费用金额和动因数据规则</w:t>
            </w:r>
          </w:p>
        </w:tc>
        <w:tc>
          <w:tcPr>
            <w:tcW w:w="966" w:type="dxa"/>
            <w:tcBorders>
              <w:top w:val="nil"/>
              <w:left w:val="nil"/>
              <w:bottom w:val="nil"/>
              <w:right w:val="nil"/>
            </w:tcBorders>
            <w:shd w:val="clear" w:color="auto" w:fill="auto"/>
            <w:vAlign w:val="center"/>
          </w:tcPr>
          <w:p w14:paraId="077309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424F0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33587FD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直接成本分类完成后由SCOS启动费用池分摊时</w:t>
            </w:r>
          </w:p>
        </w:tc>
        <w:tc>
          <w:tcPr>
            <w:tcW w:w="1406" w:type="dxa"/>
            <w:tcBorders>
              <w:top w:val="nil"/>
              <w:left w:val="nil"/>
              <w:bottom w:val="nil"/>
              <w:right w:val="nil"/>
            </w:tcBorders>
            <w:shd w:val="clear" w:color="auto" w:fill="auto"/>
            <w:vAlign w:val="center"/>
          </w:tcPr>
          <w:p w14:paraId="1DDE54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按期间和费用类型提供费用总额、直接计入额及待分摊额；数据缺失时明确缺失范围，不自动补零。</w:t>
            </w:r>
          </w:p>
        </w:tc>
        <w:tc>
          <w:tcPr>
            <w:tcW w:w="1088" w:type="dxa"/>
            <w:tcBorders>
              <w:top w:val="nil"/>
              <w:left w:val="nil"/>
              <w:bottom w:val="nil"/>
              <w:right w:val="nil"/>
            </w:tcBorders>
            <w:shd w:val="clear" w:color="auto" w:fill="auto"/>
            <w:vAlign w:val="center"/>
          </w:tcPr>
          <w:p w14:paraId="51C697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期间费用、工时、设备占用、能耗、处理量、绝干量和发运数据</w:t>
            </w:r>
          </w:p>
        </w:tc>
        <w:tc>
          <w:tcPr>
            <w:tcW w:w="1460" w:type="dxa"/>
            <w:tcBorders>
              <w:top w:val="nil"/>
              <w:left w:val="nil"/>
              <w:bottom w:val="nil"/>
              <w:right w:val="nil"/>
            </w:tcBorders>
            <w:shd w:val="clear" w:color="auto" w:fill="auto"/>
            <w:vAlign w:val="center"/>
          </w:tcPr>
          <w:p w14:paraId="0D541CA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0F77AE36">
        <w:trPr>
          <w:cantSplit/>
          <w:trHeight w:val="0" w:hRule="atLeast"/>
          <w:jc w:val="center"/>
        </w:trPr>
        <w:tc>
          <w:tcPr>
            <w:tcW w:w="2944" w:type="dxa"/>
            <w:tcBorders>
              <w:top w:val="nil"/>
              <w:left w:val="nil"/>
              <w:bottom w:val="nil"/>
              <w:right w:val="nil"/>
            </w:tcBorders>
            <w:shd w:val="clear" w:color="auto" w:fill="auto"/>
            <w:vAlign w:val="center"/>
          </w:tcPr>
          <w:p w14:paraId="1EAD6D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P-ZLTC-SCOS-FYCB-004-20-001</w:t>
            </w:r>
          </w:p>
        </w:tc>
        <w:tc>
          <w:tcPr>
            <w:tcW w:w="945" w:type="dxa"/>
            <w:tcBorders>
              <w:top w:val="nil"/>
              <w:left w:val="nil"/>
              <w:bottom w:val="nil"/>
              <w:right w:val="nil"/>
            </w:tcBorders>
            <w:shd w:val="clear" w:color="auto" w:fill="auto"/>
            <w:vAlign w:val="center"/>
          </w:tcPr>
          <w:p w14:paraId="289D97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维护费用池范围和动因规则</w:t>
            </w:r>
          </w:p>
        </w:tc>
        <w:tc>
          <w:tcPr>
            <w:tcW w:w="966" w:type="dxa"/>
            <w:tcBorders>
              <w:top w:val="nil"/>
              <w:left w:val="nil"/>
              <w:bottom w:val="nil"/>
              <w:right w:val="nil"/>
            </w:tcBorders>
            <w:shd w:val="clear" w:color="auto" w:fill="auto"/>
            <w:vAlign w:val="center"/>
          </w:tcPr>
          <w:p w14:paraId="7EABC8A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6E0869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33A4BC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期间费用、工时、设备占用、能耗、处理量、绝干量和发运数据形成后</w:t>
            </w:r>
          </w:p>
        </w:tc>
        <w:tc>
          <w:tcPr>
            <w:tcW w:w="1406" w:type="dxa"/>
            <w:tcBorders>
              <w:top w:val="nil"/>
              <w:left w:val="nil"/>
              <w:bottom w:val="nil"/>
              <w:right w:val="nil"/>
            </w:tcBorders>
            <w:shd w:val="clear" w:color="auto" w:fill="auto"/>
            <w:vAlign w:val="center"/>
          </w:tcPr>
          <w:p w14:paraId="2DDBCF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财务负责人在SCOS维护人工、折旧、公共能源、维修；共享设备按实际占用或处理量定义受益范围。</w:t>
            </w:r>
          </w:p>
        </w:tc>
        <w:tc>
          <w:tcPr>
            <w:tcW w:w="1088" w:type="dxa"/>
            <w:tcBorders>
              <w:top w:val="nil"/>
              <w:left w:val="nil"/>
              <w:bottom w:val="nil"/>
              <w:right w:val="nil"/>
            </w:tcBorders>
            <w:shd w:val="clear" w:color="auto" w:fill="auto"/>
            <w:vAlign w:val="center"/>
          </w:tcPr>
          <w:p w14:paraId="1A49BE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受益范围、首选和备选动因</w:t>
            </w:r>
          </w:p>
        </w:tc>
        <w:tc>
          <w:tcPr>
            <w:tcW w:w="1460" w:type="dxa"/>
            <w:tcBorders>
              <w:top w:val="nil"/>
              <w:left w:val="nil"/>
              <w:bottom w:val="nil"/>
              <w:right w:val="nil"/>
            </w:tcBorders>
            <w:shd w:val="clear" w:color="auto" w:fill="auto"/>
            <w:vAlign w:val="center"/>
          </w:tcPr>
          <w:p w14:paraId="387A889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C1E238">
        <w:trPr>
          <w:cantSplit/>
          <w:trHeight w:val="0" w:hRule="atLeast"/>
          <w:jc w:val="center"/>
        </w:trPr>
        <w:tc>
          <w:tcPr>
            <w:tcW w:w="2944" w:type="dxa"/>
            <w:tcBorders>
              <w:top w:val="nil"/>
              <w:left w:val="nil"/>
              <w:bottom w:val="nil"/>
              <w:right w:val="nil"/>
            </w:tcBorders>
            <w:shd w:val="clear" w:color="auto" w:fill="auto"/>
            <w:vAlign w:val="center"/>
          </w:tcPr>
          <w:p w14:paraId="086592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P-ZLTC-SCOS-FYCB-004-30-001</w:t>
            </w:r>
          </w:p>
        </w:tc>
        <w:tc>
          <w:tcPr>
            <w:tcW w:w="945" w:type="dxa"/>
            <w:tcBorders>
              <w:top w:val="nil"/>
              <w:left w:val="nil"/>
              <w:bottom w:val="nil"/>
              <w:right w:val="nil"/>
            </w:tcBorders>
            <w:shd w:val="clear" w:color="auto" w:fill="auto"/>
            <w:vAlign w:val="center"/>
          </w:tcPr>
          <w:p w14:paraId="26D053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计算费用池可分摊金额规则</w:t>
            </w:r>
          </w:p>
        </w:tc>
        <w:tc>
          <w:tcPr>
            <w:tcW w:w="966" w:type="dxa"/>
            <w:tcBorders>
              <w:top w:val="nil"/>
              <w:left w:val="nil"/>
              <w:bottom w:val="nil"/>
              <w:right w:val="nil"/>
            </w:tcBorders>
            <w:shd w:val="clear" w:color="auto" w:fill="auto"/>
            <w:vAlign w:val="center"/>
          </w:tcPr>
          <w:p w14:paraId="7E0E761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68BCE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1E6683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受益范围、首选和备选动因形成后</w:t>
            </w:r>
          </w:p>
        </w:tc>
        <w:tc>
          <w:tcPr>
            <w:tcW w:w="1406" w:type="dxa"/>
            <w:tcBorders>
              <w:top w:val="nil"/>
              <w:left w:val="nil"/>
              <w:bottom w:val="nil"/>
              <w:right w:val="nil"/>
            </w:tcBorders>
            <w:shd w:val="clear" w:color="auto" w:fill="auto"/>
            <w:vAlign w:val="center"/>
          </w:tcPr>
          <w:p w14:paraId="116203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按期间、成本中心、成本要素和费用池计算可分摊净额；重复来源或扣减项不清时保持待处理。</w:t>
            </w:r>
          </w:p>
        </w:tc>
        <w:tc>
          <w:tcPr>
            <w:tcW w:w="1088" w:type="dxa"/>
            <w:tcBorders>
              <w:top w:val="nil"/>
              <w:left w:val="nil"/>
              <w:bottom w:val="nil"/>
              <w:right w:val="nil"/>
            </w:tcBorders>
            <w:shd w:val="clear" w:color="auto" w:fill="auto"/>
            <w:vAlign w:val="center"/>
          </w:tcPr>
          <w:p w14:paraId="5A8EA4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费用池可分摊金额</w:t>
            </w:r>
          </w:p>
        </w:tc>
        <w:tc>
          <w:tcPr>
            <w:tcW w:w="1460" w:type="dxa"/>
            <w:tcBorders>
              <w:top w:val="nil"/>
              <w:left w:val="nil"/>
              <w:bottom w:val="nil"/>
              <w:right w:val="nil"/>
            </w:tcBorders>
            <w:shd w:val="clear" w:color="auto" w:fill="auto"/>
            <w:vAlign w:val="center"/>
          </w:tcPr>
          <w:p w14:paraId="006E9EA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C02C40">
        <w:trPr>
          <w:cantSplit/>
          <w:trHeight w:val="0" w:hRule="atLeast"/>
          <w:jc w:val="center"/>
        </w:trPr>
        <w:tc>
          <w:tcPr>
            <w:tcW w:w="2944" w:type="dxa"/>
            <w:tcBorders>
              <w:top w:val="nil"/>
              <w:left w:val="nil"/>
              <w:bottom w:val="nil"/>
              <w:right w:val="nil"/>
            </w:tcBorders>
            <w:shd w:val="clear" w:color="auto" w:fill="auto"/>
            <w:vAlign w:val="center"/>
          </w:tcPr>
          <w:p w14:paraId="70A3659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P-ZLTC-SCOS-FYCB-004-40-001</w:t>
            </w:r>
          </w:p>
        </w:tc>
        <w:tc>
          <w:tcPr>
            <w:tcW w:w="945" w:type="dxa"/>
            <w:tcBorders>
              <w:top w:val="nil"/>
              <w:left w:val="nil"/>
              <w:bottom w:val="nil"/>
              <w:right w:val="nil"/>
            </w:tcBorders>
            <w:shd w:val="clear" w:color="auto" w:fill="auto"/>
            <w:vAlign w:val="center"/>
          </w:tcPr>
          <w:p w14:paraId="7210CF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识别受益批次并计算分母规则</w:t>
            </w:r>
          </w:p>
        </w:tc>
        <w:tc>
          <w:tcPr>
            <w:tcW w:w="966" w:type="dxa"/>
            <w:tcBorders>
              <w:top w:val="nil"/>
              <w:left w:val="nil"/>
              <w:bottom w:val="nil"/>
              <w:right w:val="nil"/>
            </w:tcBorders>
            <w:shd w:val="clear" w:color="auto" w:fill="auto"/>
            <w:vAlign w:val="center"/>
          </w:tcPr>
          <w:p w14:paraId="5578285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A1980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07CE09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费用池可分摊金额形成后</w:t>
            </w:r>
          </w:p>
        </w:tc>
        <w:tc>
          <w:tcPr>
            <w:tcW w:w="1406" w:type="dxa"/>
            <w:tcBorders>
              <w:top w:val="nil"/>
              <w:left w:val="nil"/>
              <w:bottom w:val="nil"/>
              <w:right w:val="nil"/>
            </w:tcBorders>
            <w:shd w:val="clear" w:color="auto" w:fill="auto"/>
            <w:vAlign w:val="center"/>
          </w:tcPr>
          <w:p w14:paraId="30AE5C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按期间和服务边界筛选受益批次；首选动因缺失时仅使用已维护的备选动因。</w:t>
            </w:r>
          </w:p>
        </w:tc>
        <w:tc>
          <w:tcPr>
            <w:tcW w:w="1088" w:type="dxa"/>
            <w:tcBorders>
              <w:top w:val="nil"/>
              <w:left w:val="nil"/>
              <w:bottom w:val="nil"/>
              <w:right w:val="nil"/>
            </w:tcBorders>
            <w:shd w:val="clear" w:color="auto" w:fill="auto"/>
            <w:vAlign w:val="center"/>
          </w:tcPr>
          <w:p w14:paraId="4EDDAB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受益批次、批次动因量和有效分母</w:t>
            </w:r>
          </w:p>
        </w:tc>
        <w:tc>
          <w:tcPr>
            <w:tcW w:w="1460" w:type="dxa"/>
            <w:tcBorders>
              <w:top w:val="nil"/>
              <w:left w:val="nil"/>
              <w:bottom w:val="nil"/>
              <w:right w:val="nil"/>
            </w:tcBorders>
            <w:shd w:val="clear" w:color="auto" w:fill="auto"/>
            <w:vAlign w:val="center"/>
          </w:tcPr>
          <w:p w14:paraId="4B51701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E8ED211">
        <w:trPr>
          <w:cantSplit/>
          <w:trHeight w:val="0" w:hRule="atLeast"/>
          <w:jc w:val="center"/>
        </w:trPr>
        <w:tc>
          <w:tcPr>
            <w:tcW w:w="2944" w:type="dxa"/>
            <w:tcBorders>
              <w:top w:val="nil"/>
              <w:left w:val="nil"/>
              <w:bottom w:val="nil"/>
              <w:right w:val="nil"/>
            </w:tcBorders>
            <w:shd w:val="clear" w:color="auto" w:fill="auto"/>
            <w:vAlign w:val="center"/>
          </w:tcPr>
          <w:p w14:paraId="45051C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P-ZLTC-SCOS-FYCB-004-50-001</w:t>
            </w:r>
          </w:p>
        </w:tc>
        <w:tc>
          <w:tcPr>
            <w:tcW w:w="945" w:type="dxa"/>
            <w:tcBorders>
              <w:top w:val="nil"/>
              <w:left w:val="nil"/>
              <w:bottom w:val="nil"/>
              <w:right w:val="nil"/>
            </w:tcBorders>
            <w:shd w:val="clear" w:color="auto" w:fill="auto"/>
            <w:vAlign w:val="center"/>
          </w:tcPr>
          <w:p w14:paraId="64683D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判断分摊依据是否有效规则</w:t>
            </w:r>
          </w:p>
        </w:tc>
        <w:tc>
          <w:tcPr>
            <w:tcW w:w="966" w:type="dxa"/>
            <w:tcBorders>
              <w:top w:val="nil"/>
              <w:left w:val="nil"/>
              <w:bottom w:val="nil"/>
              <w:right w:val="nil"/>
            </w:tcBorders>
            <w:shd w:val="clear" w:color="auto" w:fill="auto"/>
            <w:vAlign w:val="center"/>
          </w:tcPr>
          <w:p w14:paraId="106DE50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3B2CC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生产费用分摊依据校验</w:t>
            </w:r>
          </w:p>
        </w:tc>
        <w:tc>
          <w:tcPr>
            <w:tcW w:w="1098" w:type="dxa"/>
            <w:tcBorders>
              <w:top w:val="nil"/>
              <w:left w:val="nil"/>
              <w:bottom w:val="nil"/>
              <w:right w:val="nil"/>
            </w:tcBorders>
            <w:shd w:val="clear" w:color="auto" w:fill="auto"/>
            <w:vAlign w:val="center"/>
          </w:tcPr>
          <w:p w14:paraId="25E613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受益批次、批次动因量和有效分母形成后</w:t>
            </w:r>
          </w:p>
        </w:tc>
        <w:tc>
          <w:tcPr>
            <w:tcW w:w="1406" w:type="dxa"/>
            <w:tcBorders>
              <w:top w:val="nil"/>
              <w:left w:val="nil"/>
              <w:bottom w:val="nil"/>
              <w:right w:val="nil"/>
            </w:tcBorders>
            <w:shd w:val="clear" w:color="auto" w:fill="auto"/>
            <w:vAlign w:val="center"/>
          </w:tcPr>
          <w:p w14:paraId="61A6128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检查分母大于零、动因口径一致、受益范围非空且期间匹配；分摊依据无效时选择处理方式；分摊依据有效时计算分摊。</w:t>
            </w:r>
          </w:p>
        </w:tc>
        <w:tc>
          <w:tcPr>
            <w:tcW w:w="1088" w:type="dxa"/>
            <w:tcBorders>
              <w:top w:val="nil"/>
              <w:left w:val="nil"/>
              <w:bottom w:val="nil"/>
              <w:right w:val="nil"/>
            </w:tcBorders>
            <w:shd w:val="clear" w:color="auto" w:fill="auto"/>
            <w:vAlign w:val="center"/>
          </w:tcPr>
          <w:p w14:paraId="386E19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动因可用性判断</w:t>
            </w:r>
          </w:p>
        </w:tc>
        <w:tc>
          <w:tcPr>
            <w:tcW w:w="1460" w:type="dxa"/>
            <w:tcBorders>
              <w:top w:val="nil"/>
              <w:left w:val="nil"/>
              <w:bottom w:val="nil"/>
              <w:right w:val="nil"/>
            </w:tcBorders>
            <w:shd w:val="clear" w:color="auto" w:fill="auto"/>
            <w:vAlign w:val="center"/>
          </w:tcPr>
          <w:p w14:paraId="77CA012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3650293">
        <w:trPr>
          <w:cantSplit/>
          <w:trHeight w:val="0" w:hRule="atLeast"/>
          <w:jc w:val="center"/>
        </w:trPr>
        <w:tc>
          <w:tcPr>
            <w:tcW w:w="2944" w:type="dxa"/>
            <w:tcBorders>
              <w:top w:val="nil"/>
              <w:left w:val="nil"/>
              <w:bottom w:val="nil"/>
              <w:right w:val="nil"/>
            </w:tcBorders>
            <w:shd w:val="clear" w:color="auto" w:fill="auto"/>
            <w:vAlign w:val="center"/>
          </w:tcPr>
          <w:p w14:paraId="1857332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P-ZLTC-SCOS-FYCB-004-60-001</w:t>
            </w:r>
          </w:p>
        </w:tc>
        <w:tc>
          <w:tcPr>
            <w:tcW w:w="945" w:type="dxa"/>
            <w:tcBorders>
              <w:top w:val="nil"/>
              <w:left w:val="nil"/>
              <w:bottom w:val="nil"/>
              <w:right w:val="nil"/>
            </w:tcBorders>
            <w:shd w:val="clear" w:color="auto" w:fill="auto"/>
            <w:vAlign w:val="center"/>
          </w:tcPr>
          <w:p w14:paraId="3406D71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处理缺失动因和无效分母规则</w:t>
            </w:r>
          </w:p>
        </w:tc>
        <w:tc>
          <w:tcPr>
            <w:tcW w:w="966" w:type="dxa"/>
            <w:tcBorders>
              <w:top w:val="nil"/>
              <w:left w:val="nil"/>
              <w:bottom w:val="nil"/>
              <w:right w:val="nil"/>
            </w:tcBorders>
            <w:shd w:val="clear" w:color="auto" w:fill="auto"/>
            <w:vAlign w:val="center"/>
          </w:tcPr>
          <w:p w14:paraId="4620160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EA98A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0B58BF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分摊依据无效时</w:t>
            </w:r>
          </w:p>
        </w:tc>
        <w:tc>
          <w:tcPr>
            <w:tcW w:w="1406" w:type="dxa"/>
            <w:tcBorders>
              <w:top w:val="nil"/>
              <w:left w:val="nil"/>
              <w:bottom w:val="nil"/>
              <w:right w:val="nil"/>
            </w:tcBorders>
            <w:shd w:val="clear" w:color="auto" w:fill="auto"/>
            <w:vAlign w:val="center"/>
          </w:tcPr>
          <w:p w14:paraId="228035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选用已确认的备选分摊依据；仍无可靠依据的费用暂不分配给生产批次。</w:t>
            </w:r>
          </w:p>
        </w:tc>
        <w:tc>
          <w:tcPr>
            <w:tcW w:w="1088" w:type="dxa"/>
            <w:tcBorders>
              <w:top w:val="nil"/>
              <w:left w:val="nil"/>
              <w:bottom w:val="nil"/>
              <w:right w:val="nil"/>
            </w:tcBorders>
            <w:shd w:val="clear" w:color="auto" w:fill="auto"/>
            <w:vAlign w:val="center"/>
          </w:tcPr>
          <w:p w14:paraId="1A688D6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备选动因、停工闲置或未分摊说明</w:t>
            </w:r>
          </w:p>
        </w:tc>
        <w:tc>
          <w:tcPr>
            <w:tcW w:w="1460" w:type="dxa"/>
            <w:tcBorders>
              <w:top w:val="nil"/>
              <w:left w:val="nil"/>
              <w:bottom w:val="nil"/>
              <w:right w:val="nil"/>
            </w:tcBorders>
            <w:shd w:val="clear" w:color="auto" w:fill="auto"/>
            <w:vAlign w:val="center"/>
          </w:tcPr>
          <w:p w14:paraId="7EC137D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1CCB030">
        <w:trPr>
          <w:cantSplit/>
          <w:trHeight w:val="0" w:hRule="atLeast"/>
          <w:jc w:val="center"/>
        </w:trPr>
        <w:tc>
          <w:tcPr>
            <w:tcW w:w="2944" w:type="dxa"/>
            <w:tcBorders>
              <w:top w:val="nil"/>
              <w:left w:val="nil"/>
              <w:bottom w:val="nil"/>
              <w:right w:val="nil"/>
            </w:tcBorders>
            <w:shd w:val="clear" w:color="auto" w:fill="auto"/>
            <w:vAlign w:val="center"/>
          </w:tcPr>
          <w:p w14:paraId="2D330F6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P-ZLTC-SCOS-FYCB-004-70-001</w:t>
            </w:r>
          </w:p>
        </w:tc>
        <w:tc>
          <w:tcPr>
            <w:tcW w:w="945" w:type="dxa"/>
            <w:tcBorders>
              <w:top w:val="nil"/>
              <w:left w:val="nil"/>
              <w:bottom w:val="nil"/>
              <w:right w:val="nil"/>
            </w:tcBorders>
            <w:shd w:val="clear" w:color="auto" w:fill="auto"/>
            <w:vAlign w:val="center"/>
          </w:tcPr>
          <w:p w14:paraId="01CDD36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计算分摊率批次金额和尾差规则</w:t>
            </w:r>
          </w:p>
        </w:tc>
        <w:tc>
          <w:tcPr>
            <w:tcW w:w="966" w:type="dxa"/>
            <w:tcBorders>
              <w:top w:val="nil"/>
              <w:left w:val="nil"/>
              <w:bottom w:val="nil"/>
              <w:right w:val="nil"/>
            </w:tcBorders>
            <w:shd w:val="clear" w:color="auto" w:fill="auto"/>
            <w:vAlign w:val="center"/>
          </w:tcPr>
          <w:p w14:paraId="7D5B36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1E0A7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5DCE8A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分摊依据有效时</w:t>
            </w:r>
          </w:p>
        </w:tc>
        <w:tc>
          <w:tcPr>
            <w:tcW w:w="1406" w:type="dxa"/>
            <w:tcBorders>
              <w:top w:val="nil"/>
              <w:left w:val="nil"/>
              <w:bottom w:val="nil"/>
              <w:right w:val="nil"/>
            </w:tcBorders>
            <w:shd w:val="clear" w:color="auto" w:fill="auto"/>
            <w:vAlign w:val="center"/>
          </w:tcPr>
          <w:p w14:paraId="7541EF1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按动因量计算各批次参考金额；无可靠动因的数据保持未分摊。</w:t>
            </w:r>
          </w:p>
        </w:tc>
        <w:tc>
          <w:tcPr>
            <w:tcW w:w="1088" w:type="dxa"/>
            <w:tcBorders>
              <w:top w:val="nil"/>
              <w:left w:val="nil"/>
              <w:bottom w:val="nil"/>
              <w:right w:val="nil"/>
            </w:tcBorders>
            <w:shd w:val="clear" w:color="auto" w:fill="auto"/>
            <w:vAlign w:val="center"/>
          </w:tcPr>
          <w:p w14:paraId="53E9FC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分摊率、批次金额、尾差和未分摊项</w:t>
            </w:r>
          </w:p>
        </w:tc>
        <w:tc>
          <w:tcPr>
            <w:tcW w:w="1460" w:type="dxa"/>
            <w:tcBorders>
              <w:top w:val="nil"/>
              <w:left w:val="nil"/>
              <w:bottom w:val="nil"/>
              <w:right w:val="nil"/>
            </w:tcBorders>
            <w:shd w:val="clear" w:color="auto" w:fill="auto"/>
            <w:vAlign w:val="center"/>
          </w:tcPr>
          <w:p w14:paraId="5E11B85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8C58F16">
        <w:trPr>
          <w:cantSplit/>
          <w:trHeight w:val="0" w:hRule="atLeast"/>
          <w:jc w:val="center"/>
        </w:trPr>
        <w:tc>
          <w:tcPr>
            <w:tcW w:w="2944" w:type="dxa"/>
            <w:tcBorders>
              <w:top w:val="nil"/>
              <w:left w:val="nil"/>
              <w:bottom w:val="nil"/>
              <w:right w:val="nil"/>
            </w:tcBorders>
            <w:shd w:val="clear" w:color="auto" w:fill="auto"/>
            <w:vAlign w:val="center"/>
          </w:tcPr>
          <w:p w14:paraId="12684AC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P-ZLTC-SCOS-FYCB-004-80-001</w:t>
            </w:r>
          </w:p>
        </w:tc>
        <w:tc>
          <w:tcPr>
            <w:tcW w:w="945" w:type="dxa"/>
            <w:tcBorders>
              <w:top w:val="nil"/>
              <w:left w:val="nil"/>
              <w:bottom w:val="nil"/>
              <w:right w:val="nil"/>
            </w:tcBorders>
            <w:shd w:val="clear" w:color="auto" w:fill="auto"/>
            <w:vAlign w:val="center"/>
          </w:tcPr>
          <w:p w14:paraId="36B349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生成费用池分摊结果规则</w:t>
            </w:r>
          </w:p>
        </w:tc>
        <w:tc>
          <w:tcPr>
            <w:tcW w:w="966" w:type="dxa"/>
            <w:tcBorders>
              <w:top w:val="nil"/>
              <w:left w:val="nil"/>
              <w:bottom w:val="nil"/>
              <w:right w:val="nil"/>
            </w:tcBorders>
            <w:shd w:val="clear" w:color="auto" w:fill="auto"/>
            <w:vAlign w:val="center"/>
          </w:tcPr>
          <w:p w14:paraId="1CC7AD6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BDDCA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16FCAE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分摊率、批次金额、尾差和未分摊项形成后</w:t>
            </w:r>
          </w:p>
        </w:tc>
        <w:tc>
          <w:tcPr>
            <w:tcW w:w="1406" w:type="dxa"/>
            <w:tcBorders>
              <w:top w:val="nil"/>
              <w:left w:val="nil"/>
              <w:bottom w:val="nil"/>
              <w:right w:val="nil"/>
            </w:tcBorders>
            <w:shd w:val="clear" w:color="auto" w:fill="auto"/>
            <w:vAlign w:val="center"/>
          </w:tcPr>
          <w:p w14:paraId="24E730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汇总费用池、受益批次、分摊依据、分摊率和金额；结果仅用于成本追溯和经营分析。</w:t>
            </w:r>
          </w:p>
        </w:tc>
        <w:tc>
          <w:tcPr>
            <w:tcW w:w="1088" w:type="dxa"/>
            <w:tcBorders>
              <w:top w:val="nil"/>
              <w:left w:val="nil"/>
              <w:bottom w:val="nil"/>
              <w:right w:val="nil"/>
            </w:tcBorders>
            <w:shd w:val="clear" w:color="auto" w:fill="auto"/>
            <w:vAlign w:val="center"/>
          </w:tcPr>
          <w:p w14:paraId="68AA157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费用池分摊结果</w:t>
            </w:r>
          </w:p>
        </w:tc>
        <w:tc>
          <w:tcPr>
            <w:tcW w:w="1460" w:type="dxa"/>
            <w:tcBorders>
              <w:top w:val="nil"/>
              <w:left w:val="nil"/>
              <w:bottom w:val="nil"/>
              <w:right w:val="nil"/>
            </w:tcBorders>
            <w:shd w:val="clear" w:color="auto" w:fill="auto"/>
            <w:vAlign w:val="center"/>
          </w:tcPr>
          <w:p w14:paraId="564E6F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61D63B">
        <w:trPr>
          <w:cantSplit/>
          <w:trHeight w:val="0" w:hRule="atLeast"/>
          <w:jc w:val="center"/>
        </w:trPr>
        <w:tc>
          <w:tcPr>
            <w:tcW w:w="2944" w:type="dxa"/>
            <w:tcBorders>
              <w:top w:val="nil"/>
              <w:left w:val="nil"/>
              <w:bottom w:val="nil"/>
              <w:right w:val="nil"/>
            </w:tcBorders>
            <w:shd w:val="clear" w:color="auto" w:fill="auto"/>
            <w:vAlign w:val="center"/>
          </w:tcPr>
          <w:p w14:paraId="48E812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P-ZLTC-SCOS-FYCB-004-90-001</w:t>
            </w:r>
          </w:p>
        </w:tc>
        <w:tc>
          <w:tcPr>
            <w:tcW w:w="945" w:type="dxa"/>
            <w:tcBorders>
              <w:top w:val="nil"/>
              <w:left w:val="nil"/>
              <w:bottom w:val="nil"/>
              <w:right w:val="nil"/>
            </w:tcBorders>
            <w:shd w:val="clear" w:color="auto" w:fill="auto"/>
            <w:vAlign w:val="center"/>
          </w:tcPr>
          <w:p w14:paraId="380707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保存费用池分摊结果规则</w:t>
            </w:r>
          </w:p>
        </w:tc>
        <w:tc>
          <w:tcPr>
            <w:tcW w:w="966" w:type="dxa"/>
            <w:tcBorders>
              <w:top w:val="nil"/>
              <w:left w:val="nil"/>
              <w:bottom w:val="nil"/>
              <w:right w:val="nil"/>
            </w:tcBorders>
            <w:shd w:val="clear" w:color="auto" w:fill="auto"/>
            <w:vAlign w:val="center"/>
          </w:tcPr>
          <w:p w14:paraId="20417A6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45A75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329E8EC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费用池分摊结果形成后</w:t>
            </w:r>
          </w:p>
        </w:tc>
        <w:tc>
          <w:tcPr>
            <w:tcW w:w="1406" w:type="dxa"/>
            <w:tcBorders>
              <w:top w:val="nil"/>
              <w:left w:val="nil"/>
              <w:bottom w:val="nil"/>
              <w:right w:val="nil"/>
            </w:tcBorders>
            <w:shd w:val="clear" w:color="auto" w:fill="auto"/>
            <w:vAlign w:val="center"/>
          </w:tcPr>
          <w:p w14:paraId="060C01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保存分摊结果及计算依据，供批次成本和订单成本计算使用；不生成实际财务结算凭证。</w:t>
            </w:r>
          </w:p>
        </w:tc>
        <w:tc>
          <w:tcPr>
            <w:tcW w:w="1088" w:type="dxa"/>
            <w:tcBorders>
              <w:top w:val="nil"/>
              <w:left w:val="nil"/>
              <w:bottom w:val="nil"/>
              <w:right w:val="nil"/>
            </w:tcBorders>
            <w:shd w:val="clear" w:color="auto" w:fill="auto"/>
            <w:vAlign w:val="center"/>
          </w:tcPr>
          <w:p w14:paraId="442BEE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费用池分摊结果版本</w:t>
            </w:r>
          </w:p>
        </w:tc>
        <w:tc>
          <w:tcPr>
            <w:tcW w:w="1460" w:type="dxa"/>
            <w:tcBorders>
              <w:top w:val="nil"/>
              <w:left w:val="nil"/>
              <w:bottom w:val="nil"/>
              <w:right w:val="nil"/>
            </w:tcBorders>
            <w:shd w:val="clear" w:color="auto" w:fill="auto"/>
            <w:vAlign w:val="center"/>
          </w:tcPr>
          <w:p w14:paraId="0065B3B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08112F65">
        <w:trPr>
          <w:cantSplit/>
          <w:trHeight w:val="0" w:hRule="atLeast"/>
          <w:jc w:val="center"/>
        </w:trPr>
        <w:tc>
          <w:tcPr>
            <w:tcW w:w="2944" w:type="dxa"/>
            <w:tcBorders>
              <w:top w:val="nil"/>
              <w:left w:val="nil"/>
              <w:bottom w:val="nil"/>
              <w:right w:val="nil"/>
            </w:tcBorders>
            <w:shd w:val="clear" w:color="auto" w:fill="auto"/>
            <w:vAlign w:val="center"/>
          </w:tcPr>
          <w:p w14:paraId="60E165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P-ZLTC-SCOS-FYCB-005-10-001</w:t>
            </w:r>
          </w:p>
        </w:tc>
        <w:tc>
          <w:tcPr>
            <w:tcW w:w="945" w:type="dxa"/>
            <w:tcBorders>
              <w:top w:val="nil"/>
              <w:left w:val="nil"/>
              <w:bottom w:val="nil"/>
              <w:right w:val="nil"/>
            </w:tcBorders>
            <w:shd w:val="clear" w:color="auto" w:fill="auto"/>
            <w:vAlign w:val="center"/>
          </w:tcPr>
          <w:p w14:paraId="575ACC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提供生产订单和报工数据规则</w:t>
            </w:r>
          </w:p>
        </w:tc>
        <w:tc>
          <w:tcPr>
            <w:tcW w:w="966" w:type="dxa"/>
            <w:tcBorders>
              <w:top w:val="nil"/>
              <w:left w:val="nil"/>
              <w:bottom w:val="nil"/>
              <w:right w:val="nil"/>
            </w:tcBorders>
            <w:shd w:val="clear" w:color="auto" w:fill="auto"/>
            <w:vAlign w:val="center"/>
          </w:tcPr>
          <w:p w14:paraId="2DBA4E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9F34A7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2473D8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批次成本更新后由SCOS启动生产订单聚合时</w:t>
            </w:r>
          </w:p>
        </w:tc>
        <w:tc>
          <w:tcPr>
            <w:tcW w:w="1406" w:type="dxa"/>
            <w:tcBorders>
              <w:top w:val="nil"/>
              <w:left w:val="nil"/>
              <w:bottom w:val="nil"/>
              <w:right w:val="nil"/>
            </w:tcBorders>
            <w:shd w:val="clear" w:color="auto" w:fill="auto"/>
            <w:vAlign w:val="center"/>
          </w:tcPr>
          <w:p w14:paraId="01B6E09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提供生产订单与实际批次、投料和产出的映射数据；映射缺失时标记待补充，不用计划量替代实际。</w:t>
            </w:r>
          </w:p>
        </w:tc>
        <w:tc>
          <w:tcPr>
            <w:tcW w:w="1088" w:type="dxa"/>
            <w:tcBorders>
              <w:top w:val="nil"/>
              <w:left w:val="nil"/>
              <w:bottom w:val="nil"/>
              <w:right w:val="nil"/>
            </w:tcBorders>
            <w:shd w:val="clear" w:color="auto" w:fill="auto"/>
            <w:vAlign w:val="center"/>
          </w:tcPr>
          <w:p w14:paraId="4AE3072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工单、产品、路线、投料、产出、报工和状态数据</w:t>
            </w:r>
          </w:p>
        </w:tc>
        <w:tc>
          <w:tcPr>
            <w:tcW w:w="1460" w:type="dxa"/>
            <w:tcBorders>
              <w:top w:val="nil"/>
              <w:left w:val="nil"/>
              <w:bottom w:val="nil"/>
              <w:right w:val="nil"/>
            </w:tcBorders>
            <w:shd w:val="clear" w:color="auto" w:fill="auto"/>
            <w:vAlign w:val="center"/>
          </w:tcPr>
          <w:p w14:paraId="34E8483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66BF4080">
        <w:trPr>
          <w:cantSplit/>
          <w:trHeight w:val="0" w:hRule="atLeast"/>
          <w:jc w:val="center"/>
        </w:trPr>
        <w:tc>
          <w:tcPr>
            <w:tcW w:w="2944" w:type="dxa"/>
            <w:tcBorders>
              <w:top w:val="nil"/>
              <w:left w:val="nil"/>
              <w:bottom w:val="nil"/>
              <w:right w:val="nil"/>
            </w:tcBorders>
            <w:shd w:val="clear" w:color="auto" w:fill="auto"/>
            <w:vAlign w:val="center"/>
          </w:tcPr>
          <w:p w14:paraId="66B19E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P-ZLTC-SCOS-FYCB-005-20-001</w:t>
            </w:r>
          </w:p>
        </w:tc>
        <w:tc>
          <w:tcPr>
            <w:tcW w:w="945" w:type="dxa"/>
            <w:tcBorders>
              <w:top w:val="nil"/>
              <w:left w:val="nil"/>
              <w:bottom w:val="nil"/>
              <w:right w:val="nil"/>
            </w:tcBorders>
            <w:shd w:val="clear" w:color="auto" w:fill="auto"/>
            <w:vAlign w:val="center"/>
          </w:tcPr>
          <w:p w14:paraId="6159A6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校验订单批次映射和成本版本规则</w:t>
            </w:r>
          </w:p>
        </w:tc>
        <w:tc>
          <w:tcPr>
            <w:tcW w:w="966" w:type="dxa"/>
            <w:tcBorders>
              <w:top w:val="nil"/>
              <w:left w:val="nil"/>
              <w:bottom w:val="nil"/>
              <w:right w:val="nil"/>
            </w:tcBorders>
            <w:shd w:val="clear" w:color="auto" w:fill="auto"/>
            <w:vAlign w:val="center"/>
          </w:tcPr>
          <w:p w14:paraId="63013CA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BFC57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37E9B9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工单、产品、路线、投料、产出、报工和状态数据形成后</w:t>
            </w:r>
          </w:p>
        </w:tc>
        <w:tc>
          <w:tcPr>
            <w:tcW w:w="1406" w:type="dxa"/>
            <w:tcBorders>
              <w:top w:val="nil"/>
              <w:left w:val="nil"/>
              <w:bottom w:val="nil"/>
              <w:right w:val="nil"/>
            </w:tcBorders>
            <w:shd w:val="clear" w:color="auto" w:fill="auto"/>
            <w:vAlign w:val="center"/>
          </w:tcPr>
          <w:p w14:paraId="0297749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检查订单路线、批次状态、映射数量、成本版本和谱系版本；对版本不一致或待确认的关联关系单独标识，不混入已确认结果。</w:t>
            </w:r>
          </w:p>
        </w:tc>
        <w:tc>
          <w:tcPr>
            <w:tcW w:w="1088" w:type="dxa"/>
            <w:tcBorders>
              <w:top w:val="nil"/>
              <w:left w:val="nil"/>
              <w:bottom w:val="nil"/>
              <w:right w:val="nil"/>
            </w:tcBorders>
            <w:shd w:val="clear" w:color="auto" w:fill="auto"/>
            <w:vAlign w:val="center"/>
          </w:tcPr>
          <w:p w14:paraId="40FFAF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可聚合订单范围</w:t>
            </w:r>
          </w:p>
        </w:tc>
        <w:tc>
          <w:tcPr>
            <w:tcW w:w="1460" w:type="dxa"/>
            <w:tcBorders>
              <w:top w:val="nil"/>
              <w:left w:val="nil"/>
              <w:bottom w:val="nil"/>
              <w:right w:val="nil"/>
            </w:tcBorders>
            <w:shd w:val="clear" w:color="auto" w:fill="auto"/>
            <w:vAlign w:val="center"/>
          </w:tcPr>
          <w:p w14:paraId="64E7161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E7FB115">
        <w:trPr>
          <w:cantSplit/>
          <w:trHeight w:val="0" w:hRule="atLeast"/>
          <w:jc w:val="center"/>
        </w:trPr>
        <w:tc>
          <w:tcPr>
            <w:tcW w:w="2944" w:type="dxa"/>
            <w:tcBorders>
              <w:top w:val="nil"/>
              <w:left w:val="nil"/>
              <w:bottom w:val="nil"/>
              <w:right w:val="nil"/>
            </w:tcBorders>
            <w:shd w:val="clear" w:color="auto" w:fill="auto"/>
            <w:vAlign w:val="center"/>
          </w:tcPr>
          <w:p w14:paraId="012BF9B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P-ZLTC-SCOS-FYCB-005-30-001</w:t>
            </w:r>
          </w:p>
        </w:tc>
        <w:tc>
          <w:tcPr>
            <w:tcW w:w="945" w:type="dxa"/>
            <w:tcBorders>
              <w:top w:val="nil"/>
              <w:left w:val="nil"/>
              <w:bottom w:val="nil"/>
              <w:right w:val="nil"/>
            </w:tcBorders>
            <w:shd w:val="clear" w:color="auto" w:fill="auto"/>
            <w:vAlign w:val="center"/>
          </w:tcPr>
          <w:p w14:paraId="4CA7E8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汇总订单关联批次成本规则</w:t>
            </w:r>
          </w:p>
        </w:tc>
        <w:tc>
          <w:tcPr>
            <w:tcW w:w="966" w:type="dxa"/>
            <w:tcBorders>
              <w:top w:val="nil"/>
              <w:left w:val="nil"/>
              <w:bottom w:val="nil"/>
              <w:right w:val="nil"/>
            </w:tcBorders>
            <w:shd w:val="clear" w:color="auto" w:fill="auto"/>
            <w:vAlign w:val="center"/>
          </w:tcPr>
          <w:p w14:paraId="68F2132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42A07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42B96E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可聚合订单范围形成后</w:t>
            </w:r>
          </w:p>
        </w:tc>
        <w:tc>
          <w:tcPr>
            <w:tcW w:w="1406" w:type="dxa"/>
            <w:tcBorders>
              <w:top w:val="nil"/>
              <w:left w:val="nil"/>
              <w:bottom w:val="nil"/>
              <w:right w:val="nil"/>
            </w:tcBorders>
            <w:shd w:val="clear" w:color="auto" w:fill="auto"/>
            <w:vAlign w:val="center"/>
          </w:tcPr>
          <w:p w14:paraId="1BBBF1D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沿实际批次关系按成本要素汇总；重复批次成本通过版本和唯一键排除。</w:t>
            </w:r>
          </w:p>
        </w:tc>
        <w:tc>
          <w:tcPr>
            <w:tcW w:w="1088" w:type="dxa"/>
            <w:tcBorders>
              <w:top w:val="nil"/>
              <w:left w:val="nil"/>
              <w:bottom w:val="nil"/>
              <w:right w:val="nil"/>
            </w:tcBorders>
            <w:shd w:val="clear" w:color="auto" w:fill="auto"/>
            <w:vAlign w:val="center"/>
          </w:tcPr>
          <w:p w14:paraId="2FEA671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订单传入、直接、费用池和调整成本</w:t>
            </w:r>
          </w:p>
        </w:tc>
        <w:tc>
          <w:tcPr>
            <w:tcW w:w="1460" w:type="dxa"/>
            <w:tcBorders>
              <w:top w:val="nil"/>
              <w:left w:val="nil"/>
              <w:bottom w:val="nil"/>
              <w:right w:val="nil"/>
            </w:tcBorders>
            <w:shd w:val="clear" w:color="auto" w:fill="auto"/>
            <w:vAlign w:val="center"/>
          </w:tcPr>
          <w:p w14:paraId="7B8FB03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AFEC6B">
        <w:trPr>
          <w:cantSplit/>
          <w:trHeight w:val="0" w:hRule="atLeast"/>
          <w:jc w:val="center"/>
        </w:trPr>
        <w:tc>
          <w:tcPr>
            <w:tcW w:w="2944" w:type="dxa"/>
            <w:tcBorders>
              <w:top w:val="nil"/>
              <w:left w:val="nil"/>
              <w:bottom w:val="nil"/>
              <w:right w:val="nil"/>
            </w:tcBorders>
            <w:shd w:val="clear" w:color="auto" w:fill="auto"/>
            <w:vAlign w:val="center"/>
          </w:tcPr>
          <w:p w14:paraId="64DD9A2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P-ZLTC-SCOS-FYCB-005-40-001</w:t>
            </w:r>
          </w:p>
        </w:tc>
        <w:tc>
          <w:tcPr>
            <w:tcW w:w="945" w:type="dxa"/>
            <w:tcBorders>
              <w:top w:val="nil"/>
              <w:left w:val="nil"/>
              <w:bottom w:val="nil"/>
              <w:right w:val="nil"/>
            </w:tcBorders>
            <w:shd w:val="clear" w:color="auto" w:fill="auto"/>
            <w:vAlign w:val="center"/>
          </w:tcPr>
          <w:p w14:paraId="5965E1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拆分完工在制库存和损失成本规则</w:t>
            </w:r>
          </w:p>
        </w:tc>
        <w:tc>
          <w:tcPr>
            <w:tcW w:w="966" w:type="dxa"/>
            <w:tcBorders>
              <w:top w:val="nil"/>
              <w:left w:val="nil"/>
              <w:bottom w:val="nil"/>
              <w:right w:val="nil"/>
            </w:tcBorders>
            <w:shd w:val="clear" w:color="auto" w:fill="auto"/>
            <w:vAlign w:val="center"/>
          </w:tcPr>
          <w:p w14:paraId="06F9B7C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5E632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6665B5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订单传入、直接、费用池和调整成本形成后</w:t>
            </w:r>
          </w:p>
        </w:tc>
        <w:tc>
          <w:tcPr>
            <w:tcW w:w="1406" w:type="dxa"/>
            <w:tcBorders>
              <w:top w:val="nil"/>
              <w:left w:val="nil"/>
              <w:bottom w:val="nil"/>
              <w:right w:val="nil"/>
            </w:tcBorders>
            <w:shd w:val="clear" w:color="auto" w:fill="auto"/>
            <w:vAlign w:val="center"/>
          </w:tcPr>
          <w:p w14:paraId="399508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已转出成本按实际关系量进入产出；不为月末展示将未转出余额全部计入完工产出。</w:t>
            </w:r>
          </w:p>
        </w:tc>
        <w:tc>
          <w:tcPr>
            <w:tcW w:w="1088" w:type="dxa"/>
            <w:tcBorders>
              <w:top w:val="nil"/>
              <w:left w:val="nil"/>
              <w:bottom w:val="nil"/>
              <w:right w:val="nil"/>
            </w:tcBorders>
            <w:shd w:val="clear" w:color="auto" w:fill="auto"/>
            <w:vAlign w:val="center"/>
          </w:tcPr>
          <w:p w14:paraId="167927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完工、在制、库存、正常损耗和异常损失成本</w:t>
            </w:r>
          </w:p>
        </w:tc>
        <w:tc>
          <w:tcPr>
            <w:tcW w:w="1460" w:type="dxa"/>
            <w:tcBorders>
              <w:top w:val="nil"/>
              <w:left w:val="nil"/>
              <w:bottom w:val="nil"/>
              <w:right w:val="nil"/>
            </w:tcBorders>
            <w:shd w:val="clear" w:color="auto" w:fill="auto"/>
            <w:vAlign w:val="center"/>
          </w:tcPr>
          <w:p w14:paraId="0052B05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D8F0262">
        <w:trPr>
          <w:cantSplit/>
          <w:trHeight w:val="0" w:hRule="atLeast"/>
          <w:jc w:val="center"/>
        </w:trPr>
        <w:tc>
          <w:tcPr>
            <w:tcW w:w="2944" w:type="dxa"/>
            <w:tcBorders>
              <w:top w:val="nil"/>
              <w:left w:val="nil"/>
              <w:bottom w:val="nil"/>
              <w:right w:val="nil"/>
            </w:tcBorders>
            <w:shd w:val="clear" w:color="auto" w:fill="auto"/>
            <w:vAlign w:val="center"/>
          </w:tcPr>
          <w:p w14:paraId="7A0976E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P-ZLTC-SCOS-FYCB-005-50-001</w:t>
            </w:r>
          </w:p>
        </w:tc>
        <w:tc>
          <w:tcPr>
            <w:tcW w:w="945" w:type="dxa"/>
            <w:tcBorders>
              <w:top w:val="nil"/>
              <w:left w:val="nil"/>
              <w:bottom w:val="nil"/>
              <w:right w:val="nil"/>
            </w:tcBorders>
            <w:shd w:val="clear" w:color="auto" w:fill="auto"/>
            <w:vAlign w:val="center"/>
          </w:tcPr>
          <w:p w14:paraId="72A5FB5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计算订单总成本和单位成本规则</w:t>
            </w:r>
          </w:p>
        </w:tc>
        <w:tc>
          <w:tcPr>
            <w:tcW w:w="966" w:type="dxa"/>
            <w:tcBorders>
              <w:top w:val="nil"/>
              <w:left w:val="nil"/>
              <w:bottom w:val="nil"/>
              <w:right w:val="nil"/>
            </w:tcBorders>
            <w:shd w:val="clear" w:color="auto" w:fill="auto"/>
            <w:vAlign w:val="center"/>
          </w:tcPr>
          <w:p w14:paraId="2FFB5DD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D7024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124687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完工、在制、库存、正常损耗和异常损失成本形成后</w:t>
            </w:r>
          </w:p>
        </w:tc>
        <w:tc>
          <w:tcPr>
            <w:tcW w:w="1406" w:type="dxa"/>
            <w:tcBorders>
              <w:top w:val="nil"/>
              <w:left w:val="nil"/>
              <w:bottom w:val="nil"/>
              <w:right w:val="nil"/>
            </w:tcBorders>
            <w:shd w:val="clear" w:color="auto" w:fill="auto"/>
            <w:vAlign w:val="center"/>
          </w:tcPr>
          <w:p w14:paraId="543D2D2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按订单有效产出计算单位成本；分母为空或为零时单位成本显示不可用。</w:t>
            </w:r>
          </w:p>
        </w:tc>
        <w:tc>
          <w:tcPr>
            <w:tcW w:w="1088" w:type="dxa"/>
            <w:tcBorders>
              <w:top w:val="nil"/>
              <w:left w:val="nil"/>
              <w:bottom w:val="nil"/>
              <w:right w:val="nil"/>
            </w:tcBorders>
            <w:shd w:val="clear" w:color="auto" w:fill="auto"/>
            <w:vAlign w:val="center"/>
          </w:tcPr>
          <w:p w14:paraId="342F70B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总成本、湿基单位成本和绝干单位成本</w:t>
            </w:r>
          </w:p>
        </w:tc>
        <w:tc>
          <w:tcPr>
            <w:tcW w:w="1460" w:type="dxa"/>
            <w:tcBorders>
              <w:top w:val="nil"/>
              <w:left w:val="nil"/>
              <w:bottom w:val="nil"/>
              <w:right w:val="nil"/>
            </w:tcBorders>
            <w:shd w:val="clear" w:color="auto" w:fill="auto"/>
            <w:vAlign w:val="center"/>
          </w:tcPr>
          <w:p w14:paraId="0B71CE2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A97B41">
        <w:trPr>
          <w:cantSplit/>
          <w:trHeight w:val="0" w:hRule="atLeast"/>
          <w:jc w:val="center"/>
        </w:trPr>
        <w:tc>
          <w:tcPr>
            <w:tcW w:w="2944" w:type="dxa"/>
            <w:tcBorders>
              <w:top w:val="nil"/>
              <w:left w:val="nil"/>
              <w:bottom w:val="nil"/>
              <w:right w:val="nil"/>
            </w:tcBorders>
            <w:shd w:val="clear" w:color="auto" w:fill="auto"/>
            <w:vAlign w:val="center"/>
          </w:tcPr>
          <w:p w14:paraId="7354118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P-ZLTC-SCOS-FYCB-005-60-001</w:t>
            </w:r>
          </w:p>
        </w:tc>
        <w:tc>
          <w:tcPr>
            <w:tcW w:w="945" w:type="dxa"/>
            <w:tcBorders>
              <w:top w:val="nil"/>
              <w:left w:val="nil"/>
              <w:bottom w:val="nil"/>
              <w:right w:val="nil"/>
            </w:tcBorders>
            <w:shd w:val="clear" w:color="auto" w:fill="auto"/>
            <w:vAlign w:val="center"/>
          </w:tcPr>
          <w:p w14:paraId="6FBDA2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查看订单成本追溯并补充说明规则</w:t>
            </w:r>
          </w:p>
        </w:tc>
        <w:tc>
          <w:tcPr>
            <w:tcW w:w="966" w:type="dxa"/>
            <w:tcBorders>
              <w:top w:val="nil"/>
              <w:left w:val="nil"/>
              <w:bottom w:val="nil"/>
              <w:right w:val="nil"/>
            </w:tcBorders>
            <w:shd w:val="clear" w:color="auto" w:fill="auto"/>
            <w:vAlign w:val="center"/>
          </w:tcPr>
          <w:p w14:paraId="3742B70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D9D9B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724782F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总成本、湿基单位成本和绝干单位成本形成后</w:t>
            </w:r>
          </w:p>
        </w:tc>
        <w:tc>
          <w:tcPr>
            <w:tcW w:w="1406" w:type="dxa"/>
            <w:tcBorders>
              <w:top w:val="nil"/>
              <w:left w:val="nil"/>
              <w:bottom w:val="nil"/>
              <w:right w:val="nil"/>
            </w:tcBorders>
            <w:shd w:val="clear" w:color="auto" w:fill="auto"/>
            <w:vAlign w:val="center"/>
          </w:tcPr>
          <w:p w14:paraId="2BD578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生产负责人在SCOS查看批次贡献和成本变化；说明不直接改写底层计算；需修正数据时进入新版本。</w:t>
            </w:r>
          </w:p>
        </w:tc>
        <w:tc>
          <w:tcPr>
            <w:tcW w:w="1088" w:type="dxa"/>
            <w:tcBorders>
              <w:top w:val="nil"/>
              <w:left w:val="nil"/>
              <w:bottom w:val="nil"/>
              <w:right w:val="nil"/>
            </w:tcBorders>
            <w:shd w:val="clear" w:color="auto" w:fill="auto"/>
            <w:vAlign w:val="center"/>
          </w:tcPr>
          <w:p w14:paraId="26AEA3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停机、返工、工艺或收率差异说明</w:t>
            </w:r>
          </w:p>
        </w:tc>
        <w:tc>
          <w:tcPr>
            <w:tcW w:w="1460" w:type="dxa"/>
            <w:tcBorders>
              <w:top w:val="nil"/>
              <w:left w:val="nil"/>
              <w:bottom w:val="nil"/>
              <w:right w:val="nil"/>
            </w:tcBorders>
            <w:shd w:val="clear" w:color="auto" w:fill="auto"/>
            <w:vAlign w:val="center"/>
          </w:tcPr>
          <w:p w14:paraId="6A3FD68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97B26DF">
        <w:trPr>
          <w:cantSplit/>
          <w:trHeight w:val="0" w:hRule="atLeast"/>
          <w:jc w:val="center"/>
        </w:trPr>
        <w:tc>
          <w:tcPr>
            <w:tcW w:w="2944" w:type="dxa"/>
            <w:tcBorders>
              <w:top w:val="nil"/>
              <w:left w:val="nil"/>
              <w:bottom w:val="nil"/>
              <w:right w:val="nil"/>
            </w:tcBorders>
            <w:shd w:val="clear" w:color="auto" w:fill="auto"/>
            <w:vAlign w:val="center"/>
          </w:tcPr>
          <w:p w14:paraId="3629B00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P-ZLTC-SCOS-FYCB-005-70-001</w:t>
            </w:r>
          </w:p>
        </w:tc>
        <w:tc>
          <w:tcPr>
            <w:tcW w:w="945" w:type="dxa"/>
            <w:tcBorders>
              <w:top w:val="nil"/>
              <w:left w:val="nil"/>
              <w:bottom w:val="nil"/>
              <w:right w:val="nil"/>
            </w:tcBorders>
            <w:shd w:val="clear" w:color="auto" w:fill="auto"/>
            <w:vAlign w:val="center"/>
          </w:tcPr>
          <w:p w14:paraId="3A7007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生成生产订单成本结果规则</w:t>
            </w:r>
          </w:p>
        </w:tc>
        <w:tc>
          <w:tcPr>
            <w:tcW w:w="966" w:type="dxa"/>
            <w:tcBorders>
              <w:top w:val="nil"/>
              <w:left w:val="nil"/>
              <w:bottom w:val="nil"/>
              <w:right w:val="nil"/>
            </w:tcBorders>
            <w:shd w:val="clear" w:color="auto" w:fill="auto"/>
            <w:vAlign w:val="center"/>
          </w:tcPr>
          <w:p w14:paraId="77B5709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70282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7679FA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停机、返工、工艺或收率差异说明形成后</w:t>
            </w:r>
          </w:p>
        </w:tc>
        <w:tc>
          <w:tcPr>
            <w:tcW w:w="1406" w:type="dxa"/>
            <w:tcBorders>
              <w:top w:val="nil"/>
              <w:left w:val="nil"/>
              <w:bottom w:val="nil"/>
              <w:right w:val="nil"/>
            </w:tcBorders>
            <w:shd w:val="clear" w:color="auto" w:fill="auto"/>
            <w:vAlign w:val="center"/>
          </w:tcPr>
          <w:p w14:paraId="6C0AE00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形成订单总成本、单位成本、在制余额、损失、批次追溯；待确认关系和不可用指标保留状态标识。</w:t>
            </w:r>
          </w:p>
        </w:tc>
        <w:tc>
          <w:tcPr>
            <w:tcW w:w="1088" w:type="dxa"/>
            <w:tcBorders>
              <w:top w:val="nil"/>
              <w:left w:val="nil"/>
              <w:bottom w:val="nil"/>
              <w:right w:val="nil"/>
            </w:tcBorders>
            <w:shd w:val="clear" w:color="auto" w:fill="auto"/>
            <w:vAlign w:val="center"/>
          </w:tcPr>
          <w:p w14:paraId="0EAD75D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生产订单成本结果</w:t>
            </w:r>
          </w:p>
        </w:tc>
        <w:tc>
          <w:tcPr>
            <w:tcW w:w="1460" w:type="dxa"/>
            <w:tcBorders>
              <w:top w:val="nil"/>
              <w:left w:val="nil"/>
              <w:bottom w:val="nil"/>
              <w:right w:val="nil"/>
            </w:tcBorders>
            <w:shd w:val="clear" w:color="auto" w:fill="auto"/>
            <w:vAlign w:val="center"/>
          </w:tcPr>
          <w:p w14:paraId="1E4A9B0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B00B1C5">
        <w:trPr>
          <w:cantSplit/>
          <w:trHeight w:val="0" w:hRule="atLeast"/>
          <w:jc w:val="center"/>
        </w:trPr>
        <w:tc>
          <w:tcPr>
            <w:tcW w:w="2944" w:type="dxa"/>
            <w:tcBorders>
              <w:top w:val="nil"/>
              <w:left w:val="nil"/>
              <w:bottom w:val="nil"/>
              <w:right w:val="nil"/>
            </w:tcBorders>
            <w:shd w:val="clear" w:color="auto" w:fill="auto"/>
            <w:vAlign w:val="center"/>
          </w:tcPr>
          <w:p w14:paraId="1901924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P-ZLTC-SCOS-FYCB-005-80-001</w:t>
            </w:r>
          </w:p>
        </w:tc>
        <w:tc>
          <w:tcPr>
            <w:tcW w:w="945" w:type="dxa"/>
            <w:tcBorders>
              <w:top w:val="nil"/>
              <w:left w:val="nil"/>
              <w:bottom w:val="nil"/>
              <w:right w:val="nil"/>
            </w:tcBorders>
            <w:shd w:val="clear" w:color="auto" w:fill="auto"/>
            <w:vAlign w:val="center"/>
          </w:tcPr>
          <w:p w14:paraId="70BD63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保存生产订单成本结果规则</w:t>
            </w:r>
          </w:p>
        </w:tc>
        <w:tc>
          <w:tcPr>
            <w:tcW w:w="966" w:type="dxa"/>
            <w:tcBorders>
              <w:top w:val="nil"/>
              <w:left w:val="nil"/>
              <w:bottom w:val="nil"/>
              <w:right w:val="nil"/>
            </w:tcBorders>
            <w:shd w:val="clear" w:color="auto" w:fill="auto"/>
            <w:vAlign w:val="center"/>
          </w:tcPr>
          <w:p w14:paraId="2C64876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AAEB2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4F9908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生产订单成本结果形成后</w:t>
            </w:r>
          </w:p>
        </w:tc>
        <w:tc>
          <w:tcPr>
            <w:tcW w:w="1406" w:type="dxa"/>
            <w:tcBorders>
              <w:top w:val="nil"/>
              <w:left w:val="nil"/>
              <w:bottom w:val="nil"/>
              <w:right w:val="nil"/>
            </w:tcBorders>
            <w:shd w:val="clear" w:color="auto" w:fill="auto"/>
            <w:vAlign w:val="center"/>
          </w:tcPr>
          <w:p w14:paraId="13792B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保存订单结果及批次追溯明细；底层批次成本更新时生成替代版本。</w:t>
            </w:r>
          </w:p>
        </w:tc>
        <w:tc>
          <w:tcPr>
            <w:tcW w:w="1088" w:type="dxa"/>
            <w:tcBorders>
              <w:top w:val="nil"/>
              <w:left w:val="nil"/>
              <w:bottom w:val="nil"/>
              <w:right w:val="nil"/>
            </w:tcBorders>
            <w:shd w:val="clear" w:color="auto" w:fill="auto"/>
            <w:vAlign w:val="center"/>
          </w:tcPr>
          <w:p w14:paraId="147BCCD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生产订单成本参考版本</w:t>
            </w:r>
          </w:p>
        </w:tc>
        <w:tc>
          <w:tcPr>
            <w:tcW w:w="1460" w:type="dxa"/>
            <w:tcBorders>
              <w:top w:val="nil"/>
              <w:left w:val="nil"/>
              <w:bottom w:val="nil"/>
              <w:right w:val="nil"/>
            </w:tcBorders>
            <w:shd w:val="clear" w:color="auto" w:fill="auto"/>
            <w:vAlign w:val="center"/>
          </w:tcPr>
          <w:p w14:paraId="45B5C6E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26EF2EA5">
        <w:trPr>
          <w:cantSplit/>
          <w:trHeight w:val="0" w:hRule="atLeast"/>
          <w:jc w:val="center"/>
        </w:trPr>
        <w:tc>
          <w:tcPr>
            <w:tcW w:w="2944" w:type="dxa"/>
            <w:tcBorders>
              <w:top w:val="nil"/>
              <w:left w:val="nil"/>
              <w:bottom w:val="nil"/>
              <w:right w:val="nil"/>
            </w:tcBorders>
            <w:shd w:val="clear" w:color="auto" w:fill="auto"/>
            <w:vAlign w:val="center"/>
          </w:tcPr>
          <w:p w14:paraId="5D3DD2B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P-ZLTC-SCOS-FYCB-006-10-001</w:t>
            </w:r>
          </w:p>
        </w:tc>
        <w:tc>
          <w:tcPr>
            <w:tcW w:w="945" w:type="dxa"/>
            <w:tcBorders>
              <w:top w:val="nil"/>
              <w:left w:val="nil"/>
              <w:bottom w:val="nil"/>
              <w:right w:val="nil"/>
            </w:tcBorders>
            <w:shd w:val="clear" w:color="auto" w:fill="auto"/>
            <w:vAlign w:val="center"/>
          </w:tcPr>
          <w:p w14:paraId="5E1A85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提供销售订单和发运数据规则</w:t>
            </w:r>
          </w:p>
        </w:tc>
        <w:tc>
          <w:tcPr>
            <w:tcW w:w="966" w:type="dxa"/>
            <w:tcBorders>
              <w:top w:val="nil"/>
              <w:left w:val="nil"/>
              <w:bottom w:val="nil"/>
              <w:right w:val="nil"/>
            </w:tcBorders>
            <w:shd w:val="clear" w:color="auto" w:fill="auto"/>
            <w:vAlign w:val="center"/>
          </w:tcPr>
          <w:p w14:paraId="1C0D24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3E7BA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41CC60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生产订单成本可用后由SCOS启动销售订单聚合时</w:t>
            </w:r>
          </w:p>
        </w:tc>
        <w:tc>
          <w:tcPr>
            <w:tcW w:w="1406" w:type="dxa"/>
            <w:tcBorders>
              <w:top w:val="nil"/>
              <w:left w:val="nil"/>
              <w:bottom w:val="nil"/>
              <w:right w:val="nil"/>
            </w:tcBorders>
            <w:shd w:val="clear" w:color="auto" w:fill="auto"/>
            <w:vAlign w:val="center"/>
          </w:tcPr>
          <w:p w14:paraId="158E1FD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提供销售订单、实际发运、装载来源、运输和签收数量；订单、车次或来源批缺失时标记待补充。</w:t>
            </w:r>
          </w:p>
        </w:tc>
        <w:tc>
          <w:tcPr>
            <w:tcW w:w="1088" w:type="dxa"/>
            <w:tcBorders>
              <w:top w:val="nil"/>
              <w:left w:val="nil"/>
              <w:bottom w:val="nil"/>
              <w:right w:val="nil"/>
            </w:tcBorders>
            <w:shd w:val="clear" w:color="auto" w:fill="auto"/>
            <w:vAlign w:val="center"/>
          </w:tcPr>
          <w:p w14:paraId="391478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销售单、客户、发运批、来源库存批、车辆、装载量、签收和交付费用</w:t>
            </w:r>
          </w:p>
        </w:tc>
        <w:tc>
          <w:tcPr>
            <w:tcW w:w="1460" w:type="dxa"/>
            <w:tcBorders>
              <w:top w:val="nil"/>
              <w:left w:val="nil"/>
              <w:bottom w:val="nil"/>
              <w:right w:val="nil"/>
            </w:tcBorders>
            <w:shd w:val="clear" w:color="auto" w:fill="auto"/>
            <w:vAlign w:val="center"/>
          </w:tcPr>
          <w:p w14:paraId="68471D9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D445B27">
        <w:trPr>
          <w:cantSplit/>
          <w:trHeight w:val="0" w:hRule="atLeast"/>
          <w:jc w:val="center"/>
        </w:trPr>
        <w:tc>
          <w:tcPr>
            <w:tcW w:w="2944" w:type="dxa"/>
            <w:tcBorders>
              <w:top w:val="nil"/>
              <w:left w:val="nil"/>
              <w:bottom w:val="nil"/>
              <w:right w:val="nil"/>
            </w:tcBorders>
            <w:shd w:val="clear" w:color="auto" w:fill="auto"/>
            <w:vAlign w:val="center"/>
          </w:tcPr>
          <w:p w14:paraId="203A186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P-ZLTC-SCOS-FYCB-006-20-001</w:t>
            </w:r>
          </w:p>
        </w:tc>
        <w:tc>
          <w:tcPr>
            <w:tcW w:w="945" w:type="dxa"/>
            <w:tcBorders>
              <w:top w:val="nil"/>
              <w:left w:val="nil"/>
              <w:bottom w:val="nil"/>
              <w:right w:val="nil"/>
            </w:tcBorders>
            <w:shd w:val="clear" w:color="auto" w:fill="auto"/>
            <w:vAlign w:val="center"/>
          </w:tcPr>
          <w:p w14:paraId="790E24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校验订单发运和来源批映射规则</w:t>
            </w:r>
          </w:p>
        </w:tc>
        <w:tc>
          <w:tcPr>
            <w:tcW w:w="966" w:type="dxa"/>
            <w:tcBorders>
              <w:top w:val="nil"/>
              <w:left w:val="nil"/>
              <w:bottom w:val="nil"/>
              <w:right w:val="nil"/>
            </w:tcBorders>
            <w:shd w:val="clear" w:color="auto" w:fill="auto"/>
            <w:vAlign w:val="center"/>
          </w:tcPr>
          <w:p w14:paraId="3B2327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319E0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731788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销售单、客户、发运批、来源库存批、车辆、装载量、签收和交付费用形成后</w:t>
            </w:r>
          </w:p>
        </w:tc>
        <w:tc>
          <w:tcPr>
            <w:tcW w:w="1406" w:type="dxa"/>
            <w:tcBorders>
              <w:top w:val="nil"/>
              <w:left w:val="nil"/>
              <w:bottom w:val="nil"/>
              <w:right w:val="nil"/>
            </w:tcBorders>
            <w:shd w:val="clear" w:color="auto" w:fill="auto"/>
            <w:vAlign w:val="center"/>
          </w:tcPr>
          <w:p w14:paraId="1CA1500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检查一单多车、一车多批、来源库存批及装载量关系；来源缺失时不使用全月平均成本替代。</w:t>
            </w:r>
          </w:p>
        </w:tc>
        <w:tc>
          <w:tcPr>
            <w:tcW w:w="1088" w:type="dxa"/>
            <w:tcBorders>
              <w:top w:val="nil"/>
              <w:left w:val="nil"/>
              <w:bottom w:val="nil"/>
              <w:right w:val="nil"/>
            </w:tcBorders>
            <w:shd w:val="clear" w:color="auto" w:fill="auto"/>
            <w:vAlign w:val="center"/>
          </w:tcPr>
          <w:p w14:paraId="3E5085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可计算销售订单范围</w:t>
            </w:r>
          </w:p>
        </w:tc>
        <w:tc>
          <w:tcPr>
            <w:tcW w:w="1460" w:type="dxa"/>
            <w:tcBorders>
              <w:top w:val="nil"/>
              <w:left w:val="nil"/>
              <w:bottom w:val="nil"/>
              <w:right w:val="nil"/>
            </w:tcBorders>
            <w:shd w:val="clear" w:color="auto" w:fill="auto"/>
            <w:vAlign w:val="center"/>
          </w:tcPr>
          <w:p w14:paraId="4AD86B9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6FC5D3">
        <w:trPr>
          <w:cantSplit/>
          <w:trHeight w:val="0" w:hRule="atLeast"/>
          <w:jc w:val="center"/>
        </w:trPr>
        <w:tc>
          <w:tcPr>
            <w:tcW w:w="2944" w:type="dxa"/>
            <w:tcBorders>
              <w:top w:val="nil"/>
              <w:left w:val="nil"/>
              <w:bottom w:val="nil"/>
              <w:right w:val="nil"/>
            </w:tcBorders>
            <w:shd w:val="clear" w:color="auto" w:fill="auto"/>
            <w:vAlign w:val="center"/>
          </w:tcPr>
          <w:p w14:paraId="2FDDEDC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P-ZLTC-SCOS-FYCB-006-30-001</w:t>
            </w:r>
          </w:p>
        </w:tc>
        <w:tc>
          <w:tcPr>
            <w:tcW w:w="945" w:type="dxa"/>
            <w:tcBorders>
              <w:top w:val="nil"/>
              <w:left w:val="nil"/>
              <w:bottom w:val="nil"/>
              <w:right w:val="nil"/>
            </w:tcBorders>
            <w:shd w:val="clear" w:color="auto" w:fill="auto"/>
            <w:vAlign w:val="center"/>
          </w:tcPr>
          <w:p w14:paraId="13E4660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追溯发运对应生产订单成本规则</w:t>
            </w:r>
          </w:p>
        </w:tc>
        <w:tc>
          <w:tcPr>
            <w:tcW w:w="966" w:type="dxa"/>
            <w:tcBorders>
              <w:top w:val="nil"/>
              <w:left w:val="nil"/>
              <w:bottom w:val="nil"/>
              <w:right w:val="nil"/>
            </w:tcBorders>
            <w:shd w:val="clear" w:color="auto" w:fill="auto"/>
            <w:vAlign w:val="center"/>
          </w:tcPr>
          <w:p w14:paraId="0615A1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9D640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5C0EFD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可计算销售订单范围形成后</w:t>
            </w:r>
          </w:p>
        </w:tc>
        <w:tc>
          <w:tcPr>
            <w:tcW w:w="1406" w:type="dxa"/>
            <w:tcBorders>
              <w:top w:val="nil"/>
              <w:left w:val="nil"/>
              <w:bottom w:val="nil"/>
              <w:right w:val="nil"/>
            </w:tcBorders>
            <w:shd w:val="clear" w:color="auto" w:fill="auto"/>
            <w:vAlign w:val="center"/>
          </w:tcPr>
          <w:p w14:paraId="560900D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从发运批反向追溯库存批、生产批和生产订单；候选谱系和低可信度来源单独标识。</w:t>
            </w:r>
          </w:p>
        </w:tc>
        <w:tc>
          <w:tcPr>
            <w:tcW w:w="1088" w:type="dxa"/>
            <w:tcBorders>
              <w:top w:val="nil"/>
              <w:left w:val="nil"/>
              <w:bottom w:val="nil"/>
              <w:right w:val="nil"/>
            </w:tcBorders>
            <w:shd w:val="clear" w:color="auto" w:fill="auto"/>
            <w:vAlign w:val="center"/>
          </w:tcPr>
          <w:p w14:paraId="26548AE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来源生产批和制造成本贡献</w:t>
            </w:r>
          </w:p>
        </w:tc>
        <w:tc>
          <w:tcPr>
            <w:tcW w:w="1460" w:type="dxa"/>
            <w:tcBorders>
              <w:top w:val="nil"/>
              <w:left w:val="nil"/>
              <w:bottom w:val="nil"/>
              <w:right w:val="nil"/>
            </w:tcBorders>
            <w:shd w:val="clear" w:color="auto" w:fill="auto"/>
            <w:vAlign w:val="center"/>
          </w:tcPr>
          <w:p w14:paraId="79E6EE6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0CE407E">
        <w:trPr>
          <w:cantSplit/>
          <w:trHeight w:val="0" w:hRule="atLeast"/>
          <w:jc w:val="center"/>
        </w:trPr>
        <w:tc>
          <w:tcPr>
            <w:tcW w:w="2944" w:type="dxa"/>
            <w:tcBorders>
              <w:top w:val="nil"/>
              <w:left w:val="nil"/>
              <w:bottom w:val="nil"/>
              <w:right w:val="nil"/>
            </w:tcBorders>
            <w:shd w:val="clear" w:color="auto" w:fill="auto"/>
            <w:vAlign w:val="center"/>
          </w:tcPr>
          <w:p w14:paraId="19E2BB7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P-ZLTC-SCOS-FYCB-006-40-001</w:t>
            </w:r>
          </w:p>
        </w:tc>
        <w:tc>
          <w:tcPr>
            <w:tcW w:w="945" w:type="dxa"/>
            <w:tcBorders>
              <w:top w:val="nil"/>
              <w:left w:val="nil"/>
              <w:bottom w:val="nil"/>
              <w:right w:val="nil"/>
            </w:tcBorders>
            <w:shd w:val="clear" w:color="auto" w:fill="auto"/>
            <w:vAlign w:val="center"/>
          </w:tcPr>
          <w:p w14:paraId="4D5E34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按实际装载量分配制造成本规则</w:t>
            </w:r>
          </w:p>
        </w:tc>
        <w:tc>
          <w:tcPr>
            <w:tcW w:w="966" w:type="dxa"/>
            <w:tcBorders>
              <w:top w:val="nil"/>
              <w:left w:val="nil"/>
              <w:bottom w:val="nil"/>
              <w:right w:val="nil"/>
            </w:tcBorders>
            <w:shd w:val="clear" w:color="auto" w:fill="auto"/>
            <w:vAlign w:val="center"/>
          </w:tcPr>
          <w:p w14:paraId="0968AB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EDA69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销售订单制造成本归集</w:t>
            </w:r>
          </w:p>
        </w:tc>
        <w:tc>
          <w:tcPr>
            <w:tcW w:w="1098" w:type="dxa"/>
            <w:tcBorders>
              <w:top w:val="nil"/>
              <w:left w:val="nil"/>
              <w:bottom w:val="nil"/>
              <w:right w:val="nil"/>
            </w:tcBorders>
            <w:shd w:val="clear" w:color="auto" w:fill="auto"/>
            <w:vAlign w:val="center"/>
          </w:tcPr>
          <w:p w14:paraId="3CBEB65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来源生产批和制造成本贡献形成后</w:t>
            </w:r>
          </w:p>
        </w:tc>
        <w:tc>
          <w:tcPr>
            <w:tcW w:w="1406" w:type="dxa"/>
            <w:tcBorders>
              <w:top w:val="nil"/>
              <w:left w:val="nil"/>
              <w:bottom w:val="nil"/>
              <w:right w:val="nil"/>
            </w:tcBorders>
            <w:shd w:val="clear" w:color="auto" w:fill="auto"/>
            <w:vAlign w:val="center"/>
          </w:tcPr>
          <w:p w14:paraId="356104F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同一来源批服务多订单时按实际装载质量拆分；退货、补发或更正形成独立调整版本。</w:t>
            </w:r>
          </w:p>
        </w:tc>
        <w:tc>
          <w:tcPr>
            <w:tcW w:w="1088" w:type="dxa"/>
            <w:tcBorders>
              <w:top w:val="nil"/>
              <w:left w:val="nil"/>
              <w:bottom w:val="nil"/>
              <w:right w:val="nil"/>
            </w:tcBorders>
            <w:shd w:val="clear" w:color="auto" w:fill="auto"/>
            <w:vAlign w:val="center"/>
          </w:tcPr>
          <w:p w14:paraId="018B87B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销售订单承接制造成本</w:t>
            </w:r>
          </w:p>
        </w:tc>
        <w:tc>
          <w:tcPr>
            <w:tcW w:w="1460" w:type="dxa"/>
            <w:tcBorders>
              <w:top w:val="nil"/>
              <w:left w:val="nil"/>
              <w:bottom w:val="nil"/>
              <w:right w:val="nil"/>
            </w:tcBorders>
            <w:shd w:val="clear" w:color="auto" w:fill="auto"/>
            <w:vAlign w:val="center"/>
          </w:tcPr>
          <w:p w14:paraId="1D7DE2D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5C9913">
        <w:trPr>
          <w:cantSplit/>
          <w:trHeight w:val="0" w:hRule="atLeast"/>
          <w:jc w:val="center"/>
        </w:trPr>
        <w:tc>
          <w:tcPr>
            <w:tcW w:w="2944" w:type="dxa"/>
            <w:tcBorders>
              <w:top w:val="nil"/>
              <w:left w:val="nil"/>
              <w:bottom w:val="nil"/>
              <w:right w:val="nil"/>
            </w:tcBorders>
            <w:shd w:val="clear" w:color="auto" w:fill="auto"/>
            <w:vAlign w:val="center"/>
          </w:tcPr>
          <w:p w14:paraId="6521A14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P-ZLTC-SCOS-FYCB-006-50-001</w:t>
            </w:r>
          </w:p>
        </w:tc>
        <w:tc>
          <w:tcPr>
            <w:tcW w:w="945" w:type="dxa"/>
            <w:tcBorders>
              <w:top w:val="nil"/>
              <w:left w:val="nil"/>
              <w:bottom w:val="nil"/>
              <w:right w:val="nil"/>
            </w:tcBorders>
            <w:shd w:val="clear" w:color="auto" w:fill="auto"/>
            <w:vAlign w:val="center"/>
          </w:tcPr>
          <w:p w14:paraId="1FF79E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叠加交付成本并形成成本视图规则</w:t>
            </w:r>
          </w:p>
        </w:tc>
        <w:tc>
          <w:tcPr>
            <w:tcW w:w="966" w:type="dxa"/>
            <w:tcBorders>
              <w:top w:val="nil"/>
              <w:left w:val="nil"/>
              <w:bottom w:val="nil"/>
              <w:right w:val="nil"/>
            </w:tcBorders>
            <w:shd w:val="clear" w:color="auto" w:fill="auto"/>
            <w:vAlign w:val="center"/>
          </w:tcPr>
          <w:p w14:paraId="6B327AC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B59FC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销售订单交付成本归集</w:t>
            </w:r>
          </w:p>
        </w:tc>
        <w:tc>
          <w:tcPr>
            <w:tcW w:w="1098" w:type="dxa"/>
            <w:tcBorders>
              <w:top w:val="nil"/>
              <w:left w:val="nil"/>
              <w:bottom w:val="nil"/>
              <w:right w:val="nil"/>
            </w:tcBorders>
            <w:shd w:val="clear" w:color="auto" w:fill="auto"/>
            <w:vAlign w:val="center"/>
          </w:tcPr>
          <w:p w14:paraId="093767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销售订单承接制造成本形成后</w:t>
            </w:r>
          </w:p>
        </w:tc>
        <w:tc>
          <w:tcPr>
            <w:tcW w:w="1406" w:type="dxa"/>
            <w:tcBorders>
              <w:top w:val="nil"/>
              <w:left w:val="nil"/>
              <w:bottom w:val="nil"/>
              <w:right w:val="nil"/>
            </w:tcBorders>
            <w:shd w:val="clear" w:color="auto" w:fill="auto"/>
            <w:vAlign w:val="center"/>
          </w:tcPr>
          <w:p w14:paraId="5A34F1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可定位订单和车次的费用直接计入；经营期间费用只在完整成本视图展示，不回写生产工序成本。</w:t>
            </w:r>
          </w:p>
        </w:tc>
        <w:tc>
          <w:tcPr>
            <w:tcW w:w="1088" w:type="dxa"/>
            <w:tcBorders>
              <w:top w:val="nil"/>
              <w:left w:val="nil"/>
              <w:bottom w:val="nil"/>
              <w:right w:val="nil"/>
            </w:tcBorders>
            <w:shd w:val="clear" w:color="auto" w:fill="auto"/>
            <w:vAlign w:val="center"/>
          </w:tcPr>
          <w:p w14:paraId="0B293ED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制造成本、交付成本和完整成本视图</w:t>
            </w:r>
          </w:p>
        </w:tc>
        <w:tc>
          <w:tcPr>
            <w:tcW w:w="1460" w:type="dxa"/>
            <w:tcBorders>
              <w:top w:val="nil"/>
              <w:left w:val="nil"/>
              <w:bottom w:val="nil"/>
              <w:right w:val="nil"/>
            </w:tcBorders>
            <w:shd w:val="clear" w:color="auto" w:fill="auto"/>
            <w:vAlign w:val="center"/>
          </w:tcPr>
          <w:p w14:paraId="71786C8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3DDD25">
        <w:trPr>
          <w:cantSplit/>
          <w:trHeight w:val="0" w:hRule="atLeast"/>
          <w:jc w:val="center"/>
        </w:trPr>
        <w:tc>
          <w:tcPr>
            <w:tcW w:w="2944" w:type="dxa"/>
            <w:tcBorders>
              <w:top w:val="nil"/>
              <w:left w:val="nil"/>
              <w:bottom w:val="nil"/>
              <w:right w:val="nil"/>
            </w:tcBorders>
            <w:shd w:val="clear" w:color="auto" w:fill="auto"/>
            <w:vAlign w:val="center"/>
          </w:tcPr>
          <w:p w14:paraId="290D834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P-ZLTC-SCOS-FYCB-006-60-001</w:t>
            </w:r>
          </w:p>
        </w:tc>
        <w:tc>
          <w:tcPr>
            <w:tcW w:w="945" w:type="dxa"/>
            <w:tcBorders>
              <w:top w:val="nil"/>
              <w:left w:val="nil"/>
              <w:bottom w:val="nil"/>
              <w:right w:val="nil"/>
            </w:tcBorders>
            <w:shd w:val="clear" w:color="auto" w:fill="auto"/>
            <w:vAlign w:val="center"/>
          </w:tcPr>
          <w:p w14:paraId="2CB9A8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查看销售订单成本并补充说明规则</w:t>
            </w:r>
          </w:p>
        </w:tc>
        <w:tc>
          <w:tcPr>
            <w:tcW w:w="966" w:type="dxa"/>
            <w:tcBorders>
              <w:top w:val="nil"/>
              <w:left w:val="nil"/>
              <w:bottom w:val="nil"/>
              <w:right w:val="nil"/>
            </w:tcBorders>
            <w:shd w:val="clear" w:color="auto" w:fill="auto"/>
            <w:vAlign w:val="center"/>
          </w:tcPr>
          <w:p w14:paraId="00CFB5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5CD70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5217581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制造成本、交付成本和完整成本视图形成后</w:t>
            </w:r>
          </w:p>
        </w:tc>
        <w:tc>
          <w:tcPr>
            <w:tcW w:w="1406" w:type="dxa"/>
            <w:tcBorders>
              <w:top w:val="nil"/>
              <w:left w:val="nil"/>
              <w:bottom w:val="nil"/>
              <w:right w:val="nil"/>
            </w:tcBorders>
            <w:shd w:val="clear" w:color="auto" w:fill="auto"/>
            <w:vAlign w:val="center"/>
          </w:tcPr>
          <w:p w14:paraId="2294D9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销售负责人在SCOS查看制造成本、交付成本、单位成本；说明用于经营分析，不替代实际销售结算。</w:t>
            </w:r>
          </w:p>
        </w:tc>
        <w:tc>
          <w:tcPr>
            <w:tcW w:w="1088" w:type="dxa"/>
            <w:tcBorders>
              <w:top w:val="nil"/>
              <w:left w:val="nil"/>
              <w:bottom w:val="nil"/>
              <w:right w:val="nil"/>
            </w:tcBorders>
            <w:shd w:val="clear" w:color="auto" w:fill="auto"/>
            <w:vAlign w:val="center"/>
          </w:tcPr>
          <w:p w14:paraId="191C502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订单或运输差异说明</w:t>
            </w:r>
          </w:p>
        </w:tc>
        <w:tc>
          <w:tcPr>
            <w:tcW w:w="1460" w:type="dxa"/>
            <w:tcBorders>
              <w:top w:val="nil"/>
              <w:left w:val="nil"/>
              <w:bottom w:val="nil"/>
              <w:right w:val="nil"/>
            </w:tcBorders>
            <w:shd w:val="clear" w:color="auto" w:fill="auto"/>
            <w:vAlign w:val="center"/>
          </w:tcPr>
          <w:p w14:paraId="7C2FE05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F9F037C">
        <w:trPr>
          <w:cantSplit/>
          <w:trHeight w:val="0" w:hRule="atLeast"/>
          <w:jc w:val="center"/>
        </w:trPr>
        <w:tc>
          <w:tcPr>
            <w:tcW w:w="2944" w:type="dxa"/>
            <w:tcBorders>
              <w:top w:val="nil"/>
              <w:left w:val="nil"/>
              <w:bottom w:val="nil"/>
              <w:right w:val="nil"/>
            </w:tcBorders>
            <w:shd w:val="clear" w:color="auto" w:fill="auto"/>
            <w:vAlign w:val="center"/>
          </w:tcPr>
          <w:p w14:paraId="14C7FCD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P-ZLTC-SCOS-FYCB-006-70-001</w:t>
            </w:r>
          </w:p>
        </w:tc>
        <w:tc>
          <w:tcPr>
            <w:tcW w:w="945" w:type="dxa"/>
            <w:tcBorders>
              <w:top w:val="nil"/>
              <w:left w:val="nil"/>
              <w:bottom w:val="nil"/>
              <w:right w:val="nil"/>
            </w:tcBorders>
            <w:shd w:val="clear" w:color="auto" w:fill="auto"/>
            <w:vAlign w:val="center"/>
          </w:tcPr>
          <w:p w14:paraId="153A6A0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生成销售订单成本结果规则</w:t>
            </w:r>
          </w:p>
        </w:tc>
        <w:tc>
          <w:tcPr>
            <w:tcW w:w="966" w:type="dxa"/>
            <w:tcBorders>
              <w:top w:val="nil"/>
              <w:left w:val="nil"/>
              <w:bottom w:val="nil"/>
              <w:right w:val="nil"/>
            </w:tcBorders>
            <w:shd w:val="clear" w:color="auto" w:fill="auto"/>
            <w:vAlign w:val="center"/>
          </w:tcPr>
          <w:p w14:paraId="5F08ED2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E606A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74603F2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订单或运输差异说明形成后</w:t>
            </w:r>
          </w:p>
        </w:tc>
        <w:tc>
          <w:tcPr>
            <w:tcW w:w="1406" w:type="dxa"/>
            <w:tcBorders>
              <w:top w:val="nil"/>
              <w:left w:val="nil"/>
              <w:bottom w:val="nil"/>
              <w:right w:val="nil"/>
            </w:tcBorders>
            <w:shd w:val="clear" w:color="auto" w:fill="auto"/>
            <w:vAlign w:val="center"/>
          </w:tcPr>
          <w:p w14:paraId="55BEAD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形成订单总成本、单位成本及来源订单和批次的追溯关系；底层成本或发运数据更正时生成新版本。</w:t>
            </w:r>
          </w:p>
        </w:tc>
        <w:tc>
          <w:tcPr>
            <w:tcW w:w="1088" w:type="dxa"/>
            <w:tcBorders>
              <w:top w:val="nil"/>
              <w:left w:val="nil"/>
              <w:bottom w:val="nil"/>
              <w:right w:val="nil"/>
            </w:tcBorders>
            <w:shd w:val="clear" w:color="auto" w:fill="auto"/>
            <w:vAlign w:val="center"/>
          </w:tcPr>
          <w:p w14:paraId="22A358C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销售订单成本结果</w:t>
            </w:r>
          </w:p>
        </w:tc>
        <w:tc>
          <w:tcPr>
            <w:tcW w:w="1460" w:type="dxa"/>
            <w:tcBorders>
              <w:top w:val="nil"/>
              <w:left w:val="nil"/>
              <w:bottom w:val="nil"/>
              <w:right w:val="nil"/>
            </w:tcBorders>
            <w:shd w:val="clear" w:color="auto" w:fill="auto"/>
            <w:vAlign w:val="center"/>
          </w:tcPr>
          <w:p w14:paraId="1DE7F8C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5EB2D9">
        <w:trPr>
          <w:cantSplit/>
          <w:trHeight w:val="0" w:hRule="atLeast"/>
          <w:jc w:val="center"/>
        </w:trPr>
        <w:tc>
          <w:tcPr>
            <w:tcW w:w="2944" w:type="dxa"/>
            <w:tcBorders>
              <w:top w:val="nil"/>
              <w:left w:val="nil"/>
              <w:bottom w:val="nil"/>
              <w:right w:val="nil"/>
            </w:tcBorders>
            <w:shd w:val="clear" w:color="auto" w:fill="auto"/>
            <w:vAlign w:val="center"/>
          </w:tcPr>
          <w:p w14:paraId="29A2AD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P-ZLTC-SCOS-FYCB-006-80-001</w:t>
            </w:r>
          </w:p>
        </w:tc>
        <w:tc>
          <w:tcPr>
            <w:tcW w:w="945" w:type="dxa"/>
            <w:tcBorders>
              <w:top w:val="nil"/>
              <w:left w:val="nil"/>
              <w:bottom w:val="nil"/>
              <w:right w:val="nil"/>
            </w:tcBorders>
            <w:shd w:val="clear" w:color="auto" w:fill="auto"/>
            <w:vAlign w:val="center"/>
          </w:tcPr>
          <w:p w14:paraId="59F4338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保存销售订单成本结果规则</w:t>
            </w:r>
          </w:p>
        </w:tc>
        <w:tc>
          <w:tcPr>
            <w:tcW w:w="966" w:type="dxa"/>
            <w:tcBorders>
              <w:top w:val="nil"/>
              <w:left w:val="nil"/>
              <w:bottom w:val="nil"/>
              <w:right w:val="nil"/>
            </w:tcBorders>
            <w:shd w:val="clear" w:color="auto" w:fill="auto"/>
            <w:vAlign w:val="center"/>
          </w:tcPr>
          <w:p w14:paraId="7DE4B81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9C292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2BA9BD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销售订单成本结果形成后</w:t>
            </w:r>
          </w:p>
        </w:tc>
        <w:tc>
          <w:tcPr>
            <w:tcW w:w="1406" w:type="dxa"/>
            <w:tcBorders>
              <w:top w:val="nil"/>
              <w:left w:val="nil"/>
              <w:bottom w:val="nil"/>
              <w:right w:val="nil"/>
            </w:tcBorders>
            <w:shd w:val="clear" w:color="auto" w:fill="auto"/>
            <w:vAlign w:val="center"/>
          </w:tcPr>
          <w:p w14:paraId="0EC995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保存销售订单结果和追溯明细，供多维成本分析使用；历史版本保留，不原地覆盖。</w:t>
            </w:r>
          </w:p>
        </w:tc>
        <w:tc>
          <w:tcPr>
            <w:tcW w:w="1088" w:type="dxa"/>
            <w:tcBorders>
              <w:top w:val="nil"/>
              <w:left w:val="nil"/>
              <w:bottom w:val="nil"/>
              <w:right w:val="nil"/>
            </w:tcBorders>
            <w:shd w:val="clear" w:color="auto" w:fill="auto"/>
            <w:vAlign w:val="center"/>
          </w:tcPr>
          <w:p w14:paraId="0A58C46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销售订单成本参考版本</w:t>
            </w:r>
          </w:p>
        </w:tc>
        <w:tc>
          <w:tcPr>
            <w:tcW w:w="1460" w:type="dxa"/>
            <w:tcBorders>
              <w:top w:val="nil"/>
              <w:left w:val="nil"/>
              <w:bottom w:val="nil"/>
              <w:right w:val="nil"/>
            </w:tcBorders>
            <w:shd w:val="clear" w:color="auto" w:fill="auto"/>
            <w:vAlign w:val="center"/>
          </w:tcPr>
          <w:p w14:paraId="5F2C115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8FCF424">
        <w:trPr>
          <w:cantSplit/>
          <w:trHeight w:val="0" w:hRule="atLeast"/>
          <w:jc w:val="center"/>
        </w:trPr>
        <w:tc>
          <w:tcPr>
            <w:tcW w:w="2944" w:type="dxa"/>
            <w:tcBorders>
              <w:top w:val="nil"/>
              <w:left w:val="nil"/>
              <w:bottom w:val="nil"/>
              <w:right w:val="nil"/>
            </w:tcBorders>
            <w:shd w:val="clear" w:color="auto" w:fill="auto"/>
            <w:vAlign w:val="center"/>
          </w:tcPr>
          <w:p w14:paraId="42858B6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P-ZLTC-SCOS-FYCB-007-10-001</w:t>
            </w:r>
          </w:p>
        </w:tc>
        <w:tc>
          <w:tcPr>
            <w:tcW w:w="945" w:type="dxa"/>
            <w:tcBorders>
              <w:top w:val="nil"/>
              <w:left w:val="nil"/>
              <w:bottom w:val="nil"/>
              <w:right w:val="nil"/>
            </w:tcBorders>
            <w:shd w:val="clear" w:color="auto" w:fill="auto"/>
            <w:vAlign w:val="center"/>
          </w:tcPr>
          <w:p w14:paraId="4FD3421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生成并分发多维成本分析数据集规则</w:t>
            </w:r>
          </w:p>
        </w:tc>
        <w:tc>
          <w:tcPr>
            <w:tcW w:w="966" w:type="dxa"/>
            <w:tcBorders>
              <w:top w:val="nil"/>
              <w:left w:val="nil"/>
              <w:bottom w:val="nil"/>
              <w:right w:val="nil"/>
            </w:tcBorders>
            <w:shd w:val="clear" w:color="auto" w:fill="auto"/>
            <w:vAlign w:val="center"/>
          </w:tcPr>
          <w:p w14:paraId="0A95A8B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7778A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6152D9A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SCOS按用户查询或月度更新启动多维分析时</w:t>
            </w:r>
          </w:p>
        </w:tc>
        <w:tc>
          <w:tcPr>
            <w:tcW w:w="1406" w:type="dxa"/>
            <w:tcBorders>
              <w:top w:val="nil"/>
              <w:left w:val="nil"/>
              <w:bottom w:val="nil"/>
              <w:right w:val="nil"/>
            </w:tcBorders>
            <w:shd w:val="clear" w:color="auto" w:fill="auto"/>
            <w:vAlign w:val="center"/>
          </w:tcPr>
          <w:p w14:paraId="7D013C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按同一时间范围、成本版本和维度口径汇集数据；维度映射缺失时单列待映射；三个角色接收的数据版本一致。</w:t>
            </w:r>
          </w:p>
        </w:tc>
        <w:tc>
          <w:tcPr>
            <w:tcW w:w="1088" w:type="dxa"/>
            <w:tcBorders>
              <w:top w:val="nil"/>
              <w:left w:val="nil"/>
              <w:bottom w:val="nil"/>
              <w:right w:val="nil"/>
            </w:tcBorders>
            <w:shd w:val="clear" w:color="auto" w:fill="auto"/>
            <w:vAlign w:val="center"/>
          </w:tcPr>
          <w:p w14:paraId="2158AB3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统一多维成本分析数据集</w:t>
            </w:r>
          </w:p>
        </w:tc>
        <w:tc>
          <w:tcPr>
            <w:tcW w:w="1460" w:type="dxa"/>
            <w:tcBorders>
              <w:top w:val="nil"/>
              <w:left w:val="nil"/>
              <w:bottom w:val="nil"/>
              <w:right w:val="nil"/>
            </w:tcBorders>
            <w:shd w:val="clear" w:color="auto" w:fill="auto"/>
            <w:vAlign w:val="center"/>
          </w:tcPr>
          <w:p w14:paraId="2865EEC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2E89E8EF">
        <w:trPr>
          <w:cantSplit/>
          <w:trHeight w:val="0" w:hRule="atLeast"/>
          <w:jc w:val="center"/>
        </w:trPr>
        <w:tc>
          <w:tcPr>
            <w:tcW w:w="2944" w:type="dxa"/>
            <w:tcBorders>
              <w:top w:val="nil"/>
              <w:left w:val="nil"/>
              <w:bottom w:val="nil"/>
              <w:right w:val="nil"/>
            </w:tcBorders>
            <w:shd w:val="clear" w:color="auto" w:fill="auto"/>
            <w:vAlign w:val="center"/>
          </w:tcPr>
          <w:p w14:paraId="2885BAA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P-ZLTC-SCOS-FYCB-007-20-001</w:t>
            </w:r>
          </w:p>
        </w:tc>
        <w:tc>
          <w:tcPr>
            <w:tcW w:w="945" w:type="dxa"/>
            <w:tcBorders>
              <w:top w:val="nil"/>
              <w:left w:val="nil"/>
              <w:bottom w:val="nil"/>
              <w:right w:val="nil"/>
            </w:tcBorders>
            <w:shd w:val="clear" w:color="auto" w:fill="auto"/>
            <w:vAlign w:val="center"/>
          </w:tcPr>
          <w:p w14:paraId="39CA10B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接收生产批次和产品成本视图规则</w:t>
            </w:r>
          </w:p>
        </w:tc>
        <w:tc>
          <w:tcPr>
            <w:tcW w:w="966" w:type="dxa"/>
            <w:tcBorders>
              <w:top w:val="nil"/>
              <w:left w:val="nil"/>
              <w:bottom w:val="nil"/>
              <w:right w:val="nil"/>
            </w:tcBorders>
            <w:shd w:val="clear" w:color="auto" w:fill="auto"/>
            <w:vAlign w:val="center"/>
          </w:tcPr>
          <w:p w14:paraId="2062EB2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2BC06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30D4A8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统一多维成本分析数据集形成后</w:t>
            </w:r>
          </w:p>
        </w:tc>
        <w:tc>
          <w:tcPr>
            <w:tcW w:w="1406" w:type="dxa"/>
            <w:tcBorders>
              <w:top w:val="nil"/>
              <w:left w:val="nil"/>
              <w:bottom w:val="nil"/>
              <w:right w:val="nil"/>
            </w:tcBorders>
            <w:shd w:val="clear" w:color="auto" w:fill="auto"/>
            <w:vAlign w:val="center"/>
          </w:tcPr>
          <w:p w14:paraId="4E052D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生产负责人在SCOS选择产品、产线、生产订单和批次；单位成本分母为空时显示不可用。</w:t>
            </w:r>
          </w:p>
        </w:tc>
        <w:tc>
          <w:tcPr>
            <w:tcW w:w="1088" w:type="dxa"/>
            <w:tcBorders>
              <w:top w:val="nil"/>
              <w:left w:val="nil"/>
              <w:bottom w:val="nil"/>
              <w:right w:val="nil"/>
            </w:tcBorders>
            <w:shd w:val="clear" w:color="auto" w:fill="auto"/>
            <w:vAlign w:val="center"/>
          </w:tcPr>
          <w:p w14:paraId="35F0571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产品、生产订单、批次、原料、能耗和损耗分析条件</w:t>
            </w:r>
          </w:p>
        </w:tc>
        <w:tc>
          <w:tcPr>
            <w:tcW w:w="1460" w:type="dxa"/>
            <w:tcBorders>
              <w:top w:val="nil"/>
              <w:left w:val="nil"/>
              <w:bottom w:val="nil"/>
              <w:right w:val="nil"/>
            </w:tcBorders>
            <w:shd w:val="clear" w:color="auto" w:fill="auto"/>
            <w:vAlign w:val="center"/>
          </w:tcPr>
          <w:p w14:paraId="3FCC9E2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EEE9378">
        <w:trPr>
          <w:cantSplit/>
          <w:trHeight w:val="0" w:hRule="atLeast"/>
          <w:jc w:val="center"/>
        </w:trPr>
        <w:tc>
          <w:tcPr>
            <w:tcW w:w="2944" w:type="dxa"/>
            <w:tcBorders>
              <w:top w:val="nil"/>
              <w:left w:val="nil"/>
              <w:bottom w:val="nil"/>
              <w:right w:val="nil"/>
            </w:tcBorders>
            <w:shd w:val="clear" w:color="auto" w:fill="auto"/>
            <w:vAlign w:val="center"/>
          </w:tcPr>
          <w:p w14:paraId="61F64A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P-ZLTC-SCOS-FYCB-007-30-001</w:t>
            </w:r>
          </w:p>
        </w:tc>
        <w:tc>
          <w:tcPr>
            <w:tcW w:w="945" w:type="dxa"/>
            <w:tcBorders>
              <w:top w:val="nil"/>
              <w:left w:val="nil"/>
              <w:bottom w:val="nil"/>
              <w:right w:val="nil"/>
            </w:tcBorders>
            <w:shd w:val="clear" w:color="auto" w:fill="auto"/>
            <w:vAlign w:val="center"/>
          </w:tcPr>
          <w:p w14:paraId="0CC976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接收订单客户和产品成本视图规则</w:t>
            </w:r>
          </w:p>
        </w:tc>
        <w:tc>
          <w:tcPr>
            <w:tcW w:w="966" w:type="dxa"/>
            <w:tcBorders>
              <w:top w:val="nil"/>
              <w:left w:val="nil"/>
              <w:bottom w:val="nil"/>
              <w:right w:val="nil"/>
            </w:tcBorders>
            <w:shd w:val="clear" w:color="auto" w:fill="auto"/>
            <w:vAlign w:val="center"/>
          </w:tcPr>
          <w:p w14:paraId="628C7A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F0162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6E866B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产品、生产订单、批次、原料、能耗和损耗分析条件形成后</w:t>
            </w:r>
          </w:p>
        </w:tc>
        <w:tc>
          <w:tcPr>
            <w:tcW w:w="1406" w:type="dxa"/>
            <w:tcBorders>
              <w:top w:val="nil"/>
              <w:left w:val="nil"/>
              <w:bottom w:val="nil"/>
              <w:right w:val="nil"/>
            </w:tcBorders>
            <w:shd w:val="clear" w:color="auto" w:fill="auto"/>
            <w:vAlign w:val="center"/>
          </w:tcPr>
          <w:p w14:paraId="51D3A1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销售负责人在SCOS查看订单、客户和产品的制造成本；退货或跨期订单按有效事件和版本展示。</w:t>
            </w:r>
          </w:p>
        </w:tc>
        <w:tc>
          <w:tcPr>
            <w:tcW w:w="1088" w:type="dxa"/>
            <w:tcBorders>
              <w:top w:val="nil"/>
              <w:left w:val="nil"/>
              <w:bottom w:val="nil"/>
              <w:right w:val="nil"/>
            </w:tcBorders>
            <w:shd w:val="clear" w:color="auto" w:fill="auto"/>
            <w:vAlign w:val="center"/>
          </w:tcPr>
          <w:p w14:paraId="10AD45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销售订单、客户、产品、交付和来源生产成本分析条件</w:t>
            </w:r>
          </w:p>
        </w:tc>
        <w:tc>
          <w:tcPr>
            <w:tcW w:w="1460" w:type="dxa"/>
            <w:tcBorders>
              <w:top w:val="nil"/>
              <w:left w:val="nil"/>
              <w:bottom w:val="nil"/>
              <w:right w:val="nil"/>
            </w:tcBorders>
            <w:shd w:val="clear" w:color="auto" w:fill="auto"/>
            <w:vAlign w:val="center"/>
          </w:tcPr>
          <w:p w14:paraId="56BC7D9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983F930">
        <w:trPr>
          <w:cantSplit/>
          <w:trHeight w:val="0" w:hRule="atLeast"/>
          <w:jc w:val="center"/>
        </w:trPr>
        <w:tc>
          <w:tcPr>
            <w:tcW w:w="2944" w:type="dxa"/>
            <w:tcBorders>
              <w:top w:val="nil"/>
              <w:left w:val="nil"/>
              <w:bottom w:val="nil"/>
              <w:right w:val="nil"/>
            </w:tcBorders>
            <w:shd w:val="clear" w:color="auto" w:fill="auto"/>
            <w:vAlign w:val="center"/>
          </w:tcPr>
          <w:p w14:paraId="4DCB184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P-ZLTC-SCOS-FYCB-007-40-001</w:t>
            </w:r>
          </w:p>
        </w:tc>
        <w:tc>
          <w:tcPr>
            <w:tcW w:w="945" w:type="dxa"/>
            <w:tcBorders>
              <w:top w:val="nil"/>
              <w:left w:val="nil"/>
              <w:bottom w:val="nil"/>
              <w:right w:val="nil"/>
            </w:tcBorders>
            <w:shd w:val="clear" w:color="auto" w:fill="auto"/>
            <w:vAlign w:val="center"/>
          </w:tcPr>
          <w:p w14:paraId="1B593C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接收供应商和采购成本视图规则</w:t>
            </w:r>
          </w:p>
        </w:tc>
        <w:tc>
          <w:tcPr>
            <w:tcW w:w="966" w:type="dxa"/>
            <w:tcBorders>
              <w:top w:val="nil"/>
              <w:left w:val="nil"/>
              <w:bottom w:val="nil"/>
              <w:right w:val="nil"/>
            </w:tcBorders>
            <w:shd w:val="clear" w:color="auto" w:fill="auto"/>
            <w:vAlign w:val="center"/>
          </w:tcPr>
          <w:p w14:paraId="157DF03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69DDF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72BAA9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销售订单、客户、产品、交付和来源生产成本分析条件形成后</w:t>
            </w:r>
          </w:p>
        </w:tc>
        <w:tc>
          <w:tcPr>
            <w:tcW w:w="1406" w:type="dxa"/>
            <w:tcBorders>
              <w:top w:val="nil"/>
              <w:left w:val="nil"/>
              <w:bottom w:val="nil"/>
              <w:right w:val="nil"/>
            </w:tcBorders>
            <w:shd w:val="clear" w:color="auto" w:fill="auto"/>
            <w:vAlign w:val="center"/>
          </w:tcPr>
          <w:p w14:paraId="14D885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分析供应商及采购批次对生产与销售成本的影响；供应商贡献按实际采购批次和谱系计算。</w:t>
            </w:r>
          </w:p>
        </w:tc>
        <w:tc>
          <w:tcPr>
            <w:tcW w:w="1088" w:type="dxa"/>
            <w:tcBorders>
              <w:top w:val="nil"/>
              <w:left w:val="nil"/>
              <w:bottom w:val="nil"/>
              <w:right w:val="nil"/>
            </w:tcBorders>
            <w:shd w:val="clear" w:color="auto" w:fill="auto"/>
            <w:vAlign w:val="center"/>
          </w:tcPr>
          <w:p w14:paraId="752060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供应商、原料、采购批次、采购价格和成本贡献分析条件</w:t>
            </w:r>
          </w:p>
        </w:tc>
        <w:tc>
          <w:tcPr>
            <w:tcW w:w="1460" w:type="dxa"/>
            <w:tcBorders>
              <w:top w:val="nil"/>
              <w:left w:val="nil"/>
              <w:bottom w:val="nil"/>
              <w:right w:val="nil"/>
            </w:tcBorders>
            <w:shd w:val="clear" w:color="auto" w:fill="auto"/>
            <w:vAlign w:val="center"/>
          </w:tcPr>
          <w:p w14:paraId="1A2D4E4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405744">
        <w:trPr>
          <w:cantSplit/>
          <w:trHeight w:val="0" w:hRule="atLeast"/>
          <w:jc w:val="center"/>
        </w:trPr>
        <w:tc>
          <w:tcPr>
            <w:tcW w:w="2944" w:type="dxa"/>
            <w:tcBorders>
              <w:top w:val="nil"/>
              <w:left w:val="nil"/>
              <w:bottom w:val="nil"/>
              <w:right w:val="nil"/>
            </w:tcBorders>
            <w:shd w:val="clear" w:color="auto" w:fill="auto"/>
            <w:vAlign w:val="center"/>
          </w:tcPr>
          <w:p w14:paraId="0ECAA4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P-ZLTC-SCOS-FYCB-007-50-001</w:t>
            </w:r>
          </w:p>
        </w:tc>
        <w:tc>
          <w:tcPr>
            <w:tcW w:w="945" w:type="dxa"/>
            <w:tcBorders>
              <w:top w:val="nil"/>
              <w:left w:val="nil"/>
              <w:bottom w:val="nil"/>
              <w:right w:val="nil"/>
            </w:tcBorders>
            <w:shd w:val="clear" w:color="auto" w:fill="auto"/>
            <w:vAlign w:val="center"/>
          </w:tcPr>
          <w:p w14:paraId="3B80E9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执行跨维度钻取和差异分析规则</w:t>
            </w:r>
          </w:p>
        </w:tc>
        <w:tc>
          <w:tcPr>
            <w:tcW w:w="966" w:type="dxa"/>
            <w:tcBorders>
              <w:top w:val="nil"/>
              <w:left w:val="nil"/>
              <w:bottom w:val="nil"/>
              <w:right w:val="nil"/>
            </w:tcBorders>
            <w:shd w:val="clear" w:color="auto" w:fill="auto"/>
            <w:vAlign w:val="center"/>
          </w:tcPr>
          <w:p w14:paraId="182586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10104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4EC428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供应商、原料、采购批次、采购价格和成本贡献分析条件形成后</w:t>
            </w:r>
          </w:p>
        </w:tc>
        <w:tc>
          <w:tcPr>
            <w:tcW w:w="1406" w:type="dxa"/>
            <w:tcBorders>
              <w:top w:val="nil"/>
              <w:left w:val="nil"/>
              <w:bottom w:val="nil"/>
              <w:right w:val="nil"/>
            </w:tcBorders>
            <w:shd w:val="clear" w:color="auto" w:fill="auto"/>
            <w:vAlign w:val="center"/>
          </w:tcPr>
          <w:p w14:paraId="31874F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汇合三个角色的分析条件；筛选条件只改变展示范围，不改变底层成本结果。</w:t>
            </w:r>
          </w:p>
        </w:tc>
        <w:tc>
          <w:tcPr>
            <w:tcW w:w="1088" w:type="dxa"/>
            <w:tcBorders>
              <w:top w:val="nil"/>
              <w:left w:val="nil"/>
              <w:bottom w:val="nil"/>
              <w:right w:val="nil"/>
            </w:tcBorders>
            <w:shd w:val="clear" w:color="auto" w:fill="auto"/>
            <w:vAlign w:val="center"/>
          </w:tcPr>
          <w:p w14:paraId="5CC15F0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订单、客户、供应商、产品和成本要素组合指标</w:t>
            </w:r>
          </w:p>
        </w:tc>
        <w:tc>
          <w:tcPr>
            <w:tcW w:w="1460" w:type="dxa"/>
            <w:tcBorders>
              <w:top w:val="nil"/>
              <w:left w:val="nil"/>
              <w:bottom w:val="nil"/>
              <w:right w:val="nil"/>
            </w:tcBorders>
            <w:shd w:val="clear" w:color="auto" w:fill="auto"/>
            <w:vAlign w:val="center"/>
          </w:tcPr>
          <w:p w14:paraId="37E9A4A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8FDD61C">
        <w:trPr>
          <w:cantSplit/>
          <w:trHeight w:val="0" w:hRule="atLeast"/>
          <w:jc w:val="center"/>
        </w:trPr>
        <w:tc>
          <w:tcPr>
            <w:tcW w:w="2944" w:type="dxa"/>
            <w:tcBorders>
              <w:top w:val="nil"/>
              <w:left w:val="nil"/>
              <w:bottom w:val="nil"/>
              <w:right w:val="nil"/>
            </w:tcBorders>
            <w:shd w:val="clear" w:color="auto" w:fill="auto"/>
            <w:vAlign w:val="center"/>
          </w:tcPr>
          <w:p w14:paraId="3B6A512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P-ZLTC-SCOS-FYCB-007-60-001</w:t>
            </w:r>
          </w:p>
        </w:tc>
        <w:tc>
          <w:tcPr>
            <w:tcW w:w="945" w:type="dxa"/>
            <w:tcBorders>
              <w:top w:val="nil"/>
              <w:left w:val="nil"/>
              <w:bottom w:val="nil"/>
              <w:right w:val="nil"/>
            </w:tcBorders>
            <w:shd w:val="clear" w:color="auto" w:fill="auto"/>
            <w:vAlign w:val="center"/>
          </w:tcPr>
          <w:p w14:paraId="44B2D7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生成多维成本分析结果规则</w:t>
            </w:r>
          </w:p>
        </w:tc>
        <w:tc>
          <w:tcPr>
            <w:tcW w:w="966" w:type="dxa"/>
            <w:tcBorders>
              <w:top w:val="nil"/>
              <w:left w:val="nil"/>
              <w:bottom w:val="nil"/>
              <w:right w:val="nil"/>
            </w:tcBorders>
            <w:shd w:val="clear" w:color="auto" w:fill="auto"/>
            <w:vAlign w:val="center"/>
          </w:tcPr>
          <w:p w14:paraId="4662B1F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AF412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0ABDDA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订单、客户、供应商、产品和成本要素组合指标形成后</w:t>
            </w:r>
          </w:p>
        </w:tc>
        <w:tc>
          <w:tcPr>
            <w:tcW w:w="1406" w:type="dxa"/>
            <w:tcBorders>
              <w:top w:val="nil"/>
              <w:left w:val="nil"/>
              <w:bottom w:val="nil"/>
              <w:right w:val="nil"/>
            </w:tcBorders>
            <w:shd w:val="clear" w:color="auto" w:fill="auto"/>
            <w:vAlign w:val="center"/>
          </w:tcPr>
          <w:p w14:paraId="1F79263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生成生产、销售和采购视角的成本分析及差异指标；待映射维度与不可用指标单独展示。</w:t>
            </w:r>
          </w:p>
        </w:tc>
        <w:tc>
          <w:tcPr>
            <w:tcW w:w="1088" w:type="dxa"/>
            <w:tcBorders>
              <w:top w:val="nil"/>
              <w:left w:val="nil"/>
              <w:bottom w:val="nil"/>
              <w:right w:val="nil"/>
            </w:tcBorders>
            <w:shd w:val="clear" w:color="auto" w:fill="auto"/>
            <w:vAlign w:val="center"/>
          </w:tcPr>
          <w:p w14:paraId="3E93C6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多维成本分析结果</w:t>
            </w:r>
          </w:p>
        </w:tc>
        <w:tc>
          <w:tcPr>
            <w:tcW w:w="1460" w:type="dxa"/>
            <w:tcBorders>
              <w:top w:val="nil"/>
              <w:left w:val="nil"/>
              <w:bottom w:val="nil"/>
              <w:right w:val="nil"/>
            </w:tcBorders>
            <w:shd w:val="clear" w:color="auto" w:fill="auto"/>
            <w:vAlign w:val="center"/>
          </w:tcPr>
          <w:p w14:paraId="5DCD38F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95C9B30">
        <w:trPr>
          <w:cantSplit/>
          <w:trHeight w:val="0" w:hRule="atLeast"/>
          <w:jc w:val="center"/>
        </w:trPr>
        <w:tc>
          <w:tcPr>
            <w:tcW w:w="2944" w:type="dxa"/>
            <w:tcBorders>
              <w:top w:val="nil"/>
              <w:left w:val="nil"/>
              <w:bottom w:val="nil"/>
              <w:right w:val="nil"/>
            </w:tcBorders>
            <w:shd w:val="clear" w:color="auto" w:fill="auto"/>
            <w:vAlign w:val="center"/>
          </w:tcPr>
          <w:p w14:paraId="50A77A1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P-ZLTC-SCOS-FYCB-007-70-001</w:t>
            </w:r>
          </w:p>
        </w:tc>
        <w:tc>
          <w:tcPr>
            <w:tcW w:w="945" w:type="dxa"/>
            <w:tcBorders>
              <w:top w:val="nil"/>
              <w:left w:val="nil"/>
              <w:bottom w:val="nil"/>
              <w:right w:val="nil"/>
            </w:tcBorders>
            <w:shd w:val="clear" w:color="auto" w:fill="auto"/>
            <w:vAlign w:val="center"/>
          </w:tcPr>
          <w:p w14:paraId="1DADFC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保存分析快照和导出记录规则</w:t>
            </w:r>
          </w:p>
        </w:tc>
        <w:tc>
          <w:tcPr>
            <w:tcW w:w="966" w:type="dxa"/>
            <w:tcBorders>
              <w:top w:val="nil"/>
              <w:left w:val="nil"/>
              <w:bottom w:val="nil"/>
              <w:right w:val="nil"/>
            </w:tcBorders>
            <w:shd w:val="clear" w:color="auto" w:fill="auto"/>
            <w:vAlign w:val="center"/>
          </w:tcPr>
          <w:p w14:paraId="201FF36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88AF3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321204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多维成本分析结果形成后</w:t>
            </w:r>
          </w:p>
        </w:tc>
        <w:tc>
          <w:tcPr>
            <w:tcW w:w="1406" w:type="dxa"/>
            <w:tcBorders>
              <w:top w:val="nil"/>
              <w:left w:val="nil"/>
              <w:bottom w:val="nil"/>
              <w:right w:val="nil"/>
            </w:tcBorders>
            <w:shd w:val="clear" w:color="auto" w:fill="auto"/>
            <w:vAlign w:val="center"/>
          </w:tcPr>
          <w:p w14:paraId="7A13DD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保存分析条件、数据版本、指标结果和导出记录；底层成本更新后生成新快照并保留历史引用。</w:t>
            </w:r>
          </w:p>
        </w:tc>
        <w:tc>
          <w:tcPr>
            <w:tcW w:w="1088" w:type="dxa"/>
            <w:tcBorders>
              <w:top w:val="nil"/>
              <w:left w:val="nil"/>
              <w:bottom w:val="nil"/>
              <w:right w:val="nil"/>
            </w:tcBorders>
            <w:shd w:val="clear" w:color="auto" w:fill="auto"/>
            <w:vAlign w:val="center"/>
          </w:tcPr>
          <w:p w14:paraId="43E41F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分析快照、看板和导出记录</w:t>
            </w:r>
          </w:p>
        </w:tc>
        <w:tc>
          <w:tcPr>
            <w:tcW w:w="1460" w:type="dxa"/>
            <w:tcBorders>
              <w:top w:val="nil"/>
              <w:left w:val="nil"/>
              <w:bottom w:val="nil"/>
              <w:right w:val="nil"/>
            </w:tcBorders>
            <w:shd w:val="clear" w:color="auto" w:fill="auto"/>
            <w:vAlign w:val="center"/>
          </w:tcPr>
          <w:p w14:paraId="3535E35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6C6D6894">
        <w:trPr>
          <w:cantSplit/>
          <w:trHeight w:val="0" w:hRule="atLeast"/>
          <w:jc w:val="center"/>
        </w:trPr>
        <w:tc>
          <w:tcPr>
            <w:tcW w:w="2944" w:type="dxa"/>
            <w:tcBorders>
              <w:top w:val="nil"/>
              <w:left w:val="nil"/>
              <w:bottom w:val="nil"/>
              <w:right w:val="nil"/>
            </w:tcBorders>
            <w:shd w:val="clear" w:color="auto" w:fill="auto"/>
            <w:vAlign w:val="center"/>
          </w:tcPr>
          <w:p w14:paraId="42CE7B7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P-ZLTC-SCOS-FYCB-008-10-001</w:t>
            </w:r>
          </w:p>
        </w:tc>
        <w:tc>
          <w:tcPr>
            <w:tcW w:w="945" w:type="dxa"/>
            <w:tcBorders>
              <w:top w:val="nil"/>
              <w:left w:val="nil"/>
              <w:bottom w:val="nil"/>
              <w:right w:val="nil"/>
            </w:tcBorders>
            <w:shd w:val="clear" w:color="auto" w:fill="auto"/>
            <w:vAlign w:val="center"/>
          </w:tcPr>
          <w:p w14:paraId="3FEE35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提供更正数据和补充证据规则</w:t>
            </w:r>
          </w:p>
        </w:tc>
        <w:tc>
          <w:tcPr>
            <w:tcW w:w="966" w:type="dxa"/>
            <w:tcBorders>
              <w:top w:val="nil"/>
              <w:left w:val="nil"/>
              <w:bottom w:val="nil"/>
              <w:right w:val="nil"/>
            </w:tcBorders>
            <w:shd w:val="clear" w:color="auto" w:fill="auto"/>
            <w:vAlign w:val="center"/>
          </w:tcPr>
          <w:p w14:paraId="65C39CF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B0FC3B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286349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SCOS在批次、谱系或成本计算中发现异常时</w:t>
            </w:r>
          </w:p>
        </w:tc>
        <w:tc>
          <w:tcPr>
            <w:tcW w:w="1406" w:type="dxa"/>
            <w:tcBorders>
              <w:top w:val="nil"/>
              <w:left w:val="nil"/>
              <w:bottom w:val="nil"/>
              <w:right w:val="nil"/>
            </w:tcBorders>
            <w:shd w:val="clear" w:color="auto" w:fill="auto"/>
            <w:vAlign w:val="center"/>
          </w:tcPr>
          <w:p w14:paraId="1514CD4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按原数据版本返回更正记录、来源时间和替代关系；无法补充时明确缺失范围和数据质量。</w:t>
            </w:r>
          </w:p>
        </w:tc>
        <w:tc>
          <w:tcPr>
            <w:tcW w:w="1088" w:type="dxa"/>
            <w:tcBorders>
              <w:top w:val="nil"/>
              <w:left w:val="nil"/>
              <w:bottom w:val="nil"/>
              <w:right w:val="nil"/>
            </w:tcBorders>
            <w:shd w:val="clear" w:color="auto" w:fill="auto"/>
            <w:vAlign w:val="center"/>
          </w:tcPr>
          <w:p w14:paraId="3B95B8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更正事件、计量、主数据或成本事实</w:t>
            </w:r>
          </w:p>
        </w:tc>
        <w:tc>
          <w:tcPr>
            <w:tcW w:w="1460" w:type="dxa"/>
            <w:tcBorders>
              <w:top w:val="nil"/>
              <w:left w:val="nil"/>
              <w:bottom w:val="nil"/>
              <w:right w:val="nil"/>
            </w:tcBorders>
            <w:shd w:val="clear" w:color="auto" w:fill="auto"/>
            <w:vAlign w:val="center"/>
          </w:tcPr>
          <w:p w14:paraId="109874E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3825CB8F">
        <w:trPr>
          <w:cantSplit/>
          <w:trHeight w:val="0" w:hRule="atLeast"/>
          <w:jc w:val="center"/>
        </w:trPr>
        <w:tc>
          <w:tcPr>
            <w:tcW w:w="2944" w:type="dxa"/>
            <w:tcBorders>
              <w:top w:val="nil"/>
              <w:left w:val="nil"/>
              <w:bottom w:val="nil"/>
              <w:right w:val="nil"/>
            </w:tcBorders>
            <w:shd w:val="clear" w:color="auto" w:fill="auto"/>
            <w:vAlign w:val="center"/>
          </w:tcPr>
          <w:p w14:paraId="106CC5B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P-ZLTC-SCOS-FYCB-008-20-001</w:t>
            </w:r>
          </w:p>
        </w:tc>
        <w:tc>
          <w:tcPr>
            <w:tcW w:w="945" w:type="dxa"/>
            <w:tcBorders>
              <w:top w:val="nil"/>
              <w:left w:val="nil"/>
              <w:bottom w:val="nil"/>
              <w:right w:val="nil"/>
            </w:tcBorders>
            <w:shd w:val="clear" w:color="auto" w:fill="auto"/>
            <w:vAlign w:val="center"/>
          </w:tcPr>
          <w:p w14:paraId="407BD5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比对原结果和更正数据版本规则</w:t>
            </w:r>
          </w:p>
        </w:tc>
        <w:tc>
          <w:tcPr>
            <w:tcW w:w="966" w:type="dxa"/>
            <w:tcBorders>
              <w:top w:val="nil"/>
              <w:left w:val="nil"/>
              <w:bottom w:val="nil"/>
              <w:right w:val="nil"/>
            </w:tcBorders>
            <w:shd w:val="clear" w:color="auto" w:fill="auto"/>
            <w:vAlign w:val="center"/>
          </w:tcPr>
          <w:p w14:paraId="2DC9F03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29894B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3FD90F3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更正事件、计量、主数据或成本事实形成后</w:t>
            </w:r>
          </w:p>
        </w:tc>
        <w:tc>
          <w:tcPr>
            <w:tcW w:w="1406" w:type="dxa"/>
            <w:tcBorders>
              <w:top w:val="nil"/>
              <w:left w:val="nil"/>
              <w:bottom w:val="nil"/>
              <w:right w:val="nil"/>
            </w:tcBorders>
            <w:shd w:val="clear" w:color="auto" w:fill="auto"/>
            <w:vAlign w:val="center"/>
          </w:tcPr>
          <w:p w14:paraId="372AC43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核对事件、计量、主数据、成本事实和规则的变更项；无实质变化的数据不触发全链重算。</w:t>
            </w:r>
          </w:p>
        </w:tc>
        <w:tc>
          <w:tcPr>
            <w:tcW w:w="1088" w:type="dxa"/>
            <w:tcBorders>
              <w:top w:val="nil"/>
              <w:left w:val="nil"/>
              <w:bottom w:val="nil"/>
              <w:right w:val="nil"/>
            </w:tcBorders>
            <w:shd w:val="clear" w:color="auto" w:fill="auto"/>
            <w:vAlign w:val="center"/>
          </w:tcPr>
          <w:p w14:paraId="02967FC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字段差异、时间边界差异和版本关系</w:t>
            </w:r>
          </w:p>
        </w:tc>
        <w:tc>
          <w:tcPr>
            <w:tcW w:w="1460" w:type="dxa"/>
            <w:tcBorders>
              <w:top w:val="nil"/>
              <w:left w:val="nil"/>
              <w:bottom w:val="nil"/>
              <w:right w:val="nil"/>
            </w:tcBorders>
            <w:shd w:val="clear" w:color="auto" w:fill="auto"/>
            <w:vAlign w:val="center"/>
          </w:tcPr>
          <w:p w14:paraId="37F3E1C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CAC43B7">
        <w:trPr>
          <w:cantSplit/>
          <w:trHeight w:val="0" w:hRule="atLeast"/>
          <w:jc w:val="center"/>
        </w:trPr>
        <w:tc>
          <w:tcPr>
            <w:tcW w:w="2944" w:type="dxa"/>
            <w:tcBorders>
              <w:top w:val="nil"/>
              <w:left w:val="nil"/>
              <w:bottom w:val="nil"/>
              <w:right w:val="nil"/>
            </w:tcBorders>
            <w:shd w:val="clear" w:color="auto" w:fill="auto"/>
            <w:vAlign w:val="center"/>
          </w:tcPr>
          <w:p w14:paraId="5A799E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P-ZLTC-SCOS-FYCB-008-30-001</w:t>
            </w:r>
          </w:p>
        </w:tc>
        <w:tc>
          <w:tcPr>
            <w:tcW w:w="945" w:type="dxa"/>
            <w:tcBorders>
              <w:top w:val="nil"/>
              <w:left w:val="nil"/>
              <w:bottom w:val="nil"/>
              <w:right w:val="nil"/>
            </w:tcBorders>
            <w:shd w:val="clear" w:color="auto" w:fill="auto"/>
            <w:vAlign w:val="center"/>
          </w:tcPr>
          <w:p w14:paraId="3DA917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识别异常类型和影响范围规则</w:t>
            </w:r>
          </w:p>
        </w:tc>
        <w:tc>
          <w:tcPr>
            <w:tcW w:w="966" w:type="dxa"/>
            <w:tcBorders>
              <w:top w:val="nil"/>
              <w:left w:val="nil"/>
              <w:bottom w:val="nil"/>
              <w:right w:val="nil"/>
            </w:tcBorders>
            <w:shd w:val="clear" w:color="auto" w:fill="auto"/>
            <w:vAlign w:val="center"/>
          </w:tcPr>
          <w:p w14:paraId="2F78E0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0EDE7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407BF4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字段差异、时间边界差异和版本关系形成后</w:t>
            </w:r>
          </w:p>
        </w:tc>
        <w:tc>
          <w:tcPr>
            <w:tcW w:w="1406" w:type="dxa"/>
            <w:tcBorders>
              <w:top w:val="nil"/>
              <w:left w:val="nil"/>
              <w:bottom w:val="nil"/>
              <w:right w:val="nil"/>
            </w:tcBorders>
            <w:shd w:val="clear" w:color="auto" w:fill="auto"/>
            <w:vAlign w:val="center"/>
          </w:tcPr>
          <w:p w14:paraId="5D995F8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区分时间、路线、计量、批次、分摊依据及成本映射等异常类型；未受影响结果继续可用，异常范围标记待更新。</w:t>
            </w:r>
          </w:p>
        </w:tc>
        <w:tc>
          <w:tcPr>
            <w:tcW w:w="1088" w:type="dxa"/>
            <w:tcBorders>
              <w:top w:val="nil"/>
              <w:left w:val="nil"/>
              <w:bottom w:val="nil"/>
              <w:right w:val="nil"/>
            </w:tcBorders>
            <w:shd w:val="clear" w:color="auto" w:fill="auto"/>
            <w:vAlign w:val="center"/>
          </w:tcPr>
          <w:p w14:paraId="62722E3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异常批次、关系、费用池、订单和受影响后代</w:t>
            </w:r>
          </w:p>
        </w:tc>
        <w:tc>
          <w:tcPr>
            <w:tcW w:w="1460" w:type="dxa"/>
            <w:tcBorders>
              <w:top w:val="nil"/>
              <w:left w:val="nil"/>
              <w:bottom w:val="nil"/>
              <w:right w:val="nil"/>
            </w:tcBorders>
            <w:shd w:val="clear" w:color="auto" w:fill="auto"/>
            <w:vAlign w:val="center"/>
          </w:tcPr>
          <w:p w14:paraId="13BB513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6EA2B31">
        <w:trPr>
          <w:cantSplit/>
          <w:trHeight w:val="0" w:hRule="atLeast"/>
          <w:jc w:val="center"/>
        </w:trPr>
        <w:tc>
          <w:tcPr>
            <w:tcW w:w="2944" w:type="dxa"/>
            <w:tcBorders>
              <w:top w:val="nil"/>
              <w:left w:val="nil"/>
              <w:bottom w:val="nil"/>
              <w:right w:val="nil"/>
            </w:tcBorders>
            <w:shd w:val="clear" w:color="auto" w:fill="auto"/>
            <w:vAlign w:val="center"/>
          </w:tcPr>
          <w:p w14:paraId="3F512F5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P-ZLTC-SCOS-FYCB-008-40-001</w:t>
            </w:r>
          </w:p>
        </w:tc>
        <w:tc>
          <w:tcPr>
            <w:tcW w:w="945" w:type="dxa"/>
            <w:tcBorders>
              <w:top w:val="nil"/>
              <w:left w:val="nil"/>
              <w:bottom w:val="nil"/>
              <w:right w:val="nil"/>
            </w:tcBorders>
            <w:shd w:val="clear" w:color="auto" w:fill="auto"/>
            <w:vAlign w:val="center"/>
          </w:tcPr>
          <w:p w14:paraId="5FADB25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判断证据和规则是否足以重算规则</w:t>
            </w:r>
          </w:p>
        </w:tc>
        <w:tc>
          <w:tcPr>
            <w:tcW w:w="966" w:type="dxa"/>
            <w:tcBorders>
              <w:top w:val="nil"/>
              <w:left w:val="nil"/>
              <w:bottom w:val="nil"/>
              <w:right w:val="nil"/>
            </w:tcBorders>
            <w:shd w:val="clear" w:color="auto" w:fill="auto"/>
            <w:vAlign w:val="center"/>
          </w:tcPr>
          <w:p w14:paraId="622E0A7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C4918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3F4BC17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异常批次、关系、费用池、订单和受影响后代形成后</w:t>
            </w:r>
          </w:p>
        </w:tc>
        <w:tc>
          <w:tcPr>
            <w:tcW w:w="1406" w:type="dxa"/>
            <w:tcBorders>
              <w:top w:val="nil"/>
              <w:left w:val="nil"/>
              <w:bottom w:val="nil"/>
              <w:right w:val="nil"/>
            </w:tcBorders>
            <w:shd w:val="clear" w:color="auto" w:fill="auto"/>
            <w:vAlign w:val="center"/>
          </w:tcPr>
          <w:p w14:paraId="7AE00EB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按已确认的计量、转罐、罐差和密度等依据判断能否重算；证据和规则不足以重算时补充口径；证据和规则足以重算时重算。</w:t>
            </w:r>
          </w:p>
        </w:tc>
        <w:tc>
          <w:tcPr>
            <w:tcW w:w="1088" w:type="dxa"/>
            <w:tcBorders>
              <w:top w:val="nil"/>
              <w:left w:val="nil"/>
              <w:bottom w:val="nil"/>
              <w:right w:val="nil"/>
            </w:tcBorders>
            <w:shd w:val="clear" w:color="auto" w:fill="auto"/>
            <w:vAlign w:val="center"/>
          </w:tcPr>
          <w:p w14:paraId="6EC01E3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可重算判断及证据优先级</w:t>
            </w:r>
          </w:p>
        </w:tc>
        <w:tc>
          <w:tcPr>
            <w:tcW w:w="1460" w:type="dxa"/>
            <w:tcBorders>
              <w:top w:val="nil"/>
              <w:left w:val="nil"/>
              <w:bottom w:val="nil"/>
              <w:right w:val="nil"/>
            </w:tcBorders>
            <w:shd w:val="clear" w:color="auto" w:fill="auto"/>
            <w:vAlign w:val="center"/>
          </w:tcPr>
          <w:p w14:paraId="76F8270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EABFE78">
        <w:trPr>
          <w:cantSplit/>
          <w:trHeight w:val="0" w:hRule="atLeast"/>
          <w:jc w:val="center"/>
        </w:trPr>
        <w:tc>
          <w:tcPr>
            <w:tcW w:w="2944" w:type="dxa"/>
            <w:tcBorders>
              <w:top w:val="nil"/>
              <w:left w:val="nil"/>
              <w:bottom w:val="nil"/>
              <w:right w:val="nil"/>
            </w:tcBorders>
            <w:shd w:val="clear" w:color="auto" w:fill="auto"/>
            <w:vAlign w:val="center"/>
          </w:tcPr>
          <w:p w14:paraId="3E8ABF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P-ZLTC-SCOS-FYCB-008-50-001</w:t>
            </w:r>
          </w:p>
        </w:tc>
        <w:tc>
          <w:tcPr>
            <w:tcW w:w="945" w:type="dxa"/>
            <w:tcBorders>
              <w:top w:val="nil"/>
              <w:left w:val="nil"/>
              <w:bottom w:val="nil"/>
              <w:right w:val="nil"/>
            </w:tcBorders>
            <w:shd w:val="clear" w:color="auto" w:fill="auto"/>
            <w:vAlign w:val="center"/>
          </w:tcPr>
          <w:p w14:paraId="616BE2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补充业务事实或维护参考规则</w:t>
            </w:r>
          </w:p>
        </w:tc>
        <w:tc>
          <w:tcPr>
            <w:tcW w:w="966" w:type="dxa"/>
            <w:tcBorders>
              <w:top w:val="nil"/>
              <w:left w:val="nil"/>
              <w:bottom w:val="nil"/>
              <w:right w:val="nil"/>
            </w:tcBorders>
            <w:shd w:val="clear" w:color="auto" w:fill="auto"/>
            <w:vAlign w:val="center"/>
          </w:tcPr>
          <w:p w14:paraId="339A861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5EC761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6999BF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证据和规则不足以重算时</w:t>
            </w:r>
          </w:p>
        </w:tc>
        <w:tc>
          <w:tcPr>
            <w:tcW w:w="1406" w:type="dxa"/>
            <w:tcBorders>
              <w:top w:val="nil"/>
              <w:left w:val="nil"/>
              <w:bottom w:val="nil"/>
              <w:right w:val="nil"/>
            </w:tcBorders>
            <w:shd w:val="clear" w:color="auto" w:fill="auto"/>
            <w:vAlign w:val="center"/>
          </w:tcPr>
          <w:p w14:paraId="034354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财务负责人在SCOS维护成本映射和费用池参考口径；仍不足时保持待确认，不强行计算。</w:t>
            </w:r>
          </w:p>
        </w:tc>
        <w:tc>
          <w:tcPr>
            <w:tcW w:w="1088" w:type="dxa"/>
            <w:tcBorders>
              <w:top w:val="nil"/>
              <w:left w:val="nil"/>
              <w:bottom w:val="nil"/>
              <w:right w:val="nil"/>
            </w:tcBorders>
            <w:shd w:val="clear" w:color="auto" w:fill="auto"/>
            <w:vAlign w:val="center"/>
          </w:tcPr>
          <w:p w14:paraId="67A727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成本映射、备选动因或继续待确认说明</w:t>
            </w:r>
          </w:p>
        </w:tc>
        <w:tc>
          <w:tcPr>
            <w:tcW w:w="1460" w:type="dxa"/>
            <w:tcBorders>
              <w:top w:val="nil"/>
              <w:left w:val="nil"/>
              <w:bottom w:val="nil"/>
              <w:right w:val="nil"/>
            </w:tcBorders>
            <w:shd w:val="clear" w:color="auto" w:fill="auto"/>
            <w:vAlign w:val="center"/>
          </w:tcPr>
          <w:p w14:paraId="263449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3BA7C32">
        <w:trPr>
          <w:cantSplit/>
          <w:trHeight w:val="0" w:hRule="atLeast"/>
          <w:jc w:val="center"/>
        </w:trPr>
        <w:tc>
          <w:tcPr>
            <w:tcW w:w="2944" w:type="dxa"/>
            <w:tcBorders>
              <w:top w:val="nil"/>
              <w:left w:val="nil"/>
              <w:bottom w:val="nil"/>
              <w:right w:val="nil"/>
            </w:tcBorders>
            <w:shd w:val="clear" w:color="auto" w:fill="auto"/>
            <w:vAlign w:val="center"/>
          </w:tcPr>
          <w:p w14:paraId="1912CA8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P-ZLTC-SCOS-FYCB-008-60-001</w:t>
            </w:r>
          </w:p>
        </w:tc>
        <w:tc>
          <w:tcPr>
            <w:tcW w:w="945" w:type="dxa"/>
            <w:tcBorders>
              <w:top w:val="nil"/>
              <w:left w:val="nil"/>
              <w:bottom w:val="nil"/>
              <w:right w:val="nil"/>
            </w:tcBorders>
            <w:shd w:val="clear" w:color="auto" w:fill="auto"/>
            <w:vAlign w:val="center"/>
          </w:tcPr>
          <w:p w14:paraId="1EF24E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从最早受影响节点重新计算规则</w:t>
            </w:r>
          </w:p>
        </w:tc>
        <w:tc>
          <w:tcPr>
            <w:tcW w:w="966" w:type="dxa"/>
            <w:tcBorders>
              <w:top w:val="nil"/>
              <w:left w:val="nil"/>
              <w:bottom w:val="nil"/>
              <w:right w:val="nil"/>
            </w:tcBorders>
            <w:shd w:val="clear" w:color="auto" w:fill="auto"/>
            <w:vAlign w:val="center"/>
          </w:tcPr>
          <w:p w14:paraId="7BC2E4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43950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0C2423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证据和规则足以重算时</w:t>
            </w:r>
          </w:p>
        </w:tc>
        <w:tc>
          <w:tcPr>
            <w:tcW w:w="1406" w:type="dxa"/>
            <w:tcBorders>
              <w:top w:val="nil"/>
              <w:left w:val="nil"/>
              <w:bottom w:val="nil"/>
              <w:right w:val="nil"/>
            </w:tcBorders>
            <w:shd w:val="clear" w:color="auto" w:fill="auto"/>
            <w:vAlign w:val="center"/>
          </w:tcPr>
          <w:p w14:paraId="2DA36A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从最早受影响的批次或成本环节重新计算，并保留原版本；重算失败时保留上一可用版本并记录原因。</w:t>
            </w:r>
          </w:p>
        </w:tc>
        <w:tc>
          <w:tcPr>
            <w:tcW w:w="1088" w:type="dxa"/>
            <w:tcBorders>
              <w:top w:val="nil"/>
              <w:left w:val="nil"/>
              <w:bottom w:val="nil"/>
              <w:right w:val="nil"/>
            </w:tcBorders>
            <w:shd w:val="clear" w:color="auto" w:fill="auto"/>
            <w:vAlign w:val="center"/>
          </w:tcPr>
          <w:p w14:paraId="0345605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新批次、谱系、批次成本和订单成本</w:t>
            </w:r>
          </w:p>
        </w:tc>
        <w:tc>
          <w:tcPr>
            <w:tcW w:w="1460" w:type="dxa"/>
            <w:tcBorders>
              <w:top w:val="nil"/>
              <w:left w:val="nil"/>
              <w:bottom w:val="nil"/>
              <w:right w:val="nil"/>
            </w:tcBorders>
            <w:shd w:val="clear" w:color="auto" w:fill="auto"/>
            <w:vAlign w:val="center"/>
          </w:tcPr>
          <w:p w14:paraId="23B6276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1046D13">
        <w:trPr>
          <w:cantSplit/>
          <w:trHeight w:val="0" w:hRule="atLeast"/>
          <w:jc w:val="center"/>
        </w:trPr>
        <w:tc>
          <w:tcPr>
            <w:tcW w:w="2944" w:type="dxa"/>
            <w:tcBorders>
              <w:top w:val="nil"/>
              <w:left w:val="nil"/>
              <w:bottom w:val="nil"/>
              <w:right w:val="nil"/>
            </w:tcBorders>
            <w:shd w:val="clear" w:color="auto" w:fill="auto"/>
            <w:vAlign w:val="center"/>
          </w:tcPr>
          <w:p w14:paraId="7AFB505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P-ZLTC-SCOS-FYCB-008-70-001</w:t>
            </w:r>
          </w:p>
        </w:tc>
        <w:tc>
          <w:tcPr>
            <w:tcW w:w="945" w:type="dxa"/>
            <w:tcBorders>
              <w:top w:val="nil"/>
              <w:left w:val="nil"/>
              <w:bottom w:val="nil"/>
              <w:right w:val="nil"/>
            </w:tcBorders>
            <w:shd w:val="clear" w:color="auto" w:fill="auto"/>
            <w:vAlign w:val="center"/>
          </w:tcPr>
          <w:p w14:paraId="6DB399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校验重算差异和影响后代规则</w:t>
            </w:r>
          </w:p>
        </w:tc>
        <w:tc>
          <w:tcPr>
            <w:tcW w:w="966" w:type="dxa"/>
            <w:tcBorders>
              <w:top w:val="nil"/>
              <w:left w:val="nil"/>
              <w:bottom w:val="nil"/>
              <w:right w:val="nil"/>
            </w:tcBorders>
            <w:shd w:val="clear" w:color="auto" w:fill="auto"/>
            <w:vAlign w:val="center"/>
          </w:tcPr>
          <w:p w14:paraId="49CE52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6ED9C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71A1433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新批次、谱系、批次成本和订单成本形成后</w:t>
            </w:r>
          </w:p>
        </w:tc>
        <w:tc>
          <w:tcPr>
            <w:tcW w:w="1406" w:type="dxa"/>
            <w:tcBorders>
              <w:top w:val="nil"/>
              <w:left w:val="nil"/>
              <w:bottom w:val="nil"/>
              <w:right w:val="nil"/>
            </w:tcBorders>
            <w:shd w:val="clear" w:color="auto" w:fill="auto"/>
            <w:vAlign w:val="center"/>
          </w:tcPr>
          <w:p w14:paraId="4A18649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校验重算范围、数量及成本差异，确认无关对象未被改动；超出预期范围时重新定位。</w:t>
            </w:r>
          </w:p>
        </w:tc>
        <w:tc>
          <w:tcPr>
            <w:tcW w:w="1088" w:type="dxa"/>
            <w:tcBorders>
              <w:top w:val="nil"/>
              <w:left w:val="nil"/>
              <w:bottom w:val="nil"/>
              <w:right w:val="nil"/>
            </w:tcBorders>
            <w:shd w:val="clear" w:color="auto" w:fill="auto"/>
            <w:vAlign w:val="center"/>
          </w:tcPr>
          <w:p w14:paraId="47E998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数量差异、成本差异、状态变化和后代覆盖检查</w:t>
            </w:r>
          </w:p>
        </w:tc>
        <w:tc>
          <w:tcPr>
            <w:tcW w:w="1460" w:type="dxa"/>
            <w:tcBorders>
              <w:top w:val="nil"/>
              <w:left w:val="nil"/>
              <w:bottom w:val="nil"/>
              <w:right w:val="nil"/>
            </w:tcBorders>
            <w:shd w:val="clear" w:color="auto" w:fill="auto"/>
            <w:vAlign w:val="center"/>
          </w:tcPr>
          <w:p w14:paraId="3DBCDE2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A7EA07B">
        <w:trPr>
          <w:cantSplit/>
          <w:trHeight w:val="0" w:hRule="atLeast"/>
          <w:jc w:val="center"/>
        </w:trPr>
        <w:tc>
          <w:tcPr>
            <w:tcW w:w="2944" w:type="dxa"/>
            <w:tcBorders>
              <w:top w:val="nil"/>
              <w:left w:val="nil"/>
              <w:bottom w:val="nil"/>
              <w:right w:val="nil"/>
            </w:tcBorders>
            <w:shd w:val="clear" w:color="auto" w:fill="auto"/>
            <w:vAlign w:val="center"/>
          </w:tcPr>
          <w:p w14:paraId="7CD2963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P-ZLTC-SCOS-FYCB-008-80-001</w:t>
            </w:r>
          </w:p>
        </w:tc>
        <w:tc>
          <w:tcPr>
            <w:tcW w:w="945" w:type="dxa"/>
            <w:tcBorders>
              <w:top w:val="nil"/>
              <w:left w:val="nil"/>
              <w:bottom w:val="nil"/>
              <w:right w:val="nil"/>
            </w:tcBorders>
            <w:shd w:val="clear" w:color="auto" w:fill="auto"/>
            <w:vAlign w:val="center"/>
          </w:tcPr>
          <w:p w14:paraId="074E1E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生成成本规则修正结果规则</w:t>
            </w:r>
          </w:p>
        </w:tc>
        <w:tc>
          <w:tcPr>
            <w:tcW w:w="966" w:type="dxa"/>
            <w:tcBorders>
              <w:top w:val="nil"/>
              <w:left w:val="nil"/>
              <w:bottom w:val="nil"/>
              <w:right w:val="nil"/>
            </w:tcBorders>
            <w:shd w:val="clear" w:color="auto" w:fill="auto"/>
            <w:vAlign w:val="center"/>
          </w:tcPr>
          <w:p w14:paraId="135CEA0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7DE04A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10105C9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数量差异、成本差异、状态变化和后代覆盖检查形成后</w:t>
            </w:r>
          </w:p>
        </w:tc>
        <w:tc>
          <w:tcPr>
            <w:tcW w:w="1406" w:type="dxa"/>
            <w:tcBorders>
              <w:top w:val="nil"/>
              <w:left w:val="nil"/>
              <w:bottom w:val="nil"/>
              <w:right w:val="nil"/>
            </w:tcBorders>
            <w:shd w:val="clear" w:color="auto" w:fill="auto"/>
            <w:vAlign w:val="center"/>
          </w:tcPr>
          <w:p w14:paraId="710D909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形成规则调整前后对比、影响范围、差异及新版结果；不生成实际财务调整凭证。</w:t>
            </w:r>
          </w:p>
        </w:tc>
        <w:tc>
          <w:tcPr>
            <w:tcW w:w="1088" w:type="dxa"/>
            <w:tcBorders>
              <w:top w:val="nil"/>
              <w:left w:val="nil"/>
              <w:bottom w:val="nil"/>
              <w:right w:val="nil"/>
            </w:tcBorders>
            <w:shd w:val="clear" w:color="auto" w:fill="auto"/>
            <w:vAlign w:val="center"/>
          </w:tcPr>
          <w:p w14:paraId="113C41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规则调整、替代关系和成本修正结果</w:t>
            </w:r>
          </w:p>
        </w:tc>
        <w:tc>
          <w:tcPr>
            <w:tcW w:w="1460" w:type="dxa"/>
            <w:tcBorders>
              <w:top w:val="nil"/>
              <w:left w:val="nil"/>
              <w:bottom w:val="nil"/>
              <w:right w:val="nil"/>
            </w:tcBorders>
            <w:shd w:val="clear" w:color="auto" w:fill="auto"/>
            <w:vAlign w:val="center"/>
          </w:tcPr>
          <w:p w14:paraId="35CEB45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C140785">
        <w:trPr>
          <w:cantSplit/>
          <w:trHeight w:val="0" w:hRule="atLeast"/>
          <w:jc w:val="center"/>
        </w:trPr>
        <w:tc>
          <w:tcPr>
            <w:tcW w:w="2944" w:type="dxa"/>
            <w:tcBorders>
              <w:top w:val="nil"/>
              <w:left w:val="nil"/>
              <w:bottom w:val="nil"/>
              <w:right w:val="nil"/>
            </w:tcBorders>
            <w:shd w:val="clear" w:color="auto" w:fill="auto"/>
            <w:vAlign w:val="center"/>
          </w:tcPr>
          <w:p w14:paraId="7BB2A2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P-ZLTC-SCOS-FYCB-008-90-001</w:t>
            </w:r>
          </w:p>
        </w:tc>
        <w:tc>
          <w:tcPr>
            <w:tcW w:w="945" w:type="dxa"/>
            <w:tcBorders>
              <w:top w:val="nil"/>
              <w:left w:val="nil"/>
              <w:bottom w:val="nil"/>
              <w:right w:val="nil"/>
            </w:tcBorders>
            <w:shd w:val="clear" w:color="auto" w:fill="auto"/>
            <w:vAlign w:val="center"/>
          </w:tcPr>
          <w:p w14:paraId="22BAA3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保存规则调整和结果版本规则</w:t>
            </w:r>
          </w:p>
        </w:tc>
        <w:tc>
          <w:tcPr>
            <w:tcW w:w="966" w:type="dxa"/>
            <w:tcBorders>
              <w:top w:val="nil"/>
              <w:left w:val="nil"/>
              <w:bottom w:val="nil"/>
              <w:right w:val="nil"/>
            </w:tcBorders>
            <w:shd w:val="clear" w:color="auto" w:fill="auto"/>
            <w:vAlign w:val="center"/>
          </w:tcPr>
          <w:p w14:paraId="1229863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75C09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1577F4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规则调整、替代关系和成本修正结果形成后</w:t>
            </w:r>
          </w:p>
        </w:tc>
        <w:tc>
          <w:tcPr>
            <w:tcW w:w="1406" w:type="dxa"/>
            <w:tcBorders>
              <w:top w:val="nil"/>
              <w:left w:val="nil"/>
              <w:bottom w:val="nil"/>
              <w:right w:val="nil"/>
            </w:tcBorders>
            <w:shd w:val="clear" w:color="auto" w:fill="auto"/>
            <w:vAlign w:val="center"/>
          </w:tcPr>
          <w:p w14:paraId="196CB38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保存修正结果、新旧版本关系及受影响对象索引；历史结果只读保留，不原地覆盖。</w:t>
            </w:r>
          </w:p>
        </w:tc>
        <w:tc>
          <w:tcPr>
            <w:tcW w:w="1088" w:type="dxa"/>
            <w:tcBorders>
              <w:top w:val="nil"/>
              <w:left w:val="nil"/>
              <w:bottom w:val="nil"/>
              <w:right w:val="nil"/>
            </w:tcBorders>
            <w:shd w:val="clear" w:color="auto" w:fill="auto"/>
            <w:vAlign w:val="center"/>
          </w:tcPr>
          <w:p w14:paraId="4FDDA9E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规则调整和成本参考版本</w:t>
            </w:r>
          </w:p>
        </w:tc>
        <w:tc>
          <w:tcPr>
            <w:tcW w:w="1460" w:type="dxa"/>
            <w:tcBorders>
              <w:top w:val="nil"/>
              <w:left w:val="nil"/>
              <w:bottom w:val="nil"/>
              <w:right w:val="nil"/>
            </w:tcBorders>
            <w:shd w:val="clear" w:color="auto" w:fill="auto"/>
            <w:vAlign w:val="center"/>
          </w:tcPr>
          <w:p w14:paraId="7169897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C2940BB">
        <w:trPr>
          <w:cantSplit/>
          <w:trHeight w:val="0" w:hRule="atLeast"/>
          <w:jc w:val="center"/>
        </w:trPr>
        <w:tc>
          <w:tcPr>
            <w:tcW w:w="2944" w:type="dxa"/>
            <w:tcBorders>
              <w:top w:val="nil"/>
              <w:left w:val="nil"/>
              <w:bottom w:val="nil"/>
              <w:right w:val="nil"/>
            </w:tcBorders>
            <w:shd w:val="clear" w:color="auto" w:fill="auto"/>
            <w:vAlign w:val="center"/>
          </w:tcPr>
          <w:p w14:paraId="1566C07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P-ZLTC-SCOS-FYCB-009-10-001</w:t>
            </w:r>
          </w:p>
        </w:tc>
        <w:tc>
          <w:tcPr>
            <w:tcW w:w="945" w:type="dxa"/>
            <w:tcBorders>
              <w:top w:val="nil"/>
              <w:left w:val="nil"/>
              <w:bottom w:val="nil"/>
              <w:right w:val="nil"/>
            </w:tcBorders>
            <w:shd w:val="clear" w:color="auto" w:fill="auto"/>
            <w:vAlign w:val="center"/>
          </w:tcPr>
          <w:p w14:paraId="3C54C81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加载成本版本和预警规则</w:t>
            </w:r>
          </w:p>
        </w:tc>
        <w:tc>
          <w:tcPr>
            <w:tcW w:w="966" w:type="dxa"/>
            <w:tcBorders>
              <w:top w:val="nil"/>
              <w:left w:val="nil"/>
              <w:bottom w:val="nil"/>
              <w:right w:val="nil"/>
            </w:tcBorders>
            <w:shd w:val="clear" w:color="auto" w:fill="auto"/>
            <w:vAlign w:val="center"/>
          </w:tcPr>
          <w:p w14:paraId="1C3837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34602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755A85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SCOS在成本结果更新或周期任务触发时</w:t>
            </w:r>
          </w:p>
        </w:tc>
        <w:tc>
          <w:tcPr>
            <w:tcW w:w="1406" w:type="dxa"/>
            <w:tcBorders>
              <w:top w:val="nil"/>
              <w:left w:val="nil"/>
              <w:bottom w:val="nil"/>
              <w:right w:val="nil"/>
            </w:tcBorders>
            <w:shd w:val="clear" w:color="auto" w:fill="auto"/>
            <w:vAlign w:val="center"/>
          </w:tcPr>
          <w:p w14:paraId="792B08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锁定本次监测使用的成本版本、对象、期间和比较基线；阈值未维护时只计算变化，不自动判定异常。</w:t>
            </w:r>
          </w:p>
        </w:tc>
        <w:tc>
          <w:tcPr>
            <w:tcW w:w="1088" w:type="dxa"/>
            <w:tcBorders>
              <w:top w:val="nil"/>
              <w:left w:val="nil"/>
              <w:bottom w:val="nil"/>
              <w:right w:val="nil"/>
            </w:tcBorders>
            <w:shd w:val="clear" w:color="auto" w:fill="auto"/>
            <w:vAlign w:val="center"/>
          </w:tcPr>
          <w:p w14:paraId="6620745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监测范围与基准</w:t>
            </w:r>
          </w:p>
        </w:tc>
        <w:tc>
          <w:tcPr>
            <w:tcW w:w="1460" w:type="dxa"/>
            <w:tcBorders>
              <w:top w:val="nil"/>
              <w:left w:val="nil"/>
              <w:bottom w:val="nil"/>
              <w:right w:val="nil"/>
            </w:tcBorders>
            <w:shd w:val="clear" w:color="auto" w:fill="auto"/>
            <w:vAlign w:val="center"/>
          </w:tcPr>
          <w:p w14:paraId="602310D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EBE4FF7">
        <w:trPr>
          <w:cantSplit/>
          <w:trHeight w:val="0" w:hRule="atLeast"/>
          <w:jc w:val="center"/>
        </w:trPr>
        <w:tc>
          <w:tcPr>
            <w:tcW w:w="2944" w:type="dxa"/>
            <w:tcBorders>
              <w:top w:val="nil"/>
              <w:left w:val="nil"/>
              <w:bottom w:val="nil"/>
              <w:right w:val="nil"/>
            </w:tcBorders>
            <w:shd w:val="clear" w:color="auto" w:fill="auto"/>
            <w:vAlign w:val="center"/>
          </w:tcPr>
          <w:p w14:paraId="640E33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P-ZLTC-SCOS-FYCB-009-20-001</w:t>
            </w:r>
          </w:p>
        </w:tc>
        <w:tc>
          <w:tcPr>
            <w:tcW w:w="945" w:type="dxa"/>
            <w:tcBorders>
              <w:top w:val="nil"/>
              <w:left w:val="nil"/>
              <w:bottom w:val="nil"/>
              <w:right w:val="nil"/>
            </w:tcBorders>
            <w:shd w:val="clear" w:color="auto" w:fill="auto"/>
            <w:vAlign w:val="center"/>
          </w:tcPr>
          <w:p w14:paraId="0A8A757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计算成本变化和异常指标规则</w:t>
            </w:r>
          </w:p>
        </w:tc>
        <w:tc>
          <w:tcPr>
            <w:tcW w:w="966" w:type="dxa"/>
            <w:tcBorders>
              <w:top w:val="nil"/>
              <w:left w:val="nil"/>
              <w:bottom w:val="nil"/>
              <w:right w:val="nil"/>
            </w:tcBorders>
            <w:shd w:val="clear" w:color="auto" w:fill="auto"/>
            <w:vAlign w:val="center"/>
          </w:tcPr>
          <w:p w14:paraId="122211A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0EBAA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3FCB45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监测范围与基准形成后</w:t>
            </w:r>
          </w:p>
        </w:tc>
        <w:tc>
          <w:tcPr>
            <w:tcW w:w="1406" w:type="dxa"/>
            <w:tcBorders>
              <w:top w:val="nil"/>
              <w:left w:val="nil"/>
              <w:bottom w:val="nil"/>
              <w:right w:val="nil"/>
            </w:tcBorders>
            <w:shd w:val="clear" w:color="auto" w:fill="auto"/>
            <w:vAlign w:val="center"/>
          </w:tcPr>
          <w:p w14:paraId="78569F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按统一口径比较当前结果与历史基线；低可信度关系和不可用单位成本单独标识。</w:t>
            </w:r>
          </w:p>
        </w:tc>
        <w:tc>
          <w:tcPr>
            <w:tcW w:w="1088" w:type="dxa"/>
            <w:tcBorders>
              <w:top w:val="nil"/>
              <w:left w:val="nil"/>
              <w:bottom w:val="nil"/>
              <w:right w:val="nil"/>
            </w:tcBorders>
            <w:shd w:val="clear" w:color="auto" w:fill="auto"/>
            <w:vAlign w:val="center"/>
          </w:tcPr>
          <w:p w14:paraId="38548D2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价格、用量、收率、能耗、单位成本和分摊变化</w:t>
            </w:r>
          </w:p>
        </w:tc>
        <w:tc>
          <w:tcPr>
            <w:tcW w:w="1460" w:type="dxa"/>
            <w:tcBorders>
              <w:top w:val="nil"/>
              <w:left w:val="nil"/>
              <w:bottom w:val="nil"/>
              <w:right w:val="nil"/>
            </w:tcBorders>
            <w:shd w:val="clear" w:color="auto" w:fill="auto"/>
            <w:vAlign w:val="center"/>
          </w:tcPr>
          <w:p w14:paraId="09CEB2A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6554A39">
        <w:trPr>
          <w:cantSplit/>
          <w:trHeight w:val="0" w:hRule="atLeast"/>
          <w:jc w:val="center"/>
        </w:trPr>
        <w:tc>
          <w:tcPr>
            <w:tcW w:w="2944" w:type="dxa"/>
            <w:tcBorders>
              <w:top w:val="nil"/>
              <w:left w:val="nil"/>
              <w:bottom w:val="nil"/>
              <w:right w:val="nil"/>
            </w:tcBorders>
            <w:shd w:val="clear" w:color="auto" w:fill="auto"/>
            <w:vAlign w:val="center"/>
          </w:tcPr>
          <w:p w14:paraId="7B2E769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P-ZLTC-SCOS-FYCB-009-30-001</w:t>
            </w:r>
          </w:p>
        </w:tc>
        <w:tc>
          <w:tcPr>
            <w:tcW w:w="945" w:type="dxa"/>
            <w:tcBorders>
              <w:top w:val="nil"/>
              <w:left w:val="nil"/>
              <w:bottom w:val="nil"/>
              <w:right w:val="nil"/>
            </w:tcBorders>
            <w:shd w:val="clear" w:color="auto" w:fill="auto"/>
            <w:vAlign w:val="center"/>
          </w:tcPr>
          <w:p w14:paraId="600956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判断是否形成成本预警规则</w:t>
            </w:r>
          </w:p>
        </w:tc>
        <w:tc>
          <w:tcPr>
            <w:tcW w:w="966" w:type="dxa"/>
            <w:tcBorders>
              <w:top w:val="nil"/>
              <w:left w:val="nil"/>
              <w:bottom w:val="nil"/>
              <w:right w:val="nil"/>
            </w:tcBorders>
            <w:shd w:val="clear" w:color="auto" w:fill="auto"/>
            <w:vAlign w:val="center"/>
          </w:tcPr>
          <w:p w14:paraId="424EBE6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0DF9FD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02D883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价格、用量、收率、能耗、单位成本和分摊变化形成后</w:t>
            </w:r>
          </w:p>
        </w:tc>
        <w:tc>
          <w:tcPr>
            <w:tcW w:w="1406" w:type="dxa"/>
            <w:tcBorders>
              <w:top w:val="nil"/>
              <w:left w:val="nil"/>
              <w:bottom w:val="nil"/>
              <w:right w:val="nil"/>
            </w:tcBorders>
            <w:shd w:val="clear" w:color="auto" w:fill="auto"/>
            <w:vAlign w:val="center"/>
          </w:tcPr>
          <w:p w14:paraId="57AACD8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识别成本突变、未分摊费用、低可信度关系及单位成本异常；形成成本预警时定位异常；未形成成本预警时生成无预警监测结果。</w:t>
            </w:r>
          </w:p>
        </w:tc>
        <w:tc>
          <w:tcPr>
            <w:tcW w:w="1088" w:type="dxa"/>
            <w:tcBorders>
              <w:top w:val="nil"/>
              <w:left w:val="nil"/>
              <w:bottom w:val="nil"/>
              <w:right w:val="nil"/>
            </w:tcBorders>
            <w:shd w:val="clear" w:color="auto" w:fill="auto"/>
            <w:vAlign w:val="center"/>
          </w:tcPr>
          <w:p w14:paraId="24417B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预警判断和初始等级</w:t>
            </w:r>
          </w:p>
        </w:tc>
        <w:tc>
          <w:tcPr>
            <w:tcW w:w="1460" w:type="dxa"/>
            <w:tcBorders>
              <w:top w:val="nil"/>
              <w:left w:val="nil"/>
              <w:bottom w:val="nil"/>
              <w:right w:val="nil"/>
            </w:tcBorders>
            <w:shd w:val="clear" w:color="auto" w:fill="auto"/>
            <w:vAlign w:val="center"/>
          </w:tcPr>
          <w:p w14:paraId="203926A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75B8F20">
        <w:trPr>
          <w:cantSplit/>
          <w:trHeight w:val="0" w:hRule="atLeast"/>
          <w:jc w:val="center"/>
        </w:trPr>
        <w:tc>
          <w:tcPr>
            <w:tcW w:w="2944" w:type="dxa"/>
            <w:tcBorders>
              <w:top w:val="nil"/>
              <w:left w:val="nil"/>
              <w:bottom w:val="nil"/>
              <w:right w:val="nil"/>
            </w:tcBorders>
            <w:shd w:val="clear" w:color="auto" w:fill="auto"/>
            <w:vAlign w:val="center"/>
          </w:tcPr>
          <w:p w14:paraId="4BEFBA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P-ZLTC-SCOS-FYCB-009-40-001</w:t>
            </w:r>
          </w:p>
        </w:tc>
        <w:tc>
          <w:tcPr>
            <w:tcW w:w="945" w:type="dxa"/>
            <w:tcBorders>
              <w:top w:val="nil"/>
              <w:left w:val="nil"/>
              <w:bottom w:val="nil"/>
              <w:right w:val="nil"/>
            </w:tcBorders>
            <w:shd w:val="clear" w:color="auto" w:fill="auto"/>
            <w:vAlign w:val="center"/>
          </w:tcPr>
          <w:p w14:paraId="7773FD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定位异常来源和影响对象规则</w:t>
            </w:r>
          </w:p>
        </w:tc>
        <w:tc>
          <w:tcPr>
            <w:tcW w:w="966" w:type="dxa"/>
            <w:tcBorders>
              <w:top w:val="nil"/>
              <w:left w:val="nil"/>
              <w:bottom w:val="nil"/>
              <w:right w:val="nil"/>
            </w:tcBorders>
            <w:shd w:val="clear" w:color="auto" w:fill="auto"/>
            <w:vAlign w:val="center"/>
          </w:tcPr>
          <w:p w14:paraId="6ABC05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C2E57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6B7EF7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形成成本预警时</w:t>
            </w:r>
          </w:p>
        </w:tc>
        <w:tc>
          <w:tcPr>
            <w:tcW w:w="1406" w:type="dxa"/>
            <w:tcBorders>
              <w:top w:val="nil"/>
              <w:left w:val="nil"/>
              <w:bottom w:val="nil"/>
              <w:right w:val="nil"/>
            </w:tcBorders>
            <w:shd w:val="clear" w:color="auto" w:fill="auto"/>
            <w:vAlign w:val="center"/>
          </w:tcPr>
          <w:p w14:paraId="1A2CC97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分析原料价格、用量、收率、能耗和费用等异常来源；无法定位时标记待分析，不输出确定性责任结论。</w:t>
            </w:r>
          </w:p>
        </w:tc>
        <w:tc>
          <w:tcPr>
            <w:tcW w:w="1088" w:type="dxa"/>
            <w:tcBorders>
              <w:top w:val="nil"/>
              <w:left w:val="nil"/>
              <w:bottom w:val="nil"/>
              <w:right w:val="nil"/>
            </w:tcBorders>
            <w:shd w:val="clear" w:color="auto" w:fill="auto"/>
            <w:vAlign w:val="center"/>
          </w:tcPr>
          <w:p w14:paraId="2F6B65B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异常来源、受影响批次、产品、订单、客户和供应商</w:t>
            </w:r>
          </w:p>
        </w:tc>
        <w:tc>
          <w:tcPr>
            <w:tcW w:w="1460" w:type="dxa"/>
            <w:tcBorders>
              <w:top w:val="nil"/>
              <w:left w:val="nil"/>
              <w:bottom w:val="nil"/>
              <w:right w:val="nil"/>
            </w:tcBorders>
            <w:shd w:val="clear" w:color="auto" w:fill="auto"/>
            <w:vAlign w:val="center"/>
          </w:tcPr>
          <w:p w14:paraId="20EAC9B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A5032EC">
        <w:trPr>
          <w:cantSplit/>
          <w:trHeight w:val="0" w:hRule="atLeast"/>
          <w:jc w:val="center"/>
        </w:trPr>
        <w:tc>
          <w:tcPr>
            <w:tcW w:w="2944" w:type="dxa"/>
            <w:tcBorders>
              <w:top w:val="nil"/>
              <w:left w:val="nil"/>
              <w:bottom w:val="nil"/>
              <w:right w:val="nil"/>
            </w:tcBorders>
            <w:shd w:val="clear" w:color="auto" w:fill="auto"/>
            <w:vAlign w:val="center"/>
          </w:tcPr>
          <w:p w14:paraId="778D275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P-ZLTC-SCOS-FYCB-009-50-001</w:t>
            </w:r>
          </w:p>
        </w:tc>
        <w:tc>
          <w:tcPr>
            <w:tcW w:w="945" w:type="dxa"/>
            <w:tcBorders>
              <w:top w:val="nil"/>
              <w:left w:val="nil"/>
              <w:bottom w:val="nil"/>
              <w:right w:val="nil"/>
            </w:tcBorders>
            <w:shd w:val="clear" w:color="auto" w:fill="auto"/>
            <w:vAlign w:val="center"/>
          </w:tcPr>
          <w:p w14:paraId="0C4FB4A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生成角色化成本预警内容规则</w:t>
            </w:r>
          </w:p>
        </w:tc>
        <w:tc>
          <w:tcPr>
            <w:tcW w:w="966" w:type="dxa"/>
            <w:tcBorders>
              <w:top w:val="nil"/>
              <w:left w:val="nil"/>
              <w:bottom w:val="nil"/>
              <w:right w:val="nil"/>
            </w:tcBorders>
            <w:shd w:val="clear" w:color="auto" w:fill="auto"/>
            <w:vAlign w:val="center"/>
          </w:tcPr>
          <w:p w14:paraId="505B2AA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D03A1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63B5EA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异常来源、受影响批次、产品、订单、客户和供应商形成后</w:t>
            </w:r>
          </w:p>
        </w:tc>
        <w:tc>
          <w:tcPr>
            <w:tcW w:w="1406" w:type="dxa"/>
            <w:tcBorders>
              <w:top w:val="nil"/>
              <w:left w:val="nil"/>
              <w:bottom w:val="nil"/>
              <w:right w:val="nil"/>
            </w:tcBorders>
            <w:shd w:val="clear" w:color="auto" w:fill="auto"/>
            <w:vAlign w:val="center"/>
          </w:tcPr>
          <w:p w14:paraId="56F0F70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按异常对象生成角色化提示；提示只用于关注和追溯，不自动认定损失。</w:t>
            </w:r>
          </w:p>
        </w:tc>
        <w:tc>
          <w:tcPr>
            <w:tcW w:w="1088" w:type="dxa"/>
            <w:tcBorders>
              <w:top w:val="nil"/>
              <w:left w:val="nil"/>
              <w:bottom w:val="nil"/>
              <w:right w:val="nil"/>
            </w:tcBorders>
            <w:shd w:val="clear" w:color="auto" w:fill="auto"/>
            <w:vAlign w:val="center"/>
          </w:tcPr>
          <w:p w14:paraId="66AC25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生产、销售、采购和财务关注的预警内容及追溯入口</w:t>
            </w:r>
          </w:p>
        </w:tc>
        <w:tc>
          <w:tcPr>
            <w:tcW w:w="1460" w:type="dxa"/>
            <w:tcBorders>
              <w:top w:val="nil"/>
              <w:left w:val="nil"/>
              <w:bottom w:val="nil"/>
              <w:right w:val="nil"/>
            </w:tcBorders>
            <w:shd w:val="clear" w:color="auto" w:fill="auto"/>
            <w:vAlign w:val="center"/>
          </w:tcPr>
          <w:p w14:paraId="7935DAF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6172727">
        <w:trPr>
          <w:cantSplit/>
          <w:trHeight w:val="0" w:hRule="atLeast"/>
          <w:jc w:val="center"/>
        </w:trPr>
        <w:tc>
          <w:tcPr>
            <w:tcW w:w="2944" w:type="dxa"/>
            <w:tcBorders>
              <w:top w:val="nil"/>
              <w:left w:val="nil"/>
              <w:bottom w:val="nil"/>
              <w:right w:val="nil"/>
            </w:tcBorders>
            <w:shd w:val="clear" w:color="auto" w:fill="auto"/>
            <w:vAlign w:val="center"/>
          </w:tcPr>
          <w:p w14:paraId="4DF918C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P-ZLTC-SCOS-FYCB-009-60-001</w:t>
            </w:r>
          </w:p>
        </w:tc>
        <w:tc>
          <w:tcPr>
            <w:tcW w:w="945" w:type="dxa"/>
            <w:tcBorders>
              <w:top w:val="nil"/>
              <w:left w:val="nil"/>
              <w:bottom w:val="nil"/>
              <w:right w:val="nil"/>
            </w:tcBorders>
            <w:shd w:val="clear" w:color="auto" w:fill="auto"/>
            <w:vAlign w:val="center"/>
          </w:tcPr>
          <w:p w14:paraId="00CB46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生成成本监测和预警结果规则</w:t>
            </w:r>
          </w:p>
        </w:tc>
        <w:tc>
          <w:tcPr>
            <w:tcW w:w="966" w:type="dxa"/>
            <w:tcBorders>
              <w:top w:val="nil"/>
              <w:left w:val="nil"/>
              <w:bottom w:val="nil"/>
              <w:right w:val="nil"/>
            </w:tcBorders>
            <w:shd w:val="clear" w:color="auto" w:fill="auto"/>
            <w:vAlign w:val="center"/>
          </w:tcPr>
          <w:p w14:paraId="4CF669F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66294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5CDB7E2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未形成成本预警时</w:t>
            </w:r>
          </w:p>
        </w:tc>
        <w:tc>
          <w:tcPr>
            <w:tcW w:w="1406" w:type="dxa"/>
            <w:tcBorders>
              <w:top w:val="nil"/>
              <w:left w:val="nil"/>
              <w:bottom w:val="nil"/>
              <w:right w:val="nil"/>
            </w:tcBorders>
            <w:shd w:val="clear" w:color="auto" w:fill="auto"/>
            <w:vAlign w:val="center"/>
          </w:tcPr>
          <w:p w14:paraId="0EC20A1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汇总监测批次、指标、预警等级、异常对象和责任角色；无预警时保存正常监测结果，有预警时保存开放预警。</w:t>
            </w:r>
          </w:p>
        </w:tc>
        <w:tc>
          <w:tcPr>
            <w:tcW w:w="1088" w:type="dxa"/>
            <w:tcBorders>
              <w:top w:val="nil"/>
              <w:left w:val="nil"/>
              <w:bottom w:val="nil"/>
              <w:right w:val="nil"/>
            </w:tcBorders>
            <w:shd w:val="clear" w:color="auto" w:fill="auto"/>
            <w:vAlign w:val="center"/>
          </w:tcPr>
          <w:p w14:paraId="7D46AC1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本轮监测结果、预警状态和追溯入口</w:t>
            </w:r>
          </w:p>
        </w:tc>
        <w:tc>
          <w:tcPr>
            <w:tcW w:w="1460" w:type="dxa"/>
            <w:tcBorders>
              <w:top w:val="nil"/>
              <w:left w:val="nil"/>
              <w:bottom w:val="nil"/>
              <w:right w:val="nil"/>
            </w:tcBorders>
            <w:shd w:val="clear" w:color="auto" w:fill="auto"/>
            <w:vAlign w:val="center"/>
          </w:tcPr>
          <w:p w14:paraId="09CB626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A3CD7A0">
        <w:trPr>
          <w:cantSplit/>
          <w:trHeight w:val="0" w:hRule="atLeast"/>
          <w:jc w:val="center"/>
        </w:trPr>
        <w:tc>
          <w:tcPr>
            <w:tcW w:w="2944" w:type="dxa"/>
            <w:tcBorders>
              <w:top w:val="nil"/>
              <w:left w:val="nil"/>
              <w:bottom w:val="nil"/>
              <w:right w:val="nil"/>
            </w:tcBorders>
            <w:shd w:val="clear" w:color="auto" w:fill="auto"/>
            <w:vAlign w:val="center"/>
          </w:tcPr>
          <w:p w14:paraId="0FF02E7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P-ZLTC-SCOS-FYCB-009-70-001</w:t>
            </w:r>
          </w:p>
        </w:tc>
        <w:tc>
          <w:tcPr>
            <w:tcW w:w="945" w:type="dxa"/>
            <w:tcBorders>
              <w:top w:val="nil"/>
              <w:left w:val="nil"/>
              <w:bottom w:val="nil"/>
              <w:right w:val="nil"/>
            </w:tcBorders>
            <w:shd w:val="clear" w:color="auto" w:fill="auto"/>
            <w:vAlign w:val="center"/>
          </w:tcPr>
          <w:p w14:paraId="63BAC4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保存成本监测预警结果规则</w:t>
            </w:r>
          </w:p>
        </w:tc>
        <w:tc>
          <w:tcPr>
            <w:tcW w:w="966" w:type="dxa"/>
            <w:tcBorders>
              <w:top w:val="nil"/>
              <w:left w:val="nil"/>
              <w:bottom w:val="nil"/>
              <w:right w:val="nil"/>
            </w:tcBorders>
            <w:shd w:val="clear" w:color="auto" w:fill="auto"/>
            <w:vAlign w:val="center"/>
          </w:tcPr>
          <w:p w14:paraId="0062EC4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BDDA9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195805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本轮监测结果、预警状态和追溯入口形成后</w:t>
            </w:r>
          </w:p>
        </w:tc>
        <w:tc>
          <w:tcPr>
            <w:tcW w:w="1406" w:type="dxa"/>
            <w:tcBorders>
              <w:top w:val="nil"/>
              <w:left w:val="nil"/>
              <w:bottom w:val="nil"/>
              <w:right w:val="nil"/>
            </w:tcBorders>
            <w:shd w:val="clear" w:color="auto" w:fill="auto"/>
            <w:vAlign w:val="center"/>
          </w:tcPr>
          <w:p w14:paraId="6D9BA63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保存指标快照、预警主记录、角色视图、状态和历史变化；状态变化形成新记录，不覆盖历史结果。</w:t>
            </w:r>
          </w:p>
        </w:tc>
        <w:tc>
          <w:tcPr>
            <w:tcW w:w="1088" w:type="dxa"/>
            <w:tcBorders>
              <w:top w:val="nil"/>
              <w:left w:val="nil"/>
              <w:bottom w:val="nil"/>
              <w:right w:val="nil"/>
            </w:tcBorders>
            <w:shd w:val="clear" w:color="auto" w:fill="auto"/>
            <w:vAlign w:val="center"/>
          </w:tcPr>
          <w:p w14:paraId="7213D76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监测结果及预警版本</w:t>
            </w:r>
          </w:p>
        </w:tc>
        <w:tc>
          <w:tcPr>
            <w:tcW w:w="1460" w:type="dxa"/>
            <w:tcBorders>
              <w:top w:val="nil"/>
              <w:left w:val="nil"/>
              <w:bottom w:val="nil"/>
              <w:right w:val="nil"/>
            </w:tcBorders>
            <w:shd w:val="clear" w:color="auto" w:fill="auto"/>
            <w:vAlign w:val="center"/>
          </w:tcPr>
          <w:p w14:paraId="599C6C7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bl>
    <w:p w14:paraId="6E0722CB">
      <w:pPr>
        <w:rPr>
          <w:rFonts w:hint="default"/>
          <w:lang w:val="en-US" w:eastAsia="zh-CN"/>
        </w:rPr>
      </w:pPr>
    </w:p>
    <w:p w14:paraId="027D9FE4">
      <w:pPr>
        <w:pStyle w:val="2"/>
        <w:bidi w:val="0"/>
        <w:rPr>
          <w:rFonts w:hint="eastAsia" w:ascii="黑体" w:hAnsi="黑体" w:eastAsia="黑体" w:cs="黑体"/>
        </w:rPr>
      </w:pPr>
      <w:bookmarkStart w:id="30" w:name="_Toc59548352"/>
      <w:r>
        <w:rPr>
          <w:rFonts w:hint="eastAsia" w:ascii="黑体" w:hAnsi="黑体" w:eastAsia="黑体" w:cs="黑体"/>
          <w:lang w:eastAsia="zh-CN"/>
        </w:rPr>
        <w:t>【</w:t>
      </w:r>
      <w:r>
        <w:rPr>
          <w:rFonts w:hint="eastAsia" w:ascii="黑体" w:hAnsi="黑体" w:eastAsia="黑体" w:cs="黑体"/>
          <w:color w:val="FF0000"/>
          <w:lang w:val="en-US" w:eastAsia="zh-CN"/>
        </w:rPr>
        <w:t>待后续优化</w:t>
      </w:r>
      <w:r>
        <w:rPr>
          <w:rFonts w:hint="eastAsia" w:ascii="黑体" w:hAnsi="黑体" w:eastAsia="黑体" w:cs="黑体"/>
          <w:lang w:eastAsia="zh-CN"/>
        </w:rPr>
        <w:t>】</w:t>
      </w:r>
      <w:r>
        <w:rPr>
          <w:rFonts w:hint="eastAsia" w:ascii="黑体" w:hAnsi="黑体" w:eastAsia="黑体" w:cs="黑体"/>
        </w:rPr>
        <w:t>SCOS智能化应用场景说明书</w:t>
      </w:r>
      <w:bookmarkEnd w:id="30"/>
    </w:p>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28"/>
        <w:gridCol w:w="1615"/>
        <w:gridCol w:w="1134"/>
        <w:gridCol w:w="1649"/>
        <w:gridCol w:w="1424"/>
        <w:gridCol w:w="1413"/>
        <w:gridCol w:w="753"/>
      </w:tblGrid>
      <w:tr w14:paraId="46004128">
        <w:trPr>
          <w:cantSplit/>
          <w:trHeight w:val="672" w:hRule="atLeas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112A4BF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2FBAAF2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1B79644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78D2040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526ABF2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1F67AAE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70BEF38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考核</w:t>
            </w:r>
          </w:p>
        </w:tc>
      </w:tr>
      <w:tr w14:paraId="724D2367">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573883D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F-ZLTC-SCOS-AIZNT-001</w:t>
            </w:r>
          </w:p>
        </w:tc>
        <w:tc>
          <w:tcPr>
            <w:tcW w:w="1629" w:type="dxa"/>
            <w:tcBorders>
              <w:top w:val="nil"/>
              <w:left w:val="nil"/>
              <w:bottom w:val="nil"/>
              <w:right w:val="nil"/>
            </w:tcBorders>
            <w:noWrap w:val="0"/>
            <w:tcMar>
              <w:top w:w="-1" w:type="dxa"/>
              <w:left w:w="-1" w:type="dxa"/>
              <w:bottom w:w="-1" w:type="dxa"/>
              <w:right w:w="-1" w:type="dxa"/>
            </w:tcMar>
            <w:vAlign w:val="center"/>
          </w:tcPr>
          <w:p w14:paraId="7D2FA35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供应链驾驶舱态势监测与预警联动</w:t>
            </w:r>
          </w:p>
        </w:tc>
        <w:tc>
          <w:tcPr>
            <w:tcW w:w="1143" w:type="dxa"/>
            <w:tcBorders>
              <w:top w:val="nil"/>
              <w:left w:val="nil"/>
              <w:bottom w:val="nil"/>
              <w:right w:val="nil"/>
            </w:tcBorders>
            <w:noWrap w:val="0"/>
            <w:tcMar>
              <w:top w:w="-1" w:type="dxa"/>
              <w:left w:w="-1" w:type="dxa"/>
              <w:bottom w:w="-1" w:type="dxa"/>
              <w:right w:w="-1" w:type="dxa"/>
            </w:tcMar>
            <w:vAlign w:val="center"/>
          </w:tcPr>
          <w:p w14:paraId="15DA398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实时/定时+事件+人工</w:t>
            </w:r>
          </w:p>
        </w:tc>
        <w:tc>
          <w:tcPr>
            <w:tcW w:w="1657" w:type="dxa"/>
            <w:tcBorders>
              <w:top w:val="nil"/>
              <w:left w:val="nil"/>
              <w:bottom w:val="nil"/>
              <w:right w:val="nil"/>
            </w:tcBorders>
            <w:noWrap w:val="0"/>
            <w:tcMar>
              <w:top w:w="-1" w:type="dxa"/>
              <w:left w:w="-1" w:type="dxa"/>
              <w:bottom w:w="-1" w:type="dxa"/>
              <w:right w:w="-1" w:type="dxa"/>
            </w:tcMar>
            <w:vAlign w:val="center"/>
          </w:tcPr>
          <w:p w14:paraId="3B70A22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时间序列异常检测+规则引擎</w:t>
            </w:r>
          </w:p>
        </w:tc>
        <w:tc>
          <w:tcPr>
            <w:tcW w:w="1428" w:type="dxa"/>
            <w:tcBorders>
              <w:top w:val="nil"/>
              <w:left w:val="nil"/>
              <w:bottom w:val="nil"/>
              <w:right w:val="nil"/>
            </w:tcBorders>
            <w:noWrap w:val="0"/>
            <w:tcMar>
              <w:top w:w="-1" w:type="dxa"/>
              <w:left w:w="-1" w:type="dxa"/>
              <w:bottom w:w="-1" w:type="dxa"/>
              <w:right w:w="-1" w:type="dxa"/>
            </w:tcMar>
            <w:vAlign w:val="center"/>
          </w:tcPr>
          <w:p w14:paraId="4332B1B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主数据、交易数据、实时产销库存、财务成本、SCOS结果</w:t>
            </w:r>
          </w:p>
        </w:tc>
        <w:tc>
          <w:tcPr>
            <w:tcW w:w="1423" w:type="dxa"/>
            <w:tcBorders>
              <w:top w:val="nil"/>
              <w:left w:val="nil"/>
              <w:bottom w:val="nil"/>
              <w:right w:val="nil"/>
            </w:tcBorders>
            <w:noWrap w:val="0"/>
            <w:tcMar>
              <w:top w:w="-1" w:type="dxa"/>
              <w:left w:w="-1" w:type="dxa"/>
              <w:bottom w:w="-1" w:type="dxa"/>
              <w:right w:w="-1" w:type="dxa"/>
            </w:tcMar>
            <w:vAlign w:val="center"/>
          </w:tcPr>
          <w:p w14:paraId="3B353B0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KPI看板、预警及处置闭环</w:t>
            </w:r>
          </w:p>
        </w:tc>
        <w:tc>
          <w:tcPr>
            <w:tcW w:w="757" w:type="dxa"/>
            <w:tcBorders>
              <w:top w:val="nil"/>
              <w:left w:val="nil"/>
              <w:bottom w:val="nil"/>
              <w:right w:val="nil"/>
            </w:tcBorders>
            <w:noWrap w:val="0"/>
            <w:tcMar>
              <w:top w:w="-1" w:type="dxa"/>
              <w:left w:w="-1" w:type="dxa"/>
              <w:bottom w:w="-1" w:type="dxa"/>
              <w:right w:w="-1" w:type="dxa"/>
            </w:tcMar>
            <w:vAlign w:val="center"/>
          </w:tcPr>
          <w:p w14:paraId="32AB38B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2F5F0B54">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6C49696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F-ZLTC-SCOS-AIZNT-002</w:t>
            </w:r>
          </w:p>
        </w:tc>
        <w:tc>
          <w:tcPr>
            <w:tcW w:w="1629" w:type="dxa"/>
            <w:tcBorders>
              <w:top w:val="nil"/>
              <w:left w:val="nil"/>
              <w:bottom w:val="nil"/>
              <w:right w:val="nil"/>
            </w:tcBorders>
            <w:noWrap w:val="0"/>
            <w:tcMar>
              <w:top w:w="-1" w:type="dxa"/>
              <w:left w:w="-1" w:type="dxa"/>
              <w:bottom w:w="-1" w:type="dxa"/>
              <w:right w:w="-1" w:type="dxa"/>
            </w:tcMar>
            <w:vAlign w:val="center"/>
          </w:tcPr>
          <w:p w14:paraId="1BAC7A2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供应链沙盘推演</w:t>
            </w:r>
          </w:p>
        </w:tc>
        <w:tc>
          <w:tcPr>
            <w:tcW w:w="1143" w:type="dxa"/>
            <w:tcBorders>
              <w:top w:val="nil"/>
              <w:left w:val="nil"/>
              <w:bottom w:val="nil"/>
              <w:right w:val="nil"/>
            </w:tcBorders>
            <w:noWrap w:val="0"/>
            <w:tcMar>
              <w:top w:w="-1" w:type="dxa"/>
              <w:left w:w="-1" w:type="dxa"/>
              <w:bottom w:w="-1" w:type="dxa"/>
              <w:right w:w="-1" w:type="dxa"/>
            </w:tcMar>
            <w:vAlign w:val="center"/>
          </w:tcPr>
          <w:p w14:paraId="3E18C2C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人工+预警事件</w:t>
            </w:r>
          </w:p>
        </w:tc>
        <w:tc>
          <w:tcPr>
            <w:tcW w:w="1657" w:type="dxa"/>
            <w:tcBorders>
              <w:top w:val="nil"/>
              <w:left w:val="nil"/>
              <w:bottom w:val="nil"/>
              <w:right w:val="nil"/>
            </w:tcBorders>
            <w:noWrap w:val="0"/>
            <w:tcMar>
              <w:top w:w="-1" w:type="dxa"/>
              <w:left w:w="-1" w:type="dxa"/>
              <w:bottom w:w="-1" w:type="dxa"/>
              <w:right w:w="-1" w:type="dxa"/>
            </w:tcMar>
            <w:vAlign w:val="center"/>
          </w:tcPr>
          <w:p w14:paraId="72E583B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What-if仿真+敏感性分析</w:t>
            </w:r>
          </w:p>
        </w:tc>
        <w:tc>
          <w:tcPr>
            <w:tcW w:w="1428" w:type="dxa"/>
            <w:tcBorders>
              <w:top w:val="nil"/>
              <w:left w:val="nil"/>
              <w:bottom w:val="nil"/>
              <w:right w:val="nil"/>
            </w:tcBorders>
            <w:noWrap w:val="0"/>
            <w:tcMar>
              <w:top w:w="-1" w:type="dxa"/>
              <w:left w:w="-1" w:type="dxa"/>
              <w:bottom w:w="-1" w:type="dxa"/>
              <w:right w:w="-1" w:type="dxa"/>
            </w:tcMar>
            <w:vAlign w:val="center"/>
          </w:tcPr>
          <w:p w14:paraId="577325E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业务快照、已发布计划、库存/采购状态、情景参数</w:t>
            </w:r>
          </w:p>
        </w:tc>
        <w:tc>
          <w:tcPr>
            <w:tcW w:w="1423" w:type="dxa"/>
            <w:tcBorders>
              <w:top w:val="nil"/>
              <w:left w:val="nil"/>
              <w:bottom w:val="nil"/>
              <w:right w:val="nil"/>
            </w:tcBorders>
            <w:noWrap w:val="0"/>
            <w:tcMar>
              <w:top w:w="-1" w:type="dxa"/>
              <w:left w:w="-1" w:type="dxa"/>
              <w:bottom w:w="-1" w:type="dxa"/>
              <w:right w:w="-1" w:type="dxa"/>
            </w:tcMar>
            <w:vAlign w:val="center"/>
          </w:tcPr>
          <w:p w14:paraId="3E778F8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影响对比及备选方案</w:t>
            </w:r>
          </w:p>
        </w:tc>
        <w:tc>
          <w:tcPr>
            <w:tcW w:w="757" w:type="dxa"/>
            <w:tcBorders>
              <w:top w:val="nil"/>
              <w:left w:val="nil"/>
              <w:bottom w:val="nil"/>
              <w:right w:val="nil"/>
            </w:tcBorders>
            <w:noWrap w:val="0"/>
            <w:tcMar>
              <w:top w:w="-1" w:type="dxa"/>
              <w:left w:w="-1" w:type="dxa"/>
              <w:bottom w:w="-1" w:type="dxa"/>
              <w:right w:w="-1" w:type="dxa"/>
            </w:tcMar>
            <w:vAlign w:val="center"/>
          </w:tcPr>
          <w:p w14:paraId="2671E4D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73495188">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08F7B9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F-ZLTC-SCOS-AIZNT-003</w:t>
            </w:r>
          </w:p>
        </w:tc>
        <w:tc>
          <w:tcPr>
            <w:tcW w:w="1629" w:type="dxa"/>
            <w:tcBorders>
              <w:top w:val="nil"/>
              <w:left w:val="nil"/>
              <w:bottom w:val="nil"/>
              <w:right w:val="nil"/>
            </w:tcBorders>
            <w:noWrap w:val="0"/>
            <w:tcMar>
              <w:top w:w="-1" w:type="dxa"/>
              <w:left w:w="-1" w:type="dxa"/>
              <w:bottom w:w="-1" w:type="dxa"/>
              <w:right w:w="-1" w:type="dxa"/>
            </w:tcMar>
            <w:vAlign w:val="center"/>
          </w:tcPr>
          <w:p w14:paraId="13FA124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成品库存优化与生产补货协同</w:t>
            </w:r>
          </w:p>
        </w:tc>
        <w:tc>
          <w:tcPr>
            <w:tcW w:w="1143" w:type="dxa"/>
            <w:tcBorders>
              <w:top w:val="nil"/>
              <w:left w:val="nil"/>
              <w:bottom w:val="nil"/>
              <w:right w:val="nil"/>
            </w:tcBorders>
            <w:noWrap w:val="0"/>
            <w:tcMar>
              <w:top w:w="-1" w:type="dxa"/>
              <w:left w:w="-1" w:type="dxa"/>
              <w:bottom w:w="-1" w:type="dxa"/>
              <w:right w:w="-1" w:type="dxa"/>
            </w:tcMar>
            <w:vAlign w:val="center"/>
          </w:tcPr>
          <w:p w14:paraId="0D9B9D7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月度+周度+日度+事件</w:t>
            </w:r>
          </w:p>
        </w:tc>
        <w:tc>
          <w:tcPr>
            <w:tcW w:w="1657" w:type="dxa"/>
            <w:tcBorders>
              <w:top w:val="nil"/>
              <w:left w:val="nil"/>
              <w:bottom w:val="nil"/>
              <w:right w:val="nil"/>
            </w:tcBorders>
            <w:noWrap w:val="0"/>
            <w:tcMar>
              <w:top w:w="-1" w:type="dxa"/>
              <w:left w:w="-1" w:type="dxa"/>
              <w:bottom w:w="-1" w:type="dxa"/>
              <w:right w:w="-1" w:type="dxa"/>
            </w:tcMar>
            <w:vAlign w:val="center"/>
          </w:tcPr>
          <w:p w14:paraId="4AA7A0D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（R,s,S）库存模型+滚动库存递推</w:t>
            </w:r>
          </w:p>
        </w:tc>
        <w:tc>
          <w:tcPr>
            <w:tcW w:w="1428" w:type="dxa"/>
            <w:tcBorders>
              <w:top w:val="nil"/>
              <w:left w:val="nil"/>
              <w:bottom w:val="nil"/>
              <w:right w:val="nil"/>
            </w:tcBorders>
            <w:noWrap w:val="0"/>
            <w:tcMar>
              <w:top w:w="-1" w:type="dxa"/>
              <w:left w:w="-1" w:type="dxa"/>
              <w:bottom w:w="-1" w:type="dxa"/>
              <w:right w:w="-1" w:type="dxa"/>
            </w:tcMar>
            <w:vAlign w:val="center"/>
          </w:tcPr>
          <w:p w14:paraId="7A8AF8F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出货/订单、库存、生产入库、补充周期、储罐容量</w:t>
            </w:r>
          </w:p>
        </w:tc>
        <w:tc>
          <w:tcPr>
            <w:tcW w:w="1423" w:type="dxa"/>
            <w:tcBorders>
              <w:top w:val="nil"/>
              <w:left w:val="nil"/>
              <w:bottom w:val="nil"/>
              <w:right w:val="nil"/>
            </w:tcBorders>
            <w:noWrap w:val="0"/>
            <w:tcMar>
              <w:top w:w="-1" w:type="dxa"/>
              <w:left w:w="-1" w:type="dxa"/>
              <w:bottom w:w="-1" w:type="dxa"/>
              <w:right w:w="-1" w:type="dxa"/>
            </w:tcMar>
            <w:vAlign w:val="center"/>
          </w:tcPr>
          <w:p w14:paraId="75D97F7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库存参数、补货建议、风险及入库建议</w:t>
            </w:r>
          </w:p>
        </w:tc>
        <w:tc>
          <w:tcPr>
            <w:tcW w:w="757" w:type="dxa"/>
            <w:tcBorders>
              <w:top w:val="nil"/>
              <w:left w:val="nil"/>
              <w:bottom w:val="nil"/>
              <w:right w:val="nil"/>
            </w:tcBorders>
            <w:noWrap w:val="0"/>
            <w:tcMar>
              <w:top w:w="-1" w:type="dxa"/>
              <w:left w:w="-1" w:type="dxa"/>
              <w:bottom w:w="-1" w:type="dxa"/>
              <w:right w:w="-1" w:type="dxa"/>
            </w:tcMar>
            <w:vAlign w:val="center"/>
          </w:tcPr>
          <w:p w14:paraId="49FC52B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691CE0DE">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1417C60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F-ZLTC-SCOS-AIZNT-004</w:t>
            </w:r>
          </w:p>
        </w:tc>
        <w:tc>
          <w:tcPr>
            <w:tcW w:w="1629" w:type="dxa"/>
            <w:tcBorders>
              <w:top w:val="nil"/>
              <w:left w:val="nil"/>
              <w:bottom w:val="nil"/>
              <w:right w:val="nil"/>
            </w:tcBorders>
            <w:noWrap w:val="0"/>
            <w:tcMar>
              <w:top w:w="-1" w:type="dxa"/>
              <w:left w:w="-1" w:type="dxa"/>
              <w:bottom w:w="-1" w:type="dxa"/>
              <w:right w:w="-1" w:type="dxa"/>
            </w:tcMar>
            <w:vAlign w:val="center"/>
          </w:tcPr>
          <w:p w14:paraId="31316C1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精益生产排程与异常重排</w:t>
            </w:r>
          </w:p>
        </w:tc>
        <w:tc>
          <w:tcPr>
            <w:tcW w:w="1143" w:type="dxa"/>
            <w:tcBorders>
              <w:top w:val="nil"/>
              <w:left w:val="nil"/>
              <w:bottom w:val="nil"/>
              <w:right w:val="nil"/>
            </w:tcBorders>
            <w:noWrap w:val="0"/>
            <w:tcMar>
              <w:top w:w="-1" w:type="dxa"/>
              <w:left w:w="-1" w:type="dxa"/>
              <w:bottom w:w="-1" w:type="dxa"/>
              <w:right w:w="-1" w:type="dxa"/>
            </w:tcMar>
            <w:vAlign w:val="center"/>
          </w:tcPr>
          <w:p w14:paraId="39ECCC80">
            <w:pPr>
              <w:keepNext w:val="0"/>
              <w:keepLines w:val="0"/>
              <w:suppressLineNumbers w:val="0"/>
              <w:spacing w:before="0" w:beforeAutospacing="0" w:after="0" w:afterAutospacing="0" w:line="240" w:lineRule="auto"/>
              <w:ind w:left="0" w:right="0"/>
              <w:jc w:val="center"/>
              <w:rPr>
                <w:rFonts w:hint="default"/>
                <w:szCs w:val="22"/>
              </w:rPr>
            </w:pPr>
          </w:p>
        </w:tc>
        <w:tc>
          <w:tcPr>
            <w:tcW w:w="1657" w:type="dxa"/>
            <w:tcBorders>
              <w:top w:val="nil"/>
              <w:left w:val="nil"/>
              <w:bottom w:val="nil"/>
              <w:right w:val="nil"/>
            </w:tcBorders>
            <w:noWrap w:val="0"/>
            <w:tcMar>
              <w:top w:w="-1" w:type="dxa"/>
              <w:left w:w="-1" w:type="dxa"/>
              <w:bottom w:w="-1" w:type="dxa"/>
              <w:right w:w="-1" w:type="dxa"/>
            </w:tcMar>
            <w:vAlign w:val="center"/>
          </w:tcPr>
          <w:p w14:paraId="5E104316">
            <w:pPr>
              <w:keepNext w:val="0"/>
              <w:keepLines w:val="0"/>
              <w:suppressLineNumbers w:val="0"/>
              <w:spacing w:before="0" w:beforeAutospacing="0" w:after="0" w:afterAutospacing="0" w:line="240" w:lineRule="auto"/>
              <w:ind w:left="0" w:right="0"/>
              <w:jc w:val="center"/>
              <w:rPr>
                <w:rFonts w:hint="default"/>
                <w:szCs w:val="22"/>
              </w:rPr>
            </w:pPr>
          </w:p>
        </w:tc>
        <w:tc>
          <w:tcPr>
            <w:tcW w:w="1428" w:type="dxa"/>
            <w:tcBorders>
              <w:top w:val="nil"/>
              <w:left w:val="nil"/>
              <w:bottom w:val="nil"/>
              <w:right w:val="nil"/>
            </w:tcBorders>
            <w:noWrap w:val="0"/>
            <w:tcMar>
              <w:top w:w="-1" w:type="dxa"/>
              <w:left w:w="-1" w:type="dxa"/>
              <w:bottom w:w="-1" w:type="dxa"/>
              <w:right w:w="-1" w:type="dxa"/>
            </w:tcMar>
            <w:vAlign w:val="center"/>
          </w:tcPr>
          <w:p w14:paraId="381DC043">
            <w:pPr>
              <w:keepNext w:val="0"/>
              <w:keepLines w:val="0"/>
              <w:suppressLineNumbers w:val="0"/>
              <w:spacing w:before="0" w:beforeAutospacing="0" w:after="0" w:afterAutospacing="0" w:line="240" w:lineRule="auto"/>
              <w:ind w:left="0" w:right="0"/>
              <w:jc w:val="center"/>
              <w:rPr>
                <w:rFonts w:hint="default"/>
                <w:szCs w:val="22"/>
              </w:rPr>
            </w:pPr>
          </w:p>
        </w:tc>
        <w:tc>
          <w:tcPr>
            <w:tcW w:w="1423" w:type="dxa"/>
            <w:tcBorders>
              <w:top w:val="nil"/>
              <w:left w:val="nil"/>
              <w:bottom w:val="nil"/>
              <w:right w:val="nil"/>
            </w:tcBorders>
            <w:noWrap w:val="0"/>
            <w:tcMar>
              <w:top w:w="-1" w:type="dxa"/>
              <w:left w:w="-1" w:type="dxa"/>
              <w:bottom w:w="-1" w:type="dxa"/>
              <w:right w:w="-1" w:type="dxa"/>
            </w:tcMar>
            <w:vAlign w:val="center"/>
          </w:tcPr>
          <w:p w14:paraId="293443B8">
            <w:pPr>
              <w:keepNext w:val="0"/>
              <w:keepLines w:val="0"/>
              <w:suppressLineNumbers w:val="0"/>
              <w:spacing w:before="0" w:beforeAutospacing="0" w:after="0" w:afterAutospacing="0" w:line="240" w:lineRule="auto"/>
              <w:ind w:left="0" w:right="0"/>
              <w:jc w:val="center"/>
              <w:rPr>
                <w:rFonts w:hint="default"/>
                <w:szCs w:val="22"/>
              </w:rPr>
            </w:pPr>
          </w:p>
        </w:tc>
        <w:tc>
          <w:tcPr>
            <w:tcW w:w="757" w:type="dxa"/>
            <w:tcBorders>
              <w:top w:val="nil"/>
              <w:left w:val="nil"/>
              <w:bottom w:val="nil"/>
              <w:right w:val="nil"/>
            </w:tcBorders>
            <w:noWrap w:val="0"/>
            <w:tcMar>
              <w:top w:w="-1" w:type="dxa"/>
              <w:left w:w="-1" w:type="dxa"/>
              <w:bottom w:w="-1" w:type="dxa"/>
              <w:right w:w="-1" w:type="dxa"/>
            </w:tcMar>
            <w:vAlign w:val="center"/>
          </w:tcPr>
          <w:p w14:paraId="778971BB">
            <w:pPr>
              <w:keepNext w:val="0"/>
              <w:keepLines w:val="0"/>
              <w:suppressLineNumbers w:val="0"/>
              <w:spacing w:before="0" w:beforeAutospacing="0" w:after="0" w:afterAutospacing="0" w:line="240" w:lineRule="auto"/>
              <w:ind w:left="0" w:right="0"/>
              <w:jc w:val="center"/>
              <w:rPr>
                <w:rFonts w:hint="default"/>
                <w:szCs w:val="22"/>
              </w:rPr>
            </w:pPr>
          </w:p>
        </w:tc>
      </w:tr>
      <w:tr w14:paraId="2224E685">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11BBD82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F-ZLTC-SCOS-AIZNT-005</w:t>
            </w:r>
          </w:p>
        </w:tc>
        <w:tc>
          <w:tcPr>
            <w:tcW w:w="1629" w:type="dxa"/>
            <w:tcBorders>
              <w:top w:val="nil"/>
              <w:left w:val="nil"/>
              <w:bottom w:val="nil"/>
              <w:right w:val="nil"/>
            </w:tcBorders>
            <w:noWrap w:val="0"/>
            <w:tcMar>
              <w:top w:w="-1" w:type="dxa"/>
              <w:left w:w="-1" w:type="dxa"/>
              <w:bottom w:w="-1" w:type="dxa"/>
              <w:right w:w="-1" w:type="dxa"/>
            </w:tcMar>
            <w:vAlign w:val="center"/>
          </w:tcPr>
          <w:p w14:paraId="79C9693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原料采购决策优化</w:t>
            </w:r>
          </w:p>
        </w:tc>
        <w:tc>
          <w:tcPr>
            <w:tcW w:w="1143" w:type="dxa"/>
            <w:tcBorders>
              <w:top w:val="nil"/>
              <w:left w:val="nil"/>
              <w:bottom w:val="nil"/>
              <w:right w:val="nil"/>
            </w:tcBorders>
            <w:noWrap w:val="0"/>
            <w:tcMar>
              <w:top w:w="-1" w:type="dxa"/>
              <w:left w:w="-1" w:type="dxa"/>
              <w:bottom w:w="-1" w:type="dxa"/>
              <w:right w:w="-1" w:type="dxa"/>
            </w:tcMar>
            <w:vAlign w:val="center"/>
          </w:tcPr>
          <w:p w14:paraId="5CB8B1F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月度+周度+事件+人工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73CCBC5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0743BC4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原料需求、采购在途、供应商报价/能力、价格及资金成本</w:t>
            </w:r>
          </w:p>
        </w:tc>
        <w:tc>
          <w:tcPr>
            <w:tcW w:w="1423" w:type="dxa"/>
            <w:tcBorders>
              <w:top w:val="nil"/>
              <w:left w:val="nil"/>
              <w:bottom w:val="nil"/>
              <w:right w:val="nil"/>
            </w:tcBorders>
            <w:noWrap w:val="0"/>
            <w:tcMar>
              <w:top w:w="-1" w:type="dxa"/>
              <w:left w:w="-1" w:type="dxa"/>
              <w:bottom w:w="-1" w:type="dxa"/>
              <w:right w:w="-1" w:type="dxa"/>
            </w:tcMar>
            <w:vAlign w:val="center"/>
          </w:tcPr>
          <w:p w14:paraId="0B4D432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采购量、供应商组合、下单/到货建议</w:t>
            </w:r>
          </w:p>
        </w:tc>
        <w:tc>
          <w:tcPr>
            <w:tcW w:w="757" w:type="dxa"/>
            <w:tcBorders>
              <w:top w:val="nil"/>
              <w:left w:val="nil"/>
              <w:bottom w:val="nil"/>
              <w:right w:val="nil"/>
            </w:tcBorders>
            <w:noWrap w:val="0"/>
            <w:tcMar>
              <w:top w:w="-1" w:type="dxa"/>
              <w:left w:w="-1" w:type="dxa"/>
              <w:bottom w:w="-1" w:type="dxa"/>
              <w:right w:w="-1" w:type="dxa"/>
            </w:tcMar>
            <w:vAlign w:val="center"/>
          </w:tcPr>
          <w:p w14:paraId="29E2538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0DC73882">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5A1A31A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F-ZLTC-SCOS-AIZNT-006</w:t>
            </w:r>
          </w:p>
        </w:tc>
        <w:tc>
          <w:tcPr>
            <w:tcW w:w="1629" w:type="dxa"/>
            <w:tcBorders>
              <w:top w:val="nil"/>
              <w:left w:val="nil"/>
              <w:bottom w:val="nil"/>
              <w:right w:val="nil"/>
            </w:tcBorders>
            <w:noWrap w:val="0"/>
            <w:tcMar>
              <w:top w:w="-1" w:type="dxa"/>
              <w:left w:w="-1" w:type="dxa"/>
              <w:bottom w:w="-1" w:type="dxa"/>
              <w:right w:w="-1" w:type="dxa"/>
            </w:tcMar>
            <w:vAlign w:val="center"/>
          </w:tcPr>
          <w:p w14:paraId="04AAD4D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原辅包要货决策优化</w:t>
            </w:r>
          </w:p>
        </w:tc>
        <w:tc>
          <w:tcPr>
            <w:tcW w:w="1143" w:type="dxa"/>
            <w:tcBorders>
              <w:top w:val="nil"/>
              <w:left w:val="nil"/>
              <w:bottom w:val="nil"/>
              <w:right w:val="nil"/>
            </w:tcBorders>
            <w:noWrap w:val="0"/>
            <w:tcMar>
              <w:top w:w="-1" w:type="dxa"/>
              <w:left w:w="-1" w:type="dxa"/>
              <w:bottom w:w="-1" w:type="dxa"/>
              <w:right w:w="-1" w:type="dxa"/>
            </w:tcMar>
            <w:vAlign w:val="center"/>
          </w:tcPr>
          <w:p w14:paraId="032B1DE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日度+事件+人工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516A28A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7844821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生产耗用、库存/在途、合同余量、供应商可供、运输及质检状态</w:t>
            </w:r>
          </w:p>
        </w:tc>
        <w:tc>
          <w:tcPr>
            <w:tcW w:w="1423" w:type="dxa"/>
            <w:tcBorders>
              <w:top w:val="nil"/>
              <w:left w:val="nil"/>
              <w:bottom w:val="nil"/>
              <w:right w:val="nil"/>
            </w:tcBorders>
            <w:noWrap w:val="0"/>
            <w:tcMar>
              <w:top w:w="-1" w:type="dxa"/>
              <w:left w:w="-1" w:type="dxa"/>
              <w:bottom w:w="-1" w:type="dxa"/>
              <w:right w:w="-1" w:type="dxa"/>
            </w:tcMar>
            <w:vAlign w:val="center"/>
          </w:tcPr>
          <w:p w14:paraId="16975BE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供应商/合同组合、到货日期与数量、缺口预警及调整建议</w:t>
            </w:r>
          </w:p>
        </w:tc>
        <w:tc>
          <w:tcPr>
            <w:tcW w:w="757" w:type="dxa"/>
            <w:tcBorders>
              <w:top w:val="nil"/>
              <w:left w:val="nil"/>
              <w:bottom w:val="nil"/>
              <w:right w:val="nil"/>
            </w:tcBorders>
            <w:noWrap w:val="0"/>
            <w:tcMar>
              <w:top w:w="-1" w:type="dxa"/>
              <w:left w:w="-1" w:type="dxa"/>
              <w:bottom w:w="-1" w:type="dxa"/>
              <w:right w:w="-1" w:type="dxa"/>
            </w:tcMar>
            <w:vAlign w:val="center"/>
          </w:tcPr>
          <w:p w14:paraId="16D55B5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2CF8367A">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725532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F-ZLTC-SCOS-AIZNT-007</w:t>
            </w:r>
          </w:p>
        </w:tc>
        <w:tc>
          <w:tcPr>
            <w:tcW w:w="1629" w:type="dxa"/>
            <w:tcBorders>
              <w:top w:val="nil"/>
              <w:left w:val="nil"/>
              <w:bottom w:val="nil"/>
              <w:right w:val="nil"/>
            </w:tcBorders>
            <w:noWrap w:val="0"/>
            <w:tcMar>
              <w:top w:w="-1" w:type="dxa"/>
              <w:left w:w="-1" w:type="dxa"/>
              <w:bottom w:w="-1" w:type="dxa"/>
              <w:right w:w="-1" w:type="dxa"/>
            </w:tcMar>
            <w:vAlign w:val="center"/>
          </w:tcPr>
          <w:p w14:paraId="3B8EE5D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成本统计、分摊与多维盈利分析</w:t>
            </w:r>
          </w:p>
        </w:tc>
        <w:tc>
          <w:tcPr>
            <w:tcW w:w="1143" w:type="dxa"/>
            <w:tcBorders>
              <w:top w:val="nil"/>
              <w:left w:val="nil"/>
              <w:bottom w:val="nil"/>
              <w:right w:val="nil"/>
            </w:tcBorders>
            <w:noWrap w:val="0"/>
            <w:tcMar>
              <w:top w:w="-1" w:type="dxa"/>
              <w:left w:w="-1" w:type="dxa"/>
              <w:bottom w:w="-1" w:type="dxa"/>
              <w:right w:w="-1" w:type="dxa"/>
            </w:tcMar>
            <w:vAlign w:val="center"/>
          </w:tcPr>
          <w:p w14:paraId="75D087C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日/月定时+数据变更+人工</w:t>
            </w:r>
          </w:p>
        </w:tc>
        <w:tc>
          <w:tcPr>
            <w:tcW w:w="1657" w:type="dxa"/>
            <w:tcBorders>
              <w:top w:val="nil"/>
              <w:left w:val="nil"/>
              <w:bottom w:val="nil"/>
              <w:right w:val="nil"/>
            </w:tcBorders>
            <w:noWrap w:val="0"/>
            <w:tcMar>
              <w:top w:w="-1" w:type="dxa"/>
              <w:left w:w="-1" w:type="dxa"/>
              <w:bottom w:w="-1" w:type="dxa"/>
              <w:right w:w="-1" w:type="dxa"/>
            </w:tcMar>
            <w:vAlign w:val="center"/>
          </w:tcPr>
          <w:p w14:paraId="3C78DC2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作业成本法（ABC）+差异分析模型</w:t>
            </w:r>
          </w:p>
        </w:tc>
        <w:tc>
          <w:tcPr>
            <w:tcW w:w="1428" w:type="dxa"/>
            <w:tcBorders>
              <w:top w:val="nil"/>
              <w:left w:val="nil"/>
              <w:bottom w:val="nil"/>
              <w:right w:val="nil"/>
            </w:tcBorders>
            <w:noWrap w:val="0"/>
            <w:tcMar>
              <w:top w:w="-1" w:type="dxa"/>
              <w:left w:w="-1" w:type="dxa"/>
              <w:bottom w:w="-1" w:type="dxa"/>
              <w:right w:w="-1" w:type="dxa"/>
            </w:tcMar>
            <w:vAlign w:val="center"/>
          </w:tcPr>
          <w:p w14:paraId="0263926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SAP成本财务、MES生产能耗、WMS/TMS仓储运输、销售订单</w:t>
            </w:r>
          </w:p>
        </w:tc>
        <w:tc>
          <w:tcPr>
            <w:tcW w:w="1423" w:type="dxa"/>
            <w:tcBorders>
              <w:top w:val="nil"/>
              <w:left w:val="nil"/>
              <w:bottom w:val="nil"/>
              <w:right w:val="nil"/>
            </w:tcBorders>
            <w:noWrap w:val="0"/>
            <w:tcMar>
              <w:top w:w="-1" w:type="dxa"/>
              <w:left w:w="-1" w:type="dxa"/>
              <w:bottom w:w="-1" w:type="dxa"/>
              <w:right w:w="-1" w:type="dxa"/>
            </w:tcMar>
            <w:vAlign w:val="center"/>
          </w:tcPr>
          <w:p w14:paraId="79A9DD8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多维成本、盈利及差异分析</w:t>
            </w:r>
          </w:p>
        </w:tc>
        <w:tc>
          <w:tcPr>
            <w:tcW w:w="757" w:type="dxa"/>
            <w:tcBorders>
              <w:top w:val="nil"/>
              <w:left w:val="nil"/>
              <w:bottom w:val="nil"/>
              <w:right w:val="nil"/>
            </w:tcBorders>
            <w:noWrap w:val="0"/>
            <w:tcMar>
              <w:top w:w="-1" w:type="dxa"/>
              <w:left w:w="-1" w:type="dxa"/>
              <w:bottom w:w="-1" w:type="dxa"/>
              <w:right w:w="-1" w:type="dxa"/>
            </w:tcMar>
            <w:vAlign w:val="center"/>
          </w:tcPr>
          <w:p w14:paraId="176641F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045AF7E0">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46C9384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F-ZLTC-SCOS-AIZNT-008</w:t>
            </w:r>
          </w:p>
        </w:tc>
        <w:tc>
          <w:tcPr>
            <w:tcW w:w="1629" w:type="dxa"/>
            <w:tcBorders>
              <w:top w:val="nil"/>
              <w:left w:val="nil"/>
              <w:bottom w:val="nil"/>
              <w:right w:val="nil"/>
            </w:tcBorders>
            <w:noWrap w:val="0"/>
            <w:tcMar>
              <w:top w:w="-1" w:type="dxa"/>
              <w:left w:w="-1" w:type="dxa"/>
              <w:bottom w:w="-1" w:type="dxa"/>
              <w:right w:w="-1" w:type="dxa"/>
            </w:tcMar>
            <w:vAlign w:val="center"/>
          </w:tcPr>
          <w:p w14:paraId="162ADDE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供应链全程追溯与质量协同</w:t>
            </w:r>
          </w:p>
        </w:tc>
        <w:tc>
          <w:tcPr>
            <w:tcW w:w="1143" w:type="dxa"/>
            <w:tcBorders>
              <w:top w:val="nil"/>
              <w:left w:val="nil"/>
              <w:bottom w:val="nil"/>
              <w:right w:val="nil"/>
            </w:tcBorders>
            <w:noWrap w:val="0"/>
            <w:tcMar>
              <w:top w:w="-1" w:type="dxa"/>
              <w:left w:w="-1" w:type="dxa"/>
              <w:bottom w:w="-1" w:type="dxa"/>
              <w:right w:w="-1" w:type="dxa"/>
            </w:tcMar>
            <w:vAlign w:val="center"/>
          </w:tcPr>
          <w:p w14:paraId="6D86295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人工查询+质量事件</w:t>
            </w:r>
          </w:p>
        </w:tc>
        <w:tc>
          <w:tcPr>
            <w:tcW w:w="1657" w:type="dxa"/>
            <w:tcBorders>
              <w:top w:val="nil"/>
              <w:left w:val="nil"/>
              <w:bottom w:val="nil"/>
              <w:right w:val="nil"/>
            </w:tcBorders>
            <w:noWrap w:val="0"/>
            <w:tcMar>
              <w:top w:w="-1" w:type="dxa"/>
              <w:left w:w="-1" w:type="dxa"/>
              <w:bottom w:w="-1" w:type="dxa"/>
              <w:right w:w="-1" w:type="dxa"/>
            </w:tcMar>
            <w:vAlign w:val="center"/>
          </w:tcPr>
          <w:p w14:paraId="33C33A5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批次知识图谱+图搜索算法</w:t>
            </w:r>
          </w:p>
        </w:tc>
        <w:tc>
          <w:tcPr>
            <w:tcW w:w="1428" w:type="dxa"/>
            <w:tcBorders>
              <w:top w:val="nil"/>
              <w:left w:val="nil"/>
              <w:bottom w:val="nil"/>
              <w:right w:val="nil"/>
            </w:tcBorders>
            <w:noWrap w:val="0"/>
            <w:tcMar>
              <w:top w:w="-1" w:type="dxa"/>
              <w:left w:w="-1" w:type="dxa"/>
              <w:bottom w:w="-1" w:type="dxa"/>
              <w:right w:w="-1" w:type="dxa"/>
            </w:tcMar>
            <w:vAlign w:val="center"/>
          </w:tcPr>
          <w:p w14:paraId="5308FA2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MES/WMS批次、LIMS/QMS检验、SAP单据、TMS交付</w:t>
            </w:r>
          </w:p>
        </w:tc>
        <w:tc>
          <w:tcPr>
            <w:tcW w:w="1423" w:type="dxa"/>
            <w:tcBorders>
              <w:top w:val="nil"/>
              <w:left w:val="nil"/>
              <w:bottom w:val="nil"/>
              <w:right w:val="nil"/>
            </w:tcBorders>
            <w:noWrap w:val="0"/>
            <w:tcMar>
              <w:top w:w="-1" w:type="dxa"/>
              <w:left w:w="-1" w:type="dxa"/>
              <w:bottom w:w="-1" w:type="dxa"/>
              <w:right w:w="-1" w:type="dxa"/>
            </w:tcMar>
            <w:vAlign w:val="center"/>
          </w:tcPr>
          <w:p w14:paraId="3FB4DCE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正反向追溯、影响清单及处置建议</w:t>
            </w:r>
          </w:p>
        </w:tc>
        <w:tc>
          <w:tcPr>
            <w:tcW w:w="757" w:type="dxa"/>
            <w:tcBorders>
              <w:top w:val="nil"/>
              <w:left w:val="nil"/>
              <w:bottom w:val="nil"/>
              <w:right w:val="nil"/>
            </w:tcBorders>
            <w:noWrap w:val="0"/>
            <w:tcMar>
              <w:top w:w="-1" w:type="dxa"/>
              <w:left w:w="-1" w:type="dxa"/>
              <w:bottom w:w="-1" w:type="dxa"/>
              <w:right w:w="-1" w:type="dxa"/>
            </w:tcMar>
            <w:vAlign w:val="center"/>
          </w:tcPr>
          <w:p w14:paraId="44280F5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bl>
    <w:p w14:paraId="12008972">
      <w:pPr>
        <w:rPr>
          <w:rFonts w:hint="eastAsia"/>
        </w:rPr>
      </w:pPr>
    </w:p>
    <w:p w14:paraId="7F36A318"/>
    <w:p w14:paraId="326EDC09">
      <w:pPr>
        <w:pStyle w:val="3"/>
        <w:bidi w:val="0"/>
        <w:rPr>
          <w:rFonts w:hint="eastAsia" w:ascii="黑体" w:hAnsi="黑体" w:eastAsia="黑体" w:cs="黑体"/>
        </w:rPr>
      </w:pPr>
      <w:bookmarkStart w:id="31" w:name="_Toc101772562"/>
      <w:r>
        <w:rPr>
          <w:rFonts w:hint="eastAsia" w:ascii="黑体" w:hAnsi="黑体" w:eastAsia="黑体" w:cs="黑体"/>
        </w:rPr>
        <w:t>智能化场景总体说明</w:t>
      </w:r>
      <w:bookmarkEnd w:id="31"/>
    </w:p>
    <w:p w14:paraId="0831FF5A">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SCOS定位为工厂供应链智慧大脑，围绕“产销-库存-采购-生产-成本-追溯”形成数据驱动的全局优化与协同闭环。系统从统一数据服务层和实时数据平台消费业务数据，通过规则计算、优化模型和情景模拟形成可解释的决策建议，并经业务人员确认、审批和发布后进入执行系统。</w:t>
      </w:r>
    </w:p>
    <w:p w14:paraId="16F35A8B">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本章所述智能化不以“自动替代人员决策”为目标，而是将人工经验中可固化的口径、约束和评判标准沉淀为系统能力。每次计算均应保留输入数据版本、模型参数、结果方案、人工调整与发布记录，以满足复核、审计和追溯要求。</w:t>
      </w:r>
    </w:p>
    <w:p w14:paraId="15B7D08F">
      <w:pPr>
        <w:pStyle w:val="3"/>
        <w:rPr>
          <w:rFonts w:hint="eastAsia" w:ascii="黑体" w:hAnsi="黑体" w:eastAsia="黑体" w:cs="黑体"/>
        </w:rPr>
      </w:pPr>
      <w:bookmarkStart w:id="32" w:name="_Toc1094466522"/>
      <w:r>
        <w:rPr>
          <w:rFonts w:hint="eastAsia" w:ascii="黑体" w:hAnsi="黑体" w:eastAsia="黑体" w:cs="黑体"/>
        </w:rPr>
        <w:t>供应链驾驶舱态势监测与预警联动</w:t>
      </w:r>
      <w:r>
        <w:rPr>
          <w:rFonts w:hint="eastAsia" w:ascii="黑体" w:hAnsi="黑体" w:eastAsia="黑体" w:cs="黑体"/>
          <w:lang w:val="en-US" w:eastAsia="zh-CN"/>
        </w:rPr>
        <w:t>（F-ZLTC-SCOS-AIZNT-001）</w:t>
      </w:r>
      <w:bookmarkEnd w:id="32"/>
    </w:p>
    <w:p w14:paraId="08E6C7D8">
      <w:pPr>
        <w:rPr>
          <w:rFonts w:hint="eastAsia"/>
        </w:rPr>
      </w:pPr>
      <w:r>
        <w:drawing>
          <wp:inline distT="0" distB="0" distL="114300" distR="114300">
            <wp:extent cx="5261610" cy="2877820"/>
            <wp:effectExtent l="0" t="0" r="21590" b="1778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67"/>
                    <a:stretch>
                      <a:fillRect/>
                    </a:stretch>
                  </pic:blipFill>
                  <pic:spPr>
                    <a:xfrm>
                      <a:off x="0" y="0"/>
                      <a:ext cx="5261610" cy="2877820"/>
                    </a:xfrm>
                    <a:prstGeom prst="rect">
                      <a:avLst/>
                    </a:prstGeom>
                    <a:noFill/>
                    <a:ln>
                      <a:noFill/>
                    </a:ln>
                  </pic:spPr>
                </pic:pic>
              </a:graphicData>
            </a:graphic>
          </wp:inline>
        </w:drawing>
      </w:r>
    </w:p>
    <w:p w14:paraId="480BC6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65C9BCDA">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本</w:t>
      </w:r>
      <w:r>
        <w:rPr>
          <w:rFonts w:hint="eastAsia" w:ascii="宋体" w:hAnsi="宋体" w:eastAsia="宋体" w:cs="宋体"/>
          <w:sz w:val="21"/>
          <w:szCs w:val="21"/>
          <w:lang w:val="en-US" w:eastAsia="zh-CN"/>
        </w:rPr>
        <w:t>功能</w:t>
      </w:r>
      <w:r>
        <w:rPr>
          <w:rFonts w:hint="eastAsia" w:ascii="宋体" w:hAnsi="宋体" w:eastAsia="宋体" w:cs="宋体"/>
          <w:sz w:val="21"/>
          <w:szCs w:val="21"/>
        </w:rPr>
        <w:t>面向管理层和执行层提供“产销-储运-环保-资金”一站式态势视图，使管理者能够在同一口径下识别异常、追溯原因并跟踪处置结果。驾驶舱作为消费层和展示层，不自行绕过统一数据架构连接生产数据库。</w:t>
      </w:r>
    </w:p>
    <w:p w14:paraId="2913BD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26768D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kern w:val="2"/>
          <w:sz w:val="21"/>
          <w:szCs w:val="21"/>
          <w:lang w:val="en-US" w:eastAsia="zh-CN" w:bidi="ar-SA"/>
        </w:rPr>
        <w:t>系统按实时/定时频率自动刷新；关键指标越界、业务事件发生或用户主动查询时触发。</w:t>
      </w:r>
    </w:p>
    <w:p w14:paraId="2E0285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7CD1F2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统一数据服务层的主数据和交易数据；实时数据平台的产量、库存、储罐液位、产线状态和车辆位置；SAP财务、资金与成本数据；各SCOS模块计算结果和预警事件。</w:t>
      </w:r>
    </w:p>
    <w:p w14:paraId="0F0A6C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6424AE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时间序列异常检测+规则引擎</w:t>
      </w:r>
    </w:p>
    <w:p w14:paraId="55FC89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BC1AB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今日产销达成率、成品库存周转天数、订单准时交付率、供应链总运营成本、现金循环周期等核心KPI；产销、储运、环保、资金四类专题视图；一/二级预警、根因链路、处置记录和态势报告。</w:t>
      </w:r>
    </w:p>
    <w:p w14:paraId="0EE9B1F6">
      <w:pPr>
        <w:pStyle w:val="3"/>
        <w:rPr>
          <w:rFonts w:hint="eastAsia" w:ascii="黑体" w:hAnsi="黑体" w:eastAsia="黑体" w:cs="黑体"/>
        </w:rPr>
      </w:pPr>
      <w:bookmarkStart w:id="33" w:name="_Toc1501398699"/>
      <w:r>
        <w:rPr>
          <w:rFonts w:hint="eastAsia" w:ascii="黑体" w:hAnsi="黑体" w:eastAsia="黑体" w:cs="黑体"/>
        </w:rPr>
        <w:t>供应链沙盘推演</w:t>
      </w:r>
      <w:r>
        <w:rPr>
          <w:rFonts w:hint="eastAsia" w:ascii="黑体" w:hAnsi="黑体" w:eastAsia="黑体" w:cs="黑体"/>
          <w:lang w:val="en-US" w:eastAsia="zh-CN"/>
        </w:rPr>
        <w:t>（F-ZLTC-SCOS-AIZNT-002）</w:t>
      </w:r>
      <w:bookmarkEnd w:id="33"/>
    </w:p>
    <w:p w14:paraId="6D39AD88">
      <w:r>
        <w:drawing>
          <wp:inline distT="0" distB="0" distL="114300" distR="114300">
            <wp:extent cx="5261610" cy="2877820"/>
            <wp:effectExtent l="0" t="0" r="21590" b="1778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68"/>
                    <a:stretch>
                      <a:fillRect/>
                    </a:stretch>
                  </pic:blipFill>
                  <pic:spPr>
                    <a:xfrm>
                      <a:off x="0" y="0"/>
                      <a:ext cx="5261610" cy="2877820"/>
                    </a:xfrm>
                    <a:prstGeom prst="rect">
                      <a:avLst/>
                    </a:prstGeom>
                    <a:noFill/>
                    <a:ln>
                      <a:noFill/>
                    </a:ln>
                  </pic:spPr>
                </pic:pic>
              </a:graphicData>
            </a:graphic>
          </wp:inline>
        </w:drawing>
      </w:r>
    </w:p>
    <w:p w14:paraId="66A60B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320C579F">
      <w:pPr>
        <w:pStyle w:val="5"/>
        <w:spacing w:after="100" w:line="276" w:lineRule="auto"/>
        <w:ind w:firstLine="420" w:firstLineChars="200"/>
        <w:rPr>
          <w:rFonts w:hint="eastAsia"/>
          <w:sz w:val="21"/>
          <w:szCs w:val="21"/>
        </w:rPr>
      </w:pPr>
      <w:r>
        <w:rPr>
          <w:rFonts w:ascii="Times New Roman" w:hAnsi="Times New Roman" w:eastAsia="宋体"/>
          <w:sz w:val="21"/>
          <w:szCs w:val="21"/>
        </w:rPr>
        <w:t>沙盘推演用于在不修改正式业务数据的前提下，量化需求、供应和成本变化对生产、库存、采购、交付和资金的连锁影响，帮助管理层在多个可行方案之间做出选择。</w:t>
      </w:r>
    </w:p>
    <w:p w14:paraId="767649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11323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kern w:val="2"/>
          <w:sz w:val="21"/>
          <w:szCs w:val="21"/>
          <w:highlight w:val="none"/>
          <w:lang w:val="en-US" w:eastAsia="zh-CN" w:bidi="ar-SA"/>
        </w:rPr>
        <w:t>用户主动进入沙盘并选择基线方案、设置参数后触发；也可从驾驶舱预警页携带当前业务快照进入。</w:t>
      </w:r>
    </w:p>
    <w:p w14:paraId="624625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1C6C02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default" w:ascii="Times New Roman" w:hAnsi="Times New Roman" w:eastAsia="宋体" w:cs="Times New Roman"/>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与驾驶舱相同时点的数据快照、已发布计划方案、当前库存和采购执行状态；用户输入的大客户订单增减比例、供应商延迟天数、原料价格变化比例等情景参数。</w:t>
      </w:r>
    </w:p>
    <w:p w14:paraId="33E907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0F9601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What-if仿真+敏感性分析</w:t>
      </w:r>
    </w:p>
    <w:p w14:paraId="5968CA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52AFF0E">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需求变化对产能、原料、库存和交付日期的影响；供应延迟下的断供风险、备用供应商或排程调整方案；原料价格变化下的采购与总运营成本影响。</w:t>
      </w:r>
    </w:p>
    <w:p w14:paraId="64711EB0">
      <w:pPr>
        <w:pStyle w:val="3"/>
        <w:bidi w:val="0"/>
        <w:rPr>
          <w:rFonts w:hint="eastAsia" w:ascii="黑体" w:hAnsi="黑体" w:eastAsia="黑体" w:cs="黑体"/>
        </w:rPr>
      </w:pPr>
      <w:bookmarkStart w:id="34" w:name="_Toc1075081843"/>
      <w:r>
        <w:rPr>
          <w:rFonts w:hint="eastAsia" w:ascii="黑体" w:hAnsi="黑体" w:eastAsia="黑体" w:cs="黑体"/>
        </w:rPr>
        <w:t>成品库存优化与生产补货协同</w:t>
      </w:r>
      <w:r>
        <w:rPr>
          <w:rFonts w:hint="eastAsia" w:ascii="黑体" w:hAnsi="黑体" w:eastAsia="黑体" w:cs="黑体"/>
          <w:lang w:val="en-US" w:eastAsia="zh-CN"/>
        </w:rPr>
        <w:t>（F-ZLTC-SCOS-AIZNT-00</w:t>
      </w:r>
      <w:r>
        <w:rPr>
          <w:rFonts w:hint="eastAsia" w:ascii="黑体" w:hAnsi="黑体" w:cs="黑体"/>
          <w:lang w:val="en-US" w:eastAsia="zh-CN"/>
        </w:rPr>
        <w:t>3</w:t>
      </w:r>
      <w:r>
        <w:rPr>
          <w:rFonts w:hint="eastAsia" w:ascii="黑体" w:hAnsi="黑体" w:eastAsia="黑体" w:cs="黑体"/>
          <w:lang w:val="en-US" w:eastAsia="zh-CN"/>
        </w:rPr>
        <w:t>）</w:t>
      </w:r>
      <w:bookmarkEnd w:id="34"/>
    </w:p>
    <w:p w14:paraId="1E62AE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drawing>
          <wp:inline distT="0" distB="0" distL="114300" distR="114300">
            <wp:extent cx="5261610" cy="2877820"/>
            <wp:effectExtent l="0" t="0" r="21590" b="1778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69"/>
                    <a:stretch>
                      <a:fillRect/>
                    </a:stretch>
                  </pic:blipFill>
                  <pic:spPr>
                    <a:xfrm>
                      <a:off x="0" y="0"/>
                      <a:ext cx="5261610" cy="2877820"/>
                    </a:xfrm>
                    <a:prstGeom prst="rect">
                      <a:avLst/>
                    </a:prstGeom>
                    <a:noFill/>
                    <a:ln>
                      <a:noFill/>
                    </a:ln>
                  </pic:spPr>
                </pic:pic>
              </a:graphicData>
            </a:graphic>
          </wp:inline>
        </w:drawing>
      </w:r>
    </w:p>
    <w:p w14:paraId="7DADE8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7A7DAF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库存优化场景面向成品，动态回答“应保留多少库存、何时需要安排生产补充、建议补充多少”。系统将月度出货计划、销售订单、实际库存和滚动生产计划统一到月-周-日三级计划链路，并考虑生产补充周期和储罐有效容量。</w:t>
      </w:r>
    </w:p>
    <w:p w14:paraId="650DCE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06B811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每月25日根据下月出货计划发布库存策略；每周</w:t>
      </w:r>
      <w:r>
        <w:rPr>
          <w:rFonts w:hint="eastAsia" w:ascii="宋体" w:hAnsi="宋体" w:cs="宋体"/>
          <w:color w:val="000000"/>
          <w:kern w:val="2"/>
          <w:sz w:val="21"/>
          <w:szCs w:val="21"/>
          <w:highlight w:val="none"/>
          <w:lang w:val="en-US" w:eastAsia="zh-CN" w:bidi="ar-SA"/>
        </w:rPr>
        <w:t>生成未来4周计划并保持周内锁定</w:t>
      </w:r>
      <w:r>
        <w:rPr>
          <w:rFonts w:hint="eastAsia" w:ascii="宋体" w:hAnsi="宋体" w:eastAsia="宋体" w:cs="宋体"/>
          <w:color w:val="000000"/>
          <w:kern w:val="2"/>
          <w:sz w:val="21"/>
          <w:szCs w:val="21"/>
          <w:highlight w:val="none"/>
          <w:lang w:val="en-US" w:eastAsia="zh-CN" w:bidi="ar-SA"/>
        </w:rPr>
        <w:t>；每日根据实际出入库</w:t>
      </w:r>
      <w:r>
        <w:rPr>
          <w:rFonts w:hint="eastAsia" w:ascii="宋体" w:hAnsi="宋体" w:cs="宋体"/>
          <w:color w:val="000000"/>
          <w:kern w:val="2"/>
          <w:sz w:val="21"/>
          <w:szCs w:val="21"/>
          <w:highlight w:val="none"/>
          <w:lang w:val="en-US" w:eastAsia="zh-CN" w:bidi="ar-SA"/>
        </w:rPr>
        <w:t>进行</w:t>
      </w:r>
      <w:r>
        <w:rPr>
          <w:rFonts w:hint="eastAsia" w:ascii="宋体" w:hAnsi="宋体" w:eastAsia="宋体" w:cs="宋体"/>
          <w:color w:val="000000"/>
          <w:kern w:val="2"/>
          <w:sz w:val="21"/>
          <w:szCs w:val="21"/>
          <w:highlight w:val="none"/>
          <w:lang w:val="en-US" w:eastAsia="zh-CN" w:bidi="ar-SA"/>
        </w:rPr>
        <w:t>滚动校验；重大需求、设备或储罐异常时预警</w:t>
      </w:r>
      <w:r>
        <w:rPr>
          <w:rFonts w:hint="eastAsia" w:ascii="宋体" w:hAnsi="宋体" w:cs="宋体"/>
          <w:color w:val="000000"/>
          <w:kern w:val="2"/>
          <w:sz w:val="21"/>
          <w:szCs w:val="21"/>
          <w:highlight w:val="none"/>
          <w:lang w:val="en-US" w:eastAsia="zh-CN" w:bidi="ar-SA"/>
        </w:rPr>
        <w:t>和修正</w:t>
      </w:r>
      <w:r>
        <w:rPr>
          <w:rFonts w:hint="eastAsia" w:ascii="宋体" w:hAnsi="宋体" w:eastAsia="宋体" w:cs="宋体"/>
          <w:color w:val="000000"/>
          <w:kern w:val="2"/>
          <w:sz w:val="21"/>
          <w:szCs w:val="21"/>
          <w:highlight w:val="none"/>
          <w:lang w:val="en-US" w:eastAsia="zh-CN" w:bidi="ar-SA"/>
        </w:rPr>
        <w:t>。</w:t>
      </w:r>
    </w:p>
    <w:p w14:paraId="46F552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554386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出货计划、销售订单、成品合格/已分配/冻结/待检/质量异常库存、计划生产入库和待发运量；历史出库波动、生产补充周期及波动；成品-储罐映射、工作容量和可用状态。</w:t>
      </w:r>
    </w:p>
    <w:p w14:paraId="406C8F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52754E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（R,s,S）库存模型+滚动库存递推</w:t>
      </w:r>
    </w:p>
    <w:p w14:paraId="4C5EF7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B804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成品SS/s/S参数和发布版本；月度生产补货总量；周生产补货量和入库节奏；日度新增补货建议、风险日和期望可用入库日期；安全库存、再订货点、容量和滞销/呆滞预警。补货建议发送给精益排程模块。</w:t>
      </w:r>
    </w:p>
    <w:p w14:paraId="3E7A96B2">
      <w:pPr>
        <w:pStyle w:val="3"/>
        <w:bidi w:val="0"/>
        <w:rPr>
          <w:rFonts w:hint="eastAsia" w:ascii="黑体" w:hAnsi="黑体" w:eastAsia="黑体" w:cs="黑体"/>
        </w:rPr>
      </w:pPr>
      <w:bookmarkStart w:id="35" w:name="_Toc2120613090"/>
      <w:r>
        <w:rPr>
          <w:rFonts w:hint="eastAsia" w:ascii="黑体" w:hAnsi="黑体" w:eastAsia="黑体" w:cs="黑体"/>
          <w:color w:val="FF0000"/>
          <w:lang w:eastAsia="zh-CN"/>
        </w:rPr>
        <w:t>【</w:t>
      </w:r>
      <w:r>
        <w:rPr>
          <w:rFonts w:hint="eastAsia" w:ascii="黑体" w:hAnsi="黑体" w:eastAsia="黑体" w:cs="黑体"/>
          <w:color w:val="FF0000"/>
          <w:lang w:val="en-US" w:eastAsia="zh-CN"/>
        </w:rPr>
        <w:t>待合并</w:t>
      </w:r>
      <w:r>
        <w:rPr>
          <w:rFonts w:hint="eastAsia" w:ascii="黑体" w:hAnsi="黑体" w:eastAsia="黑体" w:cs="黑体"/>
          <w:color w:val="FF0000"/>
          <w:lang w:eastAsia="zh-CN"/>
        </w:rPr>
        <w:t>】</w:t>
      </w:r>
      <w:r>
        <w:rPr>
          <w:rFonts w:hint="eastAsia" w:ascii="黑体" w:hAnsi="黑体" w:eastAsia="黑体" w:cs="黑体"/>
          <w:color w:val="FF0000"/>
        </w:rPr>
        <w:t>精益生产排程与异常重排</w:t>
      </w:r>
      <w:bookmarkEnd w:id="35"/>
    </w:p>
    <w:p w14:paraId="74099BF0">
      <w:pPr>
        <w:pStyle w:val="3"/>
        <w:rPr>
          <w:rFonts w:hint="eastAsia" w:ascii="黑体" w:hAnsi="黑体" w:eastAsia="黑体" w:cs="黑体"/>
        </w:rPr>
      </w:pPr>
      <w:bookmarkStart w:id="36" w:name="_Toc1505598018"/>
      <w:r>
        <w:rPr>
          <w:rFonts w:hint="eastAsia" w:ascii="黑体" w:hAnsi="黑体" w:eastAsia="黑体" w:cs="黑体"/>
        </w:rPr>
        <w:t>原料采购决策优化</w:t>
      </w:r>
      <w:r>
        <w:rPr>
          <w:rFonts w:hint="eastAsia" w:ascii="黑体" w:hAnsi="黑体" w:eastAsia="黑体" w:cs="黑体"/>
          <w:lang w:val="en-US" w:eastAsia="zh-CN"/>
        </w:rPr>
        <w:t>（F-ZLTC-SCOS-AIZNT-005）</w:t>
      </w:r>
      <w:bookmarkEnd w:id="36"/>
    </w:p>
    <w:p w14:paraId="084A749A">
      <w:r>
        <w:drawing>
          <wp:inline distT="0" distB="0" distL="114300" distR="114300">
            <wp:extent cx="5261610" cy="2877820"/>
            <wp:effectExtent l="0" t="0" r="21590" b="1778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70"/>
                    <a:stretch>
                      <a:fillRect/>
                    </a:stretch>
                  </pic:blipFill>
                  <pic:spPr>
                    <a:xfrm>
                      <a:off x="0" y="0"/>
                      <a:ext cx="5261610" cy="2877820"/>
                    </a:xfrm>
                    <a:prstGeom prst="rect">
                      <a:avLst/>
                    </a:prstGeom>
                    <a:noFill/>
                    <a:ln>
                      <a:noFill/>
                    </a:ln>
                  </pic:spPr>
                </pic:pic>
              </a:graphicData>
            </a:graphic>
          </wp:inline>
        </w:drawing>
      </w:r>
    </w:p>
    <w:p w14:paraId="1F0428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DC50290">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采购优化场景解决“需要采购多少、向哪些供应商采购、各采购多少、何时下单和到货”等决策问题。系统以已发布的原材料需求计划为需求基线，通过净算已有采购承诺、比较供应条件形成可人工调整的采购建议。</w:t>
      </w:r>
    </w:p>
    <w:p w14:paraId="4990C5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271CA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每月根据新发布的原材料需求计划形成月度方案；每周检查需求和采购执行变化；计划版本变更或业务人员主动发起时重新计算未执行部分。</w:t>
      </w:r>
    </w:p>
    <w:p w14:paraId="05AB5D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E3DD7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已发布的原材料分期需求量和需求日期；已生效未完成采购订单及在途/到货状态；供应商报价、最大可供量、运费、账期、备货/运输/质检提前期；当前期货价格和资金成本率。</w:t>
      </w:r>
    </w:p>
    <w:p w14:paraId="5D0620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1AC42D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default"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混合整数规划（MILP）+多目标优化</w:t>
      </w:r>
    </w:p>
    <w:p w14:paraId="13154B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57DF449">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分物料的待采购需求；各供应商推荐采购量、可调整范围、综合成本和备选组合；合同/锁价参考；建议下单日期和到货日期；不可行时的数量或时间缺口。人工确认后进入E采/SAP审批执行。</w:t>
      </w:r>
    </w:p>
    <w:p w14:paraId="7104F3AC">
      <w:pPr>
        <w:pStyle w:val="3"/>
        <w:bidi w:val="0"/>
        <w:rPr>
          <w:rFonts w:hint="eastAsia" w:ascii="黑体" w:hAnsi="黑体" w:eastAsia="黑体" w:cs="黑体"/>
          <w:lang w:val="en-US" w:eastAsia="zh-CN"/>
        </w:rPr>
      </w:pPr>
      <w:bookmarkStart w:id="37" w:name="_Toc786075925"/>
      <w:r>
        <w:rPr>
          <w:rFonts w:hint="eastAsia" w:ascii="黑体" w:hAnsi="黑体" w:eastAsia="黑体" w:cs="黑体"/>
          <w:b/>
          <w:sz w:val="30"/>
        </w:rPr>
        <w:t>原辅包要货决策优化（F-ZLTC-SCOS-AIZNT-00</w:t>
      </w:r>
      <w:r>
        <w:rPr>
          <w:rFonts w:hint="eastAsia" w:ascii="黑体" w:hAnsi="黑体" w:eastAsia="黑体" w:cs="黑体"/>
          <w:b/>
          <w:sz w:val="30"/>
          <w:lang w:val="en-US" w:eastAsia="zh-CN"/>
        </w:rPr>
        <w:t>6</w:t>
      </w:r>
      <w:r>
        <w:rPr>
          <w:rFonts w:hint="eastAsia" w:ascii="黑体" w:hAnsi="黑体" w:eastAsia="黑体" w:cs="黑体"/>
          <w:b/>
          <w:sz w:val="30"/>
        </w:rPr>
        <w:t>）</w:t>
      </w:r>
      <w:bookmarkEnd w:id="37"/>
    </w:p>
    <w:p w14:paraId="67B348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2A107708">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本场景面向原料、辅料和包材的日度要货决策，在既有采购合同和订单范围内，综合生产耗用、可用库存、固定到货、合同余量、供应商可供能力和收货条件，形成可执行的供应商、合同、到货日期与数量建议。系统保护已确认、已下达、在途及人工锁定安排，仅优化受影响的未锁定计划；无法满足时明确提示风险日期、缺口数量和原因。</w:t>
      </w:r>
    </w:p>
    <w:p w14:paraId="2D314D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12558F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系统按日生成并滚动校验要货方案；需求、库存、预计到货、合同余量、供应能力、禁运或质量状态变化时评估影响；采购计划员也可人工发起重算。</w:t>
      </w:r>
    </w:p>
    <w:p w14:paraId="536400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11A99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精益排程模块提供已发布的日度原辅包需求；WMS提供合格且未冻结的可用库存；SAP/E采提供有效合同、采购订单和余量；TMS及供应商协同平台提供发货、在途和预计到货；QMS/LIMS提供质量状态；采购人员维护可供能力、送货条件、合同顺序和收货约束。</w:t>
      </w:r>
    </w:p>
    <w:p w14:paraId="7DDD46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50DEB8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混合整数规划（MILP）+多目标优化</w:t>
      </w:r>
    </w:p>
    <w:p w14:paraId="70799C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296B5D43">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color w:val="000000"/>
          <w:kern w:val="2"/>
          <w:sz w:val="21"/>
          <w:szCs w:val="21"/>
          <w:highlight w:val="none"/>
          <w:lang w:val="en-US" w:eastAsia="zh-CN" w:bidi="ar-SA"/>
        </w:rPr>
        <w:t>分物料、供应商、合同和日期的要货计划，包含到货数量、替代/补位安排、调整差异、风险日期、缺口数量及原因。经采购计划员确认后下发E采/SAP、TMS或供应商协同平台，执行状态和未消除风险同步供应链驾驶舱；新增合同、外库租赁或生产调整仍由相应业务流程决策。</w:t>
      </w:r>
    </w:p>
    <w:p w14:paraId="1EAA0AC8">
      <w:pPr>
        <w:pStyle w:val="3"/>
        <w:bidi w:val="0"/>
        <w:rPr>
          <w:rFonts w:hint="eastAsia" w:ascii="黑体" w:hAnsi="黑体" w:eastAsia="黑体" w:cs="黑体"/>
        </w:rPr>
      </w:pPr>
      <w:bookmarkStart w:id="38" w:name="_Toc258675131"/>
      <w:r>
        <w:rPr>
          <w:rFonts w:hint="eastAsia" w:ascii="黑体" w:hAnsi="黑体" w:eastAsia="黑体" w:cs="黑体"/>
        </w:rPr>
        <w:t>成本统计、分摊与多维盈利分析</w:t>
      </w:r>
      <w:r>
        <w:rPr>
          <w:rFonts w:hint="eastAsia" w:ascii="黑体" w:hAnsi="黑体" w:eastAsia="黑体" w:cs="黑体"/>
          <w:lang w:val="en-US" w:eastAsia="zh-CN"/>
        </w:rPr>
        <w:t>（F-ZLTC-SCOS-AIZNT-00</w:t>
      </w:r>
      <w:r>
        <w:rPr>
          <w:rFonts w:hint="eastAsia" w:ascii="黑体" w:hAnsi="黑体" w:cs="黑体"/>
          <w:lang w:val="en-US" w:eastAsia="zh-CN"/>
        </w:rPr>
        <w:t>7</w:t>
      </w:r>
      <w:r>
        <w:rPr>
          <w:rFonts w:hint="eastAsia" w:ascii="黑体" w:hAnsi="黑体" w:eastAsia="黑体" w:cs="黑体"/>
          <w:lang w:val="en-US" w:eastAsia="zh-CN"/>
        </w:rPr>
        <w:t>）</w:t>
      </w:r>
      <w:bookmarkEnd w:id="38"/>
    </w:p>
    <w:p w14:paraId="30EFD7C5">
      <w:r>
        <w:drawing>
          <wp:inline distT="0" distB="0" distL="114300" distR="114300">
            <wp:extent cx="5261610" cy="2877820"/>
            <wp:effectExtent l="0" t="0" r="21590" b="1778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71"/>
                    <a:stretch>
                      <a:fillRect/>
                    </a:stretch>
                  </pic:blipFill>
                  <pic:spPr>
                    <a:xfrm>
                      <a:off x="0" y="0"/>
                      <a:ext cx="5261610" cy="2877820"/>
                    </a:xfrm>
                    <a:prstGeom prst="rect">
                      <a:avLst/>
                    </a:prstGeom>
                    <a:noFill/>
                    <a:ln>
                      <a:noFill/>
                    </a:ln>
                  </pic:spPr>
                </pic:pic>
              </a:graphicData>
            </a:graphic>
          </wp:inline>
        </w:drawing>
      </w:r>
    </w:p>
    <w:p w14:paraId="3EB7F3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5A05E6D1">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成本与盈利分析场景按“数据归集-成本核算-联/副产品分摊-差异分析-边际贡献-多维盈利-管理报告-信号输出”形成闭环，为采购、排程、客户管理和驾驶舱提供可比较的成本与贡献口径。</w:t>
      </w:r>
    </w:p>
    <w:p w14:paraId="6F1BD8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1449B8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按月核算周期自动运行；成本数据、产量、销量或分摊规则变更时重算；用户可按产品、客户、</w:t>
      </w:r>
      <w:r>
        <w:rPr>
          <w:rFonts w:hint="eastAsia" w:ascii="宋体" w:hAnsi="宋体" w:cs="宋体"/>
          <w:color w:val="000000"/>
          <w:kern w:val="2"/>
          <w:sz w:val="21"/>
          <w:szCs w:val="21"/>
          <w:highlight w:val="none"/>
          <w:lang w:val="en-US" w:eastAsia="zh-CN" w:bidi="ar-SA"/>
        </w:rPr>
        <w:t>供应商、</w:t>
      </w:r>
      <w:r>
        <w:rPr>
          <w:rFonts w:hint="eastAsia" w:ascii="宋体" w:hAnsi="宋体" w:eastAsia="宋体" w:cs="宋体"/>
          <w:color w:val="000000"/>
          <w:kern w:val="2"/>
          <w:sz w:val="21"/>
          <w:szCs w:val="21"/>
          <w:highlight w:val="none"/>
          <w:lang w:val="en-US" w:eastAsia="zh-CN" w:bidi="ar-SA"/>
        </w:rPr>
        <w:t>订单、批次、区域和时间主动分析。</w:t>
      </w:r>
    </w:p>
    <w:p w14:paraId="5D231B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210C2D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SAP权威的物料价格、成本BOM、费用池、应收/应付、设备折旧和财务过账数据；MES生产、工时和能耗；WMS/TMS仓储和运输数据；销售收入、客户、订单和产品维度。</w:t>
      </w:r>
    </w:p>
    <w:p w14:paraId="42D197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2121B1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作业成本法（ABC）+差异分析模型</w:t>
      </w:r>
    </w:p>
    <w:p w14:paraId="16D260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4C9813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产品/订单/客户成本与盈利报告；原料、辅料、能源、制造、仓储和运输成本构成；标准-实际成本差异和原因；客户/产品贡献信号，向驾驶舱和排程模块提供决策参考。</w:t>
      </w:r>
    </w:p>
    <w:p w14:paraId="22F0ABB8">
      <w:pPr>
        <w:pStyle w:val="5"/>
        <w:spacing w:after="100" w:line="276" w:lineRule="auto"/>
        <w:rPr>
          <w:rFonts w:ascii="Times New Roman" w:hAnsi="Times New Roman" w:eastAsia="宋体"/>
          <w:sz w:val="21"/>
        </w:rPr>
      </w:pPr>
    </w:p>
    <w:p w14:paraId="44546779">
      <w:pPr>
        <w:pStyle w:val="3"/>
        <w:bidi w:val="0"/>
        <w:rPr>
          <w:rFonts w:hint="eastAsia" w:ascii="黑体" w:hAnsi="黑体" w:eastAsia="黑体" w:cs="黑体"/>
        </w:rPr>
      </w:pPr>
      <w:bookmarkStart w:id="39" w:name="_Toc1046025189"/>
      <w:r>
        <w:rPr>
          <w:rFonts w:hint="eastAsia" w:ascii="黑体" w:hAnsi="黑体" w:eastAsia="黑体" w:cs="黑体"/>
        </w:rPr>
        <w:t>供应链全程追溯与质量协同</w:t>
      </w:r>
      <w:r>
        <w:rPr>
          <w:rFonts w:hint="eastAsia" w:ascii="黑体" w:hAnsi="黑体" w:eastAsia="黑体" w:cs="黑体"/>
          <w:lang w:val="en-US" w:eastAsia="zh-CN"/>
        </w:rPr>
        <w:t>（F-ZLTC-SCOS-AIZNT-00</w:t>
      </w:r>
      <w:r>
        <w:rPr>
          <w:rFonts w:hint="eastAsia" w:ascii="黑体" w:hAnsi="黑体" w:cs="黑体"/>
          <w:lang w:val="en-US" w:eastAsia="zh-CN"/>
        </w:rPr>
        <w:t>8</w:t>
      </w:r>
      <w:r>
        <w:rPr>
          <w:rFonts w:hint="eastAsia" w:ascii="黑体" w:hAnsi="黑体" w:eastAsia="黑体" w:cs="黑体"/>
          <w:lang w:val="en-US" w:eastAsia="zh-CN"/>
        </w:rPr>
        <w:t>）</w:t>
      </w:r>
      <w:bookmarkEnd w:id="39"/>
    </w:p>
    <w:p w14:paraId="686E1B51">
      <w:r>
        <w:drawing>
          <wp:inline distT="0" distB="0" distL="114300" distR="114300">
            <wp:extent cx="5261610" cy="2877820"/>
            <wp:effectExtent l="0" t="0" r="21590" b="1778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72"/>
                    <a:stretch>
                      <a:fillRect/>
                    </a:stretch>
                  </pic:blipFill>
                  <pic:spPr>
                    <a:xfrm>
                      <a:off x="0" y="0"/>
                      <a:ext cx="5261610" cy="2877820"/>
                    </a:xfrm>
                    <a:prstGeom prst="rect">
                      <a:avLst/>
                    </a:prstGeom>
                    <a:noFill/>
                    <a:ln>
                      <a:noFill/>
                    </a:ln>
                  </pic:spPr>
                </pic:pic>
              </a:graphicData>
            </a:graphic>
          </wp:inline>
        </w:drawing>
      </w:r>
    </w:p>
    <w:p w14:paraId="51BA1B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266EE79">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全程追溯场景以批次为主线，连接供应商批次、原料入库、投料、生产、检验、成品入库、销售发运和客户交付，支持从原料到客户的正向追溯和从客户/成品到原料的反向追溯。</w:t>
      </w:r>
    </w:p>
    <w:p w14:paraId="30D065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AA0F5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用户输入原料批次、生产批次、成品批次、销售订单、发运单或客户后触发查询；LIMS/QMS质量异常事件发生时触发联动。</w:t>
      </w:r>
    </w:p>
    <w:p w14:paraId="491EB5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982E3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MES投料、生产和报工批次；WMS原料/成品入出库与库存批次；LIMS/QMS检验结果和质量状态；SAP采购、生产和销售单据；TMS发运和交付信息。</w:t>
      </w:r>
    </w:p>
    <w:p w14:paraId="3CBAD6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70BAEE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批次知识图谱+图搜索算法</w:t>
      </w:r>
    </w:p>
    <w:p w14:paraId="0BF571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3F50C4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ascii="Times New Roman" w:hAnsi="Times New Roman" w:eastAsia="宋体"/>
          <w:sz w:val="21"/>
        </w:rPr>
      </w:pPr>
      <w:r>
        <w:rPr>
          <w:rFonts w:hint="eastAsia" w:ascii="宋体" w:hAnsi="宋体" w:eastAsia="宋体" w:cs="宋体"/>
          <w:color w:val="000000"/>
          <w:kern w:val="2"/>
          <w:sz w:val="21"/>
          <w:szCs w:val="21"/>
          <w:highlight w:val="none"/>
          <w:lang w:val="en-US" w:eastAsia="zh-CN" w:bidi="ar-SA"/>
        </w:rPr>
        <w:t>正向/反向追溯树、关联单据和检验结果；影响成品、库存、订单、客户和供应商清单；隔离、召回、放行或处置建议；向驾驶舱推送重大质量预警。</w:t>
      </w:r>
    </w:p>
    <w:p w14:paraId="6E448E42">
      <w:pPr>
        <w:pStyle w:val="2"/>
        <w:bidi w:val="0"/>
        <w:rPr>
          <w:rFonts w:hint="eastAsia" w:ascii="黑体" w:hAnsi="黑体" w:eastAsia="黑体" w:cs="黑体"/>
        </w:rPr>
      </w:pPr>
      <w:bookmarkStart w:id="40" w:name="_Toc1244217181"/>
      <w:r>
        <w:rPr>
          <w:rFonts w:hint="eastAsia" w:ascii="黑体" w:hAnsi="黑体" w:eastAsia="黑体" w:cs="黑体"/>
          <w:lang w:eastAsia="zh-CN"/>
        </w:rPr>
        <w:t>【</w:t>
      </w:r>
      <w:r>
        <w:rPr>
          <w:rFonts w:hint="eastAsia" w:ascii="黑体" w:hAnsi="黑体" w:eastAsia="黑体" w:cs="黑体"/>
          <w:color w:val="FF0000"/>
          <w:lang w:val="en-US" w:eastAsia="zh-CN"/>
        </w:rPr>
        <w:t>待后续优化</w:t>
      </w:r>
      <w:r>
        <w:rPr>
          <w:rFonts w:hint="eastAsia" w:ascii="黑体" w:hAnsi="黑体" w:eastAsia="黑体" w:cs="黑体"/>
          <w:lang w:eastAsia="zh-CN"/>
        </w:rPr>
        <w:t>】</w:t>
      </w:r>
      <w:r>
        <w:rPr>
          <w:rFonts w:hint="eastAsia" w:ascii="黑体" w:hAnsi="黑体" w:eastAsia="黑体" w:cs="黑体"/>
        </w:rPr>
        <w:t>SCOS技术蓝图交付物</w:t>
      </w:r>
      <w:bookmarkEnd w:id="40"/>
    </w:p>
    <w:p w14:paraId="195C94E7">
      <w:pPr>
        <w:pStyle w:val="3"/>
        <w:bidi w:val="0"/>
        <w:rPr>
          <w:rFonts w:hint="eastAsia" w:ascii="黑体" w:hAnsi="黑体" w:eastAsia="黑体" w:cs="黑体"/>
          <w:b/>
          <w:bCs w:val="0"/>
        </w:rPr>
      </w:pPr>
      <w:bookmarkStart w:id="41" w:name="_PLM数据流架构图"/>
      <w:bookmarkStart w:id="42" w:name="_Toc6848"/>
      <w:bookmarkStart w:id="43" w:name="_Toc1509890228"/>
      <w:bookmarkStart w:id="44" w:name="_SCOS数据流架构图"/>
      <w:r>
        <w:rPr>
          <w:rFonts w:hint="eastAsia" w:ascii="黑体" w:hAnsi="黑体" w:eastAsia="黑体" w:cs="黑体"/>
          <w:b/>
          <w:bCs w:val="0"/>
          <w:lang w:val="en-US" w:eastAsia="zh-CN"/>
        </w:rPr>
        <w:t>SCOS</w:t>
      </w:r>
      <w:r>
        <w:rPr>
          <w:rFonts w:hint="eastAsia" w:ascii="黑体" w:hAnsi="黑体" w:eastAsia="黑体" w:cs="黑体"/>
          <w:b/>
          <w:bCs w:val="0"/>
        </w:rPr>
        <w:t>数据流架构图</w:t>
      </w:r>
      <w:bookmarkEnd w:id="41"/>
      <w:bookmarkEnd w:id="42"/>
      <w:bookmarkEnd w:id="43"/>
    </w:p>
    <w:bookmarkEnd w:id="44"/>
    <w:p w14:paraId="2EA97783">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SCOS总体架构遵循“数据统一供给、业务模块解耦、模型服务化、结果统一发布、全程可审计”原则。</w:t>
      </w:r>
      <w:r>
        <w:rPr>
          <w:rFonts w:hint="eastAsia" w:ascii="宋体" w:hAnsi="宋体" w:eastAsia="宋体" w:cs="宋体"/>
          <w:sz w:val="21"/>
          <w:szCs w:val="21"/>
          <w:lang w:val="en-US" w:eastAsia="zh-CN"/>
        </w:rPr>
        <w:t>CRM、CON、</w:t>
      </w:r>
      <w:r>
        <w:rPr>
          <w:rFonts w:hint="eastAsia" w:ascii="宋体" w:hAnsi="宋体" w:eastAsia="宋体" w:cs="宋体"/>
          <w:sz w:val="21"/>
          <w:szCs w:val="21"/>
        </w:rPr>
        <w:t>SAP、WMS、TMS、MES、QMS/LIMS、</w:t>
      </w:r>
      <w:r>
        <w:rPr>
          <w:rFonts w:hint="eastAsia" w:ascii="宋体" w:hAnsi="宋体" w:eastAsia="宋体" w:cs="宋体"/>
          <w:sz w:val="21"/>
          <w:szCs w:val="21"/>
          <w:lang w:val="en-US" w:eastAsia="zh-CN"/>
        </w:rPr>
        <w:t>DCS</w:t>
      </w:r>
      <w:r>
        <w:rPr>
          <w:rFonts w:hint="eastAsia" w:ascii="宋体" w:hAnsi="宋体" w:eastAsia="宋体" w:cs="宋体"/>
          <w:sz w:val="21"/>
          <w:szCs w:val="21"/>
        </w:rPr>
        <w:t>是业务事实来源；统一数据服务层将主数据、计划、交易、库存、价格、成本、批次和设备数据形成标准数据服务；SCOS各模块基于这些数据开展计算和协同。</w:t>
      </w:r>
    </w:p>
    <w:p w14:paraId="17092E0B">
      <w:pPr>
        <w:pStyle w:val="5"/>
        <w:spacing w:after="100" w:line="276" w:lineRule="auto"/>
        <w:rPr>
          <w:rFonts w:hint="eastAsia" w:ascii="宋体" w:hAnsi="宋体" w:eastAsia="宋体" w:cs="宋体"/>
          <w:sz w:val="21"/>
          <w:szCs w:val="21"/>
        </w:rPr>
      </w:pPr>
      <w:r>
        <w:drawing>
          <wp:inline distT="0" distB="0" distL="114300" distR="114300">
            <wp:extent cx="5260340" cy="2961005"/>
            <wp:effectExtent l="0" t="0" r="22860" b="10795"/>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73"/>
                    <a:stretch>
                      <a:fillRect/>
                    </a:stretch>
                  </pic:blipFill>
                  <pic:spPr>
                    <a:xfrm>
                      <a:off x="0" y="0"/>
                      <a:ext cx="5260340" cy="2961005"/>
                    </a:xfrm>
                    <a:prstGeom prst="rect">
                      <a:avLst/>
                    </a:prstGeom>
                    <a:noFill/>
                    <a:ln>
                      <a:noFill/>
                    </a:ln>
                  </pic:spPr>
                </pic:pic>
              </a:graphicData>
            </a:graphic>
          </wp:inline>
        </w:drawing>
      </w:r>
    </w:p>
    <w:p w14:paraId="2D05C50F">
      <w:pPr>
        <w:keepNext/>
        <w:jc w:val="center"/>
      </w:pPr>
      <w:r>
        <w:drawing>
          <wp:inline distT="0" distB="0" distL="114300" distR="114300">
            <wp:extent cx="5275580" cy="2931160"/>
            <wp:effectExtent l="0" t="0" r="7620" b="15240"/>
            <wp:docPr id="15" name="SCOS数据流架构图" descr="SCOS与CRM、CON、SAP、WMS、TMS、MES、DCS、QMS/LIMS之间的数据获取订阅和下发闭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OS数据流架构图" descr="SCOS与CRM、CON、SAP、WMS、TMS、MES、DCS、QMS/LIMS之间的数据获取订阅和下发闭环架构图"/>
                    <pic:cNvPicPr>
                      <a:picLocks noChangeAspect="1"/>
                    </pic:cNvPicPr>
                  </pic:nvPicPr>
                  <pic:blipFill>
                    <a:blip r:embed="rId74"/>
                    <a:stretch>
                      <a:fillRect/>
                    </a:stretch>
                  </pic:blipFill>
                  <pic:spPr>
                    <a:xfrm>
                      <a:off x="0" y="0"/>
                      <a:ext cx="5276088" cy="2931526"/>
                    </a:xfrm>
                    <a:prstGeom prst="rect">
                      <a:avLst/>
                    </a:prstGeom>
                  </pic:spPr>
                </pic:pic>
              </a:graphicData>
            </a:graphic>
          </wp:inline>
        </w:drawing>
      </w:r>
    </w:p>
    <w:p w14:paraId="12279848">
      <w:pPr>
        <w:pStyle w:val="5"/>
        <w:spacing w:after="120"/>
        <w:jc w:val="center"/>
        <w:rPr>
          <w:rFonts w:hint="default" w:ascii="Times New Roman" w:hAnsi="Times New Roman" w:eastAsia="宋体"/>
          <w:sz w:val="18"/>
          <w:lang w:val="en-US" w:eastAsia="zh-CN"/>
        </w:rPr>
      </w:pPr>
      <w:r>
        <w:rPr>
          <w:rFonts w:hint="eastAsia" w:ascii="宋体" w:hAnsi="宋体" w:eastAsia="宋体" w:cs="宋体"/>
          <w:sz w:val="18"/>
        </w:rPr>
        <w:t>图4-1  SCOS</w:t>
      </w:r>
      <w:r>
        <w:rPr>
          <w:rFonts w:hint="eastAsia" w:ascii="宋体" w:hAnsi="宋体" w:eastAsia="宋体" w:cs="宋体"/>
          <w:sz w:val="18"/>
          <w:lang w:val="en-US" w:eastAsia="zh-CN"/>
        </w:rPr>
        <w:t>数据流架构图（</w:t>
      </w:r>
      <w:r>
        <w:rPr>
          <w:rFonts w:hint="eastAsia" w:ascii="宋体" w:hAnsi="宋体" w:eastAsia="宋体" w:cs="宋体"/>
          <w:color w:val="FF0000"/>
          <w:sz w:val="18"/>
          <w:lang w:val="en-US" w:eastAsia="zh-CN"/>
        </w:rPr>
        <w:t>待定用哪张图</w:t>
      </w:r>
      <w:r>
        <w:rPr>
          <w:rFonts w:hint="eastAsia" w:ascii="宋体" w:hAnsi="宋体" w:eastAsia="宋体" w:cs="宋体"/>
          <w:sz w:val="18"/>
          <w:lang w:val="en-US" w:eastAsia="zh-CN"/>
        </w:rPr>
        <w:t>）</w:t>
      </w:r>
    </w:p>
    <w:p w14:paraId="017C2BAB">
      <w:pPr>
        <w:pStyle w:val="5"/>
        <w:numPr>
          <w:ilvl w:val="0"/>
          <w:numId w:val="0"/>
        </w:numPr>
        <w:topLinePunct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【数据获取/订阅接口明细】</w:t>
      </w:r>
    </w:p>
    <w:tbl>
      <w:tblPr>
        <w:tblStyle w:val="31"/>
        <w:tblW w:w="10464" w:type="dxa"/>
        <w:tblInd w:w="-1073" w:type="dxa"/>
        <w:tblLayout w:type="fixed"/>
        <w:tblCellMar>
          <w:top w:w="0" w:type="dxa"/>
          <w:left w:w="108" w:type="dxa"/>
          <w:bottom w:w="0" w:type="dxa"/>
          <w:right w:w="108" w:type="dxa"/>
        </w:tblCellMar>
      </w:tblPr>
      <w:tblGrid>
        <w:gridCol w:w="1576"/>
        <w:gridCol w:w="1238"/>
        <w:gridCol w:w="1237"/>
        <w:gridCol w:w="1155"/>
        <w:gridCol w:w="1120"/>
        <w:gridCol w:w="1153"/>
        <w:gridCol w:w="2985"/>
      </w:tblGrid>
      <w:tr w14:paraId="480862CF">
        <w:trPr>
          <w:cantSplit/>
          <w:trHeight w:val="360" w:hRule="atLeast"/>
          <w:tblHeader/>
        </w:trPr>
        <w:tc>
          <w:tcPr>
            <w:tcW w:w="1576" w:type="dxa"/>
            <w:vAlign w:val="center"/>
          </w:tcPr>
          <w:p w14:paraId="6E8D693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接口编号</w:t>
            </w:r>
          </w:p>
        </w:tc>
        <w:tc>
          <w:tcPr>
            <w:tcW w:w="1238" w:type="dxa"/>
            <w:vAlign w:val="center"/>
          </w:tcPr>
          <w:p w14:paraId="2C5BF1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数据流向</w:t>
            </w:r>
          </w:p>
        </w:tc>
        <w:tc>
          <w:tcPr>
            <w:tcW w:w="1237" w:type="dxa"/>
            <w:vAlign w:val="center"/>
          </w:tcPr>
          <w:p w14:paraId="3C5721F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获取内容</w:t>
            </w:r>
          </w:p>
        </w:tc>
        <w:tc>
          <w:tcPr>
            <w:tcW w:w="1155" w:type="dxa"/>
            <w:vAlign w:val="center"/>
          </w:tcPr>
          <w:p w14:paraId="3BD3B3F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协议方式</w:t>
            </w:r>
          </w:p>
        </w:tc>
        <w:tc>
          <w:tcPr>
            <w:tcW w:w="1120" w:type="dxa"/>
            <w:vAlign w:val="center"/>
          </w:tcPr>
          <w:p w14:paraId="65C95D8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通信模式</w:t>
            </w:r>
          </w:p>
        </w:tc>
        <w:tc>
          <w:tcPr>
            <w:tcW w:w="1153" w:type="dxa"/>
            <w:vAlign w:val="center"/>
          </w:tcPr>
          <w:p w14:paraId="2419ED4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调用频次</w:t>
            </w:r>
          </w:p>
        </w:tc>
        <w:tc>
          <w:tcPr>
            <w:tcW w:w="2985" w:type="dxa"/>
            <w:vAlign w:val="center"/>
          </w:tcPr>
          <w:p w14:paraId="7D3C2C4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用途说明</w:t>
            </w:r>
          </w:p>
        </w:tc>
      </w:tr>
      <w:tr w14:paraId="2743F5CA">
        <w:trPr>
          <w:cantSplit/>
          <w:trHeight w:val="400" w:hRule="atLeast"/>
        </w:trPr>
        <w:tc>
          <w:tcPr>
            <w:tcW w:w="1576" w:type="dxa"/>
            <w:vAlign w:val="center"/>
          </w:tcPr>
          <w:p w14:paraId="032A896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SCOS-CRM-001</w:t>
            </w:r>
          </w:p>
        </w:tc>
        <w:tc>
          <w:tcPr>
            <w:tcW w:w="1238" w:type="dxa"/>
            <w:vAlign w:val="center"/>
          </w:tcPr>
          <w:p w14:paraId="017B20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CRM→SCOS</w:t>
            </w:r>
          </w:p>
        </w:tc>
        <w:tc>
          <w:tcPr>
            <w:tcW w:w="1237" w:type="dxa"/>
            <w:vAlign w:val="center"/>
          </w:tcPr>
          <w:p w14:paraId="113CB05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每日出货计划</w:t>
            </w:r>
          </w:p>
        </w:tc>
        <w:tc>
          <w:tcPr>
            <w:tcW w:w="1155" w:type="dxa"/>
            <w:vAlign w:val="center"/>
          </w:tcPr>
          <w:p w14:paraId="1AF9C1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52C610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1153" w:type="dxa"/>
            <w:vAlign w:val="center"/>
          </w:tcPr>
          <w:p w14:paraId="36E1E6B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每日计划发布后</w:t>
            </w:r>
          </w:p>
        </w:tc>
        <w:tc>
          <w:tcPr>
            <w:tcW w:w="2985" w:type="dxa"/>
            <w:vAlign w:val="center"/>
          </w:tcPr>
          <w:p w14:paraId="46FB6DF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接收客户、产品和日期维度的成品需求量，作为库存投影、要货计划和供应链态势分析的需求依据。</w:t>
            </w:r>
          </w:p>
        </w:tc>
      </w:tr>
      <w:tr w14:paraId="28D3BB82">
        <w:trPr>
          <w:cantSplit/>
          <w:trHeight w:val="400" w:hRule="atLeast"/>
        </w:trPr>
        <w:tc>
          <w:tcPr>
            <w:tcW w:w="1576" w:type="dxa"/>
            <w:vAlign w:val="center"/>
          </w:tcPr>
          <w:p w14:paraId="3A422FF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SCOS-CON-001</w:t>
            </w:r>
          </w:p>
        </w:tc>
        <w:tc>
          <w:tcPr>
            <w:tcW w:w="1238" w:type="dxa"/>
            <w:vAlign w:val="center"/>
          </w:tcPr>
          <w:p w14:paraId="444D30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CON→SCOS</w:t>
            </w:r>
          </w:p>
        </w:tc>
        <w:tc>
          <w:tcPr>
            <w:tcW w:w="1237" w:type="dxa"/>
            <w:vAlign w:val="center"/>
          </w:tcPr>
          <w:p w14:paraId="33C29A2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采购合同</w:t>
            </w:r>
          </w:p>
        </w:tc>
        <w:tc>
          <w:tcPr>
            <w:tcW w:w="1155" w:type="dxa"/>
            <w:vAlign w:val="center"/>
          </w:tcPr>
          <w:p w14:paraId="6ECEF65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49909B5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1153" w:type="dxa"/>
            <w:vAlign w:val="center"/>
          </w:tcPr>
          <w:p w14:paraId="40901D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合同生效或变更后</w:t>
            </w:r>
          </w:p>
        </w:tc>
        <w:tc>
          <w:tcPr>
            <w:tcW w:w="2985" w:type="dxa"/>
            <w:vAlign w:val="center"/>
          </w:tcPr>
          <w:p w14:paraId="7C83FCA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接收采购合同、供应商、物料、数量、有效期和交付约定，支撑采购优化及要货条件校验。</w:t>
            </w:r>
          </w:p>
        </w:tc>
      </w:tr>
      <w:tr w14:paraId="26660094">
        <w:trPr>
          <w:cantSplit/>
          <w:trHeight w:val="400" w:hRule="atLeast"/>
        </w:trPr>
        <w:tc>
          <w:tcPr>
            <w:tcW w:w="1576" w:type="dxa"/>
            <w:vAlign w:val="center"/>
          </w:tcPr>
          <w:p w14:paraId="0050C86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SCOS-CON-002</w:t>
            </w:r>
          </w:p>
        </w:tc>
        <w:tc>
          <w:tcPr>
            <w:tcW w:w="1238" w:type="dxa"/>
            <w:vAlign w:val="center"/>
          </w:tcPr>
          <w:p w14:paraId="43C047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CON→SCOS</w:t>
            </w:r>
          </w:p>
        </w:tc>
        <w:tc>
          <w:tcPr>
            <w:tcW w:w="1237" w:type="dxa"/>
            <w:vAlign w:val="center"/>
          </w:tcPr>
          <w:p w14:paraId="404350B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销售合同</w:t>
            </w:r>
          </w:p>
        </w:tc>
        <w:tc>
          <w:tcPr>
            <w:tcW w:w="1155" w:type="dxa"/>
            <w:vAlign w:val="center"/>
          </w:tcPr>
          <w:p w14:paraId="56874E3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52B7DAB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1153" w:type="dxa"/>
            <w:vAlign w:val="center"/>
          </w:tcPr>
          <w:p w14:paraId="6EBB8A2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合同生效或变更后</w:t>
            </w:r>
          </w:p>
        </w:tc>
        <w:tc>
          <w:tcPr>
            <w:tcW w:w="2985" w:type="dxa"/>
            <w:vAlign w:val="center"/>
          </w:tcPr>
          <w:p w14:paraId="53D9829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接收销售合同及客户交付约定，补充需求优先级、履约约束和驾驶舱合同分析口径。</w:t>
            </w:r>
          </w:p>
        </w:tc>
      </w:tr>
      <w:tr w14:paraId="3C5BD366">
        <w:trPr>
          <w:cantSplit/>
          <w:trHeight w:val="400" w:hRule="atLeast"/>
        </w:trPr>
        <w:tc>
          <w:tcPr>
            <w:tcW w:w="1576" w:type="dxa"/>
            <w:vAlign w:val="center"/>
          </w:tcPr>
          <w:p w14:paraId="648D204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SCOS-SAP-001</w:t>
            </w:r>
          </w:p>
        </w:tc>
        <w:tc>
          <w:tcPr>
            <w:tcW w:w="1238" w:type="dxa"/>
            <w:vAlign w:val="center"/>
          </w:tcPr>
          <w:p w14:paraId="6AC85B0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SAP→SCOS</w:t>
            </w:r>
          </w:p>
        </w:tc>
        <w:tc>
          <w:tcPr>
            <w:tcW w:w="1237" w:type="dxa"/>
            <w:vAlign w:val="center"/>
          </w:tcPr>
          <w:p w14:paraId="7C7D0D0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主数据</w:t>
            </w:r>
          </w:p>
        </w:tc>
        <w:tc>
          <w:tcPr>
            <w:tcW w:w="1155" w:type="dxa"/>
            <w:vAlign w:val="center"/>
          </w:tcPr>
          <w:p w14:paraId="2964D1A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413991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批量推送+补偿拉取</w:t>
            </w:r>
          </w:p>
        </w:tc>
        <w:tc>
          <w:tcPr>
            <w:tcW w:w="1153" w:type="dxa"/>
            <w:vAlign w:val="center"/>
          </w:tcPr>
          <w:p w14:paraId="4A6120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每日T+1</w:t>
            </w:r>
          </w:p>
        </w:tc>
        <w:tc>
          <w:tcPr>
            <w:tcW w:w="2985" w:type="dxa"/>
            <w:vAlign w:val="center"/>
          </w:tcPr>
          <w:p w14:paraId="79DD2B7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接收物料、供应商、客户、组织、仓库、储罐和设备等主数据，统一SCOS编码和业务范围。</w:t>
            </w:r>
          </w:p>
        </w:tc>
      </w:tr>
      <w:tr w14:paraId="44D365DE">
        <w:trPr>
          <w:cantSplit/>
          <w:trHeight w:val="400" w:hRule="atLeast"/>
        </w:trPr>
        <w:tc>
          <w:tcPr>
            <w:tcW w:w="1576" w:type="dxa"/>
            <w:vAlign w:val="center"/>
          </w:tcPr>
          <w:p w14:paraId="15FE818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SCOS-SAP-002</w:t>
            </w:r>
          </w:p>
        </w:tc>
        <w:tc>
          <w:tcPr>
            <w:tcW w:w="1238" w:type="dxa"/>
            <w:vAlign w:val="center"/>
          </w:tcPr>
          <w:p w14:paraId="452E2F0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SAP→SCOS</w:t>
            </w:r>
          </w:p>
        </w:tc>
        <w:tc>
          <w:tcPr>
            <w:tcW w:w="1237" w:type="dxa"/>
            <w:vAlign w:val="center"/>
          </w:tcPr>
          <w:p w14:paraId="5AA1AFA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业务数据</w:t>
            </w:r>
          </w:p>
        </w:tc>
        <w:tc>
          <w:tcPr>
            <w:tcW w:w="1155" w:type="dxa"/>
            <w:vAlign w:val="center"/>
          </w:tcPr>
          <w:p w14:paraId="1E5CD8C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1BB997C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推送+定时拉取</w:t>
            </w:r>
          </w:p>
        </w:tc>
        <w:tc>
          <w:tcPr>
            <w:tcW w:w="1153" w:type="dxa"/>
            <w:vAlign w:val="center"/>
          </w:tcPr>
          <w:p w14:paraId="2F5A8BF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事件触发+每日补偿</w:t>
            </w:r>
          </w:p>
        </w:tc>
        <w:tc>
          <w:tcPr>
            <w:tcW w:w="2985" w:type="dxa"/>
            <w:vAlign w:val="center"/>
          </w:tcPr>
          <w:p w14:paraId="421882F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接收订单、交易、价格、BOM、未结采购/生产订单、库存、在途、费用池、应收应付和折旧等数据，支撑六大模块计算与对账。</w:t>
            </w:r>
          </w:p>
        </w:tc>
      </w:tr>
      <w:tr w14:paraId="10ABD574">
        <w:trPr>
          <w:cantSplit/>
          <w:trHeight w:val="400" w:hRule="atLeast"/>
        </w:trPr>
        <w:tc>
          <w:tcPr>
            <w:tcW w:w="1576" w:type="dxa"/>
            <w:vAlign w:val="center"/>
          </w:tcPr>
          <w:p w14:paraId="0047D6D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SCOS-WMS-001</w:t>
            </w:r>
          </w:p>
        </w:tc>
        <w:tc>
          <w:tcPr>
            <w:tcW w:w="1238" w:type="dxa"/>
            <w:vAlign w:val="center"/>
          </w:tcPr>
          <w:p w14:paraId="5782258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2F0E72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原辅包在库量</w:t>
            </w:r>
          </w:p>
        </w:tc>
        <w:tc>
          <w:tcPr>
            <w:tcW w:w="1155" w:type="dxa"/>
            <w:vAlign w:val="center"/>
          </w:tcPr>
          <w:p w14:paraId="2A1A90E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2CCE1F5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154B116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库存变动后</w:t>
            </w:r>
          </w:p>
        </w:tc>
        <w:tc>
          <w:tcPr>
            <w:tcW w:w="2985" w:type="dxa"/>
            <w:vAlign w:val="center"/>
          </w:tcPr>
          <w:p w14:paraId="2F54C03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接收原料、辅料和包材的可用库存、锁定量及库位状态，支撑欠料分析、采购优化和要货计划。</w:t>
            </w:r>
          </w:p>
        </w:tc>
      </w:tr>
      <w:tr w14:paraId="2B95B3E9">
        <w:trPr>
          <w:cantSplit/>
          <w:trHeight w:val="400" w:hRule="atLeast"/>
        </w:trPr>
        <w:tc>
          <w:tcPr>
            <w:tcW w:w="1576" w:type="dxa"/>
            <w:vAlign w:val="center"/>
          </w:tcPr>
          <w:p w14:paraId="34EA23D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SCOS-WMS-002</w:t>
            </w:r>
          </w:p>
        </w:tc>
        <w:tc>
          <w:tcPr>
            <w:tcW w:w="1238" w:type="dxa"/>
            <w:vAlign w:val="center"/>
          </w:tcPr>
          <w:p w14:paraId="7F6F4F1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1538EFD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成品库存水位</w:t>
            </w:r>
          </w:p>
        </w:tc>
        <w:tc>
          <w:tcPr>
            <w:tcW w:w="1155" w:type="dxa"/>
            <w:vAlign w:val="center"/>
          </w:tcPr>
          <w:p w14:paraId="6FD31A1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38A961F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34AE09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库存变动后</w:t>
            </w:r>
          </w:p>
        </w:tc>
        <w:tc>
          <w:tcPr>
            <w:tcW w:w="2985" w:type="dxa"/>
            <w:vAlign w:val="center"/>
          </w:tcPr>
          <w:p w14:paraId="010529C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接收成品现存量、可用量和库龄状态，支撑库存投影、风险预警和库存健康度评价。</w:t>
            </w:r>
          </w:p>
        </w:tc>
      </w:tr>
      <w:tr w14:paraId="6A1CF1A4">
        <w:trPr>
          <w:cantSplit/>
          <w:trHeight w:val="400" w:hRule="atLeast"/>
        </w:trPr>
        <w:tc>
          <w:tcPr>
            <w:tcW w:w="1576" w:type="dxa"/>
            <w:vAlign w:val="center"/>
          </w:tcPr>
          <w:p w14:paraId="7831D3E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SCOS-WMS-003</w:t>
            </w:r>
          </w:p>
        </w:tc>
        <w:tc>
          <w:tcPr>
            <w:tcW w:w="1238" w:type="dxa"/>
            <w:vAlign w:val="center"/>
          </w:tcPr>
          <w:p w14:paraId="408FD74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5184BDE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入库原料批次</w:t>
            </w:r>
          </w:p>
        </w:tc>
        <w:tc>
          <w:tcPr>
            <w:tcW w:w="1155" w:type="dxa"/>
            <w:vAlign w:val="center"/>
          </w:tcPr>
          <w:p w14:paraId="2EF6013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7A811F8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4E0CC7B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入库确认后</w:t>
            </w:r>
          </w:p>
        </w:tc>
        <w:tc>
          <w:tcPr>
            <w:tcW w:w="2985" w:type="dxa"/>
            <w:vAlign w:val="center"/>
          </w:tcPr>
          <w:p w14:paraId="5B65A8E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接收入库批次、物料、数量、时间和库位信息，建立原料批次与成本归集的追溯入口。</w:t>
            </w:r>
          </w:p>
        </w:tc>
      </w:tr>
      <w:tr w14:paraId="61862A81">
        <w:trPr>
          <w:cantSplit/>
          <w:trHeight w:val="400" w:hRule="atLeast"/>
        </w:trPr>
        <w:tc>
          <w:tcPr>
            <w:tcW w:w="1576" w:type="dxa"/>
            <w:vAlign w:val="center"/>
          </w:tcPr>
          <w:p w14:paraId="1F84E76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SCOS-WMS-004</w:t>
            </w:r>
          </w:p>
        </w:tc>
        <w:tc>
          <w:tcPr>
            <w:tcW w:w="1238" w:type="dxa"/>
            <w:vAlign w:val="center"/>
          </w:tcPr>
          <w:p w14:paraId="1C4BC7C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2DA37BC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在途库存</w:t>
            </w:r>
          </w:p>
        </w:tc>
        <w:tc>
          <w:tcPr>
            <w:tcW w:w="1155" w:type="dxa"/>
            <w:vAlign w:val="center"/>
          </w:tcPr>
          <w:p w14:paraId="5452D73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0A54488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562F9CA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状态变更后</w:t>
            </w:r>
          </w:p>
        </w:tc>
        <w:tc>
          <w:tcPr>
            <w:tcW w:w="2985" w:type="dxa"/>
            <w:vAlign w:val="center"/>
          </w:tcPr>
          <w:p w14:paraId="4F262A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接收运输中、生产中及待入库数量和预计到达时间，用于库存优化、要货缺口计算和供应风险判断。</w:t>
            </w:r>
          </w:p>
        </w:tc>
      </w:tr>
      <w:tr w14:paraId="5A1468D8">
        <w:trPr>
          <w:cantSplit/>
          <w:trHeight w:val="400" w:hRule="atLeast"/>
        </w:trPr>
        <w:tc>
          <w:tcPr>
            <w:tcW w:w="1576" w:type="dxa"/>
            <w:vAlign w:val="center"/>
          </w:tcPr>
          <w:p w14:paraId="57EACFF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SCOS-TMS-001</w:t>
            </w:r>
          </w:p>
        </w:tc>
        <w:tc>
          <w:tcPr>
            <w:tcW w:w="1238" w:type="dxa"/>
            <w:vAlign w:val="center"/>
          </w:tcPr>
          <w:p w14:paraId="084672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1237" w:type="dxa"/>
            <w:vAlign w:val="center"/>
          </w:tcPr>
          <w:p w14:paraId="3E00D4C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原料入场车次批次表</w:t>
            </w:r>
          </w:p>
        </w:tc>
        <w:tc>
          <w:tcPr>
            <w:tcW w:w="1155" w:type="dxa"/>
            <w:vAlign w:val="center"/>
          </w:tcPr>
          <w:p w14:paraId="11DB418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463557F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06C062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车辆入场后</w:t>
            </w:r>
          </w:p>
        </w:tc>
        <w:tc>
          <w:tcPr>
            <w:tcW w:w="2985" w:type="dxa"/>
            <w:vAlign w:val="center"/>
          </w:tcPr>
          <w:p w14:paraId="45243FA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接收原料入场车次、供应商、物料、批次和时间，关联入厂物流与后续生产批次。</w:t>
            </w:r>
          </w:p>
        </w:tc>
      </w:tr>
      <w:tr w14:paraId="17C39575">
        <w:trPr>
          <w:cantSplit/>
          <w:trHeight w:val="400" w:hRule="atLeast"/>
        </w:trPr>
        <w:tc>
          <w:tcPr>
            <w:tcW w:w="1576" w:type="dxa"/>
            <w:vAlign w:val="center"/>
          </w:tcPr>
          <w:p w14:paraId="65859E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SCOS-TMS-002</w:t>
            </w:r>
          </w:p>
        </w:tc>
        <w:tc>
          <w:tcPr>
            <w:tcW w:w="1238" w:type="dxa"/>
            <w:vAlign w:val="center"/>
          </w:tcPr>
          <w:p w14:paraId="529284C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1237" w:type="dxa"/>
            <w:vAlign w:val="center"/>
          </w:tcPr>
          <w:p w14:paraId="79D60F1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成品出厂批次表</w:t>
            </w:r>
          </w:p>
        </w:tc>
        <w:tc>
          <w:tcPr>
            <w:tcW w:w="1155" w:type="dxa"/>
            <w:vAlign w:val="center"/>
          </w:tcPr>
          <w:p w14:paraId="4129A44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1CDB51E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17E95D6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车辆出厂后</w:t>
            </w:r>
          </w:p>
        </w:tc>
        <w:tc>
          <w:tcPr>
            <w:tcW w:w="2985" w:type="dxa"/>
            <w:vAlign w:val="center"/>
          </w:tcPr>
          <w:p w14:paraId="4E5910D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接收成品出厂车次、销售交付及批次信息，关联销售履约和销售订单成本。</w:t>
            </w:r>
          </w:p>
        </w:tc>
      </w:tr>
      <w:tr w14:paraId="359B070F">
        <w:trPr>
          <w:cantSplit/>
          <w:trHeight w:val="400" w:hRule="atLeast"/>
        </w:trPr>
        <w:tc>
          <w:tcPr>
            <w:tcW w:w="1576" w:type="dxa"/>
            <w:vAlign w:val="center"/>
          </w:tcPr>
          <w:p w14:paraId="3F2F726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SCOS-TMS-003</w:t>
            </w:r>
          </w:p>
        </w:tc>
        <w:tc>
          <w:tcPr>
            <w:tcW w:w="1238" w:type="dxa"/>
            <w:vAlign w:val="center"/>
          </w:tcPr>
          <w:p w14:paraId="2D7A04B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1237" w:type="dxa"/>
            <w:vAlign w:val="center"/>
          </w:tcPr>
          <w:p w14:paraId="43A7A13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物流信息表</w:t>
            </w:r>
          </w:p>
        </w:tc>
        <w:tc>
          <w:tcPr>
            <w:tcW w:w="1155" w:type="dxa"/>
            <w:vAlign w:val="center"/>
          </w:tcPr>
          <w:p w14:paraId="544462E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261C261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事件推送+定时补偿</w:t>
            </w:r>
          </w:p>
        </w:tc>
        <w:tc>
          <w:tcPr>
            <w:tcW w:w="1153" w:type="dxa"/>
            <w:vAlign w:val="center"/>
          </w:tcPr>
          <w:p w14:paraId="3995B8D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运输状态变更后</w:t>
            </w:r>
          </w:p>
        </w:tc>
        <w:tc>
          <w:tcPr>
            <w:tcW w:w="2985" w:type="dxa"/>
            <w:vAlign w:val="center"/>
          </w:tcPr>
          <w:p w14:paraId="49F15F4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接收车辆、承运、在途状态和预计到达时间，支撑要货计划滚动调整与异常协调。</w:t>
            </w:r>
          </w:p>
        </w:tc>
      </w:tr>
      <w:tr w14:paraId="5371C8C0">
        <w:trPr>
          <w:cantSplit/>
          <w:trHeight w:val="400" w:hRule="atLeast"/>
        </w:trPr>
        <w:tc>
          <w:tcPr>
            <w:tcW w:w="1576" w:type="dxa"/>
            <w:vAlign w:val="center"/>
          </w:tcPr>
          <w:p w14:paraId="0D299AC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SCOS-MES-001</w:t>
            </w:r>
          </w:p>
        </w:tc>
        <w:tc>
          <w:tcPr>
            <w:tcW w:w="1238" w:type="dxa"/>
            <w:vAlign w:val="center"/>
          </w:tcPr>
          <w:p w14:paraId="1114228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1237" w:type="dxa"/>
            <w:vAlign w:val="center"/>
          </w:tcPr>
          <w:p w14:paraId="4319DAE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生产进度报工表</w:t>
            </w:r>
          </w:p>
        </w:tc>
        <w:tc>
          <w:tcPr>
            <w:tcW w:w="1155" w:type="dxa"/>
            <w:vAlign w:val="center"/>
          </w:tcPr>
          <w:p w14:paraId="189C3A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02750B1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611E346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报工完成后</w:t>
            </w:r>
          </w:p>
        </w:tc>
        <w:tc>
          <w:tcPr>
            <w:tcW w:w="2985" w:type="dxa"/>
            <w:vAlign w:val="center"/>
          </w:tcPr>
          <w:p w14:paraId="62F6211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接收生产订单、工序、完成量和报工时间，更新库存投影并反馈计划执行状态。</w:t>
            </w:r>
          </w:p>
        </w:tc>
      </w:tr>
      <w:tr w14:paraId="0CB9653B">
        <w:trPr>
          <w:cantSplit/>
          <w:trHeight w:val="400" w:hRule="atLeast"/>
        </w:trPr>
        <w:tc>
          <w:tcPr>
            <w:tcW w:w="1576" w:type="dxa"/>
            <w:vAlign w:val="center"/>
          </w:tcPr>
          <w:p w14:paraId="4BF9F18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SCOS-MES-002</w:t>
            </w:r>
          </w:p>
        </w:tc>
        <w:tc>
          <w:tcPr>
            <w:tcW w:w="1238" w:type="dxa"/>
            <w:vAlign w:val="center"/>
          </w:tcPr>
          <w:p w14:paraId="3E000A5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1237" w:type="dxa"/>
            <w:vAlign w:val="center"/>
          </w:tcPr>
          <w:p w14:paraId="0340157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生产批次表</w:t>
            </w:r>
          </w:p>
        </w:tc>
        <w:tc>
          <w:tcPr>
            <w:tcW w:w="1155" w:type="dxa"/>
            <w:vAlign w:val="center"/>
          </w:tcPr>
          <w:p w14:paraId="3E07AF8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7464082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416153B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批次创建或完工后</w:t>
            </w:r>
          </w:p>
        </w:tc>
        <w:tc>
          <w:tcPr>
            <w:tcW w:w="2985" w:type="dxa"/>
            <w:vAlign w:val="center"/>
          </w:tcPr>
          <w:p w14:paraId="2BADF25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接收生产批次、订单、物料、产量和时间信息，建立上下游批次关系并支撑成本归集。</w:t>
            </w:r>
          </w:p>
        </w:tc>
      </w:tr>
      <w:tr w14:paraId="3D69E295">
        <w:trPr>
          <w:cantSplit/>
          <w:trHeight w:val="400" w:hRule="atLeast"/>
        </w:trPr>
        <w:tc>
          <w:tcPr>
            <w:tcW w:w="1576" w:type="dxa"/>
            <w:vAlign w:val="center"/>
          </w:tcPr>
          <w:p w14:paraId="650DB51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SCOS-MES-003</w:t>
            </w:r>
          </w:p>
        </w:tc>
        <w:tc>
          <w:tcPr>
            <w:tcW w:w="1238" w:type="dxa"/>
            <w:vAlign w:val="center"/>
          </w:tcPr>
          <w:p w14:paraId="3E653FB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1237" w:type="dxa"/>
            <w:vAlign w:val="center"/>
          </w:tcPr>
          <w:p w14:paraId="33191A3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工艺及原辅料用量成本表</w:t>
            </w:r>
          </w:p>
        </w:tc>
        <w:tc>
          <w:tcPr>
            <w:tcW w:w="1155" w:type="dxa"/>
            <w:vAlign w:val="center"/>
          </w:tcPr>
          <w:p w14:paraId="56CC930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24A9FAC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事件推送+定时补偿</w:t>
            </w:r>
          </w:p>
        </w:tc>
        <w:tc>
          <w:tcPr>
            <w:tcW w:w="1153" w:type="dxa"/>
            <w:vAlign w:val="center"/>
          </w:tcPr>
          <w:p w14:paraId="0DBABCE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工序报工或日结后</w:t>
            </w:r>
          </w:p>
        </w:tc>
        <w:tc>
          <w:tcPr>
            <w:tcW w:w="2985" w:type="dxa"/>
            <w:vAlign w:val="center"/>
          </w:tcPr>
          <w:p w14:paraId="7DBAF2F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接收工艺路线、投入产出、原辅料用量和成本事实，支撑批次成本及生产订单成本计算。</w:t>
            </w:r>
          </w:p>
        </w:tc>
      </w:tr>
      <w:tr w14:paraId="279AC29D">
        <w:trPr>
          <w:cantSplit/>
          <w:trHeight w:val="400" w:hRule="atLeast"/>
        </w:trPr>
        <w:tc>
          <w:tcPr>
            <w:tcW w:w="1576" w:type="dxa"/>
            <w:vAlign w:val="center"/>
          </w:tcPr>
          <w:p w14:paraId="147A8AE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SCOS-DCS-001</w:t>
            </w:r>
          </w:p>
        </w:tc>
        <w:tc>
          <w:tcPr>
            <w:tcW w:w="1238" w:type="dxa"/>
            <w:vAlign w:val="center"/>
          </w:tcPr>
          <w:p w14:paraId="06C5AF9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DCS→SCOS</w:t>
            </w:r>
          </w:p>
        </w:tc>
        <w:tc>
          <w:tcPr>
            <w:tcW w:w="1237" w:type="dxa"/>
            <w:vAlign w:val="center"/>
          </w:tcPr>
          <w:p w14:paraId="4617200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自动化设备数据总表</w:t>
            </w:r>
          </w:p>
        </w:tc>
        <w:tc>
          <w:tcPr>
            <w:tcW w:w="1155" w:type="dxa"/>
            <w:vAlign w:val="center"/>
          </w:tcPr>
          <w:p w14:paraId="7185E42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6611053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实时推送</w:t>
            </w:r>
          </w:p>
        </w:tc>
        <w:tc>
          <w:tcPr>
            <w:tcW w:w="1153" w:type="dxa"/>
            <w:vAlign w:val="center"/>
          </w:tcPr>
          <w:p w14:paraId="52C6A56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实时/分钟级</w:t>
            </w:r>
          </w:p>
        </w:tc>
        <w:tc>
          <w:tcPr>
            <w:tcW w:w="2985" w:type="dxa"/>
            <w:vAlign w:val="center"/>
          </w:tcPr>
          <w:p w14:paraId="01B4127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接收设备运行、计量、能耗和关键过程数据，补充批次边界、产量及成本事实。</w:t>
            </w:r>
          </w:p>
        </w:tc>
      </w:tr>
      <w:tr w14:paraId="3262BCCD">
        <w:trPr>
          <w:cantSplit/>
          <w:trHeight w:val="400" w:hRule="atLeast"/>
        </w:trPr>
        <w:tc>
          <w:tcPr>
            <w:tcW w:w="1576" w:type="dxa"/>
            <w:vAlign w:val="center"/>
          </w:tcPr>
          <w:p w14:paraId="5AC67A7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SCOS-QMS-001</w:t>
            </w:r>
          </w:p>
        </w:tc>
        <w:tc>
          <w:tcPr>
            <w:tcW w:w="1238" w:type="dxa"/>
            <w:vAlign w:val="center"/>
          </w:tcPr>
          <w:p w14:paraId="16E00FF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QMS/LIMS→SCOS</w:t>
            </w:r>
          </w:p>
        </w:tc>
        <w:tc>
          <w:tcPr>
            <w:tcW w:w="1237" w:type="dxa"/>
            <w:vAlign w:val="center"/>
          </w:tcPr>
          <w:p w14:paraId="08512DD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质检结果表</w:t>
            </w:r>
          </w:p>
        </w:tc>
        <w:tc>
          <w:tcPr>
            <w:tcW w:w="1155" w:type="dxa"/>
            <w:vAlign w:val="center"/>
          </w:tcPr>
          <w:p w14:paraId="2CCAA96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6218E51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定时拉取+事件补充</w:t>
            </w:r>
          </w:p>
        </w:tc>
        <w:tc>
          <w:tcPr>
            <w:tcW w:w="1153" w:type="dxa"/>
            <w:vAlign w:val="center"/>
          </w:tcPr>
          <w:p w14:paraId="1DF3A51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批次检验完成后</w:t>
            </w:r>
          </w:p>
        </w:tc>
        <w:tc>
          <w:tcPr>
            <w:tcW w:w="2985" w:type="dxa"/>
            <w:vAlign w:val="center"/>
          </w:tcPr>
          <w:p w14:paraId="5826E96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接收检验批、质量状态和判定结果，用于批次合格量、质量追溯及驾驶舱质量指标。</w:t>
            </w:r>
          </w:p>
        </w:tc>
      </w:tr>
    </w:tbl>
    <w:p w14:paraId="262B24B8">
      <w:pPr>
        <w:pStyle w:val="5"/>
        <w:spacing w:after="120"/>
        <w:jc w:val="both"/>
        <w:rPr>
          <w:rFonts w:ascii="Times New Roman" w:hAnsi="Times New Roman" w:eastAsia="宋体"/>
          <w:sz w:val="18"/>
        </w:rPr>
      </w:pPr>
    </w:p>
    <w:p w14:paraId="141173AC">
      <w:pPr>
        <w:pStyle w:val="5"/>
        <w:numPr>
          <w:ilvl w:val="0"/>
          <w:numId w:val="0"/>
        </w:numPr>
        <w:topLinePunct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【数据下发接口明细】</w:t>
      </w:r>
    </w:p>
    <w:tbl>
      <w:tblPr>
        <w:tblStyle w:val="31"/>
        <w:tblW w:w="10464" w:type="dxa"/>
        <w:tblInd w:w="-1073" w:type="dxa"/>
        <w:tblLayout w:type="fixed"/>
        <w:tblCellMar>
          <w:top w:w="0" w:type="dxa"/>
          <w:left w:w="108" w:type="dxa"/>
          <w:bottom w:w="0" w:type="dxa"/>
          <w:right w:w="108" w:type="dxa"/>
        </w:tblCellMar>
      </w:tblPr>
      <w:tblGrid>
        <w:gridCol w:w="1474"/>
        <w:gridCol w:w="1183"/>
        <w:gridCol w:w="1066"/>
        <w:gridCol w:w="1129"/>
        <w:gridCol w:w="1096"/>
        <w:gridCol w:w="1096"/>
        <w:gridCol w:w="3420"/>
      </w:tblGrid>
      <w:tr w14:paraId="0019F11B">
        <w:trPr>
          <w:cantSplit/>
          <w:trHeight w:val="360" w:hRule="atLeast"/>
          <w:tblHeader/>
        </w:trPr>
        <w:tc>
          <w:tcPr>
            <w:tcW w:w="1474" w:type="dxa"/>
            <w:vAlign w:val="center"/>
          </w:tcPr>
          <w:p w14:paraId="11F3B16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接口编号</w:t>
            </w:r>
          </w:p>
        </w:tc>
        <w:tc>
          <w:tcPr>
            <w:tcW w:w="1183" w:type="dxa"/>
            <w:vAlign w:val="center"/>
          </w:tcPr>
          <w:p w14:paraId="21AA656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数据流向</w:t>
            </w:r>
          </w:p>
        </w:tc>
        <w:tc>
          <w:tcPr>
            <w:tcW w:w="1066" w:type="dxa"/>
            <w:vAlign w:val="center"/>
          </w:tcPr>
          <w:p w14:paraId="5C016CB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下发内容</w:t>
            </w:r>
          </w:p>
        </w:tc>
        <w:tc>
          <w:tcPr>
            <w:tcW w:w="1129" w:type="dxa"/>
            <w:vAlign w:val="center"/>
          </w:tcPr>
          <w:p w14:paraId="78CF5D6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协议方式</w:t>
            </w:r>
          </w:p>
        </w:tc>
        <w:tc>
          <w:tcPr>
            <w:tcW w:w="1096" w:type="dxa"/>
            <w:vAlign w:val="center"/>
          </w:tcPr>
          <w:p w14:paraId="3660C34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通信模式</w:t>
            </w:r>
          </w:p>
        </w:tc>
        <w:tc>
          <w:tcPr>
            <w:tcW w:w="1096" w:type="dxa"/>
            <w:vAlign w:val="center"/>
          </w:tcPr>
          <w:p w14:paraId="186EE17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调用频次</w:t>
            </w:r>
          </w:p>
        </w:tc>
        <w:tc>
          <w:tcPr>
            <w:tcW w:w="3420" w:type="dxa"/>
            <w:vAlign w:val="center"/>
          </w:tcPr>
          <w:p w14:paraId="1884057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用途说明</w:t>
            </w:r>
          </w:p>
        </w:tc>
      </w:tr>
      <w:tr w14:paraId="53FDD3A0">
        <w:trPr>
          <w:cantSplit/>
          <w:trHeight w:val="400" w:hRule="atLeast"/>
        </w:trPr>
        <w:tc>
          <w:tcPr>
            <w:tcW w:w="1474" w:type="dxa"/>
            <w:vAlign w:val="center"/>
          </w:tcPr>
          <w:p w14:paraId="6564F0F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SCOS-CON-003</w:t>
            </w:r>
          </w:p>
        </w:tc>
        <w:tc>
          <w:tcPr>
            <w:tcW w:w="1183" w:type="dxa"/>
            <w:vAlign w:val="center"/>
          </w:tcPr>
          <w:p w14:paraId="3238CC5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w:t>
            </w:r>
          </w:p>
        </w:tc>
        <w:tc>
          <w:tcPr>
            <w:tcW w:w="1066" w:type="dxa"/>
            <w:vAlign w:val="center"/>
          </w:tcPr>
          <w:p w14:paraId="47CE236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原辅包采购需求表</w:t>
            </w:r>
          </w:p>
        </w:tc>
        <w:tc>
          <w:tcPr>
            <w:tcW w:w="1129" w:type="dxa"/>
            <w:vAlign w:val="center"/>
          </w:tcPr>
          <w:p w14:paraId="484A05C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2ECF8F7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5CB4197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采购方案发布后</w:t>
            </w:r>
          </w:p>
        </w:tc>
        <w:tc>
          <w:tcPr>
            <w:tcW w:w="3420" w:type="dxa"/>
            <w:vAlign w:val="center"/>
          </w:tcPr>
          <w:p w14:paraId="0F671DE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下发已确认的原辅包采购需求，供合同系统形成或调整采购合同并反馈执行状态。</w:t>
            </w:r>
          </w:p>
        </w:tc>
      </w:tr>
      <w:tr w14:paraId="0E5BB6FC">
        <w:trPr>
          <w:cantSplit/>
          <w:trHeight w:val="400" w:hRule="atLeast"/>
        </w:trPr>
        <w:tc>
          <w:tcPr>
            <w:tcW w:w="1474" w:type="dxa"/>
            <w:vAlign w:val="center"/>
          </w:tcPr>
          <w:p w14:paraId="70B7B8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SCOS-SAP-003</w:t>
            </w:r>
          </w:p>
        </w:tc>
        <w:tc>
          <w:tcPr>
            <w:tcW w:w="1183" w:type="dxa"/>
            <w:vAlign w:val="center"/>
          </w:tcPr>
          <w:p w14:paraId="45E33B0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w:t>
            </w:r>
          </w:p>
        </w:tc>
        <w:tc>
          <w:tcPr>
            <w:tcW w:w="1066" w:type="dxa"/>
            <w:vAlign w:val="center"/>
          </w:tcPr>
          <w:p w14:paraId="2AB8BDA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w:t>
            </w:r>
          </w:p>
        </w:tc>
        <w:tc>
          <w:tcPr>
            <w:tcW w:w="1129" w:type="dxa"/>
            <w:vAlign w:val="center"/>
          </w:tcPr>
          <w:p w14:paraId="7847A1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1125E58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0D19A47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生产计划发布后</w:t>
            </w:r>
          </w:p>
        </w:tc>
        <w:tc>
          <w:tcPr>
            <w:tcW w:w="3420" w:type="dxa"/>
            <w:vAlign w:val="center"/>
          </w:tcPr>
          <w:p w14:paraId="44D66FF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下发已确认的生产订单建议，驱动SAP创建正式生产订单并返回业务单号。</w:t>
            </w:r>
          </w:p>
        </w:tc>
      </w:tr>
      <w:tr w14:paraId="23C52A97">
        <w:trPr>
          <w:cantSplit/>
          <w:trHeight w:val="400" w:hRule="atLeast"/>
        </w:trPr>
        <w:tc>
          <w:tcPr>
            <w:tcW w:w="1474" w:type="dxa"/>
            <w:vAlign w:val="center"/>
          </w:tcPr>
          <w:p w14:paraId="582FD03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SCOS-SAP-004</w:t>
            </w:r>
          </w:p>
        </w:tc>
        <w:tc>
          <w:tcPr>
            <w:tcW w:w="1183" w:type="dxa"/>
            <w:vAlign w:val="center"/>
          </w:tcPr>
          <w:p w14:paraId="55C2E3D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w:t>
            </w:r>
          </w:p>
        </w:tc>
        <w:tc>
          <w:tcPr>
            <w:tcW w:w="1066" w:type="dxa"/>
            <w:vAlign w:val="center"/>
          </w:tcPr>
          <w:p w14:paraId="1C6096F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要货计划表</w:t>
            </w:r>
          </w:p>
        </w:tc>
        <w:tc>
          <w:tcPr>
            <w:tcW w:w="1129" w:type="dxa"/>
            <w:vAlign w:val="center"/>
          </w:tcPr>
          <w:p w14:paraId="2D5E83A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7B59266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28D8BF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要货计划确认后</w:t>
            </w:r>
          </w:p>
        </w:tc>
        <w:tc>
          <w:tcPr>
            <w:tcW w:w="3420" w:type="dxa"/>
            <w:vAlign w:val="center"/>
          </w:tcPr>
          <w:p w14:paraId="7FF176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下发已确认的要货计划，作为采购执行、供应商协同和到货跟踪的业务依据。</w:t>
            </w:r>
          </w:p>
        </w:tc>
      </w:tr>
      <w:tr w14:paraId="5E1606B1">
        <w:trPr>
          <w:cantSplit/>
          <w:trHeight w:val="400" w:hRule="atLeast"/>
        </w:trPr>
        <w:tc>
          <w:tcPr>
            <w:tcW w:w="1474" w:type="dxa"/>
            <w:vAlign w:val="center"/>
          </w:tcPr>
          <w:p w14:paraId="1A604F8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SCOS-WMS-005</w:t>
            </w:r>
          </w:p>
        </w:tc>
        <w:tc>
          <w:tcPr>
            <w:tcW w:w="1183" w:type="dxa"/>
            <w:vAlign w:val="center"/>
          </w:tcPr>
          <w:p w14:paraId="25DF90C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w:t>
            </w:r>
          </w:p>
        </w:tc>
        <w:tc>
          <w:tcPr>
            <w:tcW w:w="1066" w:type="dxa"/>
            <w:vAlign w:val="center"/>
          </w:tcPr>
          <w:p w14:paraId="38FC274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玉米淀粉日投料需求</w:t>
            </w:r>
          </w:p>
        </w:tc>
        <w:tc>
          <w:tcPr>
            <w:tcW w:w="1129" w:type="dxa"/>
            <w:vAlign w:val="center"/>
          </w:tcPr>
          <w:p w14:paraId="038CAE2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6B8D46E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3BA7D76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每日计划发布或调整后</w:t>
            </w:r>
          </w:p>
        </w:tc>
        <w:tc>
          <w:tcPr>
            <w:tcW w:w="3420" w:type="dxa"/>
            <w:vAlign w:val="center"/>
          </w:tcPr>
          <w:p w14:paraId="4DF996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下发日投料品种、数量和时间要求，驱动仓储备料、投料及执行反馈。</w:t>
            </w:r>
          </w:p>
        </w:tc>
      </w:tr>
      <w:tr w14:paraId="16ECF97C">
        <w:trPr>
          <w:cantSplit/>
          <w:trHeight w:val="400" w:hRule="atLeast"/>
        </w:trPr>
        <w:tc>
          <w:tcPr>
            <w:tcW w:w="1474" w:type="dxa"/>
            <w:vAlign w:val="center"/>
          </w:tcPr>
          <w:p w14:paraId="44D1B58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SCOS-TMS-004</w:t>
            </w:r>
          </w:p>
        </w:tc>
        <w:tc>
          <w:tcPr>
            <w:tcW w:w="1183" w:type="dxa"/>
            <w:vAlign w:val="center"/>
          </w:tcPr>
          <w:p w14:paraId="739DBE0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w:t>
            </w:r>
          </w:p>
        </w:tc>
        <w:tc>
          <w:tcPr>
            <w:tcW w:w="1066" w:type="dxa"/>
            <w:vAlign w:val="center"/>
          </w:tcPr>
          <w:p w14:paraId="2EE4E1D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要货计划表</w:t>
            </w:r>
          </w:p>
        </w:tc>
        <w:tc>
          <w:tcPr>
            <w:tcW w:w="1129" w:type="dxa"/>
            <w:vAlign w:val="center"/>
          </w:tcPr>
          <w:p w14:paraId="42715C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6884B51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2EFAA35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要货计划确认或调整后</w:t>
            </w:r>
          </w:p>
        </w:tc>
        <w:tc>
          <w:tcPr>
            <w:tcW w:w="3420" w:type="dxa"/>
            <w:vAlign w:val="center"/>
          </w:tcPr>
          <w:p w14:paraId="59182A6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下发供应商到厂计划、物料、数量和时间窗，驱动运输计划、车辆调度和到厂反馈。</w:t>
            </w:r>
          </w:p>
        </w:tc>
      </w:tr>
      <w:tr w14:paraId="7CBA203F">
        <w:trPr>
          <w:cantSplit/>
          <w:trHeight w:val="400" w:hRule="atLeast"/>
        </w:trPr>
        <w:tc>
          <w:tcPr>
            <w:tcW w:w="1474" w:type="dxa"/>
            <w:vAlign w:val="center"/>
          </w:tcPr>
          <w:p w14:paraId="7A0B49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SCOS-MES-004</w:t>
            </w:r>
          </w:p>
        </w:tc>
        <w:tc>
          <w:tcPr>
            <w:tcW w:w="1183" w:type="dxa"/>
            <w:vAlign w:val="center"/>
          </w:tcPr>
          <w:p w14:paraId="0741BA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w:t>
            </w:r>
          </w:p>
        </w:tc>
        <w:tc>
          <w:tcPr>
            <w:tcW w:w="1066" w:type="dxa"/>
            <w:vAlign w:val="center"/>
          </w:tcPr>
          <w:p w14:paraId="2D7B24B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w:t>
            </w:r>
          </w:p>
        </w:tc>
        <w:tc>
          <w:tcPr>
            <w:tcW w:w="1129" w:type="dxa"/>
            <w:vAlign w:val="center"/>
          </w:tcPr>
          <w:p w14:paraId="42249ED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097C6AD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06F13D0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生产订单确认后</w:t>
            </w:r>
          </w:p>
        </w:tc>
        <w:tc>
          <w:tcPr>
            <w:tcW w:w="3420" w:type="dxa"/>
            <w:vAlign w:val="center"/>
          </w:tcPr>
          <w:p w14:paraId="022B823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下发生产订单、物料、数量和计划时间，驱动生产组织并回传进度、产量和批次。</w:t>
            </w:r>
          </w:p>
        </w:tc>
      </w:tr>
    </w:tbl>
    <w:p w14:paraId="606EE4CB">
      <w:pPr>
        <w:pStyle w:val="5"/>
        <w:spacing w:after="120"/>
        <w:jc w:val="both"/>
        <w:rPr>
          <w:rFonts w:ascii="Times New Roman" w:hAnsi="Times New Roman" w:eastAsia="宋体"/>
          <w:sz w:val="18"/>
        </w:rPr>
      </w:pPr>
    </w:p>
    <w:p w14:paraId="1C0988AD">
      <w:pPr>
        <w:pStyle w:val="3"/>
        <w:keepNext/>
        <w:rPr>
          <w:rFonts w:hint="eastAsia" w:ascii="黑体" w:hAnsi="黑体" w:eastAsia="黑体" w:cs="黑体"/>
        </w:rPr>
      </w:pPr>
      <w:bookmarkStart w:id="45" w:name="_Toc25033"/>
      <w:bookmarkStart w:id="46" w:name="_Toc2058289044"/>
      <w:bookmarkStart w:id="47" w:name="_SCOS数据实体与字段映射表"/>
      <w:r>
        <w:rPr>
          <w:rFonts w:hint="eastAsia" w:ascii="黑体" w:hAnsi="黑体" w:eastAsia="黑体" w:cs="黑体"/>
          <w:lang w:val="en-US" w:eastAsia="zh-CN"/>
        </w:rPr>
        <w:t>SCOS</w:t>
      </w:r>
      <w:r>
        <w:rPr>
          <w:rFonts w:hint="eastAsia" w:ascii="黑体" w:hAnsi="黑体" w:eastAsia="黑体" w:cs="黑体"/>
        </w:rPr>
        <w:t>数据实体与字段映射表</w:t>
      </w:r>
      <w:bookmarkEnd w:id="45"/>
      <w:bookmarkEnd w:id="46"/>
    </w:p>
    <w:bookmarkEnd w:id="47"/>
    <w:p w14:paraId="0AF72F97">
      <w:pPr>
        <w:spacing w:before="0" w:after="160" w:line="240" w:lineRule="auto"/>
        <w:ind w:firstLine="420" w:firstLineChars="0"/>
        <w:jc w:val="both"/>
        <w:rPr>
          <w:rFonts w:hint="eastAsia" w:ascii="宋体" w:hAnsi="宋体" w:eastAsia="宋体" w:cs="宋体"/>
          <w:sz w:val="21"/>
          <w:szCs w:val="21"/>
        </w:rPr>
      </w:pPr>
      <w:r>
        <w:rPr>
          <w:rFonts w:hint="eastAsia" w:ascii="宋体" w:hAnsi="宋体" w:eastAsia="宋体" w:cs="宋体"/>
          <w:b w:val="0"/>
          <w:sz w:val="21"/>
          <w:szCs w:val="21"/>
        </w:rPr>
        <w:t>本节按当前关键业务流程定义SCOS逻辑数据实体及字段映射，覆盖库存优化、采购优化、要货计划、成本分摊和供应链驾驶舱。来源字段名标注“建议：”的内容为字段级接口对齐前的候选逻辑字段，正式设计时应替换为经源系统确认的物理字段。</w:t>
      </w:r>
    </w:p>
    <w:p w14:paraId="67FE2584">
      <w:pPr>
        <w:pStyle w:val="4"/>
        <w:bidi w:val="0"/>
        <w:rPr>
          <w:rFonts w:hint="eastAsia" w:ascii="黑体" w:hAnsi="黑体" w:eastAsia="黑体" w:cs="黑体"/>
        </w:rPr>
      </w:pPr>
      <w:bookmarkStart w:id="48" w:name="_Toc1997376632"/>
      <w:r>
        <w:rPr>
          <w:rFonts w:hint="eastAsia" w:ascii="黑体" w:hAnsi="黑体" w:eastAsia="黑体" w:cs="黑体"/>
        </w:rPr>
        <w:t>库存优化</w:t>
      </w:r>
      <w:bookmarkEnd w:id="48"/>
    </w:p>
    <w:p w14:paraId="175ED639">
      <w:pPr>
        <w:pStyle w:val="6"/>
        <w:bidi w:val="0"/>
      </w:pPr>
      <w:r>
        <w:t>库存策略版本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F0921E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67EB6F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1E7DF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C2B5B1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F59001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6B25F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565806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98175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B652B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82E78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C12ABC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59CD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AA9A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D28E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E07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23D4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C58E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STGY+日期+流水号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5D45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631D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421D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D7382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B694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0FC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53C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6090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124A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CAB4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329C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B905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D209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A0ACD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471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268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70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AD11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C34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814F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11C9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EAB2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3AD4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E9905B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165A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策略月份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E55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Strategy_Month</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CB4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74B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5D99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356D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B0FD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3AE4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350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标识策略适用月份</w:t>
            </w:r>
          </w:p>
        </w:tc>
      </w:tr>
      <w:tr w14:paraId="580726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F10B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服务水平目标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6A1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Service_Level_Target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480C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90DF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6E78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4F51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93A4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98E4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A145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按成品和月份取已发布目标</w:t>
            </w:r>
          </w:p>
        </w:tc>
      </w:tr>
      <w:tr w14:paraId="684FB9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01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安全库存量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F9D9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Safety_Stock_Qty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6158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103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E8A8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256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6EE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C940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55A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按统一基本计量单位记录</w:t>
            </w:r>
          </w:p>
        </w:tc>
      </w:tr>
      <w:tr w14:paraId="0665F5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797D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再订货点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CD71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Reorder_Point_Qty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C11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46D8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20D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1C5E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D82B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D2A4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2AFB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按需求与补充周期派生</w:t>
            </w:r>
          </w:p>
        </w:tc>
      </w:tr>
      <w:tr w14:paraId="5FB637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3E1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目标库存量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5F0F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Target_Stock_Qty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3ADB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A978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437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7D9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大于等于安全库存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4D7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1EF7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1ABD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作为补货上限口径</w:t>
            </w:r>
          </w:p>
        </w:tc>
      </w:tr>
      <w:tr w14:paraId="7D7223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9F3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月度总补充量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8EB12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Monthly_Replenish_Qty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E0E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A58A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F81F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DD09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4985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C494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134A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扣除有效库存和计划入库后形成</w:t>
            </w:r>
          </w:p>
        </w:tc>
      </w:tr>
      <w:tr w14:paraId="47F3F0F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B08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建议入库节奏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10A1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Suggested_Receipt_Pattern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062F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5720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A32D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CCD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分日/分周说明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A4E2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072C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3945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记录建议到货或入库节奏</w:t>
            </w:r>
          </w:p>
        </w:tc>
      </w:tr>
      <w:tr w14:paraId="6F7D933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AF2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344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7AD8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DB6F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4CAF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581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2630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94D4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F915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关联本次计算使用的数据快照</w:t>
            </w:r>
          </w:p>
        </w:tc>
      </w:tr>
      <w:tr w14:paraId="623D6E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9FA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114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Parameter_Version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C6C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52BC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003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E9A8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A1B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59AC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参数集版本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0B9A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记录计算所用参数版本</w:t>
            </w:r>
          </w:p>
        </w:tc>
      </w:tr>
      <w:tr w14:paraId="5A1F0F7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357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135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861C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56D2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0E19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1AF2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DD63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7ECE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7140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取最终审批通过人</w:t>
            </w:r>
          </w:p>
        </w:tc>
      </w:tr>
      <w:tr w14:paraId="5D86BC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8192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98F1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2CE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290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203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C932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7B60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9F3C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DF942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记录正式生效时间</w:t>
            </w:r>
          </w:p>
        </w:tc>
      </w:tr>
      <w:tr w14:paraId="7F997C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A1AB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AB9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1EC2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829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D5E4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9C88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822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0013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A230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8A3F9A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4311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E5C7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FE09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1642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ACD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E87E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5B8F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8065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FF59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741CB1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531F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0230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ACD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2AD0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D92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AA5C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07D5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A70F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9E82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35184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EE4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530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10C3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9E02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9ECA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B30A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6BF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36F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4B37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10D1BC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2AE7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721F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C8CF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FF9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033F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4413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6D97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E693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9746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5664C3A">
      <w:pPr>
        <w:pStyle w:val="6"/>
        <w:bidi w:val="0"/>
      </w:pPr>
      <w:r>
        <w:t>库存计算输入快照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3A26E4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3C42E2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87011A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F3A20A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F2D6CB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B062F6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55B8AF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2E043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2B406C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068455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1A712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3ED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E9C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STKSNP_Id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4E87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135F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15F5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255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STKSNP+日期+流水号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7CC1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C4C2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763B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F84822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584E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2F9B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7E64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ED6A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020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802C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EEBC5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89BA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7BD6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70B68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C8C8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5FAA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69B6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C62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C1D1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AA9B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E27B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025D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E7AF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冻结本次计算的数据时点</w:t>
            </w:r>
          </w:p>
        </w:tc>
      </w:tr>
      <w:tr w14:paraId="604C0F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81D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AC4C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CEFD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F231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1925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19A9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FC8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E53C2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CB95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1AD94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0932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CF3B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A46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688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A071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9D6C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CBA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CRM/SAP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1423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建议：Planned_Demand_Qty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F9BB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汇总已发布计划与明确订单需求</w:t>
            </w:r>
          </w:p>
        </w:tc>
      </w:tr>
      <w:tr w14:paraId="5F9D049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0D3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可用库存量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57BC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F8B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A05A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53FD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1CE6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可为0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85E6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EB6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26F6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合格库存扣除已分配、冻结和待检数量</w:t>
            </w:r>
          </w:p>
        </w:tc>
      </w:tr>
      <w:tr w14:paraId="201785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D4E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已锁定补充量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FC5B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BD3E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26C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9387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C2B4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F7BA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3DE4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关联计划字段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69A6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汇总锁定期内已确认补充量</w:t>
            </w:r>
          </w:p>
        </w:tc>
      </w:tr>
      <w:tr w14:paraId="6C9BD93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D9EE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已排程未完工量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DFA9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Scheduled_Wip_Qty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C11B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18F7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33CB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6103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C43E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8A92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建议：Scheduled_Open_Qty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7766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汇总已排程且未完工数量</w:t>
            </w:r>
          </w:p>
        </w:tc>
      </w:tr>
      <w:tr w14:paraId="5BA1C6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605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有效在途量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86C88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Valid_Intransit_Qty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CCB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9C35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34D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D12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已发运且未收货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8EEB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E173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建议：Valid_Intransit_Qty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AC95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仅计入状态有效且预计可用的在途</w:t>
            </w:r>
          </w:p>
        </w:tc>
      </w:tr>
      <w:tr w14:paraId="3127DAC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3749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生产补充周期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AD4E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Replenish_Lead_Days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9AA4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CEF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7EB8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85DC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天数，大于0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6FE8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8AE7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建议：Replenish_Lead_Days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4CFD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按有效工艺与排程口径取值</w:t>
            </w:r>
          </w:p>
        </w:tc>
      </w:tr>
      <w:tr w14:paraId="32011C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234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储罐有效容量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9697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Effective_Tank_Capacity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1F26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566C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8CD1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A0B9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34DB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60C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建议：Effective_Capacity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6B4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按成品储罐兼容关系汇总可用容量</w:t>
            </w:r>
          </w:p>
        </w:tc>
      </w:tr>
      <w:tr w14:paraId="2936B9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8E82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5545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237E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E84B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F3C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D8B8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合格/待检/冻结/不合格</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D52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C793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0D2C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统一转换为SCOS质量状态</w:t>
            </w:r>
          </w:p>
        </w:tc>
      </w:tr>
      <w:tr w14:paraId="4BF892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6EA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05F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C207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ABFC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7174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1BC2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正常/缺失/过期/冲突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A6E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5064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F073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记录计算前数据质量校验结果</w:t>
            </w:r>
          </w:p>
        </w:tc>
      </w:tr>
      <w:tr w14:paraId="262C88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C68C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53A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6E9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BAA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198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E6DA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0390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CD83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0A7F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69E14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91F8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151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203D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899E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67A4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DDEF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612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3706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3F93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878BB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2E78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3E8C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9F56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AF4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F731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738B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64B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736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616E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FAC5B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F1D6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E1D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EB6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8DCA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EF3C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3B45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34BA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4AC2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B435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E6BC4D7">
      <w:pPr>
        <w:pStyle w:val="6"/>
        <w:bidi w:val="0"/>
      </w:pPr>
      <w:r>
        <w:t>周度生产补货计划</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3A91B5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A6F79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B150F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6E6A34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5B5AA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97CC4D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D24E83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6CD61C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4E0B5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8AD1F6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E4BF0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F6A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周度生产补货计划编号★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01DA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WRPL_Id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769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9798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4D2C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C15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WRPL+日期+流水号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43FD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D610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1EE8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93F95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313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0522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33A2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816B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FDD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E139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9512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75B4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94F0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6436F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23AB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D2AE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C71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6B35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042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31D5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7CF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88AA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88C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关联当月有效库存策略</w:t>
            </w:r>
          </w:p>
        </w:tc>
      </w:tr>
      <w:tr w14:paraId="6BCDC3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4B6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C06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817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53B7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6E7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F2C1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AA15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6E29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DE6C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4B664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3B3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周起始日期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91B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Week_Start_Date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35D8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E54A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28A8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6D6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周六</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948B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9C79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45FA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周界统一为周六至下周五</w:t>
            </w:r>
          </w:p>
        </w:tc>
      </w:tr>
      <w:tr w14:paraId="4E3E34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6E0E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F490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Week_End_Date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9D2F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7AC6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F6DE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2889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周五</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388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A995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717F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由周起始日期派生</w:t>
            </w:r>
          </w:p>
        </w:tc>
      </w:tr>
      <w:tr w14:paraId="48E14E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578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A5B6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96D8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66F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D05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5B45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71B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9BB4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BF5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汇总日度补充量形成周建议</w:t>
            </w:r>
          </w:p>
        </w:tc>
      </w:tr>
      <w:tr w14:paraId="3E9F08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3C48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EF89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F93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A63D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D0BB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E432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89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F97C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78F7D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第1周确认后锁定，后续周可滚动</w:t>
            </w:r>
          </w:p>
        </w:tc>
      </w:tr>
      <w:tr w14:paraId="5F728B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A044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B4A7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CBB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0EA4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1C9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702F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837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83E3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7D4A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标识计划明细是否允许自动调整</w:t>
            </w:r>
          </w:p>
        </w:tc>
      </w:tr>
      <w:tr w14:paraId="4DC46C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EB4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预计可用入库日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CB1D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Expected_Available_Date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2A6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5CD2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FB7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6D35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A1A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F45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建议：Expected_Available_Date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97D1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结合排程承接意见确定</w:t>
            </w:r>
          </w:p>
        </w:tc>
      </w:tr>
      <w:tr w14:paraId="302492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145D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生产排程承接状态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3D1D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Schedule_Accept_Status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5051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3754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EA0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7473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待确认/已承接/部分承接/不承接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25B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B5C3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5D6D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记录生产侧承接结论</w:t>
            </w:r>
          </w:p>
        </w:tc>
      </w:tr>
      <w:tr w14:paraId="13CC8A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55D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容量风险标识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B27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Capacity_Risk_Flag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9E0C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F2C5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3421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D118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B34F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A3A4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165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超过有效容量时标记</w:t>
            </w:r>
          </w:p>
        </w:tc>
      </w:tr>
      <w:tr w14:paraId="0E6626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89B9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AFF4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9D05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4E93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E9C7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5A56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18D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D057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8293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记录正式发布时点</w:t>
            </w:r>
          </w:p>
        </w:tc>
      </w:tr>
      <w:tr w14:paraId="1B999B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DFEA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09CD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553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B995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663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1868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C10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8FA3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FDCE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5584C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FEB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3F8E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074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438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48B9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6B60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CDC7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AC28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461F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CA6EE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3923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8C27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1C69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9670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02E0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A9DE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9A4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C59C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7961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D9147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8E3A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A878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B54D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5BC0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FBFE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280A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E57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786F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128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57C156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91DA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0D77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0B7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FD88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F51E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E80B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C03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17DE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78C4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6322E8B">
      <w:pPr>
        <w:pStyle w:val="6"/>
        <w:bidi w:val="0"/>
      </w:pPr>
      <w:r>
        <w:t>日度库存投影</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30F1A9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596471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8F756A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FE4AF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00074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70C11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5740D9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3FC561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B2AC6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79D4A1B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19E221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9060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日度库存投影编号★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88C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STKPRJ_Id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DF6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5F2D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66D9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E1E6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STKPRJ+日期+流水号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6D34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2ABF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DF53D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92C4D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E2D6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8B3C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2163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D979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C3F4A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B6F4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8A83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9E32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3F58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A1214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1591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839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BE29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792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D5AA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03B1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DC93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0D68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2F14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关联监控计算快照</w:t>
            </w:r>
          </w:p>
        </w:tc>
      </w:tr>
      <w:tr w14:paraId="4D3C14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0A3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B32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8DD0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37E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8235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EA6D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01F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49BE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B93A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关联有效阈值版本</w:t>
            </w:r>
          </w:p>
        </w:tc>
      </w:tr>
      <w:tr w14:paraId="55FC9BF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A78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FF1F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BC3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80AA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1FC4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D7D5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806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BA37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3831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714E09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8B4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2078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Projection_Date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C56E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B41B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814F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1C8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未来4周日期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6A20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E382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4B71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按日形成库存轨迹</w:t>
            </w:r>
          </w:p>
        </w:tc>
      </w:tr>
      <w:tr w14:paraId="5389D98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3CCC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期初可用库存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9276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Opening_Available_Qty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7B04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9E4F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C00F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5B7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可为0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D62C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37B8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CA99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前一日结余或快照可用库存</w:t>
            </w:r>
          </w:p>
        </w:tc>
      </w:tr>
      <w:tr w14:paraId="129488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4D8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6538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866F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C2F0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1F6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2A0C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8E66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CRM/SAP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A22D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建议：Daily_Demand_Qty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FF9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按投影日期归集需求</w:t>
            </w:r>
          </w:p>
        </w:tc>
      </w:tr>
      <w:tr w14:paraId="2314D4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D44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计划可用入库量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BA1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Planned_Available_Receipt_Qty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B9DD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BA0B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AA52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FB3E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FF1A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4211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建议：Planned_Receipt_Qty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7E32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仅计入预计已完成质检的计划入库</w:t>
            </w:r>
          </w:p>
        </w:tc>
      </w:tr>
      <w:tr w14:paraId="62AD6C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5788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期末可用库存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FB6F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Closing_Available_Qty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15B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904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35C4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57F3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87F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6DF4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959E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期初加有效入库减计划需求</w:t>
            </w:r>
          </w:p>
        </w:tc>
      </w:tr>
      <w:tr w14:paraId="424D52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725A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安全库存差额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90E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Safety_Stock_Gap_Qty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89E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AB2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9A4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D877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正负数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E2BB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C83A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905D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期末可用库存减安全库存</w:t>
            </w:r>
          </w:p>
        </w:tc>
      </w:tr>
      <w:tr w14:paraId="6645DD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6627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容量余量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AECB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Capacity_Remain_Qty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E0BC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E21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A50F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3AA6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正负数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D416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FB43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665A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有效容量减预计实际库存</w:t>
            </w:r>
          </w:p>
        </w:tc>
      </w:tr>
      <w:tr w14:paraId="321BBB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F9F5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E165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B654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F4BA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964F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21AF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缺货/低于安全库存/超容量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7BB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148A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1BC5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按库存策略阈值分类</w:t>
            </w:r>
          </w:p>
        </w:tc>
      </w:tr>
      <w:tr w14:paraId="629155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2E63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740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DF2A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7C6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9245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9DC5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B2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759F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1D42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3B2F46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041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BCE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8F1C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427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6D1D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F23F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7C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00F7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8186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889B2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449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1567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340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9CC5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3DA1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ECB0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DD05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4F90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CDC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F8AA66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6D6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9172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04A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B24E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EDDB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04F4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0EF6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B589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EBB9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EA3EA4C">
      <w:pPr>
        <w:pStyle w:val="6"/>
        <w:bidi w:val="0"/>
      </w:pPr>
      <w:r>
        <w:t>库存风险预警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4E04A2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13EC1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E86669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A5AA46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05F1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D02043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8B3C0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07DAC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D9D72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AFF06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6A60A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DA27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库存风险预警编号★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C965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STKALT_Id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0217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4900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B0FC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9AD7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STKALT+日期+流水号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970B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C550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E9C1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51E950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68F2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0F82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240D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4159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5C10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4DA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BE72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89AE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E3C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D971F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98017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4694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D79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4FF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43DD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62BB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日度库存投影</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08E4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6214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2C7F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关联触发预警的投影记录</w:t>
            </w:r>
          </w:p>
        </w:tc>
      </w:tr>
      <w:tr w14:paraId="1D2452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83F3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EC8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45B4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D58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82B6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CF85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D23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56E6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2658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6303E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D50A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577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26B9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96F1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D5A8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30F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59D8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F215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4938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取首次或持续风险日期</w:t>
            </w:r>
          </w:p>
        </w:tc>
      </w:tr>
      <w:tr w14:paraId="333962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CCA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FA0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14DB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F78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1917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2D38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缺货/低库存/超容量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BBCC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DBE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0139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按触发条件分类</w:t>
            </w:r>
          </w:p>
        </w:tc>
      </w:tr>
      <w:tr w14:paraId="1A1AFC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8939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风险缺口量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1293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Risk_Gap_Qty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2B6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970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6B2A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162F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绝对数量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0E04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F7BC0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C0E5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记录相对阈值的数量差额</w:t>
            </w:r>
          </w:p>
        </w:tc>
      </w:tr>
      <w:tr w14:paraId="70F7BC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FCFD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612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Risk_Horizon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607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FBDA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8E16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8D5E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第1周锁定期/第2至第4周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C1E5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E489C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E216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按当前滚动周界划分</w:t>
            </w:r>
          </w:p>
        </w:tc>
      </w:tr>
      <w:tr w14:paraId="70501F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7966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7CDD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86A0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E250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4758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75B3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3DCA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340A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8FF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依据缺口和影响范围分级</w:t>
            </w:r>
          </w:p>
        </w:tc>
      </w:tr>
      <w:tr w14:paraId="750D258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AD01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锁定计划保持标识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406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Keep_Locked_Plan_Flag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1662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9E5E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A317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6B5D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180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CC2D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00E7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锁定期风险固定为true</w:t>
            </w:r>
          </w:p>
        </w:tc>
      </w:tr>
      <w:tr w14:paraId="1935C5F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3BE3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建议处置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F42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Suggested_Action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E6EB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3A0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C308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ABEF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预警/调整后续周/人工协调</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9BE8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A9A7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BB6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按风险期间给出处置建议</w:t>
            </w:r>
          </w:p>
        </w:tc>
      </w:tr>
      <w:tr w14:paraId="1640CD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6614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9EAD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864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195C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D264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8414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驾驶舱预警事件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38E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4EF6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3FEF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派发驾驶舱后建立关联</w:t>
            </w:r>
          </w:p>
        </w:tc>
      </w:tr>
      <w:tr w14:paraId="566EB6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5D68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A3B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E54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D01E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FD1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47A4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EFC1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8DAB5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B5658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E8FAC7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31C8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92E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BA8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A54B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09B2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E6B1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9013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63C4C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A14A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AA11F4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9F4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C912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A17A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56D9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2B71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FAA8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147A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81D9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E9D5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43971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D8F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5D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1461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E2D6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821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BF9C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7036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615F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30C9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D49E0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F953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A81A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1424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D6F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6C2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02BA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3C14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811A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7EBB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6F4959DA">
      <w:pPr>
        <w:pStyle w:val="6"/>
        <w:bidi w:val="0"/>
      </w:pPr>
      <w:r>
        <w:t>库存策略调整记录</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06877FE">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4D87E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952DB2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E25EE5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02EE1C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BE3AE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86246C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65319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AACC22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F2EF2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FFCB2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267D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库存策略调整记录编号★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052D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STGADJ_Id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F570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CB14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7741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C816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STGADJ+日期+流水号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9E6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6B82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A33C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B1572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065B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3C4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F989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F4EF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E5F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F68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499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D8A4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72E0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5DE3F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0E0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EFD6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BA1E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AE6F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4B92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409F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B10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1408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A308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关联调整前版本</w:t>
            </w:r>
          </w:p>
        </w:tc>
      </w:tr>
      <w:tr w14:paraId="3BD1F2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1AD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92C4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AFF4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44B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92F0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B956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审批通过后必填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FD39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78DE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3E69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关联调整后新版本</w:t>
            </w:r>
          </w:p>
        </w:tc>
      </w:tr>
      <w:tr w14:paraId="259841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3EA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变化事件类型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7569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Change_Event_Type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311E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D226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B4D4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8D030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需求/产能/容量/补充周期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493C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271C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建议：Change_Event_Type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6F1E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统一转换重大变化类型</w:t>
            </w:r>
          </w:p>
        </w:tc>
      </w:tr>
      <w:tr w14:paraId="438F31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0ED4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变化发生时间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A4B9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99CA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CEFD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714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E514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467B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0DD2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FD87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取业务事实发生时间</w:t>
            </w:r>
          </w:p>
        </w:tc>
      </w:tr>
      <w:tr w14:paraId="276FB5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DC0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影响物料范围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CD1E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Affected_Material_Scope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842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484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40B1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28DF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物料清单或分类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866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9F82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7FFE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记录受影响成品范围</w:t>
            </w:r>
          </w:p>
        </w:tc>
      </w:tr>
      <w:tr w14:paraId="25732C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6237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AF4B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9C55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298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D77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114E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起止日期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CAD6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9D42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39C49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记录需重算的时间范围</w:t>
            </w:r>
          </w:p>
        </w:tc>
      </w:tr>
      <w:tr w14:paraId="32633EA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C80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F645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CCC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3A7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19D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45B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B5E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09AF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1176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记录异常调整依据</w:t>
            </w:r>
          </w:p>
        </w:tc>
      </w:tr>
      <w:tr w14:paraId="079066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843A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调整差异摘要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B038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Difference_Summary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61BC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332C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7BAA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9D7D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前后差异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FE74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9294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版本比对</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C12C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汇总关键参数和补充量变化</w:t>
            </w:r>
          </w:p>
        </w:tc>
      </w:tr>
      <w:tr w14:paraId="0C942C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05E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1BF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4241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BCD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43B8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98AB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464D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4987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DE7F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保留审批意见和结论</w:t>
            </w:r>
          </w:p>
        </w:tc>
      </w:tr>
      <w:tr w14:paraId="45BD74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BC3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4BA2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92C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2213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1CD6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C26D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6B9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11E4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4D57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F11700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D8E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0FAB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D63A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62C7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316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FEBD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0C6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2B48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5FF8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4744D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23FA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3AF3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16C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18B1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7BE6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8415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A273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6910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0137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C9549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1B69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65A7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BFC2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AD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686B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1B23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B23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E087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7225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07E7A7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C759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F81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29E8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C54B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14EA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388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07CA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C93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B7F1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FBA6901">
      <w:pPr>
        <w:pStyle w:val="6"/>
        <w:bidi w:val="0"/>
      </w:pPr>
      <w:r>
        <w:t>库存健康度评价</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690998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3A2733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EAE1A7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729E9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E4AC15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6819E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E7447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157128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67FEE9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411C2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9FC93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19F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库存健康度评价编号★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3D78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STKHLT_Id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442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2885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4A87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316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STKHLT+日期+流水号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4509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2DA3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6E2F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9FEB65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7A03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18A2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0085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A25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C824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613C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A655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913F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7493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DE3F1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740B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C87E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Evaluation_Period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A240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FB0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3CED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33CF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2DC11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CDC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C14F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按月评价策略执行效果</w:t>
            </w:r>
          </w:p>
        </w:tc>
      </w:tr>
      <w:tr w14:paraId="6B81AE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9F82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92A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2388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99A0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FFB3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C7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32FE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D0695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76F7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C34B3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78B7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平均库存量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A75E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Average_Stock_Qty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B31C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7392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6BD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F83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157C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C2E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建议：Average_Stock_Qty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1593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按期间日末可用库存平均</w:t>
            </w:r>
          </w:p>
        </w:tc>
      </w:tr>
      <w:tr w14:paraId="3BB2FC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6E61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库存周转天数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E8A2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Inventory_Days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C975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B642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EE3E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BB80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9D7C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287B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61D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按已发布指标口径计算</w:t>
            </w:r>
          </w:p>
        </w:tc>
      </w:tr>
      <w:tr w14:paraId="0D9E3C4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2EAD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01E2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Stockout_Count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A022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DC0A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7738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E27F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CDA2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A56A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建议：Stockout_Count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713E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按有效缺货事件去重计数</w:t>
            </w:r>
          </w:p>
        </w:tc>
      </w:tr>
      <w:tr w14:paraId="1840E96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1DF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订单满足率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6BC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Order_Fill_Rate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2C4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D58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D23C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DDBF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2E4D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DD40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建议：Order_Fill_Rate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943F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按承诺订单数量计算</w:t>
            </w:r>
          </w:p>
        </w:tc>
      </w:tr>
      <w:tr w14:paraId="4E2D1B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CC6E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超容量次数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E153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Overcapacity_Count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3CDC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9D9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5DD8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384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50FE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ABDA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建议：Overcapacity_Count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C685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按储罐有效容量判断</w:t>
            </w:r>
          </w:p>
        </w:tc>
      </w:tr>
      <w:tr w14:paraId="5A0B18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F44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健康度等级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D887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Health_Level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2BBD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170D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B4F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8CDA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绿/黄/红</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D43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1069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3B59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按已发布健康度规则生成</w:t>
            </w:r>
          </w:p>
        </w:tc>
      </w:tr>
      <w:tr w14:paraId="219C16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B068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策略有效性结论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5169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Strategy_Effectiveness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5C7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A23B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5B8D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18F8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有效/需关注/需改进</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EFC4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20071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A62C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结合目标与实际差异形成</w:t>
            </w:r>
          </w:p>
        </w:tc>
      </w:tr>
      <w:tr w14:paraId="1954A1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9E6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改进建议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F337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Improvement_Suggestion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3D2C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ECA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528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D797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参数或策略建议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F38D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6858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F8F9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记录待纳入后续策略的建议</w:t>
            </w:r>
          </w:p>
        </w:tc>
      </w:tr>
      <w:tr w14:paraId="2A9C4C0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1EC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发布报告编号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FF3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Report_Id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227D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1E4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8FEA6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2642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已发布报告</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92D3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6CC1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396DF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关联对外发布的健康度报告</w:t>
            </w:r>
          </w:p>
        </w:tc>
      </w:tr>
      <w:tr w14:paraId="33C972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680C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8CAF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7868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C365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AFF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FDC6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0C21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3DF5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7DA8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09FD9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4953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4F1E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86CF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C570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EE0F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1929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E75C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0A0B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A87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67E225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BE5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C585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667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0E4B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97CA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980F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AC23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D1900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4469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29D0E0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DE7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C2F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E40C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366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A779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E3F7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E0C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2FB2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23E9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951F9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F2B5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7C520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45A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C305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0A1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FE09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3333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D9F0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6CA3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DD089D2">
      <w:pPr>
        <w:pStyle w:val="4"/>
        <w:bidi w:val="0"/>
        <w:rPr>
          <w:rFonts w:hint="eastAsia" w:ascii="黑体" w:hAnsi="黑体" w:eastAsia="黑体" w:cs="黑体"/>
        </w:rPr>
      </w:pPr>
      <w:bookmarkStart w:id="49" w:name="_Toc444684120"/>
      <w:r>
        <w:rPr>
          <w:rFonts w:hint="eastAsia" w:ascii="黑体" w:hAnsi="黑体" w:eastAsia="黑体" w:cs="黑体"/>
        </w:rPr>
        <w:t>采购优化</w:t>
      </w:r>
      <w:bookmarkEnd w:id="49"/>
    </w:p>
    <w:p w14:paraId="1C461F29">
      <w:pPr>
        <w:pStyle w:val="6"/>
        <w:bidi w:val="0"/>
      </w:pPr>
      <w:r>
        <w:t>待采购需求</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584CF80">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F27FBA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F1933D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474C24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733830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6336A0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9BD42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8E973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89C85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9D0205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54AAF2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DCFD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0D49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PURDEM_Id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0EF3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0333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736A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1E6D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PURDEM+日期+流水号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DD8A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4235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098EB1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C5F3D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F7BD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9F08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A55F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A49C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FA8D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B714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F9BE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B5BE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3AD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B893C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AEA5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543A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B12E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BB00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AE9E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8711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45B6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CACB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FEE8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F23271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ECF2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3EC9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E85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3D965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2F7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CF31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EA1A6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F5A6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建议：Demand_Period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3FEA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按已发布原材料需求计划取值</w:t>
            </w:r>
          </w:p>
        </w:tc>
      </w:tr>
      <w:tr w14:paraId="2A7052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87A5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650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Required_Arrival_Date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F93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BE6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E9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664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7CB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4AFD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建议：Required_Arrival_Date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FBCA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按生产需求日期倒排</w:t>
            </w:r>
          </w:p>
        </w:tc>
      </w:tr>
      <w:tr w14:paraId="118133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4BA8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毛需求量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CD5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Gross_Demand_Qty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ED8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AEA9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16DA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1C3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6C47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6745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建议：Gross_Demand_Qty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5D34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汇总有效原材料需求</w:t>
            </w:r>
          </w:p>
        </w:tc>
      </w:tr>
      <w:tr w14:paraId="142D07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E102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未完成采购量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F0AA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Open_Purchase_Qty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586D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F817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AD6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D9A9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1C36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2818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建议：Open_PO_Qty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0F79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汇总未结采购订单有效余量</w:t>
            </w:r>
          </w:p>
        </w:tc>
      </w:tr>
      <w:tr w14:paraId="06AF76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810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待采购净需求量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0D4C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Net_Purchase_Demand_Qty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F0E2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EA3B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3723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4B7E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C7CF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0124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754F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毛需求扣除有效库存和未完成采购量</w:t>
            </w:r>
          </w:p>
        </w:tc>
      </w:tr>
      <w:tr w14:paraId="665F35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E02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需求优先级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8B8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184D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AEC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05CE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4D54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高/中/低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6CD7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12CB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ECC7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按需求日期与业务重要性分级</w:t>
            </w:r>
          </w:p>
        </w:tc>
      </w:tr>
      <w:tr w14:paraId="72E31F2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E077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4029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409D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81D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ECF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819E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已发布需求计划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733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DD601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建议：Source_Plan_Id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DD5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关联需求来源版本</w:t>
            </w:r>
          </w:p>
        </w:tc>
      </w:tr>
      <w:tr w14:paraId="56970C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DD8C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B66B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D01B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AA8F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029E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3ACF6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A456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2944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3626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400438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5751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D204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EC7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7C8F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DD7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46E4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B71B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6799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B4DA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C9DA7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4E6C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F3BD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D9F3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F18B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EF7F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3C88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D3E5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74A53C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B5D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FE5B6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C11B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7145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24E5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427D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8C8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F921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FD3D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3B94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FAA6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685654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D74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7B8A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D186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EC63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95B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5EFA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14D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AD15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84DD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753FB5F">
      <w:pPr>
        <w:pStyle w:val="6"/>
        <w:bidi w:val="0"/>
      </w:pPr>
      <w:r>
        <w:t>供应商主数据与画像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59B7AD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7DAC0E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9F2468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4844E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AC4CD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B711EC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FEBC2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FA6B2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606CC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D7E982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F50CC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52AC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供应商主数据与画像编号★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98BE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SUPPRF_Id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FA80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B4C8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B656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A59C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SUPPRF+日期+流水号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DFDB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D471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9A11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731CD8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18AC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F37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45F9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934D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847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5D46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C9FA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B1F9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8E8A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A9328B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20F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9158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065E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AB89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1839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803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9868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062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AF6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5A6575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D012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AFE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281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7237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6AB4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2C79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企业全称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737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2110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建议：Supplier_Name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07E4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按供应商主数据直接映射</w:t>
            </w:r>
          </w:p>
        </w:tc>
      </w:tr>
      <w:tr w14:paraId="5CD3124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E636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统一社会信用代码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579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Unified_Credit_Code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8873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A3D2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4C15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11E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法定代码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13E4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648AF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建议：Unified_Credit_Code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4D52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优先取已审核主数据</w:t>
            </w:r>
          </w:p>
        </w:tc>
      </w:tr>
      <w:tr w14:paraId="3C2115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4A74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供应品类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F8A3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Supply_Category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F10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16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30F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9D7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物料分类清单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B091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14BE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建议：Supply_Category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331B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按有效供应关系汇总</w:t>
            </w:r>
          </w:p>
        </w:tc>
      </w:tr>
      <w:tr w14:paraId="3ABE16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3224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月度产能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751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Monthly_Capacity_Qty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84D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00B1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0593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4A65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2B4F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79F8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建议：Monthly_Capacity_Qty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080C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取供应商确认的有效产能</w:t>
            </w:r>
          </w:p>
        </w:tc>
      </w:tr>
      <w:tr w14:paraId="48AAB1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6858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最小起订量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C959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MOQ_Qty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F44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23DB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16F7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53DF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B9FE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A6D9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建议：MOQ_Qty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2DD6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按供应商物料维度取值</w:t>
            </w:r>
          </w:p>
        </w:tc>
      </w:tr>
      <w:tr w14:paraId="1699E8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F941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F15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20DB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0CB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39B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2FE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0AF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97E7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D921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按供应地点到工厂路线维护</w:t>
            </w:r>
          </w:p>
        </w:tc>
      </w:tr>
      <w:tr w14:paraId="2E5AD8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80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付款账期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486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Payment_Term_Days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C1AF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381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785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BA18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F0C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D529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建议：Payment_Term_Days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A86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从有效合同付款条件转换</w:t>
            </w:r>
          </w:p>
        </w:tc>
      </w:tr>
      <w:tr w14:paraId="527B1C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70BA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E4C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73D5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0E1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2FEC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661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候选/准入/限制/停用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2D2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24D8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A793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SCOS状态不得突破SAP停用状态</w:t>
            </w:r>
          </w:p>
        </w:tc>
      </w:tr>
      <w:tr w14:paraId="21C216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0A9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准入有效期至</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7C0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Qualification_Expire_Date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CDF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9D31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35F7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61CB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9FC9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供应商平台/QMS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9BF7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建议：Qualification_Expire_Date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145A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取关键资质最早到期日</w:t>
            </w:r>
          </w:p>
        </w:tc>
      </w:tr>
      <w:tr w14:paraId="4D3F8E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7CE3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3654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6F29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0736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977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6872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D0E7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7F8A4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B1A0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85062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DD4D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A528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ABE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9352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C144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9401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B1B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EA8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B3EC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C685B2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9558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6D7C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F470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B4FC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AB8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945B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EF8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52CC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A73C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11E7B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592E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121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4DD4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7BE2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115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8A3F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9B17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EC42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9AF0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27FE096">
      <w:pPr>
        <w:pStyle w:val="6"/>
        <w:bidi w:val="0"/>
      </w:pPr>
      <w:r>
        <w:t>供应商评价与资质预警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51D110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F3DE54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8C462F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9363F0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910F2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BA308F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183FE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B5F13D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58330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2B52C9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A6D59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98BC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供应商评价与资质预警编号★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2A8D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SUPEVL_Id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7A1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B4B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194F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3548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SUPEVL+日期+流水号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C92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800F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0B4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F5737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708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718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5F9B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656E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5F8B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580D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851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78D5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F44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1FB68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9F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3B68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927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625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107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8318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D981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BCD3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616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7A4F344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04DC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1688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Evaluation_Period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344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59F8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CB33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EDEA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C30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6D85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037D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按评价周期生成</w:t>
            </w:r>
          </w:p>
        </w:tc>
      </w:tr>
      <w:tr w14:paraId="0C862B6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D25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价格得分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E29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Price_Score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493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791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A22F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C1C3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3158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26A3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00CC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按同类采购价格对比计算</w:t>
            </w:r>
          </w:p>
        </w:tc>
      </w:tr>
      <w:tr w14:paraId="175D4D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7E24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准时交付率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2A1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On_Time_Delivery_Rate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8B6E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FCA2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655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1E52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C0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91B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建议：On_Time_Delivery_Rate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9D7E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按承诺日期与实际到货日期计算</w:t>
            </w:r>
          </w:p>
        </w:tc>
      </w:tr>
      <w:tr w14:paraId="6B3440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37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质量合格率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5CBC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Quality_Pass_Rate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9054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B94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A3E5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9AD3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9669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95D62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建议：Quality_Pass_Rate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118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按检验批合格数量计算</w:t>
            </w:r>
          </w:p>
        </w:tc>
      </w:tr>
      <w:tr w14:paraId="5DC14C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F24B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综合绩效得分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568E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Performance_Score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24C1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11D4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CCF1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7493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4834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5578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7582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按已发布评价权重汇总</w:t>
            </w:r>
          </w:p>
        </w:tc>
      </w:tr>
      <w:tr w14:paraId="237FA0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64AA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资质预警类型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6B356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Qualification_Alert_Type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07DE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D2AE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6AE1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E76F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即将到期/已过期/缺失</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4790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E353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8D05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按资质有效期和完整性生成</w:t>
            </w:r>
          </w:p>
        </w:tc>
      </w:tr>
      <w:tr w14:paraId="05964E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4E29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9A1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07F4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3FA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0EE9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5F5A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D71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EBF5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0111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结合绩效、财务与外部风险分级</w:t>
            </w:r>
          </w:p>
        </w:tc>
      </w:tr>
      <w:tr w14:paraId="32AD51A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B6BE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状态调整建议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F14A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Status_Change_Suggestion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8FD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E3E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C95A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767B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维持/限制/暂停/恢复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363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F399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16BD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评价异常时形成建议</w:t>
            </w:r>
          </w:p>
        </w:tc>
      </w:tr>
      <w:tr w14:paraId="7BE9B6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5C0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B8B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8D7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0E39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68B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731D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通过/驳回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320A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109BC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2D34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状态变更审批完成后填写</w:t>
            </w:r>
          </w:p>
        </w:tc>
      </w:tr>
      <w:tr w14:paraId="67DBACF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7939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C3E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ADB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3855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C2ED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84C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2D73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9CE6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F492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D2882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8FBC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22D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F9F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025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0125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22AC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C43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CADF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8D96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3071E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E64B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8CE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C079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67A8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FAE16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72BC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5EF5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4F8A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8F81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D4F43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55C8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6D6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9367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7577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074F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6329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6BD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F35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A51D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6D960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D2ED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88DD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DAA3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F143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164A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0192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CED7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70A2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6CC9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8D5E707">
      <w:pPr>
        <w:pStyle w:val="6"/>
        <w:bidi w:val="0"/>
      </w:pPr>
      <w:r>
        <w:t>供应商报价与供货能力</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EAD971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B4DEEC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CA351B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CB680A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747D4F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908436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43EDAD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4E665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171710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554A1E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7BFBE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A914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供应商报价与供货能力编号★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946E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SUPQOT_Id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572F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219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439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EE4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SUPQOT+日期+流水号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D999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B2D7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98FB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76D5EA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302F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754D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E344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D84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DC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F3C7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216B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6CBC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C2E6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93CDC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88D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CA6FE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F277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DB8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6A14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F607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6EF7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9D4A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E069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5743BD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146F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98D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83C0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13D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1FB4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E121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9C9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7090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1EEB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1339754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145A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FB4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Quote_Date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D4D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9647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5A10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7FA0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53F3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68A1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建议：Quote_Date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D13E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取有效报价提交日期</w:t>
            </w:r>
          </w:p>
        </w:tc>
      </w:tr>
      <w:tr w14:paraId="1723236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6D0E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B82E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Quoted_Unit_Price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DFC3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EFDE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4284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55A7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EECA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149F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建议：Quoted_Unit_Price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66A6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按含税口径记录报价</w:t>
            </w:r>
          </w:p>
        </w:tc>
      </w:tr>
      <w:tr w14:paraId="243C9E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B64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B59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Currency_Code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7CD1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6016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0C37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3BE9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CNY等ISO币种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5BA2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CF1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建议：Currency_Code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9B95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按SAP币种代码转换</w:t>
            </w:r>
          </w:p>
        </w:tc>
      </w:tr>
      <w:tr w14:paraId="1F45FA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496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含税标识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FC07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Tax_Included_Flag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25A9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76B2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B5DF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CA4C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69F0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164F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建议：Tax_Included_Flag</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A473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明确报价含税口径</w:t>
            </w:r>
          </w:p>
        </w:tc>
      </w:tr>
      <w:tr w14:paraId="694C147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2FC4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税率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341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8EA9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8F7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0E4D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5050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5183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A9B5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205B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用于含税与不含税换算</w:t>
            </w:r>
          </w:p>
        </w:tc>
      </w:tr>
      <w:tr w14:paraId="4C874C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1518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有效期开始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9410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F5D5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7A2A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BE6B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DCF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9927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638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建议：Valid_From</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8EFD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取报价或合同生效日</w:t>
            </w:r>
          </w:p>
        </w:tc>
      </w:tr>
      <w:tr w14:paraId="58E14B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564A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有效期结束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1CBE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6AC9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158D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69BC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D593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6803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A02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建议：Valid_To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793D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取报价或合同失效日</w:t>
            </w:r>
          </w:p>
        </w:tc>
      </w:tr>
      <w:tr w14:paraId="285552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C39D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可供日期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A1A7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EC3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55F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7C1C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0515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05A1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FFF2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4F75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取供应商承诺可供日期</w:t>
            </w:r>
          </w:p>
        </w:tc>
      </w:tr>
      <w:tr w14:paraId="005E8C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8243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可供数量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6F45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F2B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C7AA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6936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ECA5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67AE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A29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489B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按物料和日期记录可供量</w:t>
            </w:r>
          </w:p>
        </w:tc>
      </w:tr>
      <w:tr w14:paraId="7F52B4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3E8A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运费单价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C721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Freight_Unit_Cost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7031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9C4D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AA6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DBD2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币种/基本单位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DB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8975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建议：Freight_Unit_Cost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AB01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统一换算至基本计量单位</w:t>
            </w:r>
          </w:p>
        </w:tc>
      </w:tr>
      <w:tr w14:paraId="618647B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3EAD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CC8A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4C68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A81C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3218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9317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DBAA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BD33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9760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E5E4F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CDF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1C4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5B2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CC6E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68E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B414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9ED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936AD9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B125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841C2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60D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02C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75C1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FC2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C91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D36A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AA1E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B6FF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FA97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5AF52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CBCE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CA76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804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32F9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E92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A1B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EAD3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CDD6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A882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420F0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FAE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67D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8734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F25A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65B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23CE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1D44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A7FD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6A02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214CB6D">
      <w:pPr>
        <w:pStyle w:val="6"/>
        <w:bidi w:val="0"/>
      </w:pPr>
      <w:r>
        <w:t>采购优化参数</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CA79CE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153750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7F6E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B9844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FEFA7B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73E264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6CD73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38975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37EE2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A3467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8B4EB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4AD8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采购优化参数编号★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D1B6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PUROPT_Id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9EDD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1D2F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573A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0F0D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PUROPT+日期+流水号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3F06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5F225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27A4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137DAD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DE5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3AE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EBF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1AFE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DF8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9912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E0CC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CE8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8C5A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16BEF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AEB0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适用物料分类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021A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5FC2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7909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EDE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58B5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EE2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7FD6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7306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限定参数适用范围</w:t>
            </w:r>
          </w:p>
        </w:tc>
      </w:tr>
      <w:tr w14:paraId="13D7953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9FC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3A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Price_Weight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EACE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2E71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F35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022D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335F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A527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2FE0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4233E0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4E4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D412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Freight_Weight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D703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D620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786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2B6E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F05A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854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707E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0E9A2C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6891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交付权重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417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Delivery_Weight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88B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682E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1F5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06E0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3C0F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114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E1B8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1083E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0C6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BEB8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1EB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0E5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7749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6DC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22E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DF7BE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E707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62C396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E7E5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资金成本率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4CD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Capital_Cost_Rate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F2B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AE7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A80D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10E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年化0-1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4FB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财务系统/SCOS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506B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建议：Capital_Cost_Rate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BE1E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按财务确认口径维护</w:t>
            </w:r>
          </w:p>
        </w:tc>
      </w:tr>
      <w:tr w14:paraId="13A230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0F7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最小分配比例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1590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Min_Allocation_Rate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398B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D4D4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1EDB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B00B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04BA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E34B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1A60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限制单一供应商最小份额</w:t>
            </w:r>
          </w:p>
        </w:tc>
      </w:tr>
      <w:tr w14:paraId="1FBE34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96E7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最大分配比例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001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Max_Allocation_Rate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4D7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708F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2D80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90EA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1D80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EF6F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D4E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限制供应集中度</w:t>
            </w:r>
          </w:p>
        </w:tc>
      </w:tr>
      <w:tr w14:paraId="00931DA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4BA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F2C5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7D13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7A8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584F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30DE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E56C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474C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A910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参数版本生效起点</w:t>
            </w:r>
          </w:p>
        </w:tc>
      </w:tr>
      <w:tr w14:paraId="75094A9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2EB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CC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AD4C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97A8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22F0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8FDD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8AD2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73E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1838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空值表示持续有效</w:t>
            </w:r>
          </w:p>
        </w:tc>
      </w:tr>
      <w:tr w14:paraId="22266D4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162F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8B9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E485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BF1F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0C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8C26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39B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FD2C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26F5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BF249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3039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D8C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1ED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E20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EFE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D422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E2E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0ACA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8136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CFFF4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DE7A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50D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30B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0803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FC3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5582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3862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054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C962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C50B6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605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C0A0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272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BB4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C8CC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7BB4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E196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0B62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B78F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4E89B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15D1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CD3B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F116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46E1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9D6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CDD0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E87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8978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2D78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374875B">
      <w:pPr>
        <w:pStyle w:val="6"/>
        <w:bidi w:val="0"/>
      </w:pPr>
      <w:r>
        <w:t>月度采购方案</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88DDC4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A011A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4A3157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C3319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6553E1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CF41E9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478198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ABB97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A85C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2DE28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722A2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7D4D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月度采购方案编号★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8B1A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PURPLN_Id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A34B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3468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6A39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A3EB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PURPLN+日期+流水号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A5B7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56407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6E69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4996D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24C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2787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14E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7373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B5D2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573B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2BD5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5A7A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349C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619D8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A827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方案月份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C595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Plan_Month</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E7F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E5F4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3F63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B7DF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117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74DF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3960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标识采购方案期间</w:t>
            </w:r>
          </w:p>
        </w:tc>
      </w:tr>
      <w:tr w14:paraId="5FDE65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94FC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66CD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Purchase_Demand_Id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EA05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C3E4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119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95A4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76AB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9789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0402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关联需求来源</w:t>
            </w:r>
          </w:p>
        </w:tc>
      </w:tr>
      <w:tr w14:paraId="608D14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4775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CFF2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E028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5008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844A1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BE6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EA4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B420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E945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3B11E5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EF6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BB8F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E8EA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CDD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9E6E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E919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E31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A8AD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684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2E0458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49D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计划采购量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0C60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Planned_Purchase_Qty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249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0AD4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761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CA38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F7B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5726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DE85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按物料供应商分配数量</w:t>
            </w:r>
          </w:p>
        </w:tc>
      </w:tr>
      <w:tr w14:paraId="495868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02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建议下单日期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13B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Suggested_Order_Date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A1B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118E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EF61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7893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175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DF7D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0B9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根据要求到货日和提前期倒排</w:t>
            </w:r>
          </w:p>
        </w:tc>
      </w:tr>
      <w:tr w14:paraId="6F3055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5077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3188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Required_Arrival_Date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EC9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2B09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336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E627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0309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59AE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需求映射</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DD0F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继承待采购需求日期</w:t>
            </w:r>
          </w:p>
        </w:tc>
      </w:tr>
      <w:tr w14:paraId="324A13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DD4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综合采购成本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A08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Total_Landed_Cost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94D3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A5AC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98DB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FF8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CNY含税/不含税按口径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552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8199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A4C9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报价、运费和资金影响汇总</w:t>
            </w:r>
          </w:p>
        </w:tc>
      </w:tr>
      <w:tr w14:paraId="22FB7C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E6F9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锁价建议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95F9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Hedge_Suggestion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F9F9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AEFF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7C2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7583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锁价/暂不锁价/分批锁价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62CB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2E7C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F2E0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结合期现价格和风险形成</w:t>
            </w:r>
          </w:p>
        </w:tc>
      </w:tr>
      <w:tr w14:paraId="3DB32F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D708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1119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D31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68A0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5BA9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66B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推荐/备选/人工调整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AB5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A3C0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2127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区分原始建议与业务调整</w:t>
            </w:r>
          </w:p>
        </w:tc>
      </w:tr>
      <w:tr w14:paraId="55706C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EC64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FC7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Manual_Adjust_Reason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953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2F9D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5499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19D8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人工调整时必填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1597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3F99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3AE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记录偏离推荐方案的原因</w:t>
            </w:r>
          </w:p>
        </w:tc>
      </w:tr>
      <w:tr w14:paraId="669B858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A483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F878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240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9A56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0DE1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6D5A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BB8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06FE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BDE6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保留审批结论和意见</w:t>
            </w:r>
          </w:p>
        </w:tc>
      </w:tr>
      <w:tr w14:paraId="335F3D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C08A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A219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66D6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CD05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5A1B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77CB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105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B5E0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84C5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记录正式执行起点</w:t>
            </w:r>
          </w:p>
        </w:tc>
      </w:tr>
      <w:tr w14:paraId="030E00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10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8BB2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0F09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A91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A3F5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DEEB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9910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1B89D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BCA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ADCD2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5D9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3A4E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E1BC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3C4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DE1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F811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2500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31B6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E111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418E7A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61EC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74FF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09F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3115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77BF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5FF7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4AD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0889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72D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0FA4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DE31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A599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4B89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D28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286B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56FB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F1FE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0A7F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4599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4B9C5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A4D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F4D8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7F5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9EAC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642F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7F87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B14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44DA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732D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0E5953B">
      <w:pPr>
        <w:pStyle w:val="6"/>
        <w:bidi w:val="0"/>
      </w:pPr>
      <w:r>
        <w:t>采购执行跟踪</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DB8E27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0588E6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28CF2B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3FDF61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1B1A4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C90BE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A28B8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1FEA35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A9737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863A73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65AA6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8014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采购执行跟踪编号★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70BB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PUREXE_Id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7CC0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559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A923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4A3F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PUREXE+日期+流水号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B979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18A3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6751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A78F1C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2408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356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EE5E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B207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CD8F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F879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1718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F76C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63F5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588DC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E2F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采购方案编号▲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1D69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E7E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61D1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58FE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D221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已发布采购方案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6736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8174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BBFA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关联执行依据</w:t>
            </w:r>
          </w:p>
        </w:tc>
      </w:tr>
      <w:tr w14:paraId="226C12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0382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C07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85A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C500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CA96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9E7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SAP采购订单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F00C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E3D7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建议：Purchase_Order_No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0B6B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按采购订单号直接映射</w:t>
            </w:r>
          </w:p>
        </w:tc>
      </w:tr>
      <w:tr w14:paraId="59752E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7EB3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DD2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644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86F0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1494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2F8C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F820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467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A774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5CE3B4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800C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926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3BC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01B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5A83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8AB3E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396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4799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6C9B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26780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4424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A40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Order_Qty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ED4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7DFC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09AE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435A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CFC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3E9F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建议：Order_Qty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FFC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按订单基本计量单位转换</w:t>
            </w:r>
          </w:p>
        </w:tc>
      </w:tr>
      <w:tr w14:paraId="38C6F5A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B37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59CB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Shipped_Qty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363F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5EED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35D0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E1B0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0BB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5403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建议：Shipped_Qty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1A37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汇总有效发运记录</w:t>
            </w:r>
          </w:p>
        </w:tc>
      </w:tr>
      <w:tr w14:paraId="2D03BFB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300A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在途数量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2D4F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Intransit_Qty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0A3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481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6098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546F7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7A25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6237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建议：Intransit_Qty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0413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已发运未签收数量</w:t>
            </w:r>
          </w:p>
        </w:tc>
      </w:tr>
      <w:tr w14:paraId="7CB595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93CA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实收到货数量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18E4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0225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BDC8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CBE0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7075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270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5AA3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DCEE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汇总收货过账数量</w:t>
            </w:r>
          </w:p>
        </w:tc>
      </w:tr>
      <w:tr w14:paraId="325221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2924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质检合格数量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301D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8C00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60A2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DF8C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BD24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B835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7642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B6E4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汇总已判定合格数量</w:t>
            </w:r>
          </w:p>
        </w:tc>
      </w:tr>
      <w:tr w14:paraId="79A03C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52F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B31D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CFD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50E2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6F00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2704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39C4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C6F1F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D368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取最新有效预计到货日</w:t>
            </w:r>
          </w:p>
        </w:tc>
      </w:tr>
      <w:tr w14:paraId="00147B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E7E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执行偏差类型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F02B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Execution_Deviation_Type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DFA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E96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405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931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延期/数量不足/质量异常/拒绝承诺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D97C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16E1F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A7EE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比较计划与实际执行形成</w:t>
            </w:r>
          </w:p>
        </w:tc>
      </w:tr>
      <w:tr w14:paraId="06D423C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2217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未完成采购承诺量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5B7D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Open_Commitment_Qty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E56B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2185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7BB7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404D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F75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E645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422F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订单量减有效收货或取消量</w:t>
            </w:r>
          </w:p>
        </w:tc>
      </w:tr>
      <w:tr w14:paraId="5B5C67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550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31B1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9F67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25F0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A0D3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EC7F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CF0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658A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8A3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3F69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0242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A18AB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A6DE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FAB4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9B06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4E62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5DA4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B023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801B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79D78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3DF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9529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21C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8675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1F6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EB204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592F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6A2AD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82D3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0E9D8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A85B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096F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3A80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811B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ED2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BD06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000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7CC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59FD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0A9A3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FF93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5DE0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CAB1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60D7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8F38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5637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BC23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9846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D6C7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50D4135">
      <w:pPr>
        <w:pStyle w:val="4"/>
        <w:bidi w:val="0"/>
        <w:rPr>
          <w:rFonts w:hint="eastAsia" w:ascii="黑体" w:hAnsi="黑体" w:eastAsia="黑体" w:cs="黑体"/>
        </w:rPr>
      </w:pPr>
      <w:bookmarkStart w:id="50" w:name="_Toc562913280"/>
      <w:r>
        <w:rPr>
          <w:rFonts w:hint="eastAsia" w:ascii="黑体" w:hAnsi="黑体" w:eastAsia="黑体" w:cs="黑体"/>
        </w:rPr>
        <w:t>要货计划</w:t>
      </w:r>
      <w:bookmarkEnd w:id="50"/>
    </w:p>
    <w:p w14:paraId="4D1FC362">
      <w:pPr>
        <w:pStyle w:val="6"/>
        <w:bidi w:val="0"/>
      </w:pPr>
      <w:r>
        <w:t>要货条件版本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007C8D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06E1B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25F59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65F2E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2399AA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7EE1A3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2B302D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572DB4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67DF3E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956C8C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8DD74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6DE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要货条件版本编号★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E7F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REQCOND_Id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80E5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EFC0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FA34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8D83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REQCOND+日期+流水号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102F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A38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7140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69133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8B6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39D2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1B6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3CD3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1D7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59B7A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509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B4DB6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0B41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E9CCA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E3B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EC3B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66E7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70F1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BA54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C1F5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A63C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348F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F41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52F4C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4DD4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6835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BE7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0A9D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743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3B44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1D22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9D2F5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5AD6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1CD025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C5CE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05EF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C6EB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A3B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533E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F805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有效采购合同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FCE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SAP/合同管理系统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BF3A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E732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按有效合同号直接映射</w:t>
            </w:r>
          </w:p>
        </w:tc>
      </w:tr>
      <w:tr w14:paraId="75CA501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F8A8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合同执行顺序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4C60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DD2B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550D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3ADE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50F4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B2B9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A7F9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05EC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默认按签订时间，允许说明后调整</w:t>
            </w:r>
          </w:p>
        </w:tc>
      </w:tr>
      <w:tr w14:paraId="4B1AB2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E724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供应商执行顺序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A7C5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5333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DDA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630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C8A9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3CD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AD75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8605B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同物料下确定供应商优先顺序</w:t>
            </w:r>
          </w:p>
        </w:tc>
      </w:tr>
      <w:tr w14:paraId="5F558C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716E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供应商存放地点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CAF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Supplier_Storage_Location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208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F3D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BA24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E615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地址或库点</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F634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1495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建议：Storage_Location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27EA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取供应商确认的发货地点</w:t>
            </w:r>
          </w:p>
        </w:tc>
      </w:tr>
      <w:tr w14:paraId="46F1C2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324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1A9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807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ED3B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07CE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92EA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F070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DB91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F4C4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按路线和运输方式维护</w:t>
            </w:r>
          </w:p>
        </w:tc>
      </w:tr>
      <w:tr w14:paraId="1FF826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9CB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最早可到货日期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EF10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Earliest_Arrival_Date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7270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FC54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A6FD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68B1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529F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C483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建议：Earliest_Arrival_Date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859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结合可供与运输提前期确定</w:t>
            </w:r>
          </w:p>
        </w:tc>
      </w:tr>
      <w:tr w14:paraId="0FC7C1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619C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日期可供量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2392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Daily_Available_Qty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BB3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C99B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8E1B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DA98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3BD9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2BC3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建议：Daily_Available_Qty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A002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按供应商物料日期记录</w:t>
            </w:r>
          </w:p>
        </w:tc>
      </w:tr>
      <w:tr w14:paraId="6B780F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510A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收货能力上限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69A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Receiving_Capacity_Qty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69E6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BA18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3A7A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6938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221F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3202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建议：Receiving_Capacity_Qty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425A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按厂区收货资源维护</w:t>
            </w:r>
          </w:p>
        </w:tc>
      </w:tr>
      <w:tr w14:paraId="73227D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B713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禁运校验状态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C1B9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Embargo_Check_Status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5F98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BDF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FD05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FFB3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可参与/禁止参与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2E9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1D07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122E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按有效禁运范围判断</w:t>
            </w:r>
          </w:p>
        </w:tc>
      </w:tr>
      <w:tr w14:paraId="0C2AC8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A2A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D5EB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4BEB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E6DF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240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4BDF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21EC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CF92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2A0A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记录版本生效起点</w:t>
            </w:r>
          </w:p>
        </w:tc>
      </w:tr>
      <w:tr w14:paraId="6004F0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6747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29A9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DE7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D151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B18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BE04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124E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CD9B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版本管理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B1D4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新版本生效后关闭旧版本</w:t>
            </w:r>
          </w:p>
        </w:tc>
      </w:tr>
      <w:tr w14:paraId="51C653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628F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1B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34AB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7AD2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017E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E3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97AA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43692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0260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53D1C3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E4DF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3262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58DF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91D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10B5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D7A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4C14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1AB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43D5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A9280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7878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7B66A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D448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58D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88CE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68D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6B7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F11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FD9F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5FA72C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40C8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07C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28AE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1252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B24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DCF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94B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2E82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D54A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128C3D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296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2505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405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DF6E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8777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A4C0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26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5F31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9F7E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0E5EB95">
      <w:pPr>
        <w:pStyle w:val="6"/>
        <w:bidi w:val="0"/>
      </w:pPr>
      <w:r>
        <w:t>合同可安排余量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382E91D0">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A5C6DE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CC33C5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B8758C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A1F4EA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0B2BE3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DC9B25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318664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931854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6F174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642F3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AF44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合同可安排余量编号★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8DBB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CTRBAL_Id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FBC0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FF7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68D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B05B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CTRBAL+日期+流水号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56B4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DC48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AAFE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A7B6D4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4013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6EC8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5E75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39AF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FBB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67F3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F91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BB76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240F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628EE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12C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88A1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7E1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88BB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D882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2B65D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有效采购合同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1D1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SAP/合同管理系统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72C6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1094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按合同号直接映射</w:t>
            </w:r>
          </w:p>
        </w:tc>
      </w:tr>
      <w:tr w14:paraId="09E52B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1F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5CFB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155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FE1C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2B89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D2C8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F19E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135A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AFA5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826F3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F74C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EE91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AC65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0601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7FDD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F83A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5BB5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68A6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0F99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84234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2C83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合同签订日期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2C7D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Contract_Sign_Date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1167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AE37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30EC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4E68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0DE0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E4F0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建议：Sign_Date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7A52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取正式签订日期</w:t>
            </w:r>
          </w:p>
        </w:tc>
      </w:tr>
      <w:tr w14:paraId="337197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A8B9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合同有效期至</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3726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Contract_Valid_To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684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B428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36A9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E8F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61B1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B1B3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建议：Valid_To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BCF7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取合同失效日期</w:t>
            </w:r>
          </w:p>
        </w:tc>
      </w:tr>
      <w:tr w14:paraId="5DF015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3FA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DE7C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0AA3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486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D854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9316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9D8C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9D74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AA28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按合同基本计量单位转换</w:t>
            </w:r>
          </w:p>
        </w:tc>
      </w:tr>
      <w:tr w14:paraId="4CD745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F87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已下达数量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91E3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3AF7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B02D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05A9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CEC6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6CAA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2749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建议：Released_Qty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6C1C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汇总已生效要货或采购订单数量</w:t>
            </w:r>
          </w:p>
        </w:tc>
      </w:tr>
      <w:tr w14:paraId="402CF3D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5A3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已收货数量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76E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25D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B8AA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529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EBDC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2475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BA91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0B13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汇总已过账收货数量</w:t>
            </w:r>
          </w:p>
        </w:tc>
      </w:tr>
      <w:tr w14:paraId="0BC8A6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F70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可安排余量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743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Available_Balance_Qty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285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83D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B87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9994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391E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E417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28A0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合同量扣除已下达和已取消占用</w:t>
            </w:r>
          </w:p>
        </w:tc>
      </w:tr>
      <w:tr w14:paraId="3FF265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95C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最晚交期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A86F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Latest_Delivery_Date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60D2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0CF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7F4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5DBB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03C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5AE0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建议：Latest_Delivery_Date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576C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取合同约定最晚交付日期</w:t>
            </w:r>
          </w:p>
        </w:tc>
      </w:tr>
      <w:tr w14:paraId="545167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A16D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527E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71FA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CD90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E18B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83D7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F00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7A54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57F65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冻结余量计算时点</w:t>
            </w:r>
          </w:p>
        </w:tc>
      </w:tr>
      <w:tr w14:paraId="6D2F28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6B0E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93E1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437B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689C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606B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542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203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30D6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1C84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14C854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9E8A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1EA8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C5FE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9DF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FD0C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A361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BFAE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B03E0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4CAD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BB425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9BB6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148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A96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8EAE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D72C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FFB3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8438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3481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D3B6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AA2AC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515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C82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0C97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8822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995E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197C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29D5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5C31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F77B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C3411DC">
      <w:pPr>
        <w:pStyle w:val="6"/>
        <w:bidi w:val="0"/>
      </w:pPr>
      <w:r>
        <w:t>日度要货计划</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C432D4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57398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720F4C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7863C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087D96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C9E36A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066D7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C1FA2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CEF42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3D71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58DB6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C4AB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D005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REQPLN_Id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1E77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CC7E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17DE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D375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REQPLN+日期+流水号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EB5B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C91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5DDD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04205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2A2D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716C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8EC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06F0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0C0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0FD2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7E54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DABE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5572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DE2FC4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92EA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要货条件版本编号▲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D25C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Condition_Version_Id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AFA0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32BB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2C56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0212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已生效条件版本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3CE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D5C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57DA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关联本次计算条件</w:t>
            </w:r>
          </w:p>
        </w:tc>
      </w:tr>
      <w:tr w14:paraId="0A5E41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94E0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57D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5742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3FF4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0442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AD0B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AE24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EFD1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0F9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关联合同可安排余量</w:t>
            </w:r>
          </w:p>
        </w:tc>
      </w:tr>
      <w:tr w14:paraId="32EF491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BD8B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FFB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D27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E44A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BE16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E0F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6E18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4FF21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0D22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96AAC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CE9A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781D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9A3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941C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9577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C0C7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EE7D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2EA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EA75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8E751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CF8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909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9C7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0548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077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8B08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3F48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1382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9A13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按生产耗用和安全缓冲确定</w:t>
            </w:r>
          </w:p>
        </w:tc>
      </w:tr>
      <w:tr w14:paraId="7FD719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A510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829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Planned_Arrival_Qty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4A0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EB3C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78F0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E351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2F09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24E4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605F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按日记录要货数量</w:t>
            </w:r>
          </w:p>
        </w:tc>
      </w:tr>
      <w:tr w14:paraId="1D9D3A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D52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67C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Projected_Stock_Qty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C3DD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C0A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BAD8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AC45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3FD9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3D7D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2A99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计入固定到货后重新投影</w:t>
            </w:r>
          </w:p>
        </w:tc>
      </w:tr>
      <w:tr w14:paraId="1CDEEA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24EB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固定到货量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3574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Fixed_Arrival_Qty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A5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DA6B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6A2E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80EA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633A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BCE6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执行状态汇总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E607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已确认、已下达或在途数量</w:t>
            </w:r>
          </w:p>
        </w:tc>
      </w:tr>
      <w:tr w14:paraId="50BAE0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A4A7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人工锁定标识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BFBA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Manual_Lock_Flag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A5DF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9EA0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DCB9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41C6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6E24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7D11E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业务确认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CFA2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锁定后滚动计算不得自动改变</w:t>
            </w:r>
          </w:p>
        </w:tc>
      </w:tr>
      <w:tr w14:paraId="093C0D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AF49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补位原因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F68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Substitution_Reason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9F45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815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1456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6973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余量不足/禁运/日期不可达/能力不足</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8E02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28F7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1BD6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未按默认顺序时说明原因</w:t>
            </w:r>
          </w:p>
        </w:tc>
      </w:tr>
      <w:tr w14:paraId="24F2A4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D806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A4F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5CA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DDC9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0F68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347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通过/警告/不通过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BE35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1133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64BF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校验库存、合同余额和可执行性</w:t>
            </w:r>
          </w:p>
        </w:tc>
      </w:tr>
      <w:tr w14:paraId="7FB34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79E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5FD5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7F3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E908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9E3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5D3F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80A8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5ED5D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25A6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记录业务确认人</w:t>
            </w:r>
          </w:p>
        </w:tc>
      </w:tr>
      <w:tr w14:paraId="033DE6F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37C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D13A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7AD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CC5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C418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B0F7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2E4F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8C9D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DBB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记录计划正式生效时间</w:t>
            </w:r>
          </w:p>
        </w:tc>
      </w:tr>
      <w:tr w14:paraId="1C5F2D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9EC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CF9B4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B1D7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DB6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1182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9D7B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64C9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C57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BC01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70808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89DA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2D657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C50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05A3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BC93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1416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1602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BD73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9D68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18DF8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D9F8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C81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4296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BA2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19D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4BD8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5806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9A7E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5F07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0B442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06BC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5F60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2F00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31B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4BD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3219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5D03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CB69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9EAD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BE4D01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735C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56A5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CC64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870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4B64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FD6A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5595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B1DF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4236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AC7DC2E">
      <w:pPr>
        <w:pStyle w:val="6"/>
        <w:bidi w:val="0"/>
      </w:pPr>
      <w:r>
        <w:t>供应商送货承诺</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FC22D0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B1213D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0D2EB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51ACB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543A7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AC497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CC066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6A9F40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E1134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0B16D7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0FD9F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67F9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供应商送货承诺编号★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C847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SUPCMT_Id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B7F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E5E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A49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03FF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SUPCMT+日期+流水号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28B0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C75E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AADF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C8A3A0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2E96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D82C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32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DC05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209E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A307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B00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EFD4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23B7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22F4E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81E5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138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Requisition_Plan_Id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208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1CF5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C0FF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CB40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已下达要货计划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67A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CEF9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47AD8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关联供应商收到的计划明细</w:t>
            </w:r>
          </w:p>
        </w:tc>
      </w:tr>
      <w:tr w14:paraId="3143F2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2600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50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BD4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7CD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6A66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5DBD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451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13D9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88B5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396B185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A612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B621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B22E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6040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9B79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C2E6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F00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ED7C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26CD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AFC3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B898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0CFC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FD8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86BB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6C3F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E555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7997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76C3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71A1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取供应商最新有效承诺</w:t>
            </w:r>
          </w:p>
        </w:tc>
      </w:tr>
      <w:tr w14:paraId="67DE551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756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4540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4081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D527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C12D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E000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DA07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0646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建议：Committed_Qty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414F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按基本计量单位转换</w:t>
            </w:r>
          </w:p>
        </w:tc>
      </w:tr>
      <w:tr w14:paraId="336F87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D91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反馈时间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FE07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Feedback_Time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BAF3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164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E995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B5C0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25B4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C22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建议：Feedback_Time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464F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取承诺反馈提交时间</w:t>
            </w:r>
          </w:p>
        </w:tc>
      </w:tr>
      <w:tr w14:paraId="748FFB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DED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D2C9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Commitment_Status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D10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256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5542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BFE7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已接受/部分接受/拒绝/待确认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225F3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8301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建议：Commitment_Status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2AB1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统一转换供应商反馈状态</w:t>
            </w:r>
          </w:p>
        </w:tc>
      </w:tr>
      <w:tr w14:paraId="428A03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3DAC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反馈意见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F3F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Feedback_Comment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95A1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B7D0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3A56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8409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4BB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B6C2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建议：Feedback_Comment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AC3C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保留供应商原始反馈</w:t>
            </w:r>
          </w:p>
        </w:tc>
      </w:tr>
      <w:tr w14:paraId="0F832D6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C700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承诺变更次数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A737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Commitment_Change_Count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69D1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629A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F444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33BE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BD9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ABF8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版本统计</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A0E4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按同一计划明细累计变更次数</w:t>
            </w:r>
          </w:p>
        </w:tc>
      </w:tr>
      <w:tr w14:paraId="73E6881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ABCB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236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DC4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0B5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4629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A9F6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BB0A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C363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50C2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3DB5A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9274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1615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72E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85C9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CDAA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D84B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4102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9E22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B318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489E0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48B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7316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0E3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B797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E97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04E4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65A1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5206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840D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26276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74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B27B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34C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6C72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0A6E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D6059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6A0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ECA2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78D6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F493A56">
      <w:pPr>
        <w:pStyle w:val="6"/>
        <w:bidi w:val="0"/>
      </w:pPr>
      <w:r>
        <w:t>要货执行跟踪</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0DBA96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4A721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4ADC6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8B3836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EFAF31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F29E5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FB2E9A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E636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062D2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72652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7792E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C41B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要货执行跟踪编号★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83BF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391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877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7164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FE17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B996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C9B2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1CCC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C2866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CA1E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1A3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35C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024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23D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BEAF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40F6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6ED6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7D17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F3D367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F4C2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18B7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Requisition_Plan_Id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3EF9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2CA9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35C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79CD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9582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93EA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043B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关联执行依据</w:t>
            </w:r>
          </w:p>
        </w:tc>
      </w:tr>
      <w:tr w14:paraId="0A838A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BDE2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供应商承诺编号▲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641A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Supplier_Commitment_Id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B64E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426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0772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04C4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供应商送货承诺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A55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478CD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C7E5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已反馈承诺时建立关联</w:t>
            </w:r>
          </w:p>
        </w:tc>
      </w:tr>
      <w:tr w14:paraId="39CAAA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F463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7616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5761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F08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D961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090E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2D75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F671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E68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37417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C2E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B50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CB7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580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D194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F01C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3F6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2A67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187B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4F3F50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CD2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下达时间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61A2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8D60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54D1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5E63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2FC38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E86A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EFE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建议：Release_Time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0000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记录成功发送至执行系统的时间</w:t>
            </w:r>
          </w:p>
        </w:tc>
      </w:tr>
      <w:tr w14:paraId="2D8D43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AC09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下达状态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1E48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0F4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F02C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C36F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A13F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待发送/已发送/失败/已确认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973B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76E3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接口状态</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D34D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按接口回执转换</w:t>
            </w:r>
          </w:p>
        </w:tc>
      </w:tr>
      <w:tr w14:paraId="5F14A2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9F2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A90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Shipped_Qty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171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38A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D81C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A34E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D001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122A6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建议：Shipped_Qty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51C1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汇总有效发运数量</w:t>
            </w:r>
          </w:p>
        </w:tc>
      </w:tr>
      <w:tr w14:paraId="624D25F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0188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在途状态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2793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Intransit_Status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7AFE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BBE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F68F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4466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待发运/运输中/异常/已到厂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2D6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9A07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建议：Intransit_Status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47B4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按运输节点统一状态</w:t>
            </w:r>
          </w:p>
        </w:tc>
      </w:tr>
      <w:tr w14:paraId="0A7195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A855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4ED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CDB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9FD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42BD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A7A3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6510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58BF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D0F6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取最新有效预计到货日</w:t>
            </w:r>
          </w:p>
        </w:tc>
      </w:tr>
      <w:tr w14:paraId="523EDC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FE2C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实收到货数量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5400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F1A2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97EF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52C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0CFC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784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AFD9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0DEB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汇总已过账收货数量</w:t>
            </w:r>
          </w:p>
        </w:tc>
      </w:tr>
      <w:tr w14:paraId="35A3EB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C34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质检状态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8663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3A6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9A03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DC7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551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待检/合格/不合格/冻结</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467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EC2B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8C77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统一映射质量状态</w:t>
            </w:r>
          </w:p>
        </w:tc>
      </w:tr>
      <w:tr w14:paraId="1A5D75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F1A6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执行偏差类型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9F2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Execution_Deviation_Type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66DD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7BA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51CA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62A7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延期/不足/拒绝/运输异常/质量异常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BD9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EA24C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2E55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比较计划、承诺和实际形成</w:t>
            </w:r>
          </w:p>
        </w:tc>
      </w:tr>
      <w:tr w14:paraId="34B028D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6A8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固定到货标识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096D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Fixed_Arrival_Flag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0C4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4F1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DEA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822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10E5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3DB48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16B5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已承诺、已下达或在途时锁定</w:t>
            </w:r>
          </w:p>
        </w:tc>
      </w:tr>
      <w:tr w14:paraId="6139070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0E3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AAF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679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73B0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F0DB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7CB1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596F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E9A8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8744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DEAC5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DB5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0A0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831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EC8C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EFD0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3705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E754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4423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2100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4B814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262B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1CBD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48C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D520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FF55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BC4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6CD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ADDB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2888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575ED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C8A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189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0F8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E2CD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3292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2ED9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F99C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E16F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D9A8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07059B9">
      <w:pPr>
        <w:pStyle w:val="6"/>
        <w:bidi w:val="0"/>
      </w:pPr>
      <w:r>
        <w:t>要货计划调整</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3A6524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BE685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31B4E9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99252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9A91E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9916D5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AB5C2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15D99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821C3D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1657C7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345A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1AF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要货计划调整编号★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934D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REQADJ_Id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196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6139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F58C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9819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REQADJ+日期+流水号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3A9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B08FF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C183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D4C21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8A2E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EF69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AA29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B858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204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99C6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2BEC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160C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BF85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90F51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7AA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3713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2B26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1C09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6D4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4DED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65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34B4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BB78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关联调整前版本</w:t>
            </w:r>
          </w:p>
        </w:tc>
      </w:tr>
      <w:tr w14:paraId="0A54BD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AD1F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A62F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C7A9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CD6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A3A4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FE71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3A6C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E73D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723E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关联调整后版本</w:t>
            </w:r>
          </w:p>
        </w:tc>
      </w:tr>
      <w:tr w14:paraId="626615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ED4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C00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9B43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5F94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F917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3539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需求/库存/执行/预计到货/合同/禁运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EC2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AC57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7CDB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统一转换触发调整的业务变化</w:t>
            </w:r>
          </w:p>
        </w:tc>
      </w:tr>
      <w:tr w14:paraId="311BA7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AD5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2BA6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246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F7B6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EADF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406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物料/日期/供应商/合同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D0D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FAA6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A72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记录需重算的未执行范围</w:t>
            </w:r>
          </w:p>
        </w:tc>
      </w:tr>
      <w:tr w14:paraId="48FAD5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BB13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7C92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335F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B169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BD3E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0F0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已确认/已下达/在途/人工锁定</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2390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4F17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62C1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调整时保持不变的明细范围</w:t>
            </w:r>
          </w:p>
        </w:tc>
      </w:tr>
      <w:tr w14:paraId="28FCC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028F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调整前数量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5415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Before_Qty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B13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DF38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84D1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C609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A7C5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823B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BD50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汇总受影响范围原计划量</w:t>
            </w:r>
          </w:p>
        </w:tc>
      </w:tr>
      <w:tr w14:paraId="20C0831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5B2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调整后数量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0AF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After_Qty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02B7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37A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9071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758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5BBA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92A8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A5E8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汇总受影响范围新计划量</w:t>
            </w:r>
          </w:p>
        </w:tc>
      </w:tr>
      <w:tr w14:paraId="51E8E1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F581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FA9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DF6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08C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E862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B8C6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EE2B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454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D6A3B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记录差异和业务依据</w:t>
            </w:r>
          </w:p>
        </w:tc>
      </w:tr>
      <w:tr w14:paraId="6D9617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4B9C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5F74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2DB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8646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AFA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8A63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通过/警告/不通过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1EC9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ABDB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50E8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校验合同余量、库存和可执行性</w:t>
            </w:r>
          </w:p>
        </w:tc>
      </w:tr>
      <w:tr w14:paraId="2CB0BC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9451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同步状态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3F4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Sync_Status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0D29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34AB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D62B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771E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待同步/成功/失败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2F4D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0030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接口状态</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D9DA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记录对执行系统的同步结果</w:t>
            </w:r>
          </w:p>
        </w:tc>
      </w:tr>
      <w:tr w14:paraId="1BF9C9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D19C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4A3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58F0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3C9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BE6C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3E1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5E7B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D9D8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FA59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DC2A1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4CD0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9433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351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580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6D82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B95C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7B3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D5AF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3AA3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15AA6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267D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5526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94E2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3E73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DC69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A651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4B8F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51835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3AE3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BBD57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C2E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D072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5F8F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F0D9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6A06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DCF3B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2211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0E69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D6F3F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259A5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467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3AB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B58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6583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B86D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2A25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CA3A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4700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EA8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51FDB4B">
      <w:pPr>
        <w:pStyle w:val="6"/>
        <w:bidi w:val="0"/>
      </w:pPr>
      <w:r>
        <w:t>要货异常协调</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22FE0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7E5D2B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5D49C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54B1D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A5C32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88DA5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B44C4E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471883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761A0E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22EDC2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9A9F8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F65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要货异常协调编号★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C40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DD8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EB99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50B5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FF34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3EE4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51EB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4235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454AC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971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7AE5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BF25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88BB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EEB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27BA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AA34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6179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88A2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930E28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7F6D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98D4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78B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5D7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5082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2DE0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7F62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A5BC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D5DF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8B7A4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07D0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4CAB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55E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A48A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D69E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D2C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0403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D615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280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记录预计发生缺口日期</w:t>
            </w:r>
          </w:p>
        </w:tc>
      </w:tr>
      <w:tr w14:paraId="33D4122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684C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缺口数量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21A1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Shortage_Qty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D65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88C1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CDDA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2140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7675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D982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D17B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需求减可用库存和固定到货</w:t>
            </w:r>
          </w:p>
        </w:tc>
      </w:tr>
      <w:tr w14:paraId="3604C6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353E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A324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Projected_Stock_Qty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7912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E5E2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015C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6AD1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B73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4B6D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库存投影</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780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记录风险日期预计库存</w:t>
            </w:r>
          </w:p>
        </w:tc>
      </w:tr>
      <w:tr w14:paraId="31756E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076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C8D7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Exception_Cause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F981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50C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B36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B6B9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供货/运输/质检/合同/需求变化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BEB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D2D0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9CBA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按事实证据分类</w:t>
            </w:r>
          </w:p>
        </w:tc>
      </w:tr>
      <w:tr w14:paraId="7E788D8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3533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协调方向</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01BA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Coordination_Direction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0293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FD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C00D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D2ED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提前供货/改期/替代/生产协调/风险接受</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227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B2D4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777B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记录协调处置方向</w:t>
            </w:r>
          </w:p>
        </w:tc>
      </w:tr>
      <w:tr w14:paraId="764C691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7D6D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0156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2A7B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D98C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C7A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C935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FC6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18AD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任务派发</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1FD7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匹配业务责任人</w:t>
            </w:r>
          </w:p>
        </w:tc>
      </w:tr>
      <w:tr w14:paraId="3C8649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D622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临时措施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38C1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Temporary_Measure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4B4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1101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A640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9C43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E1C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D105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C165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风险无法消除时记录临时措施</w:t>
            </w:r>
          </w:p>
        </w:tc>
      </w:tr>
      <w:tr w14:paraId="29DBF9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A6C6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升级级别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C46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Escalation_Level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565C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C6E9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F678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2927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74CE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FCCEB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3193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按影响和时限确定</w:t>
            </w:r>
          </w:p>
        </w:tc>
      </w:tr>
      <w:tr w14:paraId="76814C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3E3A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4FF2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Closure_Result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EE9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1706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8A2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9800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已消除/风险接受/升级处理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A9CB3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93A2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855A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记录最终闭环结论</w:t>
            </w:r>
          </w:p>
        </w:tc>
      </w:tr>
      <w:tr w14:paraId="5C575F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33E2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7F44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3AA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7323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A8B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A9C3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要货调整任务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DF05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0777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0BBD9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需要滚动调整时建立关联</w:t>
            </w:r>
          </w:p>
        </w:tc>
      </w:tr>
      <w:tr w14:paraId="5ABAA7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FAC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498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50B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DBCE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8BC8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E961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F6C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6B47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C22C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C6750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F0CC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67E9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7E8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027C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4564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95E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2A8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D497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EFDB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171AC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83CF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EBAA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D8BC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6F7C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1642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89B1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AEB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F719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6BBC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1A156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6A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188D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E36D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17C9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33DB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4E8E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4BEA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E62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D145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2657EE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7A8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73A3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EE7F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8F6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001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E64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883C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1924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7E3A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3E127D8">
      <w:pPr>
        <w:pStyle w:val="6"/>
        <w:bidi w:val="0"/>
      </w:pPr>
      <w:r>
        <w:t>供应商禁运状态</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8EF58C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16905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313873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D059D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6EAF75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9D5821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ECE89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780C18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7E5A0C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0E8BB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8FB6F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AE22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供应商禁运状态编号★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32E6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DC10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1DF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2CE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3DB2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867C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22D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E8D8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E119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B8D6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7FEE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3B0A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61A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C38A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FC47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6BB4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C008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D11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A6365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33CF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AAD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EE8B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D857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B217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2A78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48B9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86B8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9765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44DD8E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29B5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EF4D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A9A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40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B17A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1341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全部/物料/合同/工厂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91A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D888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业务申请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0189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记录状态限制适用范围</w:t>
            </w:r>
          </w:p>
        </w:tc>
      </w:tr>
      <w:tr w14:paraId="72772F0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A95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753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8CDC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EF94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CAD9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B8CF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禁运/解除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236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D002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5A2A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按已确认状态变更记录</w:t>
            </w:r>
          </w:p>
        </w:tc>
      </w:tr>
      <w:tr w14:paraId="17C46A8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203C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原因类型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10E7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Reason_Type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86CB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B2B0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DDC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720C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质量/交付/合规/业务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EFB4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61E8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建议：Reason_Type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AD4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按异常事实统一分类</w:t>
            </w:r>
          </w:p>
        </w:tc>
      </w:tr>
      <w:tr w14:paraId="36D74D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8301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事实依据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2F1E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Evidence_Description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8DAF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87C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415C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B707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单据或说明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234A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8A3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建议：Evidence_Reference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DE10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关联异常事实与证明材料</w:t>
            </w:r>
          </w:p>
        </w:tc>
      </w:tr>
      <w:tr w14:paraId="20A8DD3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544C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申请人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875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Applicant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AA3F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9462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13B3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4A21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08C0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491A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申请记录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5BE6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记录状态变更发起人</w:t>
            </w:r>
          </w:p>
        </w:tc>
      </w:tr>
      <w:tr w14:paraId="0A42D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7BDE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DD85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Reviewer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9E79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69EE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AC1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804C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5960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946E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6350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记录复核责任人</w:t>
            </w:r>
          </w:p>
        </w:tc>
      </w:tr>
      <w:tr w14:paraId="415B36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A9D3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AB43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0D34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3B8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4CB9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CB4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BEC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9D2C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783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记录最终确认人</w:t>
            </w:r>
          </w:p>
        </w:tc>
      </w:tr>
      <w:tr w14:paraId="66977D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AB49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6595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F73E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7C3D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C7D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245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92F1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7CBE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A0DF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从确认的时间点起生效</w:t>
            </w:r>
          </w:p>
        </w:tc>
      </w:tr>
      <w:tr w14:paraId="66E873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3CB3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失效时间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12E7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Expire_Time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F110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D69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787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3A00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5D2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2F5D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5C53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解除后关闭原禁运记录</w:t>
            </w:r>
          </w:p>
        </w:tc>
      </w:tr>
      <w:tr w14:paraId="3F96986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C2CE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受影响在途说明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444C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Affected_Intransit_Comment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0537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C6DB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75E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BD64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4AFD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1C5A2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建议：Affected_Intransit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8336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禁运不自动取消已有在途，记录协调意见</w:t>
            </w:r>
          </w:p>
        </w:tc>
      </w:tr>
      <w:tr w14:paraId="1896BE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3674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97A2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72AB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8972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6B23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BCC7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F115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0766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B481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AB75F9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6F4D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9A6F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D95B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5E6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0CB4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3AA0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99B1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23D1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EF6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5F13E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C887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5BA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95DF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A6E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353C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CC75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40B0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8290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FC68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99078F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0F0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2A5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CD54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309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7B5E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0D11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E3DE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004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3EB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B7D65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0C8F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DFB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B18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71DD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46BF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3E2A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32CB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E397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BE11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CAB1358">
      <w:pPr>
        <w:pStyle w:val="4"/>
        <w:bidi w:val="0"/>
        <w:rPr>
          <w:rFonts w:hint="eastAsia" w:ascii="黑体" w:hAnsi="黑体" w:eastAsia="黑体" w:cs="黑体"/>
        </w:rPr>
      </w:pPr>
      <w:bookmarkStart w:id="51" w:name="_Toc1218031925"/>
      <w:r>
        <w:rPr>
          <w:rFonts w:hint="eastAsia" w:ascii="黑体" w:hAnsi="黑体" w:eastAsia="黑体" w:cs="黑体"/>
        </w:rPr>
        <w:t>成本分摊</w:t>
      </w:r>
      <w:bookmarkEnd w:id="51"/>
    </w:p>
    <w:p w14:paraId="598698D9">
      <w:pPr>
        <w:pStyle w:val="6"/>
        <w:bidi w:val="0"/>
      </w:pPr>
      <w:r>
        <w:t>生产批次</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AE71EC4">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F122E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4EC0B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A2C4E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BD609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BD6E2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0DEA23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A4C01A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05125C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0FF974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FB7AA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0703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DCA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70CA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196C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C002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909C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178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E43B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177D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E77FE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144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4246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73A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1CE3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8EBC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2D83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1A61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0D74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38ED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40361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EA69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6D59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5B4A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7BC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A5E5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340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SAP/MES工单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340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229E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建议：Production_Order_No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5E5F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关联有效生产订单</w:t>
            </w:r>
          </w:p>
        </w:tc>
      </w:tr>
      <w:tr w14:paraId="3B1DE7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CA6B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DA7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6084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7FE2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FE9D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A1C5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2EE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A635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707A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681341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015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30E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F1F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5C6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3059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95E1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外部来源/物流/连续窗口/设备周期/工单活动/实体罐/库存/发运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9123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ACE7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162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按路线节点和批次规则分类</w:t>
            </w:r>
          </w:p>
        </w:tc>
      </w:tr>
      <w:tr w14:paraId="62B4B7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9840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工艺路线版本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A6B2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Route_Version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057E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AC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0689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DF5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事件时点有效版本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462B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E23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建议：Route_Version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07DB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按批次起始时间匹配有效路线</w:t>
            </w:r>
          </w:p>
        </w:tc>
      </w:tr>
      <w:tr w14:paraId="591DE2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AF9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设备编码▲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1A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Equipment_Code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9CD9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2F4C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8200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73BE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生产设备/储罐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5EF6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FF8F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建议：Equipment_Code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F9D8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按执行记录直接映射</w:t>
            </w:r>
          </w:p>
        </w:tc>
      </w:tr>
      <w:tr w14:paraId="6EC16C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4F8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1C0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Batch_Start_Time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B16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B6A4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AC45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B5F5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C17D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8834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建议：Batch_Start_Time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8C5A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按边界事件或计量时点确定</w:t>
            </w:r>
          </w:p>
        </w:tc>
      </w:tr>
      <w:tr w14:paraId="2C4959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FC92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批次结束时间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6925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Batch_End_Time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A86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0D03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9BB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731B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82B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60FF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建议：Batch_End_Time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F964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按边界事件或计量时点确定</w:t>
            </w:r>
          </w:p>
        </w:tc>
      </w:tr>
      <w:tr w14:paraId="7B36A4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C5B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投入数量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8F2E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5F62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C493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A717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79FA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82C4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6954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建议：Input_Qty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7DA1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按两端计量和收发存统一换算</w:t>
            </w:r>
          </w:p>
        </w:tc>
      </w:tr>
      <w:tr w14:paraId="25DFD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11F6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5080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Output_Qty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DA7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CC57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BE6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752E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2E6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519F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建议：Output_Qty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423E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按批次实际产出计量汇总</w:t>
            </w:r>
          </w:p>
        </w:tc>
      </w:tr>
      <w:tr w14:paraId="2277A1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313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37FD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DE20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0DE8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8FC5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939A7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2814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96A8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207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仅统计已判定合格数量</w:t>
            </w:r>
          </w:p>
        </w:tc>
      </w:tr>
      <w:tr w14:paraId="50B6955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6649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边界可信度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4AB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Boundary_Confidence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49AB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4AFB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7774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6304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264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F52B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规则评估</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2DA7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按计量、事件和证据完整度生成</w:t>
            </w:r>
          </w:p>
        </w:tc>
      </w:tr>
      <w:tr w14:paraId="62062BD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B9DD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异常事实说明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D426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Exception_Fact_Comment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E03A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2EB4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306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B1D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停机/旁路/清洗/切换/罐底/返工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2DB1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862C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业务补充</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86EF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保留业务确认的异常事实</w:t>
            </w:r>
          </w:p>
        </w:tc>
      </w:tr>
      <w:tr w14:paraId="5206A5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810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A0A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41E0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F6C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D8A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CB09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BD1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1615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490C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9FAB2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E45E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F38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0A3E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567D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1247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3F9B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35B9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266AD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78E4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F81F3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C83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9CED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CE4D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AE9C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D1B7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4F02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B152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9360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6BC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66454D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F95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A444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6796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CA5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461F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142A2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895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AA55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D75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E6A7B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3629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A5E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38EB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C0D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AD5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BFFA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FA09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F3AD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D36F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7056079">
      <w:pPr>
        <w:pStyle w:val="6"/>
        <w:bidi w:val="0"/>
      </w:pPr>
      <w:r>
        <w:t>批次谱系关系</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2A7DAE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A2DEF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E6ABC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F6077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E5173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D12EE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9E978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63FA9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7D839E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F0ADC4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D2875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6E65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批次谱系关系编号★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E78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LINEAGE_Id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7C87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5A45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E627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BEE0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LINEAGE+日期+流水号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0A56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6A18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4A7C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44C44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F21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D460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AD78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1B7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30F0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AB8C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AC3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71A7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051F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4BD19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61A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上游批次编号▲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590A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Upstream_Batch_Id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A167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D1BA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5C02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ADFE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ADE4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3EA4F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573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关联物料来源批次</w:t>
            </w:r>
          </w:p>
        </w:tc>
      </w:tr>
      <w:tr w14:paraId="18C438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AA2B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下游批次编号▲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B3FA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Downstream_Batch_Id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AE1C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CC8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2F0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8CF9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4C7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8AE6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FA80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关联物料接收批次</w:t>
            </w:r>
          </w:p>
        </w:tc>
      </w:tr>
      <w:tr w14:paraId="56A9D1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BB5D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关系类型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8E31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832D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6F4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1962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C14C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投料/转罐/物流/配方/返工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9586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90D0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F09A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按有效路线和业务事件分类</w:t>
            </w:r>
          </w:p>
        </w:tc>
      </w:tr>
      <w:tr w14:paraId="2BF1F82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90C8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有效路由编号▲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2077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Route_Id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686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087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7838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C2A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事件时点有效路线</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222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EBAA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建议：Route_Id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64E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按关系发生时点匹配路线</w:t>
            </w:r>
          </w:p>
        </w:tc>
      </w:tr>
      <w:tr w14:paraId="4DAF8C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6C9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9881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Transfer_Out_Time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78C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7E95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09F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9D19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596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791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建议：Transfer_Out_Time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251A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取上游实际转出时点</w:t>
            </w:r>
          </w:p>
        </w:tc>
      </w:tr>
      <w:tr w14:paraId="5A4FAF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350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9E35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D54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FFE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9AE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6E55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6F2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4DE1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EA5F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取下游实际接收时点</w:t>
            </w:r>
          </w:p>
        </w:tc>
      </w:tr>
      <w:tr w14:paraId="12F9ED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B1E0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AC2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Transfer_Out_Qty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A6E1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C928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F78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79EC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462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D9A9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建议：Transfer_Out_Qty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9833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按独立计量或业务单据取值</w:t>
            </w:r>
          </w:p>
        </w:tc>
      </w:tr>
      <w:tr w14:paraId="0C374A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8FC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34D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897E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959B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B15D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7181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CB0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38E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A87B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按独立计量或罐差取值</w:t>
            </w:r>
          </w:p>
        </w:tc>
      </w:tr>
      <w:tr w14:paraId="045D67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D7FD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来源占比</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0A4A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Source_Ratio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FD78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C02F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A19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8265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04DC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D97C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7FFD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接收量占下游总来源量比例</w:t>
            </w:r>
          </w:p>
        </w:tc>
      </w:tr>
      <w:tr w14:paraId="22B202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9E43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去向占比</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12C5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Destination_Ratio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ACD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3D74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AEE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A2D6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0B53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2002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C1F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转出量占上游总去向量比例</w:t>
            </w:r>
          </w:p>
        </w:tc>
      </w:tr>
      <w:tr w14:paraId="0E05B4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7149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转化率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2056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Conversion_Rate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F7F7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AD14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716E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81F5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0EC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D5B6B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1688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按有效投入产出关系计算</w:t>
            </w:r>
          </w:p>
        </w:tc>
      </w:tr>
      <w:tr w14:paraId="17737E4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D984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证据来源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59FB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Evidence_Source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BA94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70CF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7A1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0524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计量/阀门/称重/单据/QC</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C7E7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C134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建议：Evidence_Source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DDA7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记录关系成立的主要证据</w:t>
            </w:r>
          </w:p>
        </w:tc>
      </w:tr>
      <w:tr w14:paraId="619EC4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7D23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关系可信度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4008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Relation_Confidence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4E9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E1A6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9BA1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C25C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1A3D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84CD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规则评估</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9BEC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综合路线、时间、数量和证据评分</w:t>
            </w:r>
          </w:p>
        </w:tc>
      </w:tr>
      <w:tr w14:paraId="723ADF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0222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431F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9BB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95C6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B9AB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B5A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46A7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3497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1BB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AC3E4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E73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879D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F82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2B6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F45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2365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1ADA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6960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929F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AA8423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2FE2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63B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9C68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EDB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10D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D14EB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DD8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967B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07D4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F3F62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3385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AB3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31C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94EA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6E7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306D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7915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1B4B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57B1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09D76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A63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DE14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662D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586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4BF4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ABC6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C1F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5FDC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33A1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25EE20A">
      <w:pPr>
        <w:pStyle w:val="6"/>
        <w:bidi w:val="0"/>
      </w:pPr>
      <w:r>
        <w:t>成本事实</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1545E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00DA7E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DF3147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B424B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0BCF0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3E6114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860535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8B58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A5ABC1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8B0FF8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808051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3347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成本事实编号★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2C9F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COSTFACT_Id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F69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665C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C51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0B16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COSTFACT+日期+流水号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053E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49FF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FA41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D0A4A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177B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A141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643C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F97A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345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8E7F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F4EC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157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423F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F0657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F107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来源单据编号▲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848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Source_Document_No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763B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66EE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7E93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E0C1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唯一业务单据号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DCC9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SAP/MES/TMS/QMS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226C2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建议：Source_Document_No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5B3D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与来源系统类型组成去重键</w:t>
            </w:r>
          </w:p>
        </w:tc>
      </w:tr>
      <w:tr w14:paraId="1C4431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92A6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来源系统类型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6A6C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Source_System_Type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8B7E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1DB7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90BF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E2D4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SAP/MES/TMS/QMS/LIMS/DCS</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2415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82C15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接口上下文</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9E78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记录权威事实来源</w:t>
            </w:r>
          </w:p>
        </w:tc>
      </w:tr>
      <w:tr w14:paraId="29E4B1A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0C11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成本发生日期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663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2220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A859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969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8C1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74DC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AB36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AD87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取实际业务发生日期</w:t>
            </w:r>
          </w:p>
        </w:tc>
      </w:tr>
      <w:tr w14:paraId="40BEFA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24B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会计期间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8FAA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Accounting_Period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AC44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A466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822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B9C1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5DB0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E12C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建议：Accounting_Period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A345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按财务过账期间映射</w:t>
            </w:r>
          </w:p>
        </w:tc>
      </w:tr>
      <w:tr w14:paraId="728E14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82E9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310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325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953E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FDA5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AF85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EC6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651F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1154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沿用财务成本要素编码</w:t>
            </w:r>
          </w:p>
        </w:tc>
      </w:tr>
      <w:tr w14:paraId="6B993B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2E98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311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0B0B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6181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F07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CFB5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材料/能源/维修/检验/包装/运输/其他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8E15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7B78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代码转换</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BAD7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按成本要素映射到业务分类</w:t>
            </w:r>
          </w:p>
        </w:tc>
      </w:tr>
      <w:tr w14:paraId="210198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0313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DDBD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DEC1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8B6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A49A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9111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170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D923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5DB8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可直接计批时关联批次</w:t>
            </w:r>
          </w:p>
        </w:tc>
      </w:tr>
      <w:tr w14:paraId="7D550B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8426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950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1AA6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3146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B57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FE54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D481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0DD2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A1A3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统一为不含税或已确认成本口径</w:t>
            </w:r>
          </w:p>
        </w:tc>
      </w:tr>
      <w:tr w14:paraId="39F430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DA33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29F8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Currency_Code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FF8D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2CCE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2A7A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C902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CNY等ISO币种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30AB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140A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建议：Currency_Code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CE6B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按财务币种代码映射</w:t>
            </w:r>
          </w:p>
        </w:tc>
      </w:tr>
      <w:tr w14:paraId="386756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1D2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含税标识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64B9A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Tax_Included_Flag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94BF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631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866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62FE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AE99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D632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建议：Tax_Included_Flag</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59B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明确金额税口径</w:t>
            </w:r>
          </w:p>
        </w:tc>
      </w:tr>
      <w:tr w14:paraId="4694AD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CE8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C88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Cost_Driver_Qty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89A6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DFD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FF1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1F2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C36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9A03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建议：Cost_Driver_Qty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54F2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用于单位成本或直接归集</w:t>
            </w:r>
          </w:p>
        </w:tc>
      </w:tr>
      <w:tr w14:paraId="4E97A40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C661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计量单位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0C33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Uom_Code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449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139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5025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24AC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SAP基本单位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83B3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CA31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建议：Uom_Code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CC97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统一转换为标准计量单位</w:t>
            </w:r>
          </w:p>
        </w:tc>
      </w:tr>
      <w:tr w14:paraId="798A9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5195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去重键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A6B7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Deduplication_Key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A5AA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2D58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128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E601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BA5C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系统+单据+行+版本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9EE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29A0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B171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用于防止重复成本事实</w:t>
            </w:r>
          </w:p>
        </w:tc>
      </w:tr>
      <w:tr w14:paraId="1C7AE86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BA8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752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0175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8BDA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445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525D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D918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0265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4507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E9BD1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4C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09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FBA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774E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28EB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F537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FF45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0A327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306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B4EC7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CA40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0F51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FA0C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CE9D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49EB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BBA7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53CB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1F90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7CC8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38E85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2630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DEB0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AA5D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ABCB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A21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B9A2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102F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A02D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3A0B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BE7A26D">
      <w:pPr>
        <w:pStyle w:val="6"/>
        <w:bidi w:val="0"/>
      </w:pPr>
      <w:r>
        <w:t>批次直接成本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58478B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91A427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F5185B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9B191C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C65541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3D37B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7B96C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020E6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261180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811E9F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4D66F3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972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批次直接成本编号★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E19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9B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0976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18BF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ED3C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66D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9A65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4839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A77A3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35FC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A931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555B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5C88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148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CC08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E451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29F6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DD4E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B4D3C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906C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EF18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D10B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839C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7FCD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E2C7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84F1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2BDA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04FA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关联成本承接批次</w:t>
            </w:r>
          </w:p>
        </w:tc>
      </w:tr>
      <w:tr w14:paraId="5A8D8C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339E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成本事实编号▲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B06F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Cost_Fact_Id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DB07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5C3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5E6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B6BC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标准成本事实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1395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EDEF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2917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关联原始成本来源</w:t>
            </w:r>
          </w:p>
        </w:tc>
      </w:tr>
      <w:tr w14:paraId="3B7DC4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1B2E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E6CC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5642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7AF4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5C28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E7D1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BF10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01E5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A996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继承标准成本事实</w:t>
            </w:r>
          </w:p>
        </w:tc>
      </w:tr>
      <w:tr w14:paraId="68F2F6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932D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直接成本类型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D039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CF87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C34F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E4CB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38FC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材料/能源/检验/包装/运输</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F979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AE5E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规则分类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9FBF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按可直接计批证据分类</w:t>
            </w:r>
          </w:p>
        </w:tc>
      </w:tr>
      <w:tr w14:paraId="2DB490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6243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2D33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22E4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C09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1298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86EA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0C9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93B8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映射计算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BBC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取领料、消耗、样品或装载量</w:t>
            </w:r>
          </w:p>
        </w:tc>
      </w:tr>
      <w:tr w14:paraId="55333A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F653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4EDA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7BE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F8AE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9069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18CF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217C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DE2F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映射计算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FD41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按实际数量和成本事实归集</w:t>
            </w:r>
          </w:p>
        </w:tc>
      </w:tr>
      <w:tr w14:paraId="741544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EB80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B74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Allocation_Basis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172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BFBE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3361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1DF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领料/实测消耗/设备活动/样品/吨公里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508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267C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275F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记录直接归集证据</w:t>
            </w:r>
          </w:p>
        </w:tc>
      </w:tr>
      <w:tr w14:paraId="4E4F1C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6121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来源唯一性状态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9FCC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Source_Uniqueness_Status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BED1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BF92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FF2F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9D2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CC69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46C9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1496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检查成本事实是否重复引用</w:t>
            </w:r>
          </w:p>
        </w:tc>
      </w:tr>
      <w:tr w14:paraId="1EA652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EAE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追溯完整性状态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D94B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Traceability_Status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73F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9B2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37FE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360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完整/缺失/低可信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7552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1847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8566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检查批次与来源链完整性</w:t>
            </w:r>
          </w:p>
        </w:tc>
      </w:tr>
      <w:tr w14:paraId="3D9B34D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3D1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5FC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E809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FEDD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E395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250C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41AC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256F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2B60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成本更正形成新版本</w:t>
            </w:r>
          </w:p>
        </w:tc>
      </w:tr>
      <w:tr w14:paraId="038ADB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27C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F7F0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F732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61FD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41D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5619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FC72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8E5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2964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4C7DA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10AD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CA28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B3B2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C85C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BF10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102E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B38E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B9A8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0773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037CCE0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DCA0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D81E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671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82F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C9C7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C500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CDE0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AB0D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7A80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0D69A6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33D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0C7D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28C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0F83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298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14DC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805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0D4D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5729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27033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6621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B3F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2DDD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C459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F837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0424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F131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BE59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7D28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9807D46">
      <w:pPr>
        <w:pStyle w:val="6"/>
        <w:bidi w:val="0"/>
      </w:pPr>
      <w:r>
        <w:rPr>
          <w:rFonts w:hint="eastAsia"/>
          <w:lang w:val="en-US" w:eastAsia="zh-CN"/>
        </w:rPr>
        <w:t>费</w:t>
      </w:r>
      <w:r>
        <w:t>用池</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CE04AB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DDCFD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FFC17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E8618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335415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81D0A7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1DFB7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08926F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D51CA0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7653BF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58F5A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4CF3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998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CPOOL_Id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BCF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9E74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694A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69EE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CPOOL+日期+流水号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D17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7DD4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A1EF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73CACA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DC3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6A2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5592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B9D3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C88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545A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0498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04DB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615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CF924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8486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会计期间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B767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Accounting_Period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210E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1A75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624C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98EF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19AE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FC5F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建议：Accounting_Period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BBA1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按财务期间建立费用池</w:t>
            </w:r>
          </w:p>
        </w:tc>
      </w:tr>
      <w:tr w14:paraId="25A3F8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5E5D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985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Expense_Type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06B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580B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9D5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E81E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人工/折旧/能源/维修/污水/保险/销售物流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CB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284E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建议：Expense_Type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98B4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按成本要素映射费用池类型</w:t>
            </w:r>
          </w:p>
        </w:tc>
      </w:tr>
      <w:tr w14:paraId="795F7AD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CCC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14CE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CF4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976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35B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0F19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D6B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B44D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建议：Cost_Element_Scope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E306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定义费用池包含的成本要素</w:t>
            </w:r>
          </w:p>
        </w:tc>
      </w:tr>
      <w:tr w14:paraId="09EFF98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0E78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来源总额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C830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Source_Total_Amount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167D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E38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AF20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F708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266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17AC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建议：Source_Total_Amount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6006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汇总来源成本事实金额</w:t>
            </w:r>
          </w:p>
        </w:tc>
      </w:tr>
      <w:tr w14:paraId="235849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C251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已直接归集金额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AA4A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Direct_Assigned_Amount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35F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A2DF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BF26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7FE8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AD55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220A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派生汇总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7BED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汇总已直接计入批次的金额</w:t>
            </w:r>
          </w:p>
        </w:tc>
      </w:tr>
      <w:tr w14:paraId="447D151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224C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非受益金额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49C2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Non_Benefit_Amount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BFA0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709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5C7D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D6E3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0A2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865B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建议：Non_Benefit_Amount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16DA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扣除非受益或不应分摊部分</w:t>
            </w:r>
          </w:p>
        </w:tc>
      </w:tr>
      <w:tr w14:paraId="5A6D620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62AC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资本化金额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8387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Capitalized_Amount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41BD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EB17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5D5C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F49D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B165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CF27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建议：Capitalized_Amount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3E5F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按财务确认资本化金额扣除</w:t>
            </w:r>
          </w:p>
        </w:tc>
      </w:tr>
      <w:tr w14:paraId="0F47F1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879C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FDF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DEDB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8C46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852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095A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B8B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6AD6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建议：Adjustment_Amount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0C10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记录经确认的调整事项</w:t>
            </w:r>
          </w:p>
        </w:tc>
      </w:tr>
      <w:tr w14:paraId="13D1D7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5265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FDD2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Allocable_Amount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DD8A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FE5A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737E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5C5A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98B9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CD36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0267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来源总额减扣除项后形成</w:t>
            </w:r>
          </w:p>
        </w:tc>
      </w:tr>
      <w:tr w14:paraId="2D0EED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1A4C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首选动因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F281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Primary_Driver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CA90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973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CB0B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E8AC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工时/设备占用/能耗/处理量/绝干量/发运量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7E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E1B0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AE2A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按费用类型配置首选动因</w:t>
            </w:r>
          </w:p>
        </w:tc>
      </w:tr>
      <w:tr w14:paraId="7CC46E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CE4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备选动因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5E93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Fallback_Driver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5DD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B4A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3EB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3E39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可用动因枚举</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89A2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1359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9B6F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首选动因无效时使用</w:t>
            </w:r>
          </w:p>
        </w:tc>
      </w:tr>
      <w:tr w14:paraId="3C438A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7FC4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受益范围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295A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Benefit_Scope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3AA8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A53E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04C3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9D13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产线/设备/产品/批次范围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6D2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10C0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EE1F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限制费用池受益对象</w:t>
            </w:r>
          </w:p>
        </w:tc>
      </w:tr>
      <w:tr w14:paraId="210861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8B15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E1D7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AA55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334E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127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032A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8E4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836B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57056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554FCC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260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CE91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0AF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7BF3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0521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ED6C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69F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8576B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A2B9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FB728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8619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9B47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C2C0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1137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6FE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3026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489D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8A3F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7FAB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8600C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389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2A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ED80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582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3A69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DA7C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DD3E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F5F3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EEE2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0CCE8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ED4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2F0E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0585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4891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0B16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B173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E460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7ABBE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557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78ABA1B">
      <w:pPr>
        <w:pStyle w:val="6"/>
        <w:bidi w:val="0"/>
      </w:pPr>
      <w:r>
        <w:t>费用池分摊结果</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F91314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A79000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1A7B3D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1F7CB9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36CB4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D018F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41757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50FF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1C802D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662EFA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64154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731D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费用池分摊结果编号★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99D8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CPALLOC_Id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CDD1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D7BB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788A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4039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CPALLOC+日期+流水号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F2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80CB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AC36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6A3BED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D227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5CF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143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C4C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9B7A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314E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8654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ACF9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4322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3146F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DBC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8B3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Cost_Pool_Id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6A6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842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8DC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BA9F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548B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AE76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EA21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关联被分摊费用池</w:t>
            </w:r>
          </w:p>
        </w:tc>
      </w:tr>
      <w:tr w14:paraId="3EF5E6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DDB5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008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1942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8C7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638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A388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受益生产批次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BFCF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D63C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E9D4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关联受益批次</w:t>
            </w:r>
          </w:p>
        </w:tc>
      </w:tr>
      <w:tr w14:paraId="7AA02F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569D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56E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Driver_Type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489C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F0B8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53D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FCC8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工时/设备占用/能耗/处理量/绝干量/发运量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3DA1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838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6C63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记录实际采用动因</w:t>
            </w:r>
          </w:p>
        </w:tc>
      </w:tr>
      <w:tr w14:paraId="17DAA5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2CA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批次动因量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5501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Batch_Driver_Qty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318E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B25D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2B05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3BEF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CDE4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FB2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建议：Batch_Driver_Qty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14C3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按批次汇总有效动因</w:t>
            </w:r>
          </w:p>
        </w:tc>
      </w:tr>
      <w:tr w14:paraId="5B732E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45C2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有效分母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1D52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Valid_Denominator_Qty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3421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1D45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4A67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800C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2A3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1E4DC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394D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汇总费用池受益批次动因量</w:t>
            </w:r>
          </w:p>
        </w:tc>
      </w:tr>
      <w:tr w14:paraId="2742480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4CC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3220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C64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B04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EB42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C799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90E1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6B3A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2E10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可分摊金额除以有效分母</w:t>
            </w:r>
          </w:p>
        </w:tc>
      </w:tr>
      <w:tr w14:paraId="4BF61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ECB3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1543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5D5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B5C1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F532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B16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4FA1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B37F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6F89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批次动因量乘分摊率</w:t>
            </w:r>
          </w:p>
        </w:tc>
      </w:tr>
      <w:tr w14:paraId="47B16D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5CD3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63E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Rounding_Difference_Amount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48EC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A68A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0E66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508F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588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37214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尾差处理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D642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尾差按已发布规则归集</w:t>
            </w:r>
          </w:p>
        </w:tc>
      </w:tr>
      <w:tr w14:paraId="54B7F6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0AF2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CAE7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Unallocated_Amount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A991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1146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47B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F5C2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49D2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739E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11A3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无有效动因时单独保留</w:t>
            </w:r>
          </w:p>
        </w:tc>
      </w:tr>
      <w:tr w14:paraId="12395F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1E33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动因有效状态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49D5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Driver_Validity_Status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8BEF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4E53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1C2C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7FE5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有效/使用备选/无效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0EB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5C95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C078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记录动因与分母可用性</w:t>
            </w:r>
          </w:p>
        </w:tc>
      </w:tr>
      <w:tr w14:paraId="3CEC16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777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分摊规则版本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F3A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Allocation_Rule_Version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250E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B9A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6C8F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F4A3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17E6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9B92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E8CD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关联计算所用分摊规则</w:t>
            </w:r>
          </w:p>
        </w:tc>
      </w:tr>
      <w:tr w14:paraId="010213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E7DB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89C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709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3D9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CBA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463F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DE6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2131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C73E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D9EF6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F2A9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CDE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2D3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CDED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7C52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D194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493C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42D8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BBBE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BDC58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5E86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4CF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1B4F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327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8E21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22C6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61FE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B88F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7A2A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C6A1A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D511B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52A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C524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B1CF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2A4F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FA824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66DB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A367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8243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DA290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4966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8F1C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72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A47B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7B58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A819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C746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516E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94AE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7D5DBDE">
      <w:pPr>
        <w:pStyle w:val="6"/>
        <w:bidi w:val="0"/>
      </w:pPr>
      <w:r>
        <w:t>生产订单成本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D0FD538">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3F299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EE98B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C95F87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535524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F9DAFF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D03671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F52A4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37E3AC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BEB9DA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0E781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04ED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3E93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153E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98E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DE7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73EE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507A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1157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C82C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393FDF1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22C1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0D16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E697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65BE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D43A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9F49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6ADE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C2CF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F9C8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A615DE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4B2D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EDE8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C469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DE0D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78C3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855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SAP/MES工单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D2F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E0FD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建议：Production_Order_No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9A5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按生产订单号直接映射</w:t>
            </w:r>
          </w:p>
        </w:tc>
      </w:tr>
      <w:tr w14:paraId="2E47D5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35B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EFB1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7552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938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CC1B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BB2F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066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36A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83E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B5EA1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E8FA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BD48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6988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DF83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F2F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35D6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5B23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5904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506B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按成本版本所属期间记录</w:t>
            </w:r>
          </w:p>
        </w:tc>
      </w:tr>
      <w:tr w14:paraId="1C7BE7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59AD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批次成本版本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35E1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Batch_Cost_Version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164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683C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320F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803F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642E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8589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36C5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关联已确认批次成本版本</w:t>
            </w:r>
          </w:p>
        </w:tc>
      </w:tr>
      <w:tr w14:paraId="2C182D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AD93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直接成本金额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5ECE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471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27B8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5A7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4537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B59E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1FF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4E26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汇总订单关联批次直接成本</w:t>
            </w:r>
          </w:p>
        </w:tc>
      </w:tr>
      <w:tr w14:paraId="633B8D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EA9F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699F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Pool_Cost_Amount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340E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0428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B320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3AEE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345E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DC8B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4029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汇总订单关联批次分摊成本</w:t>
            </w:r>
          </w:p>
        </w:tc>
      </w:tr>
      <w:tr w14:paraId="61D84ED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4159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8DBB9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D6F7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7D6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930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7B9F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DB36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7420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D235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记录已确认成本调整</w:t>
            </w:r>
          </w:p>
        </w:tc>
      </w:tr>
      <w:tr w14:paraId="240523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F037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完工成本金额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082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Completed_Cost_Amount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745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096A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451E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B2E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38F0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5C01C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拆分计算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2894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按实际完工数量分配</w:t>
            </w:r>
          </w:p>
        </w:tc>
      </w:tr>
      <w:tr w14:paraId="501529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5871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在制成本金额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7E3C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Wip_Cost_Amount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EB3F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6722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2BF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165F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3450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8482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拆分计算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4C84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记录期末在制承接成本</w:t>
            </w:r>
          </w:p>
        </w:tc>
      </w:tr>
      <w:tr w14:paraId="2A2D668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6B2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异常损失金额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441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Abnormal_Loss_Amount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D7EF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148F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5621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18C7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D92C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72C1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规则分类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4CBE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与正常损耗分开记录</w:t>
            </w:r>
          </w:p>
        </w:tc>
      </w:tr>
      <w:tr w14:paraId="03B65E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38EA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完工数量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E7D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Completed_Qty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9E8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0807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42C23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EED2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489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4939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建议：Completed_Qty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76D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取有效报工完工数量</w:t>
            </w:r>
          </w:p>
        </w:tc>
      </w:tr>
      <w:tr w14:paraId="2068F4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DB4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单位成本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6224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9924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F303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F208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D9B1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有完工量时必填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2045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8189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B71D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订单总成本除以完工数量</w:t>
            </w:r>
          </w:p>
        </w:tc>
      </w:tr>
      <w:tr w14:paraId="080B02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676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绝干单位成本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B321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Dry_Basis_Unit_Cost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6D0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493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B465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DF55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CNY/绝干吨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692D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30BDA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0792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按水分折算绝干量计算</w:t>
            </w:r>
          </w:p>
        </w:tc>
      </w:tr>
      <w:tr w14:paraId="2EE47F2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5814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1DD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68A4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709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316C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D502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D1D3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E1D5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5509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50C643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7E04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8B5F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6A0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24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1674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35B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69DE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1200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5D84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0DCD0B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742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6ED9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533D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AA3B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252B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7E98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21FA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5B20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A0EB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DA2CFE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AD6F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7C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30D6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01AD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70D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B24B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DC3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89D4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231CA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283A78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F8C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A5F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1A2C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66AE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9FF1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C006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240E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89A12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BBC8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0D2173C">
      <w:pPr>
        <w:pStyle w:val="6"/>
        <w:bidi w:val="0"/>
      </w:pPr>
      <w:r>
        <w:t>销售订单成本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259A4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74F7DF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59125E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6A3D1E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81A89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E45FC7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B2F17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041195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C12F5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1BB1CB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5CBE5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CE4E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D853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237C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6373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4DFD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9939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78AC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870E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E7E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326961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6040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0812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3770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6DF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8353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30E8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5114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D6AA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8C88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6C0F4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55EA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FA9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Sales_Order_No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9F50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7A3D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6FA7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CD65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SAP销售订单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8BA2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24FA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建议：Sales_Order_No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F60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按销售订单号直接映射</w:t>
            </w:r>
          </w:p>
        </w:tc>
      </w:tr>
      <w:tr w14:paraId="6E862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79DE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销售订单行号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559E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Sales_Order_Line_No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8DE5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2DB1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EE1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2F50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65D2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F9BC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建议：Sales_Order_Line_No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857F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与订单号组成业务唯一键</w:t>
            </w:r>
          </w:p>
        </w:tc>
      </w:tr>
      <w:tr w14:paraId="5850D6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8AE1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客户编码▲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A747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Customer_Code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481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8AB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518C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8D16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SAP客户编码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5FA0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2A64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建议：Customer_Code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8B9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按客户主数据直接映射</w:t>
            </w:r>
          </w:p>
        </w:tc>
      </w:tr>
      <w:tr w14:paraId="361F4E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24A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627A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997B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A36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EEE3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D045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6AD1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A883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224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60E58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24C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发运批次编号▲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23A4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Shipment_Batch_Id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6D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8C74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D036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71B6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发运批次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6E8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8FC3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建议：Shipment_Batch_Id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4019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关联订单实际发运批次</w:t>
            </w:r>
          </w:p>
        </w:tc>
      </w:tr>
      <w:tr w14:paraId="4A77CC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EDE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28D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200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3703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938A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F01D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970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B4F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谱系追溯</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67F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通过库存批和谱系追溯来源订单</w:t>
            </w:r>
          </w:p>
        </w:tc>
      </w:tr>
      <w:tr w14:paraId="0B89E1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2E5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实际装载数量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5E9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Actual_Load_Qty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F84C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4C1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91F0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C04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3E2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1F14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建议：Actual_Load_Qty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DEFC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取已确认装载或发运数量</w:t>
            </w:r>
          </w:p>
        </w:tc>
      </w:tr>
      <w:tr w14:paraId="540C0A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E271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制造成本金额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416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Manufacturing_Cost_Amount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5D40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2C8F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EEAB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3F9F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1E0B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2EF8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分配计算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1352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按实际装载量承接来源制造成本</w:t>
            </w:r>
          </w:p>
        </w:tc>
      </w:tr>
      <w:tr w14:paraId="4E6234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9D2F0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包装成本金额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F078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Packaging_Cost_Amount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A14E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AE6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EEF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4582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BF18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159A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建议：Packaging_Cost_Amount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F63B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汇总订单相关包装费用</w:t>
            </w:r>
          </w:p>
        </w:tc>
      </w:tr>
      <w:tr w14:paraId="48D28D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632B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4AE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593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8E4B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32C1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1193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E1A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49F7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63FF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汇总车辆、运费和保险费用</w:t>
            </w:r>
          </w:p>
        </w:tc>
      </w:tr>
      <w:tr w14:paraId="667E05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01C8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完整成本金额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75E1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Full_Cost_Amount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6AF8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742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DE5D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EA76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3F9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F68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13D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制造成本加交付相关成本</w:t>
            </w:r>
          </w:p>
        </w:tc>
      </w:tr>
      <w:tr w14:paraId="2F1D73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1F5F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签收日期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6F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Signed_Receipt_Date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101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35C5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4AFF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F86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370E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5C0D2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建议：Signed_Receipt_Date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C21B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取客户有效签收日期</w:t>
            </w:r>
          </w:p>
        </w:tc>
      </w:tr>
      <w:tr w14:paraId="22DB6D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AE46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FF67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B2FD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36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EDBC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5CDA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FF2D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25AB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A7AC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DC735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C275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7B81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079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A801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39DC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FBA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A51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9A51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12E6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45070B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94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F8D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B6B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BC4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16CF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FB51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65C1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2ACC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C303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A107E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06B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7C57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E148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D10C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EBB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597C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A23E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07BC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F1DD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52D8C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402C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04D3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4364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2D4A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ACC6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A9DC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F25B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EA35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550D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53BEF4A">
      <w:pPr>
        <w:pStyle w:val="6"/>
        <w:bidi w:val="0"/>
      </w:pPr>
      <w:r>
        <w:t>多维成本分析快照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9FEC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825D86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10C267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C8B523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4E7BF0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0D04E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CBBA8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21818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A2982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19677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AD73D7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B948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多维成本分析快照编号★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EA1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COSTANL_Id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6BE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D042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0C29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C03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COSTANL+日期+流水号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0F17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D8E9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369C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FE4C1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373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D184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0BDA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4095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495D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50D1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677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9F98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AF7E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D0E48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CE9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872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16D7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8BCD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EB05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6F64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E474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0B9B8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3980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记录分析时间范围</w:t>
            </w:r>
          </w:p>
        </w:tc>
      </w:tr>
      <w:tr w14:paraId="7338DD4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68FE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分析维度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131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Analysis_Dimension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913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3713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94F9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4841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批次/产品/订单/客户/供应商/成本要素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AD3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5F1368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0052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记录当前聚合和钻取维度</w:t>
            </w:r>
          </w:p>
        </w:tc>
      </w:tr>
      <w:tr w14:paraId="0B2A6E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6075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维度对象编码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A215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Dimension_Object_Code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AFF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4A63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E7D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E4F4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AA0A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FFFF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建议：Dimension_Object_Code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AD14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按维度类型关联对应主数据</w:t>
            </w:r>
          </w:p>
        </w:tc>
      </w:tr>
      <w:tr w14:paraId="155CE4F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55CF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CAD3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839D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9313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A864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A741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7F2D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BEA6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409B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关联指标口径版本</w:t>
            </w:r>
          </w:p>
        </w:tc>
      </w:tr>
      <w:tr w14:paraId="2CED67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BE37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6979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8F37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ED7F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B2A6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D33A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9B92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54CF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233E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按统一成本口径聚合</w:t>
            </w:r>
          </w:p>
        </w:tc>
      </w:tr>
      <w:tr w14:paraId="56D952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F98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对比基线值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7109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D610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7712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0199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8EA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9728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841A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快照对比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FDF7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取上期、预算或目标基线</w:t>
            </w:r>
          </w:p>
        </w:tc>
      </w:tr>
      <w:tr w14:paraId="0D57C7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3CFB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0C97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Variance_Value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A85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879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130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5603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6DB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7718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41A7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当前值减基线值</w:t>
            </w:r>
          </w:p>
        </w:tc>
      </w:tr>
      <w:tr w14:paraId="481E6D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DCC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B41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Variance_Rate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79A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3E3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D7F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A861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4553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F128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AF98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差异值除以有效基线</w:t>
            </w:r>
          </w:p>
        </w:tc>
      </w:tr>
      <w:tr w14:paraId="214693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6F8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7AF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6FEC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CA05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569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6F06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统一分析数据集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5E2B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FD67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建议：Data_Snapshot_Id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3CAC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冻结本次分析使用的数据版本</w:t>
            </w:r>
          </w:p>
        </w:tc>
      </w:tr>
      <w:tr w14:paraId="1ABA679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8E20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导出记录编号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0D1B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Export_Record_Id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26F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E479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887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CD6E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13ED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8FD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0C92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发生导出时关联审计记录</w:t>
            </w:r>
          </w:p>
        </w:tc>
      </w:tr>
      <w:tr w14:paraId="3BC78A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A3BB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D2E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B33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D582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C518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D4C8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10A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A98A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2904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AA206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06C6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FBE8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616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BFD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3CEF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844B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563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43B0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4439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676BBA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9CCA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564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F54D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75CD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A302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239D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1D3B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D468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DE68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D5730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5BEB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FCA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05D2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364D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913E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83D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1A9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8D22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B108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18AA84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1861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709B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A38E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C8FC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0D1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AE0E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96C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74EF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56A0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4BD30BE">
      <w:pPr>
        <w:pStyle w:val="6"/>
        <w:bidi w:val="0"/>
      </w:pPr>
      <w:r>
        <w:t>成本规则修正</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990F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DA0FF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A1029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5CB82B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9ED307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BA6B9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9C98B8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2E1BC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AF566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F3A230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D9658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77E9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成本规则修正编号★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6550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COSTFIX_Id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914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4BFD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0F0B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3C84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COSTFIX+日期+流水号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4164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F36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F4B5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CFC9D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C5E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F16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E84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7CDD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D2E2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1CAF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9B89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4A4F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B63F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8B91B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251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原结果版本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AA8F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Original_Result_Version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7F65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5636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6E3C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6831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F4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065C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643B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关联修正前结果版本</w:t>
            </w:r>
          </w:p>
        </w:tc>
      </w:tr>
      <w:tr w14:paraId="1DBDB4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C773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更正数据版本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E511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Correction_Data_Version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609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1637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E93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A599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39A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7361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建议：Correction_Data_Version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EBCB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记录补充或更正证据版本</w:t>
            </w:r>
          </w:p>
        </w:tc>
      </w:tr>
      <w:tr w14:paraId="17F04D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5C59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F702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3163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D711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00CE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21B2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批次/谱系/费用池/订单/规则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C95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039B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AAB1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按受影响对象分类</w:t>
            </w:r>
          </w:p>
        </w:tc>
      </w:tr>
      <w:tr w14:paraId="7226BC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4A9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最早受影响节点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4067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Earliest_Affected_Node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132A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0E5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EB29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A06C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业务对象和时间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683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6770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E16B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确定重算起点</w:t>
            </w:r>
          </w:p>
        </w:tc>
      </w:tr>
      <w:tr w14:paraId="7A0091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915C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受影响后代范围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AE16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Affected_Descendant_Scope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AD6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940D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58BC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BE25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批次/订单/分析结果</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BB72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D47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谱系遍历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CE3D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记录需联动重算范围</w:t>
            </w:r>
          </w:p>
        </w:tc>
      </w:tr>
      <w:tr w14:paraId="486DCE3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0A21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补充证据说明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C929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Supplementary_Evidence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1F01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2FD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CFAF2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18C3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业务事实说明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CEE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C30B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建议：Supplementary_Evidence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9A8E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记录更正依据和来源</w:t>
            </w:r>
          </w:p>
        </w:tc>
      </w:tr>
      <w:tr w14:paraId="66914C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19E2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修正规则类型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80DD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Correction_Rule_Type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03B2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6F9F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B8C7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97C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成本映射/备选动因/边界规则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2E2F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D2A5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9B6C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证据不足时补充参考规则</w:t>
            </w:r>
          </w:p>
        </w:tc>
      </w:tr>
      <w:tr w14:paraId="1138584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6DA9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新结果版本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45FB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New_Result_Version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9132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8EA8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2A7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4BB7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重算成功后必填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4108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C4F4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B47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关联修正后的结果版本</w:t>
            </w:r>
          </w:p>
        </w:tc>
      </w:tr>
      <w:tr w14:paraId="6F5D6E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2E46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成本差异金额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437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Cost_Variance_Amount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6C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38C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7D0C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37E8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700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7A88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版本比对</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41EF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新结果减原结果</w:t>
            </w:r>
          </w:p>
        </w:tc>
      </w:tr>
      <w:tr w14:paraId="2F0294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CEC1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51B4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2A7D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CA94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BE0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3AD7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2A5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1CD8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EF6C0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记录修正结果确认人</w:t>
            </w:r>
          </w:p>
        </w:tc>
      </w:tr>
      <w:tr w14:paraId="68201C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178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2E8D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405E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FAA8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160C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D33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B264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B9E0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8C1B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7D6D38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CC7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2581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D74D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5E9F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ACE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2474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B99E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C83E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1F5B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60164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587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CA4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1E1A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429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EC9C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7317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360C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A4DB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EB94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7AFFB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C09C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010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D3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7D7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ACD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32DF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845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07E8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8A27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5B67E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669F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5CE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26B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E489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BD45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03B4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131F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55E0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C347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396D854">
      <w:pPr>
        <w:pStyle w:val="6"/>
        <w:bidi w:val="0"/>
      </w:pPr>
      <w:r>
        <w:t>成本预警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404FC3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6D639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1C4AF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6A322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42D7B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4C380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148456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20C6B1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80D4F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3B57F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29BE79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BED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121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4C83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84B4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000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31E7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3B8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90A4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8EA2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264EB1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2A5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DACB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7553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84E9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E8C5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DD07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47B6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A388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69B5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246D3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7AEF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监测期间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7E5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Monitoring_Period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0BE6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6EA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29BD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37748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DF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34F0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B928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记录本轮监测期间</w:t>
            </w:r>
          </w:p>
        </w:tc>
      </w:tr>
      <w:tr w14:paraId="1338BA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ED6B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CF82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F7D0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5BC7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1EB3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3F5E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批次/产品/生产订单/销售订单/客户/供应商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8628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A6A1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监测范围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EDEA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标识预警对象类型</w:t>
            </w:r>
          </w:p>
        </w:tc>
      </w:tr>
      <w:tr w14:paraId="4AC35E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63D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68B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16AC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503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4E8F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0A90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C5B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BF1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2A1E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关联对应业务对象</w:t>
            </w:r>
          </w:p>
        </w:tc>
      </w:tr>
      <w:tr w14:paraId="0A6822A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C9FE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异常指标类型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6ACD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Exception_Metric_Type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8978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64B4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079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B4F1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价格/用量/收率/能耗/单位成本/分摊</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0E3A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D813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36AD5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按指标口径分类</w:t>
            </w:r>
          </w:p>
        </w:tc>
      </w:tr>
      <w:tr w14:paraId="1CCAB4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522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9BD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Current_Metric_Value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7CB3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E1E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D4C0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9542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2E78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B3ED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E162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记录本轮监测值</w:t>
            </w:r>
          </w:p>
        </w:tc>
      </w:tr>
      <w:tr w14:paraId="4FBFA8F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27C7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基准指标值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98A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4D51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95F1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2E80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F422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6A9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2220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基准版本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9FC3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取已确认历史或目标基准</w:t>
            </w:r>
          </w:p>
        </w:tc>
      </w:tr>
      <w:tr w14:paraId="1DCD39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788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28C2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BF98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561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F389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2D81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D3D1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1496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2F13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关联已发布阈值版本</w:t>
            </w:r>
          </w:p>
        </w:tc>
      </w:tr>
      <w:tr w14:paraId="2E1F0A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C670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A6B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0A80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DADA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7B1B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AD88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915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6468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E811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结合偏差与数据可信度分级</w:t>
            </w:r>
          </w:p>
        </w:tc>
      </w:tr>
      <w:tr w14:paraId="7EB90F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56CD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影响对象范围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A2F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Affected_Object_Scope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B4D3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E009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1E0A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846B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批次/产品/订单/客户/供应商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4F6A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5A2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谱系追溯</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5AE6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记录异常影响范围</w:t>
            </w:r>
          </w:p>
        </w:tc>
      </w:tr>
      <w:tr w14:paraId="2747E8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2218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角色化提示内容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CA98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Role_Based_Message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1927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4A0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64A2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DBD8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生产/销售/采购/财务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9B8F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1F95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B015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按角色生成业务提示</w:t>
            </w:r>
          </w:p>
        </w:tc>
      </w:tr>
      <w:tr w14:paraId="2371B8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421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追溯入口</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970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CE2D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B7C5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71BC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BF5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A85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DA26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B15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链接至成本明细和来源证据</w:t>
            </w:r>
          </w:p>
        </w:tc>
      </w:tr>
      <w:tr w14:paraId="02D597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461C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729F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274B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400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D8BC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BB41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驾驶舱预警事件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4C6B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E863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3CA9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需要派发时建立关联</w:t>
            </w:r>
          </w:p>
        </w:tc>
      </w:tr>
      <w:tr w14:paraId="03B6A2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907B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4636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5096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A01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44A0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412B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B287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8164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CD7B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824C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0BBF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01B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F37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281E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4D66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896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FE3E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55D5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421C1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D0589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415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CBED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076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656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B1B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83B7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908A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AD6A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DD4B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FA062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5E77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E1C2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C173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252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DCA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C757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D253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0124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46E7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29B0988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7988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92F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8D73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41B5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0DDA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B3941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74BB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D647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0600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6F8FAFD0">
      <w:pPr>
        <w:pStyle w:val="4"/>
        <w:bidi w:val="0"/>
        <w:rPr>
          <w:rFonts w:hint="eastAsia" w:ascii="黑体" w:hAnsi="黑体" w:eastAsia="黑体" w:cs="黑体"/>
        </w:rPr>
      </w:pPr>
      <w:bookmarkStart w:id="52" w:name="_Toc1648440271"/>
      <w:r>
        <w:rPr>
          <w:rFonts w:hint="eastAsia" w:ascii="黑体" w:hAnsi="黑体" w:eastAsia="黑体" w:cs="黑体"/>
        </w:rPr>
        <w:t>供应链驾驶舱</w:t>
      </w:r>
      <w:bookmarkEnd w:id="52"/>
    </w:p>
    <w:p w14:paraId="4B87CD37">
      <w:pPr>
        <w:pStyle w:val="6"/>
        <w:bidi w:val="0"/>
      </w:pPr>
      <w:r>
        <w:t>指标口径</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9E355C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89AD8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29E92C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AE5AF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356DE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D59535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FD3EC4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107E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AB9BD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DBABC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3729B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A3C4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4A77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8AE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6A7F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C6CB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D0E4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E47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4689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DD9B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2D915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9DD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3878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5AD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0C06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3C3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5CB3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AD65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AC90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68C2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4A4E2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4030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51C6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4467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8D26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67A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8F5E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唯一稳定编码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662E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71FA6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DBE8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作为跨版本业务唯一键</w:t>
            </w:r>
          </w:p>
        </w:tc>
      </w:tr>
      <w:tr w14:paraId="623BFD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C86C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DDB5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DCFF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0CD5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BE17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93B0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30D7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DBF7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DEE7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使用统一业务术语</w:t>
            </w:r>
          </w:p>
        </w:tc>
      </w:tr>
      <w:tr w14:paraId="1DE2EF8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33C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CD0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7C10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184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0A8C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D357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产销/库存/采购/储运/环保/资金/成本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5231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2702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2A1A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用于专题视图归类</w:t>
            </w:r>
          </w:p>
        </w:tc>
      </w:tr>
      <w:tr w14:paraId="06BB7D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C22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统计粒度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7C2C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Aggregation_Grain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0032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FA7D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3CE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EF38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日/月/组织/物料/订单等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CCA8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A51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6460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明确指标最小统计粒度</w:t>
            </w:r>
          </w:p>
        </w:tc>
      </w:tr>
      <w:tr w14:paraId="63C727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E9BE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计算口径</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4D16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Calculation_Definition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725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8659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7DF5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E38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业务公式说明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F168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4907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24EB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使用业务语言说明分子、分母和过滤状态</w:t>
            </w:r>
          </w:p>
        </w:tc>
      </w:tr>
      <w:tr w14:paraId="330CC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C57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指标单位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2808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Metric_Unit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AD21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D91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9ED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EC9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数量/金额/%/天/次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A2B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24B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F00B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统一展示和换算单位</w:t>
            </w:r>
          </w:p>
        </w:tc>
      </w:tr>
      <w:tr w14:paraId="3D3224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59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数据来源清单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D329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Data_Source_List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661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523C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31D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746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源系统和数据主题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5EDB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64E6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BF81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列出计算所需权威来源</w:t>
            </w:r>
          </w:p>
        </w:tc>
      </w:tr>
      <w:tr w14:paraId="4072AC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4FAA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刷新频率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BB8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Refresh_Frequency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2811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4831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EE04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9466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实时/5分钟/小时/日/月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51F6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D2BB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EE85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定义可接受刷新周期</w:t>
            </w:r>
          </w:p>
        </w:tc>
      </w:tr>
      <w:tr w14:paraId="326EE17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DFB2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负责人角色</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E74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Owner_Role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FEED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D8F9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F537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FD86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业务角色</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ABAA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B7CD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C7BC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明确口径责任人</w:t>
            </w:r>
          </w:p>
        </w:tc>
      </w:tr>
      <w:tr w14:paraId="3C5B71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C8D8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B236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A26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780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E86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9F9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FAF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4A88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61DE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发布后按时点生效</w:t>
            </w:r>
          </w:p>
        </w:tc>
      </w:tr>
      <w:tr w14:paraId="5842162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51E4D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失效时间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F9D0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B64C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3B8B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ADFA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1F75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877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B573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版本管理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4579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新版本替代时关闭旧版本</w:t>
            </w:r>
          </w:p>
        </w:tc>
      </w:tr>
      <w:tr w14:paraId="3FBD49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3BFC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00DE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22E4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BC7F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CAF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7155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64D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725C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4EC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1CD4B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FF13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45E2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3EC7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619E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2EF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7F01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070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0E80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602A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8E38A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7534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100D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E28C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5B82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F752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4953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CCD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C2E2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9419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46372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CF80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5674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CE3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13AA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90C6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452A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04DC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08E5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53A6C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F746B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8F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C9EC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939E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E0E6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A118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D46B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879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80AF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ED07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9025D23">
      <w:pPr>
        <w:pStyle w:val="6"/>
        <w:bidi w:val="0"/>
      </w:pPr>
      <w:r>
        <w:t>预警规则</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658581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262B5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FCB133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D331F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83E60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D110CB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1142FD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A219BF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6B8BC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47CDE5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9F7F3E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662D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C79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ALTRULE_Id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E077A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F75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A1F4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D1B1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ALTRULE+日期+流水号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5F02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527B6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AC3AC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F8B9FD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8D56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409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219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97F5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B29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505F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110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5A30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309C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21BE3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F4D90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2295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Metric_Definition_Id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E607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B14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E1B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F002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B27E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DF80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28E3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关联受监测指标</w:t>
            </w:r>
          </w:p>
        </w:tc>
      </w:tr>
      <w:tr w14:paraId="47934A8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8747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A78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Rule_Name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37FC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1015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4A6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9D8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AF2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6415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AC0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说明预警业务含义</w:t>
            </w:r>
          </w:p>
        </w:tc>
      </w:tr>
      <w:tr w14:paraId="31FB8C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8941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比较运算符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1287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Comparison_Operator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A784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5A2F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075B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591B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&gt;/≥/&lt;/≤/=/区间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331A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0490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9A8A8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定义阈值比较方式</w:t>
            </w:r>
          </w:p>
        </w:tc>
      </w:tr>
      <w:tr w14:paraId="0545FD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6A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B848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Level_1_Threshold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3C5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564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B2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814B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CC8B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F6BE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9738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一级预警适用时必填</w:t>
            </w:r>
          </w:p>
        </w:tc>
      </w:tr>
      <w:tr w14:paraId="02955C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1FF3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二级预警阈值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788F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Level_2_Threshold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BF4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5E78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C67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531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313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38D1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DE61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二级预警适用时必填</w:t>
            </w:r>
          </w:p>
        </w:tc>
      </w:tr>
      <w:tr w14:paraId="7E3110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E933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持续时长条件</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913D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Duration_Condition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5A93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1524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689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D2E9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F59A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6513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CA7C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防止瞬时波动误报</w:t>
            </w:r>
          </w:p>
        </w:tc>
      </w:tr>
      <w:tr w14:paraId="18C5E8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FEB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聚合去重窗口</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625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Dedup_Window_Minutes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74BA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A768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38F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5A80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分钟，大于等于0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80D9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1592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A417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同类事件在窗口内聚合</w:t>
            </w:r>
          </w:p>
        </w:tc>
      </w:tr>
      <w:tr w14:paraId="5B1CE3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3C0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影响范围规则</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3D2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Impact_Scope_Rule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954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F2FD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AD6D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35FD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组织/对象/上下游关系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B38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ACDE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0624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定义预警影响范围识别方式</w:t>
            </w:r>
          </w:p>
        </w:tc>
      </w:tr>
      <w:tr w14:paraId="15DC101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B0F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责任匹配规则</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085F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Owner_Matching_Rule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3EE8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A276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674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0BCA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部门/岗位/对象责任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8FC5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5B8C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19F6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用于匹配处置责任人</w:t>
            </w:r>
          </w:p>
        </w:tc>
      </w:tr>
      <w:tr w14:paraId="644F1C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AAD4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处置时限分钟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DCAB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Handling_Sla_Minutes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38A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ABAB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53A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E68F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62D4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EF09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2C7A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按级别定义处置时限</w:t>
            </w:r>
          </w:p>
        </w:tc>
      </w:tr>
      <w:tr w14:paraId="2EAC55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5246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905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0D4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17A6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FD8F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BB77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A8C4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4FC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2F3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发布后按时点生效</w:t>
            </w:r>
          </w:p>
        </w:tc>
      </w:tr>
      <w:tr w14:paraId="400848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AA1D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75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C10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E1B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AE39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1A94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2D22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93DC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387E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62DD6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225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E1BA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AE17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CE4E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6AFE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1606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6E32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BD38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E632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839FF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6317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5034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34F1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0106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2E04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C584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99DB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91ADD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8F06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C63A7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991A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B887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16C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2225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1D7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8048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ACB8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99164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92E4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43CAF5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FDA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2C4F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D2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57E9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DB7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388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7012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1C4D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9C3A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CF99A5A">
      <w:pPr>
        <w:pStyle w:val="6"/>
        <w:bidi w:val="0"/>
      </w:pPr>
      <w:r>
        <w:t>角色看板版本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E16537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8C504E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E96C87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2EB048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4736D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5645A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14601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C6FFB7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9B853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75812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909DC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4C22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角色看板版本编号★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5800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F1DE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98C5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7AC5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AA11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DASHBD+日期+流水号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2AA2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74989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9593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F91E0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078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B57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52C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9444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B9E5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F484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4453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B177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27C9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3E082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A7F6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看板编码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9FC3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Dashboard_Code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18FA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36F0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41E9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2B77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唯一稳定编码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9D5A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809E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2283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作为看板跨版本业务键</w:t>
            </w:r>
          </w:p>
        </w:tc>
      </w:tr>
      <w:tr w14:paraId="7DFBBC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F45E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看板名称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98D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Dashboard_Name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4396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9BF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7C5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AFAE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8E51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520A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E5D5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按角色或专题命名</w:t>
            </w:r>
          </w:p>
        </w:tc>
      </w:tr>
      <w:tr w14:paraId="54189DC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629C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适用角色</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78D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Applicable_Role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FAC3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326E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D850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8B9E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ECE9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F502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权限配置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5F6E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关联角色权限矩阵</w:t>
            </w:r>
          </w:p>
        </w:tc>
      </w:tr>
      <w:tr w14:paraId="2BDDCF3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BABA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专题类型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FA65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Topic_Type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7541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8560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B78F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50D6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全局/产销/库存/采购/成本/环保/资金</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5BD5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8ADF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9608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标识看板主题</w:t>
            </w:r>
          </w:p>
        </w:tc>
      </w:tr>
      <w:tr w14:paraId="7BC1A3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17AE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C35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48DB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B126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28B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34CC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59CA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8798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9590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按展示顺序关联指标</w:t>
            </w:r>
          </w:p>
        </w:tc>
      </w:tr>
      <w:tr w14:paraId="6C937C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46B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布局配置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D30B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Layout_Config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7B14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E91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227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71F62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组件位置与尺寸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0418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1881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6A9D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保存可编辑布局配置</w:t>
            </w:r>
          </w:p>
        </w:tc>
      </w:tr>
      <w:tr w14:paraId="68B575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74E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数据权限范围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F4F7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Data_Access_Scope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5180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D6CE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BF0B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D41B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组织/仓库/产线/对象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E32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4524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权限配置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C541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与角色和组织范围共同生效</w:t>
            </w:r>
          </w:p>
        </w:tc>
      </w:tr>
      <w:tr w14:paraId="484333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5929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终端类型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93FC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Terminal_Type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39FB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9FBC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34A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9438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PC/大屏/移动端</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A308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AD48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E40AF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不同终端可使用独立布局</w:t>
            </w:r>
          </w:p>
        </w:tc>
      </w:tr>
      <w:tr w14:paraId="78FFE3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FBC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预览校验状态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EACA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Preview_Check_Status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4AFD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6064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9287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EC58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C88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4750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218A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发布前完成多端预览校验</w:t>
            </w:r>
          </w:p>
        </w:tc>
      </w:tr>
      <w:tr w14:paraId="5C9E2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5C6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4AF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F5A1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DFB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113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B303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A7B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5D29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E99C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记录敏感数据范围审批人</w:t>
            </w:r>
          </w:p>
        </w:tc>
      </w:tr>
      <w:tr w14:paraId="265B3A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B88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2DCD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18DA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DEAA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8F25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24C1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380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653C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693D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记录正式发布时间</w:t>
            </w:r>
          </w:p>
        </w:tc>
      </w:tr>
      <w:tr w14:paraId="7316BD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EE1D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E9BB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BC8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C231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B686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3CA0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435F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B09DE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D5A7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671F66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0783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F3CE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345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78B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49C8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DFA5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DCC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EEDD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E877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7DD1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126A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4B65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F8A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3E43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8C59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A51E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1801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E57F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D8B1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A056F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00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335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8D9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1FD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B317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6869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44EB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A5C5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4DF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21068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35BB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1598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CCDE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EBC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BF9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33D6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5DA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8D8E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FAC1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BA7E6D6">
      <w:pPr>
        <w:pStyle w:val="6"/>
        <w:bidi w:val="0"/>
      </w:pPr>
      <w:r>
        <w:t>KPI结果与健康度快照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07B462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3DE9FB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97E74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17D558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EEE3E9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8D0D7B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CBAE0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B80B4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738EF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DE92FC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2EE9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B4F2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KPI结果与健康度快照编号★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6575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KPISNP_Id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5ACF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4C40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6E8B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8C86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KPISNP+日期+流水号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DA33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1763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F1CD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67C24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0C5E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E83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F80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430B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5605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2078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717F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346BB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D520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86863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8CB6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26D1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0717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2FFF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1E50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3BC1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9A7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9EFD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986C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记录指标计算完成时点</w:t>
            </w:r>
          </w:p>
        </w:tc>
      </w:tr>
      <w:tr w14:paraId="601C7F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24A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AF4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Metric_Definition_Id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B427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6AD1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CF4F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8C41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9886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40ED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3BB8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关联计算口径版本</w:t>
            </w:r>
          </w:p>
        </w:tc>
      </w:tr>
      <w:tr w14:paraId="4B9988E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C582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06FC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D4FE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34C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5FB4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56D1B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组织/仓库/产线/订单/供应商/客户/产品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D75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74FE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维度映射</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E199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标识指标对象粒度</w:t>
            </w:r>
          </w:p>
        </w:tc>
      </w:tr>
      <w:tr w14:paraId="2B25B3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20AD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4B4A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86EC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A28D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882C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4BF3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3AA4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C788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5459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关联对应主数据或交易对象</w:t>
            </w:r>
          </w:p>
        </w:tc>
      </w:tr>
      <w:tr w14:paraId="5E4850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B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FEE6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Statistical_Period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C0DA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9195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8662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3573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时点/日/月/滚动周期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525E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C139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278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按指标口径确定</w:t>
            </w:r>
          </w:p>
        </w:tc>
      </w:tr>
      <w:tr w14:paraId="48F5A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9AE7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BED6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20FD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A03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C849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E657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CD03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ED38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A49B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按已发布口径计算</w:t>
            </w:r>
          </w:p>
        </w:tc>
      </w:tr>
      <w:tr w14:paraId="111EAD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A54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目标或基准值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5C8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Target_Baseline_Value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25C2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EA0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88645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F4D9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D425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BE53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配置或历史基准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732F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用于健康度和差异判断</w:t>
            </w:r>
          </w:p>
        </w:tc>
      </w:tr>
      <w:tr w14:paraId="6B3F75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4F41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健康度状态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CD00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Health_Status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6F18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9DFF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101D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9A2F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绿/黄/红/数据异常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ADE8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688D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9821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按健康度阈值版本生成</w:t>
            </w:r>
          </w:p>
        </w:tc>
      </w:tr>
      <w:tr w14:paraId="677B72E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51C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A0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98A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BBFA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8217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2F5D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正常/缺失/过期/冲突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9F50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6D514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952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关键数据不完整时不得使用人工替代</w:t>
            </w:r>
          </w:p>
        </w:tc>
      </w:tr>
      <w:tr w14:paraId="6467AA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100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24C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B4D8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6A7C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4F70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BCCC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F59A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7809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建议：Data_Update_Time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65E9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取支撑指标的最新数据时点</w:t>
            </w:r>
          </w:p>
        </w:tc>
      </w:tr>
      <w:tr w14:paraId="1D80ED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437A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CC7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Drill_Down_Link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0684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47D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32B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94B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DFF2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A99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8730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链接至明细和源单据</w:t>
            </w:r>
          </w:p>
        </w:tc>
      </w:tr>
      <w:tr w14:paraId="2B2EA7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4FE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96F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643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5BFD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23E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7B1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3583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B828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1400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E4F01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801D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E12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F28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7EF5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4CFD6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BB2F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CBF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DBB2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9552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A43DC3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2396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BD44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8343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4D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A061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1728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22A6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B98A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90C0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400AD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16EF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17B4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75E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321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F06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EB95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0652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A880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5F0F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A778B08">
      <w:pPr>
        <w:pStyle w:val="6"/>
        <w:bidi w:val="0"/>
      </w:pPr>
      <w:r>
        <w:t>预警事件</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E4D7E4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202EF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602FD1E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13758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1121BD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1C278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E432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8238A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3C803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0CF7ED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D7981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4B5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3F9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ALTEVT_Id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4395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4540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FC84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B0B7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ALTEVT+日期+流水号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358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A0EF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003A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55177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DBFF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674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EF93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318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1F7F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50C9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9289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926E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AEAA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B1680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897D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D925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Alert_Rule_Id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C5FC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F2D2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EFA4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A3C5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已发布预警规则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D44E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3FDE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5A44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关联触发规则版本</w:t>
            </w:r>
          </w:p>
        </w:tc>
      </w:tr>
      <w:tr w14:paraId="1EB80D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BAF1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6743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5C0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6A4C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97D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9325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库存/采购/要货/成本/驾驶舱等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C926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C8D1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事件上下文</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8FCF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记录预警业务来源</w:t>
            </w:r>
          </w:p>
        </w:tc>
      </w:tr>
      <w:tr w14:paraId="0A7C61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ADB7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D88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9464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FAE4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45C0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FEE2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源模块唯一编号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662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1056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建议：Source_Event_Id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8FB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与来源模块组成幂等去重键</w:t>
            </w:r>
          </w:p>
        </w:tc>
      </w:tr>
      <w:tr w14:paraId="139722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3815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0BA5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B51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BC5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5A9A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EECE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物料/订单/供应商/批次/指标等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CD3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7F12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ABC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统一转换对象类型</w:t>
            </w:r>
          </w:p>
        </w:tc>
      </w:tr>
      <w:tr w14:paraId="287C9D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EC1B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73C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B319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C341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BE05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9469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83E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3EEA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CFD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保留源对象业务键</w:t>
            </w:r>
          </w:p>
        </w:tc>
      </w:tr>
      <w:tr w14:paraId="07808FD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DED2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预警发生时间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4412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Alert_Occurred_Time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9CEF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FEDD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8A75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4100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CE74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C442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建议：Alert_Occurred_Time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CB30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取业务风险实际识别时点</w:t>
            </w:r>
          </w:p>
        </w:tc>
      </w:tr>
      <w:tr w14:paraId="1AE1F8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D73D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6351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DDA5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409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0E29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69DA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36DD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3C42C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44B1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按已发布预警规则分级</w:t>
            </w:r>
          </w:p>
        </w:tc>
      </w:tr>
      <w:tr w14:paraId="64A7B0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1127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7948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E6A6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88AF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26E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423A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组织与业务对象清单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B30B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CD3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5126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通过业务关系识别受影响范围</w:t>
            </w:r>
          </w:p>
        </w:tc>
      </w:tr>
      <w:tr w14:paraId="6CCEF5C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9F7A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6AA2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Event_Summary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42CF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5D91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5C8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D216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业务描述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BFBB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EC9E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4C84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用业务语言概括异常</w:t>
            </w:r>
          </w:p>
        </w:tc>
      </w:tr>
      <w:tr w14:paraId="2F437C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80C7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聚合主事件编号▲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C29D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Parent_Event_Id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D755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AF4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6BF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4413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2293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0C281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聚合去重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C77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同类事件合并时关联主事件</w:t>
            </w:r>
          </w:p>
        </w:tc>
      </w:tr>
      <w:tr w14:paraId="6DFC9B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3EE8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ECC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Suggested_Owner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A0FA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D931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008A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0671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17B0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CB862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责任匹配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AB7FF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按组织和对象责任规则生成</w:t>
            </w:r>
          </w:p>
        </w:tc>
      </w:tr>
      <w:tr w14:paraId="085381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C5F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0D50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B192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EB7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EA45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D8B5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D778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861E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36E4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链接至来源数据和分析视图</w:t>
            </w:r>
          </w:p>
        </w:tc>
      </w:tr>
      <w:tr w14:paraId="281BFA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F510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4C1A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F4BF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99E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8B1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4E4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631A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5D5D8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8D98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7BD1D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48D7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076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50CF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500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DEDA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FBBD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B95B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D332C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1202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9F18D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462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C8D5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198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61B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986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C75B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EA78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41A4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9A80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7075E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94AF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C21A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195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CEC7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632E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D2DA4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1AF6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EB74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006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6D5CD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C5C6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5D7C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0999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C01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07E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FF4E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85F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78CD0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107A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8EBEF80">
      <w:pPr>
        <w:pStyle w:val="6"/>
        <w:bidi w:val="0"/>
      </w:pPr>
      <w:r>
        <w:t>预警处置任务</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2B31F4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716726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1687E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07D3D6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E8B10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79CA8B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25941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E3A7AA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9DBC67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154B19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6ABECE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2490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预警处置任务编号★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0CB3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F81A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11E9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BD7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2165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ALTTASK+日期+流水号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4382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6475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A83A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2F718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4CC5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F078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E947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0348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0D2C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6EE4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C099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C683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5CC4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D6671B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B240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7074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4ED5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257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6D19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F74A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4C89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2CC2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2C7A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关联需处置事件</w:t>
            </w:r>
          </w:p>
        </w:tc>
      </w:tr>
      <w:tr w14:paraId="2D30AF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553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责任部门</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E6B2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Owner_Department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2B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ACC5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0A86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F7DE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009F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SCOS/统一身份</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B560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建议：Department_Code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8C47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按责任规则匹配部门</w:t>
            </w:r>
          </w:p>
        </w:tc>
      </w:tr>
      <w:tr w14:paraId="2E0008B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DBA2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FAB2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Owner_User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6050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6394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3150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ACD2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D7A2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SCOS/统一身份</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CBB6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建议：User_Account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ECF9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经确认后派发至责任人</w:t>
            </w:r>
          </w:p>
        </w:tc>
      </w:tr>
      <w:tr w14:paraId="3B372F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A3DB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派发时间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434D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Dispatch_Time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AB98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A9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CB07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0896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960D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8734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C67B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记录任务成功派发时点</w:t>
            </w:r>
          </w:p>
        </w:tc>
      </w:tr>
      <w:tr w14:paraId="25252A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4BB8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要求完成时间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9BC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Due_Time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F396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77F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58B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5CFD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AB67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4916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B8D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按预警级别和SLA计算</w:t>
            </w:r>
          </w:p>
        </w:tc>
      </w:tr>
      <w:tr w14:paraId="5A64C6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508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2D9D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Accepted_Time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4D26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A3B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91D6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73D2C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FD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ABEF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任务确认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D431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责任人确认接收时记录</w:t>
            </w:r>
          </w:p>
        </w:tc>
      </w:tr>
      <w:tr w14:paraId="346AE5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426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处置动作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A78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Handling_Action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7AA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B70E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7FFD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1458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业务处置说明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128D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0FC5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75A1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持续记录关键处置动作</w:t>
            </w:r>
          </w:p>
        </w:tc>
      </w:tr>
      <w:tr w14:paraId="1EC2F6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289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处置进度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F7E9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Handling_Progress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3C5E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840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D22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2BB1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1B21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C4BE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1CC0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以百分比记录当前进度</w:t>
            </w:r>
          </w:p>
        </w:tc>
      </w:tr>
      <w:tr w14:paraId="6D667B4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CE6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处置证据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B522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Handling_Evidence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A90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3F8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5618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BED6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单据/链接/说明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B14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F55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A34A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关联可验证的处置依据</w:t>
            </w:r>
          </w:p>
        </w:tc>
      </w:tr>
      <w:tr w14:paraId="6A3ED2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D72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升级次数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23A4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Escalation_Count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A2D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7E4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10C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4D23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3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8C70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系统统计</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7998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每次超时或失败升级累计</w:t>
            </w:r>
          </w:p>
        </w:tc>
      </w:tr>
      <w:tr w14:paraId="06FBAA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C2D1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验证结论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47DA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Verification_Result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6B6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6A5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8214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F16F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已恢复/风险接受/未关闭</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3B50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A0D5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2CA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由有权限人员确认闭环</w:t>
            </w:r>
          </w:p>
        </w:tc>
      </w:tr>
      <w:tr w14:paraId="2CFD71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3BE3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A2C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060F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C5D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AC2B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4B6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3858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146B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7A3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验证通过后记录关闭时间</w:t>
            </w:r>
          </w:p>
        </w:tc>
      </w:tr>
      <w:tr w14:paraId="02B30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2C06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A979D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18DD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9D51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C5E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67CD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FCA8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57349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2C3A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DEDE30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2D2F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54F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2F795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D83A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A75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6992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EA10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C84D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6CCF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831A8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412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EEC02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E705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1CC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E56A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834C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BC52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274A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F1BF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EFA46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D0C12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08F9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60B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188B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4BC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095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FE5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96C4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B6C9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DD0A8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125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7075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69A7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35BE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09B6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2E0A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A6B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2968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CC0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AA08999">
      <w:pPr>
        <w:pStyle w:val="6"/>
        <w:bidi w:val="0"/>
      </w:pPr>
      <w:r>
        <w:t>根因分析记录</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7E35BF7">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9DB7C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AD71CB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502B55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D33AC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D2B577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5F68B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491D5D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A2A39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81874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003A6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FFC7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根因分析记录编号★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69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RCA_Id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DB7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6BB0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5098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7817C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RCA+日期+流水号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5B8C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2348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3183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8AF5D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6AD4E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55D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638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C34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14E0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B796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EF65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1644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7D8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41BA1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F417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来源KPI快照编号▲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DC7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4D5F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A189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DBB7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571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KPI结果快照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060E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30EE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6B06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关联异常指标快照</w:t>
            </w:r>
          </w:p>
        </w:tc>
      </w:tr>
      <w:tr w14:paraId="36FB47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554C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5895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C1B3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54FE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FFBB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C474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95F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50DF2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DA8D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由预警发起时建立关联</w:t>
            </w:r>
          </w:p>
        </w:tc>
      </w:tr>
      <w:tr w14:paraId="3B5EC9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A0BD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6A2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5F2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78C5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B1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5DCC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指标/订单/批次/供应商等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3FF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6F7F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钻取请求</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A584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记录分析对象类型</w:t>
            </w:r>
          </w:p>
        </w:tc>
      </w:tr>
      <w:tr w14:paraId="2143B9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577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50F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AEC4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DB7E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921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D12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1221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027CA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066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关联具体异常对象</w:t>
            </w:r>
          </w:p>
        </w:tc>
      </w:tr>
      <w:tr w14:paraId="4E9859F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C82B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59E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507B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595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8A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8395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组织/期间/上下游对象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9D9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5E9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90E6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记录本次根因分析边界</w:t>
            </w:r>
          </w:p>
        </w:tc>
      </w:tr>
      <w:tr w14:paraId="757DDC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B45F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源单据链接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88C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Source_Document_Link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BF3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03A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C815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6AF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单据或工单链接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3F65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C6B7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2768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链接至权威源单据</w:t>
            </w:r>
          </w:p>
        </w:tc>
      </w:tr>
      <w:tr w14:paraId="59F22F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749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专业模块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CDC70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Professional_Module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DBCC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31A4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1F5B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BDC0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库存/采购/要货/成本/排程等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0AA7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254C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规则匹配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5941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需要专业分析时指定承接模块</w:t>
            </w:r>
          </w:p>
        </w:tc>
      </w:tr>
      <w:tr w14:paraId="30BA5FB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AFBA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2F38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Root_Cause_Category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FCE5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871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5718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1F96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业务分类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418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57708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89F9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使用统一根因分类字典</w:t>
            </w:r>
          </w:p>
        </w:tc>
      </w:tr>
      <w:tr w14:paraId="394D84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5D84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C785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Root_Cause_Description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BCD0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AA9B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6F3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31EC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业务结论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05FF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578C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43EF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记录已确认的事实与因果链</w:t>
            </w:r>
          </w:p>
        </w:tc>
      </w:tr>
      <w:tr w14:paraId="02D174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5818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0D7A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EBA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823C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568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3244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受影响对象清单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EA8D4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942B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CAF1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记录根因影响范围</w:t>
            </w:r>
          </w:p>
        </w:tc>
      </w:tr>
      <w:tr w14:paraId="7CFF82C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D466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处理建议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3EC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9E27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FA7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DD04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DF66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业务建议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03DA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E295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5868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形成可执行处理建议</w:t>
            </w:r>
          </w:p>
        </w:tc>
      </w:tr>
      <w:tr w14:paraId="3D7483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6D21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87A7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840F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7D5D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E08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6572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EA2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72CD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F4F0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记录根因结论确认人</w:t>
            </w:r>
          </w:p>
        </w:tc>
      </w:tr>
      <w:tr w14:paraId="5D2AC6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B90F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B97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43E1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47D6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ABF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D38D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7563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4765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483A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BFC25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3BF8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92A2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9460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65C4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3BDB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15A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A19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FEB2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9211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5849C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44DD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325E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E388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F9F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0B6A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41CA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B45D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6AE5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6EE4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E69CD6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9A1B0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B751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763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A842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26FB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00C5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6E7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83ED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D42D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D5A320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AC1B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C4D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676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435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6963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D687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DF57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2D13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C818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4269BCD">
      <w:pPr>
        <w:pStyle w:val="6"/>
        <w:bidi w:val="0"/>
      </w:pPr>
      <w:r>
        <w:t>情景模拟任务与基线快照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5B00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23D322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3D99D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B8C312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DCE77A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0E1C4E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0869D5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12A82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9299B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DA1D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E89865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7C9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情景模拟任务与基线快照编号★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570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E3C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7680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DC8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903C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SIMTASK+日期+流水号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2710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74A0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F4E2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49A40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C876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87B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44D3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7FB2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80B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B944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5BA3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DB624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D2AE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F394C0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CD69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1294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Scenario_Type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8E64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697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B52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6842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需求/供应/产能/库存/成本/综合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2C86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3363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231B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标识模拟业务主题</w:t>
            </w:r>
          </w:p>
        </w:tc>
      </w:tr>
      <w:tr w14:paraId="0644AE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AB7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73D8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Scenario_Name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06C3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F3B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43C7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2F1B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8C42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05FC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86BD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便于识别和复用</w:t>
            </w:r>
          </w:p>
        </w:tc>
      </w:tr>
      <w:tr w14:paraId="1A5F77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97AC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问题描述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020F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Problem_Description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82FE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E9A6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2B79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56FE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业务问题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899B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FDC8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AC71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说明模拟目标和范围</w:t>
            </w:r>
          </w:p>
        </w:tc>
      </w:tr>
      <w:tr w14:paraId="6F1E66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A995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基线时点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426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FB6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0309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9F72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8D15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867D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D8C0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CDB9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冻结正式业务状态时点</w:t>
            </w:r>
          </w:p>
        </w:tc>
      </w:tr>
      <w:tr w14:paraId="653919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0FE2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基线方案版本清单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DEE1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Baseline_Version_List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EAD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9A50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12D7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148F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计划/策略/规则版本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A7E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B9A1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版本汇集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6FEC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记录参与模拟的正式版本</w:t>
            </w:r>
          </w:p>
        </w:tc>
      </w:tr>
      <w:tr w14:paraId="271D327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CF46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B3A6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DA9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5E57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6E4B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6D34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沙盘隔离快照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08C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92EB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建议：Data_Snapshot_Id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94F8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冻结模拟输入数据</w:t>
            </w:r>
          </w:p>
        </w:tc>
      </w:tr>
      <w:tr w14:paraId="0E641EF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66A5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假设参数集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B05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Assumption_Parameter_Set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766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1D7C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0CCE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32B3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参数名、原值、模拟值</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3F9A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CEC35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948CA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记录所有可调假设及单位</w:t>
            </w:r>
          </w:p>
        </w:tc>
      </w:tr>
      <w:tr w14:paraId="44394A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3628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调用模型清单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A66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Model_Service_List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01A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370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D89B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1BEB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采购/库存/排程/成本等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D81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61A4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任务编排</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034C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记录实际调用的业务模型</w:t>
            </w:r>
          </w:p>
        </w:tc>
      </w:tr>
      <w:tr w14:paraId="0AC207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328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模型版本清单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022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Model_Version_List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98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17A9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AAAE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F07D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20B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E0D6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服务注册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45F8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冻结各模型运行版本</w:t>
            </w:r>
          </w:p>
        </w:tc>
      </w:tr>
      <w:tr w14:paraId="1AA505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8BD5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FE3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Task_Status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8CC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0B58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85A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7F8A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待执行/执行中/成功/不可行/数据异常/超时/取消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48EA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0476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任务状态机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A1B8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记录模拟任务生命周期</w:t>
            </w:r>
          </w:p>
        </w:tc>
      </w:tr>
      <w:tr w14:paraId="7435A8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DA13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00C8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Initiated_By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C0B8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116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7383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3951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EBAB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1DC6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7714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记录模拟发起人</w:t>
            </w:r>
          </w:p>
        </w:tc>
      </w:tr>
      <w:tr w14:paraId="17288F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5252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928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815A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D0D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059C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32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2060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B0CB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A2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BA7FD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CF8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5E53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17B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08A4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94B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E98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97F6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806F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4F1A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5394B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F84C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C53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F216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7319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6BC5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E391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1DD1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20DD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E0FA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640D48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97DC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D7CB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90D2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D56C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FED3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5913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63D6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85ED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55E6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3C50652">
      <w:pPr>
        <w:pStyle w:val="6"/>
        <w:bidi w:val="0"/>
      </w:pPr>
      <w:r>
        <w:t>情景模拟结果与采纳协同</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D88D76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96579F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FA82F2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DBB44A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AC20A2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B988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321267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8E58D4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C90CA0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E72A81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606C9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0B3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情景模拟结果与采纳协同编号★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7082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SIMRES_Id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644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EE7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825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52D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SIMRES+日期+流水号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2661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341C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0E2C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8ABF4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BD07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C6DD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DC7B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DC5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22D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C0AA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2C9D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AADA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0C55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9934F2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852F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模拟任务编号▲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E489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Simulation_Task_Id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A4EE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065F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67B7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B5D1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ABFD2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F607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993B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关联模拟输入与基线</w:t>
            </w:r>
          </w:p>
        </w:tc>
      </w:tr>
      <w:tr w14:paraId="07CDCC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7D90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3D7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Solution_Type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12C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5A8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FC3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CAF6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情景结果/备选方案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1AC7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E3E5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000C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区分主结果与备选方案</w:t>
            </w:r>
          </w:p>
        </w:tc>
      </w:tr>
      <w:tr w14:paraId="29EE8A0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367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服务水平变化</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334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Service_Level_Change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BDC0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4A24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EFE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A848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92EE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A715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F952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情景结果减基线结果</w:t>
            </w:r>
          </w:p>
        </w:tc>
      </w:tr>
      <w:tr w14:paraId="66C7D7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BFF0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成本变化金额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31FC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Cost_Change_Amount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8A5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B62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BE83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5260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8896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B264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402C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情景总成本减基线总成本</w:t>
            </w:r>
          </w:p>
        </w:tc>
      </w:tr>
      <w:tr w14:paraId="01C7F5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2B47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库存变化数量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5E9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Inventory_Change_Qty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4483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F069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4733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57FA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55CF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CE79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5351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情景库存减基线库存</w:t>
            </w:r>
          </w:p>
        </w:tc>
      </w:tr>
      <w:tr w14:paraId="3CD49E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D32F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风险变化摘要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BCE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Risk_Change_Summary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6DA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2642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661E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4AE7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新增/缓解/转移风险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3172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AE57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286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汇总关键风险变化</w:t>
            </w:r>
          </w:p>
        </w:tc>
      </w:tr>
      <w:tr w14:paraId="20F3F1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94AA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不可行原因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36A6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Infeasible_Reason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4A8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692F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C71F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6DF5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不可行时必填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5C7F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0AEF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CE76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记录冲突约束的业务解释</w:t>
            </w:r>
          </w:p>
        </w:tc>
      </w:tr>
      <w:tr w14:paraId="65D798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FD8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备选方案说明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6CF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Alternative_Solution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24FC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03F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293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490C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5FC0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FDE0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17CD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记录可供决策的替代路径</w:t>
            </w:r>
          </w:p>
        </w:tc>
      </w:tr>
      <w:tr w14:paraId="49B194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844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审阅意见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21D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Review_Opinion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7E4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3C29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4FA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C29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业务意见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88A8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4D60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审阅记录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D9A0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保留业务审阅结论</w:t>
            </w:r>
          </w:p>
        </w:tc>
      </w:tr>
      <w:tr w14:paraId="29E56C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76E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C35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Adoption_Result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F64A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C5FE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AF7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BD0E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采纳/部分采纳/不采纳</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ED99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6F69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决策记录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4093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记录正式决策</w:t>
            </w:r>
          </w:p>
        </w:tc>
      </w:tr>
      <w:tr w14:paraId="3353D3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17AD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566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Adoption_Basis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6DF2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5F13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4EBA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E752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成本/服务/风险权衡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FAB1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E040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决策记录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32D3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记录决策理由</w:t>
            </w:r>
          </w:p>
        </w:tc>
      </w:tr>
      <w:tr w14:paraId="2DCCD5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7402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承接模块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E477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Receiving_Module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462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721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AAF7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53DB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采购/库存/要货/排程/其他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F3E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5086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0F40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采纳后指定正式调整流程</w:t>
            </w:r>
          </w:p>
        </w:tc>
      </w:tr>
      <w:tr w14:paraId="67C1FF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F89A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5684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2F10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2AC7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B984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F17C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业务调整任务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A58A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E0BE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20BEE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关联正式业务方案调整任务</w:t>
            </w:r>
          </w:p>
        </w:tc>
      </w:tr>
      <w:tr w14:paraId="5D3873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FF6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5742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Collaboration_Status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41595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D54B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C92E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F5C2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待受理/已受理/执行中/已完成/拒绝</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47B7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443B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协同状态机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17D5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持续回写承接进展</w:t>
            </w:r>
          </w:p>
        </w:tc>
      </w:tr>
      <w:tr w14:paraId="4278B9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8315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61403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C8B7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83A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9569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8BD7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A921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5E7D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6DF0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5FD590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401C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9A54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83C2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7FD5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8482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2A4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6431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86CB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AC93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368F1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04AC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6F9F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7B97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0329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21FD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4295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0021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584B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38FE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9C0EF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874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52F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01D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B5FAA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D4F4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7E4B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CBB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780D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239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33974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578A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F41F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8CD8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AA5F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8E22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BBF8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BA4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6DF1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65DA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11A05D5">
      <w:pPr>
        <w:spacing w:before="0" w:after="0" w:line="20" w:lineRule="exact"/>
        <w:jc w:val="left"/>
      </w:pPr>
    </w:p>
    <w:p w14:paraId="414E3E80">
      <w:pPr>
        <w:pStyle w:val="5"/>
        <w:spacing w:after="100" w:line="276" w:lineRule="auto"/>
        <w:rPr>
          <w:rFonts w:ascii="Times New Roman" w:hAnsi="Times New Roman" w:eastAsia="宋体"/>
          <w:sz w:val="21"/>
        </w:rPr>
      </w:pPr>
    </w:p>
    <w:p w14:paraId="79A2AB0E">
      <w:pPr>
        <w:pStyle w:val="3"/>
        <w:keepNext/>
        <w:rPr>
          <w:rFonts w:hint="eastAsia" w:ascii="黑体" w:hAnsi="黑体" w:eastAsia="黑体" w:cs="黑体"/>
        </w:rPr>
      </w:pPr>
      <w:bookmarkStart w:id="53" w:name="_Toc649104750"/>
      <w:r>
        <w:rPr>
          <w:rFonts w:hint="eastAsia" w:ascii="黑体" w:hAnsi="黑体" w:eastAsia="黑体" w:cs="黑体"/>
          <w:b/>
          <w:color w:val="1F4E79"/>
          <w:sz w:val="30"/>
          <w:lang w:eastAsia="zh-CN"/>
        </w:rPr>
        <w:t>【</w:t>
      </w:r>
      <w:r>
        <w:rPr>
          <w:rFonts w:hint="eastAsia" w:ascii="黑体" w:hAnsi="黑体" w:eastAsia="黑体" w:cs="黑体"/>
          <w:b/>
          <w:color w:val="FF0000"/>
          <w:sz w:val="30"/>
          <w:lang w:val="en-US" w:eastAsia="zh-CN"/>
        </w:rPr>
        <w:t>待讨论</w:t>
      </w:r>
      <w:r>
        <w:rPr>
          <w:rFonts w:hint="eastAsia" w:ascii="黑体" w:hAnsi="黑体" w:eastAsia="黑体" w:cs="黑体"/>
          <w:b/>
          <w:color w:val="1F4E79"/>
          <w:sz w:val="30"/>
          <w:lang w:eastAsia="zh-CN"/>
        </w:rPr>
        <w:t>】</w:t>
      </w:r>
      <w:r>
        <w:rPr>
          <w:rFonts w:hint="eastAsia" w:ascii="黑体" w:hAnsi="黑体" w:eastAsia="黑体" w:cs="黑体"/>
          <w:b/>
          <w:color w:val="1F4E79"/>
          <w:sz w:val="30"/>
        </w:rPr>
        <w:t>SCOS模型与计算服务</w:t>
      </w:r>
      <w:bookmarkEnd w:id="53"/>
    </w:p>
    <w:p w14:paraId="25E53848">
      <w:pPr>
        <w:pStyle w:val="5"/>
        <w:spacing w:after="100" w:line="276" w:lineRule="auto"/>
      </w:pPr>
      <w:r>
        <w:rPr>
          <w:rFonts w:ascii="Times New Roman" w:hAnsi="Times New Roman" w:eastAsia="宋体"/>
          <w:sz w:val="21"/>
        </w:rPr>
        <w:t>为保证各业务模块可独立部署、可测试和可回退，优化算法应封装为标准模型服务。每个服务接收明确的数据版本、参数集和触发信息，返回任务状态、结果方案、可行性、性能耗时和解释信息。</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50"/>
        <w:gridCol w:w="2000"/>
        <w:gridCol w:w="2300"/>
        <w:gridCol w:w="1950"/>
        <w:gridCol w:w="980"/>
      </w:tblGrid>
      <w:tr w14:paraId="125971FB">
        <w:trPr>
          <w:tblHeader/>
          <w:jc w:val="center"/>
        </w:trPr>
        <w:tc>
          <w:tcPr>
            <w:tcW w:w="1050" w:type="dxa"/>
            <w:shd w:val="clear" w:color="auto" w:fill="D9E2F3"/>
            <w:tcMar>
              <w:top w:w="85" w:type="dxa"/>
              <w:left w:w="100" w:type="dxa"/>
              <w:bottom w:w="85" w:type="dxa"/>
              <w:right w:w="100" w:type="dxa"/>
            </w:tcMar>
            <w:vAlign w:val="center"/>
          </w:tcPr>
          <w:p w14:paraId="27FFAD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服务</w:t>
            </w:r>
          </w:p>
        </w:tc>
        <w:tc>
          <w:tcPr>
            <w:tcW w:w="2000" w:type="dxa"/>
            <w:shd w:val="clear" w:color="auto" w:fill="D9E2F3"/>
            <w:tcMar>
              <w:top w:w="85" w:type="dxa"/>
              <w:left w:w="100" w:type="dxa"/>
              <w:bottom w:w="85" w:type="dxa"/>
              <w:right w:w="100" w:type="dxa"/>
            </w:tcMar>
            <w:vAlign w:val="center"/>
          </w:tcPr>
          <w:p w14:paraId="056CE4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输入摘要</w:t>
            </w:r>
          </w:p>
        </w:tc>
        <w:tc>
          <w:tcPr>
            <w:tcW w:w="2300" w:type="dxa"/>
            <w:shd w:val="clear" w:color="auto" w:fill="D9E2F3"/>
            <w:tcMar>
              <w:top w:w="85" w:type="dxa"/>
              <w:left w:w="100" w:type="dxa"/>
              <w:bottom w:w="85" w:type="dxa"/>
              <w:right w:w="100" w:type="dxa"/>
            </w:tcMar>
            <w:vAlign w:val="center"/>
          </w:tcPr>
          <w:p w14:paraId="06FA57A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处理/目标</w:t>
            </w:r>
          </w:p>
        </w:tc>
        <w:tc>
          <w:tcPr>
            <w:tcW w:w="1950" w:type="dxa"/>
            <w:shd w:val="clear" w:color="auto" w:fill="D9E2F3"/>
            <w:tcMar>
              <w:top w:w="85" w:type="dxa"/>
              <w:left w:w="100" w:type="dxa"/>
              <w:bottom w:w="85" w:type="dxa"/>
              <w:right w:w="100" w:type="dxa"/>
            </w:tcMar>
            <w:vAlign w:val="center"/>
          </w:tcPr>
          <w:p w14:paraId="36EF22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输出摘要</w:t>
            </w:r>
          </w:p>
        </w:tc>
        <w:tc>
          <w:tcPr>
            <w:tcW w:w="980" w:type="dxa"/>
            <w:shd w:val="clear" w:color="auto" w:fill="D9E2F3"/>
            <w:tcMar>
              <w:top w:w="85" w:type="dxa"/>
              <w:left w:w="100" w:type="dxa"/>
              <w:bottom w:w="85" w:type="dxa"/>
              <w:right w:w="100" w:type="dxa"/>
            </w:tcMar>
            <w:vAlign w:val="center"/>
          </w:tcPr>
          <w:p w14:paraId="5DDA7C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性能/状态</w:t>
            </w:r>
          </w:p>
        </w:tc>
      </w:tr>
      <w:tr w14:paraId="57E3B2DA">
        <w:trPr>
          <w:jc w:val="center"/>
        </w:trPr>
        <w:tc>
          <w:tcPr>
            <w:tcW w:w="1050" w:type="dxa"/>
            <w:tcMar>
              <w:top w:w="85" w:type="dxa"/>
              <w:left w:w="100" w:type="dxa"/>
              <w:bottom w:w="85" w:type="dxa"/>
              <w:right w:w="100" w:type="dxa"/>
            </w:tcMar>
            <w:vAlign w:val="center"/>
          </w:tcPr>
          <w:p w14:paraId="469B94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采购优化</w:t>
            </w:r>
          </w:p>
        </w:tc>
        <w:tc>
          <w:tcPr>
            <w:tcW w:w="2000" w:type="dxa"/>
            <w:tcMar>
              <w:top w:w="85" w:type="dxa"/>
              <w:left w:w="100" w:type="dxa"/>
              <w:bottom w:w="85" w:type="dxa"/>
              <w:right w:w="100" w:type="dxa"/>
            </w:tcMar>
            <w:vAlign w:val="center"/>
          </w:tcPr>
          <w:p w14:paraId="2F42AD9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待采购需求、供应商报价/可供量/运费/账期、提前期</w:t>
            </w:r>
          </w:p>
        </w:tc>
        <w:tc>
          <w:tcPr>
            <w:tcW w:w="2300" w:type="dxa"/>
            <w:tcMar>
              <w:top w:w="85" w:type="dxa"/>
              <w:left w:w="100" w:type="dxa"/>
              <w:bottom w:w="85" w:type="dxa"/>
              <w:right w:w="100" w:type="dxa"/>
            </w:tcMar>
            <w:vAlign w:val="center"/>
          </w:tcPr>
          <w:p w14:paraId="585407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线性规划；最小化报价+运费-账期节省</w:t>
            </w:r>
          </w:p>
        </w:tc>
        <w:tc>
          <w:tcPr>
            <w:tcW w:w="1950" w:type="dxa"/>
            <w:tcMar>
              <w:top w:w="85" w:type="dxa"/>
              <w:left w:w="100" w:type="dxa"/>
              <w:bottom w:w="85" w:type="dxa"/>
              <w:right w:w="100" w:type="dxa"/>
            </w:tcMar>
            <w:vAlign w:val="center"/>
          </w:tcPr>
          <w:p w14:paraId="1490395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推荐/备选组合、综合成本、下单/到货建议、缺口</w:t>
            </w:r>
          </w:p>
        </w:tc>
        <w:tc>
          <w:tcPr>
            <w:tcW w:w="980" w:type="dxa"/>
            <w:tcMar>
              <w:top w:w="85" w:type="dxa"/>
              <w:left w:w="100" w:type="dxa"/>
              <w:bottom w:w="85" w:type="dxa"/>
              <w:right w:w="100" w:type="dxa"/>
            </w:tcMar>
            <w:vAlign w:val="center"/>
          </w:tcPr>
          <w:p w14:paraId="2A337E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常规计算≤3秒；风险约束待确认</w:t>
            </w:r>
          </w:p>
        </w:tc>
      </w:tr>
      <w:tr w14:paraId="0F4D32CD">
        <w:trPr>
          <w:jc w:val="center"/>
        </w:trPr>
        <w:tc>
          <w:tcPr>
            <w:tcW w:w="1050" w:type="dxa"/>
            <w:shd w:val="clear" w:color="auto" w:fill="F8FAFC"/>
            <w:tcMar>
              <w:top w:w="85" w:type="dxa"/>
              <w:left w:w="100" w:type="dxa"/>
              <w:bottom w:w="85" w:type="dxa"/>
              <w:right w:w="100" w:type="dxa"/>
            </w:tcMar>
            <w:vAlign w:val="center"/>
          </w:tcPr>
          <w:p w14:paraId="777F86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成品库存</w:t>
            </w:r>
          </w:p>
        </w:tc>
        <w:tc>
          <w:tcPr>
            <w:tcW w:w="2000" w:type="dxa"/>
            <w:shd w:val="clear" w:color="auto" w:fill="F8FAFC"/>
            <w:tcMar>
              <w:top w:w="85" w:type="dxa"/>
              <w:left w:w="100" w:type="dxa"/>
              <w:bottom w:w="85" w:type="dxa"/>
              <w:right w:w="100" w:type="dxa"/>
            </w:tcMar>
            <w:vAlign w:val="center"/>
          </w:tcPr>
          <w:p w14:paraId="5579ADB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需求、可用库存、计划入库、补充周期、储罐容量</w:t>
            </w:r>
          </w:p>
        </w:tc>
        <w:tc>
          <w:tcPr>
            <w:tcW w:w="2300" w:type="dxa"/>
            <w:shd w:val="clear" w:color="auto" w:fill="F8FAFC"/>
            <w:tcMar>
              <w:top w:w="85" w:type="dxa"/>
              <w:left w:w="100" w:type="dxa"/>
              <w:bottom w:w="85" w:type="dxa"/>
              <w:right w:w="100" w:type="dxa"/>
            </w:tcMar>
            <w:vAlign w:val="center"/>
          </w:tcPr>
          <w:p w14:paraId="5C6F002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动态(R,s,S)；月-周-日协同与7天滚动</w:t>
            </w:r>
          </w:p>
        </w:tc>
        <w:tc>
          <w:tcPr>
            <w:tcW w:w="1950" w:type="dxa"/>
            <w:shd w:val="clear" w:color="auto" w:fill="F8FAFC"/>
            <w:tcMar>
              <w:top w:w="85" w:type="dxa"/>
              <w:left w:w="100" w:type="dxa"/>
              <w:bottom w:w="85" w:type="dxa"/>
              <w:right w:w="100" w:type="dxa"/>
            </w:tcMar>
            <w:vAlign w:val="center"/>
          </w:tcPr>
          <w:p w14:paraId="2B23218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SS/s/S、补货量、风险日、期望入库日期、容量风险</w:t>
            </w:r>
          </w:p>
        </w:tc>
        <w:tc>
          <w:tcPr>
            <w:tcW w:w="980" w:type="dxa"/>
            <w:shd w:val="clear" w:color="auto" w:fill="F8FAFC"/>
            <w:tcMar>
              <w:top w:w="85" w:type="dxa"/>
              <w:left w:w="100" w:type="dxa"/>
              <w:bottom w:w="85" w:type="dxa"/>
              <w:right w:w="100" w:type="dxa"/>
            </w:tcMar>
            <w:vAlign w:val="center"/>
          </w:tcPr>
          <w:p w14:paraId="70F89B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每日计算；策略原则上按月发布</w:t>
            </w:r>
          </w:p>
        </w:tc>
      </w:tr>
      <w:tr w14:paraId="335381AF">
        <w:trPr>
          <w:jc w:val="center"/>
        </w:trPr>
        <w:tc>
          <w:tcPr>
            <w:tcW w:w="1050" w:type="dxa"/>
            <w:tcMar>
              <w:top w:w="85" w:type="dxa"/>
              <w:left w:w="100" w:type="dxa"/>
              <w:bottom w:w="85" w:type="dxa"/>
              <w:right w:w="100" w:type="dxa"/>
            </w:tcMar>
            <w:vAlign w:val="center"/>
          </w:tcPr>
          <w:p w14:paraId="3B7445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精益排程</w:t>
            </w:r>
          </w:p>
        </w:tc>
        <w:tc>
          <w:tcPr>
            <w:tcW w:w="2000" w:type="dxa"/>
            <w:tcMar>
              <w:top w:w="85" w:type="dxa"/>
              <w:left w:w="100" w:type="dxa"/>
              <w:bottom w:w="85" w:type="dxa"/>
              <w:right w:w="100" w:type="dxa"/>
            </w:tcMar>
            <w:vAlign w:val="center"/>
          </w:tcPr>
          <w:p w14:paraId="4142B66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需求/补货、BOM/工艺、产能、物料、储罐、设备日历、切换/质量约束</w:t>
            </w:r>
          </w:p>
        </w:tc>
        <w:tc>
          <w:tcPr>
            <w:tcW w:w="2300" w:type="dxa"/>
            <w:tcMar>
              <w:top w:w="85" w:type="dxa"/>
              <w:left w:w="100" w:type="dxa"/>
              <w:bottom w:w="85" w:type="dxa"/>
              <w:right w:w="100" w:type="dxa"/>
            </w:tcMar>
            <w:vAlign w:val="center"/>
          </w:tcPr>
          <w:p w14:paraId="576ED9F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粗排+精排；满足交付、库存、连续生产和效率目标</w:t>
            </w:r>
          </w:p>
        </w:tc>
        <w:tc>
          <w:tcPr>
            <w:tcW w:w="1950" w:type="dxa"/>
            <w:tcMar>
              <w:top w:w="85" w:type="dxa"/>
              <w:left w:w="100" w:type="dxa"/>
              <w:bottom w:w="85" w:type="dxa"/>
              <w:right w:w="100" w:type="dxa"/>
            </w:tcMar>
            <w:vAlign w:val="center"/>
          </w:tcPr>
          <w:p w14:paraId="2BC24E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4-6周框架、24-72小时详细计划、冲突、风险和重排方案</w:t>
            </w:r>
          </w:p>
        </w:tc>
        <w:tc>
          <w:tcPr>
            <w:tcW w:w="980" w:type="dxa"/>
            <w:tcMar>
              <w:top w:w="85" w:type="dxa"/>
              <w:left w:w="100" w:type="dxa"/>
              <w:bottom w:w="85" w:type="dxa"/>
              <w:right w:w="100" w:type="dxa"/>
            </w:tcMar>
            <w:vAlign w:val="center"/>
          </w:tcPr>
          <w:p w14:paraId="4325BAF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72小时≤5分钟；硬约束100%</w:t>
            </w:r>
          </w:p>
        </w:tc>
      </w:tr>
      <w:tr w14:paraId="66A9861D">
        <w:trPr>
          <w:jc w:val="center"/>
        </w:trPr>
        <w:tc>
          <w:tcPr>
            <w:tcW w:w="1050" w:type="dxa"/>
            <w:shd w:val="clear" w:color="auto" w:fill="F8FAFC"/>
            <w:tcMar>
              <w:top w:w="85" w:type="dxa"/>
              <w:left w:w="100" w:type="dxa"/>
              <w:bottom w:w="85" w:type="dxa"/>
              <w:right w:w="100" w:type="dxa"/>
            </w:tcMar>
            <w:vAlign w:val="center"/>
          </w:tcPr>
          <w:p w14:paraId="050ACE3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KPI与健康度</w:t>
            </w:r>
          </w:p>
        </w:tc>
        <w:tc>
          <w:tcPr>
            <w:tcW w:w="2000" w:type="dxa"/>
            <w:shd w:val="clear" w:color="auto" w:fill="F8FAFC"/>
            <w:tcMar>
              <w:top w:w="85" w:type="dxa"/>
              <w:left w:w="100" w:type="dxa"/>
              <w:bottom w:w="85" w:type="dxa"/>
              <w:right w:w="100" w:type="dxa"/>
            </w:tcMar>
            <w:vAlign w:val="center"/>
          </w:tcPr>
          <w:p w14:paraId="67282E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业务数据快照、指标公式、阈值和预警规则</w:t>
            </w:r>
          </w:p>
        </w:tc>
        <w:tc>
          <w:tcPr>
            <w:tcW w:w="2300" w:type="dxa"/>
            <w:shd w:val="clear" w:color="auto" w:fill="F8FAFC"/>
            <w:tcMar>
              <w:top w:w="85" w:type="dxa"/>
              <w:left w:w="100" w:type="dxa"/>
              <w:bottom w:w="85" w:type="dxa"/>
              <w:right w:w="100" w:type="dxa"/>
            </w:tcMar>
            <w:vAlign w:val="center"/>
          </w:tcPr>
          <w:p w14:paraId="1988E6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指标计算、红黄绿映射和分级预警</w:t>
            </w:r>
          </w:p>
        </w:tc>
        <w:tc>
          <w:tcPr>
            <w:tcW w:w="1950" w:type="dxa"/>
            <w:shd w:val="clear" w:color="auto" w:fill="F8FAFC"/>
            <w:tcMar>
              <w:top w:w="85" w:type="dxa"/>
              <w:left w:w="100" w:type="dxa"/>
              <w:bottom w:w="85" w:type="dxa"/>
              <w:right w:w="100" w:type="dxa"/>
            </w:tcMar>
            <w:vAlign w:val="center"/>
          </w:tcPr>
          <w:p w14:paraId="4A0BEE9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KPI、健康度、预警、钻取维度和快照时间</w:t>
            </w:r>
          </w:p>
        </w:tc>
        <w:tc>
          <w:tcPr>
            <w:tcW w:w="980" w:type="dxa"/>
            <w:shd w:val="clear" w:color="auto" w:fill="F8FAFC"/>
            <w:tcMar>
              <w:top w:w="85" w:type="dxa"/>
              <w:left w:w="100" w:type="dxa"/>
              <w:bottom w:w="85" w:type="dxa"/>
              <w:right w:w="100" w:type="dxa"/>
            </w:tcMar>
            <w:vAlign w:val="center"/>
          </w:tcPr>
          <w:p w14:paraId="7F3BA8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运营数据延迟≤5秒；分析数据≤1小时</w:t>
            </w:r>
          </w:p>
        </w:tc>
      </w:tr>
      <w:tr w14:paraId="160CCEEC">
        <w:trPr>
          <w:jc w:val="center"/>
        </w:trPr>
        <w:tc>
          <w:tcPr>
            <w:tcW w:w="1050" w:type="dxa"/>
            <w:tcMar>
              <w:top w:w="85" w:type="dxa"/>
              <w:left w:w="100" w:type="dxa"/>
              <w:bottom w:w="85" w:type="dxa"/>
              <w:right w:w="100" w:type="dxa"/>
            </w:tcMar>
            <w:vAlign w:val="center"/>
          </w:tcPr>
          <w:p w14:paraId="56D788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沙盘编排</w:t>
            </w:r>
          </w:p>
        </w:tc>
        <w:tc>
          <w:tcPr>
            <w:tcW w:w="2000" w:type="dxa"/>
            <w:tcMar>
              <w:top w:w="85" w:type="dxa"/>
              <w:left w:w="100" w:type="dxa"/>
              <w:bottom w:w="85" w:type="dxa"/>
              <w:right w:w="100" w:type="dxa"/>
            </w:tcMar>
            <w:vAlign w:val="center"/>
          </w:tcPr>
          <w:p w14:paraId="745CDAC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基线快照、情景参数、被调模型服务清单</w:t>
            </w:r>
          </w:p>
        </w:tc>
        <w:tc>
          <w:tcPr>
            <w:tcW w:w="2300" w:type="dxa"/>
            <w:tcMar>
              <w:top w:w="85" w:type="dxa"/>
              <w:left w:w="100" w:type="dxa"/>
              <w:bottom w:w="85" w:type="dxa"/>
              <w:right w:w="100" w:type="dxa"/>
            </w:tcMar>
            <w:vAlign w:val="center"/>
          </w:tcPr>
          <w:p w14:paraId="51AEA5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在沙盘隔离环境调用多个模型并汇总影响</w:t>
            </w:r>
          </w:p>
        </w:tc>
        <w:tc>
          <w:tcPr>
            <w:tcW w:w="1950" w:type="dxa"/>
            <w:tcMar>
              <w:top w:w="85" w:type="dxa"/>
              <w:left w:w="100" w:type="dxa"/>
              <w:bottom w:w="85" w:type="dxa"/>
              <w:right w:w="100" w:type="dxa"/>
            </w:tcMar>
            <w:vAlign w:val="center"/>
          </w:tcPr>
          <w:p w14:paraId="330BDCE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当前-模拟对比、不可行原因、可采纳建议</w:t>
            </w:r>
          </w:p>
        </w:tc>
        <w:tc>
          <w:tcPr>
            <w:tcW w:w="980" w:type="dxa"/>
            <w:tcMar>
              <w:top w:w="85" w:type="dxa"/>
              <w:left w:w="100" w:type="dxa"/>
              <w:bottom w:w="85" w:type="dxa"/>
              <w:right w:w="100" w:type="dxa"/>
            </w:tcMar>
            <w:vAlign w:val="center"/>
          </w:tcPr>
          <w:p w14:paraId="5EEBC70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继承被调模型SLA；编排超时待确认</w:t>
            </w:r>
          </w:p>
        </w:tc>
      </w:tr>
    </w:tbl>
    <w:p w14:paraId="02407B1A">
      <w:pPr>
        <w:pStyle w:val="4"/>
        <w:keepNext/>
        <w:ind w:left="161" w:leftChars="0" w:firstLineChars="0"/>
        <w:rPr>
          <w:rFonts w:hint="eastAsia" w:ascii="黑体" w:hAnsi="黑体" w:eastAsia="黑体" w:cs="黑体"/>
        </w:rPr>
      </w:pPr>
      <w:bookmarkStart w:id="54" w:name="_Toc286606490"/>
      <w:r>
        <w:rPr>
          <w:rFonts w:hint="eastAsia" w:ascii="黑体" w:hAnsi="黑体" w:eastAsia="黑体" w:cs="黑体"/>
          <w:b/>
          <w:color w:val="1F4E79"/>
          <w:sz w:val="28"/>
        </w:rPr>
        <w:t>模型运行与降级机制</w:t>
      </w:r>
      <w:bookmarkEnd w:id="54"/>
    </w:p>
    <w:p w14:paraId="0C6D2788">
      <w:pPr>
        <w:pStyle w:val="5"/>
        <w:spacing w:after="100" w:line="276" w:lineRule="auto"/>
      </w:pPr>
      <w:r>
        <w:rPr>
          <w:rFonts w:ascii="Times New Roman" w:hAnsi="Times New Roman" w:eastAsia="宋体"/>
          <w:sz w:val="21"/>
        </w:rPr>
        <w:t>模型计算任务应包含“待执行、执行中、成功、不可行、数据异常、超时、取消”等状态。当输入缺失或数据时效不满足时，系统不启动模型；当输出不可行时，应返回约束冲突或缺口；当求解器故障或性能连续不达标时，应允许回退到上一已验证模型版本，并保留切换记录。</w:t>
      </w:r>
    </w:p>
    <w:p w14:paraId="5681F799">
      <w:pPr>
        <w:pStyle w:val="3"/>
        <w:keepNext/>
        <w:rPr>
          <w:rFonts w:hint="eastAsia" w:ascii="黑体" w:hAnsi="黑体" w:eastAsia="黑体" w:cs="黑体"/>
        </w:rPr>
      </w:pPr>
      <w:bookmarkStart w:id="55" w:name="_Toc189457209"/>
      <w:r>
        <w:rPr>
          <w:rFonts w:hint="eastAsia" w:ascii="黑体" w:hAnsi="黑体" w:eastAsia="黑体" w:cs="黑体"/>
          <w:b/>
          <w:color w:val="1F4E79"/>
          <w:sz w:val="30"/>
          <w:lang w:eastAsia="zh-CN"/>
        </w:rPr>
        <w:t>【</w:t>
      </w:r>
      <w:r>
        <w:rPr>
          <w:rFonts w:hint="eastAsia" w:ascii="黑体" w:hAnsi="黑体" w:eastAsia="黑体" w:cs="黑体"/>
          <w:b/>
          <w:color w:val="FF0000"/>
          <w:sz w:val="30"/>
          <w:lang w:val="en-US" w:eastAsia="zh-CN"/>
        </w:rPr>
        <w:t>待讨论</w:t>
      </w:r>
      <w:r>
        <w:rPr>
          <w:rFonts w:hint="eastAsia" w:ascii="黑体" w:hAnsi="黑体" w:eastAsia="黑体" w:cs="黑体"/>
          <w:b/>
          <w:color w:val="1F4E79"/>
          <w:sz w:val="30"/>
          <w:lang w:eastAsia="zh-CN"/>
        </w:rPr>
        <w:t>】</w:t>
      </w:r>
      <w:r>
        <w:rPr>
          <w:rFonts w:hint="eastAsia" w:ascii="黑体" w:hAnsi="黑体" w:eastAsia="黑体" w:cs="黑体"/>
          <w:b/>
          <w:color w:val="1F4E79"/>
          <w:sz w:val="30"/>
        </w:rPr>
        <w:t>数据发布、版本与审计规范</w:t>
      </w:r>
      <w:bookmarkEnd w:id="55"/>
    </w:p>
    <w:p w14:paraId="664B369B">
      <w:pPr>
        <w:pStyle w:val="5"/>
        <w:spacing w:after="100" w:line="276" w:lineRule="auto"/>
      </w:pPr>
      <w:r>
        <w:rPr>
          <w:rFonts w:ascii="Times New Roman" w:hAnsi="Times New Roman" w:eastAsia="宋体"/>
          <w:sz w:val="21"/>
        </w:rPr>
        <w:t>SCOS中所有能够影响业务执行的计划、策略和参数均应按版本管理。草稿版本用于计算和人工调整，审批中版本不允许直接修改，已发布版本作为下游执行和数据消费的唯一正式来源，已失效版本仅供追溯。</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0"/>
        <w:gridCol w:w="4000"/>
        <w:gridCol w:w="2980"/>
      </w:tblGrid>
      <w:tr w14:paraId="1CFE7C62">
        <w:trPr>
          <w:tblHeader/>
          <w:jc w:val="center"/>
        </w:trPr>
        <w:tc>
          <w:tcPr>
            <w:tcW w:w="1300" w:type="dxa"/>
            <w:shd w:val="clear" w:color="auto" w:fill="D9E2F3"/>
            <w:tcMar>
              <w:top w:w="85" w:type="dxa"/>
              <w:left w:w="100" w:type="dxa"/>
              <w:bottom w:w="85" w:type="dxa"/>
              <w:right w:w="100" w:type="dxa"/>
            </w:tcMar>
            <w:vAlign w:val="center"/>
          </w:tcPr>
          <w:p w14:paraId="50E7EE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对象</w:t>
            </w:r>
          </w:p>
        </w:tc>
        <w:tc>
          <w:tcPr>
            <w:tcW w:w="4000" w:type="dxa"/>
            <w:shd w:val="clear" w:color="auto" w:fill="D9E2F3"/>
            <w:tcMar>
              <w:top w:w="85" w:type="dxa"/>
              <w:left w:w="100" w:type="dxa"/>
              <w:bottom w:w="85" w:type="dxa"/>
              <w:right w:w="100" w:type="dxa"/>
            </w:tcMar>
            <w:vAlign w:val="center"/>
          </w:tcPr>
          <w:p w14:paraId="7A44455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必须记录的版本信息</w:t>
            </w:r>
          </w:p>
        </w:tc>
        <w:tc>
          <w:tcPr>
            <w:tcW w:w="2980" w:type="dxa"/>
            <w:shd w:val="clear" w:color="auto" w:fill="D9E2F3"/>
            <w:tcMar>
              <w:top w:w="85" w:type="dxa"/>
              <w:left w:w="100" w:type="dxa"/>
              <w:bottom w:w="85" w:type="dxa"/>
              <w:right w:w="100" w:type="dxa"/>
            </w:tcMar>
            <w:vAlign w:val="center"/>
          </w:tcPr>
          <w:p w14:paraId="5662E0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发布/变更要求</w:t>
            </w:r>
          </w:p>
        </w:tc>
      </w:tr>
      <w:tr w14:paraId="7A64AC53">
        <w:trPr>
          <w:jc w:val="center"/>
        </w:trPr>
        <w:tc>
          <w:tcPr>
            <w:tcW w:w="1300" w:type="dxa"/>
            <w:tcMar>
              <w:top w:w="85" w:type="dxa"/>
              <w:left w:w="100" w:type="dxa"/>
              <w:bottom w:w="85" w:type="dxa"/>
              <w:right w:w="100" w:type="dxa"/>
            </w:tcMar>
            <w:vAlign w:val="center"/>
          </w:tcPr>
          <w:p w14:paraId="085F8F1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需求/计划</w:t>
            </w:r>
          </w:p>
        </w:tc>
        <w:tc>
          <w:tcPr>
            <w:tcW w:w="4000" w:type="dxa"/>
            <w:tcMar>
              <w:top w:w="85" w:type="dxa"/>
              <w:left w:w="100" w:type="dxa"/>
              <w:bottom w:w="85" w:type="dxa"/>
              <w:right w:w="100" w:type="dxa"/>
            </w:tcMar>
            <w:vAlign w:val="center"/>
          </w:tcPr>
          <w:p w14:paraId="6E343E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计划类型、期间、版本号、数据来源、生成时间、发布状态</w:t>
            </w:r>
          </w:p>
        </w:tc>
        <w:tc>
          <w:tcPr>
            <w:tcW w:w="2980" w:type="dxa"/>
            <w:tcMar>
              <w:top w:w="85" w:type="dxa"/>
              <w:left w:w="100" w:type="dxa"/>
              <w:bottom w:w="85" w:type="dxa"/>
              <w:right w:w="100" w:type="dxa"/>
            </w:tcMar>
            <w:vAlign w:val="center"/>
          </w:tcPr>
          <w:p w14:paraId="3259B4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变更后评估对采购、库存和排程的影响，仅调整未执行部分。</w:t>
            </w:r>
          </w:p>
        </w:tc>
      </w:tr>
      <w:tr w14:paraId="76AC6060">
        <w:trPr>
          <w:jc w:val="center"/>
        </w:trPr>
        <w:tc>
          <w:tcPr>
            <w:tcW w:w="1300" w:type="dxa"/>
            <w:shd w:val="clear" w:color="auto" w:fill="F8FAFC"/>
            <w:tcMar>
              <w:top w:w="85" w:type="dxa"/>
              <w:left w:w="100" w:type="dxa"/>
              <w:bottom w:w="85" w:type="dxa"/>
              <w:right w:w="100" w:type="dxa"/>
            </w:tcMar>
            <w:vAlign w:val="center"/>
          </w:tcPr>
          <w:p w14:paraId="778AEA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模型参数</w:t>
            </w:r>
          </w:p>
        </w:tc>
        <w:tc>
          <w:tcPr>
            <w:tcW w:w="4000" w:type="dxa"/>
            <w:shd w:val="clear" w:color="auto" w:fill="F8FAFC"/>
            <w:tcMar>
              <w:top w:w="85" w:type="dxa"/>
              <w:left w:w="100" w:type="dxa"/>
              <w:bottom w:w="85" w:type="dxa"/>
              <w:right w:w="100" w:type="dxa"/>
            </w:tcMar>
            <w:vAlign w:val="center"/>
          </w:tcPr>
          <w:p w14:paraId="7DF4A5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参数集版本、适用对象、生效期、修改人、修改原因、审批人</w:t>
            </w:r>
          </w:p>
        </w:tc>
        <w:tc>
          <w:tcPr>
            <w:tcW w:w="2980" w:type="dxa"/>
            <w:shd w:val="clear" w:color="auto" w:fill="F8FAFC"/>
            <w:tcMar>
              <w:top w:w="85" w:type="dxa"/>
              <w:left w:w="100" w:type="dxa"/>
              <w:bottom w:w="85" w:type="dxa"/>
              <w:right w:w="100" w:type="dxa"/>
            </w:tcMar>
            <w:vAlign w:val="center"/>
          </w:tcPr>
          <w:p w14:paraId="26A6F09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SS/s/S、阈值、分摊规则等参数修改后不追溯篡改已发布历史结果。</w:t>
            </w:r>
          </w:p>
        </w:tc>
      </w:tr>
      <w:tr w14:paraId="4E11EF78">
        <w:trPr>
          <w:jc w:val="center"/>
        </w:trPr>
        <w:tc>
          <w:tcPr>
            <w:tcW w:w="1300" w:type="dxa"/>
            <w:tcMar>
              <w:top w:w="85" w:type="dxa"/>
              <w:left w:w="100" w:type="dxa"/>
              <w:bottom w:w="85" w:type="dxa"/>
              <w:right w:w="100" w:type="dxa"/>
            </w:tcMar>
            <w:vAlign w:val="center"/>
          </w:tcPr>
          <w:p w14:paraId="347D8BA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模型版本</w:t>
            </w:r>
          </w:p>
        </w:tc>
        <w:tc>
          <w:tcPr>
            <w:tcW w:w="4000" w:type="dxa"/>
            <w:tcMar>
              <w:top w:w="85" w:type="dxa"/>
              <w:left w:w="100" w:type="dxa"/>
              <w:bottom w:w="85" w:type="dxa"/>
              <w:right w:w="100" w:type="dxa"/>
            </w:tcMar>
            <w:vAlign w:val="center"/>
          </w:tcPr>
          <w:p w14:paraId="0F8123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模型名称、版本、代码/求解器版本、发布包、验证数据集、性能结果</w:t>
            </w:r>
          </w:p>
        </w:tc>
        <w:tc>
          <w:tcPr>
            <w:tcW w:w="2980" w:type="dxa"/>
            <w:tcMar>
              <w:top w:w="85" w:type="dxa"/>
              <w:left w:w="100" w:type="dxa"/>
              <w:bottom w:w="85" w:type="dxa"/>
              <w:right w:w="100" w:type="dxa"/>
            </w:tcMar>
            <w:vAlign w:val="center"/>
          </w:tcPr>
          <w:p w14:paraId="64872C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新版本上线前必须通过回归和性能测试，并支持快速回退。</w:t>
            </w:r>
          </w:p>
        </w:tc>
      </w:tr>
      <w:tr w14:paraId="3699C200">
        <w:trPr>
          <w:jc w:val="center"/>
        </w:trPr>
        <w:tc>
          <w:tcPr>
            <w:tcW w:w="1300" w:type="dxa"/>
            <w:shd w:val="clear" w:color="auto" w:fill="F8FAFC"/>
            <w:tcMar>
              <w:top w:w="85" w:type="dxa"/>
              <w:left w:w="100" w:type="dxa"/>
              <w:bottom w:w="85" w:type="dxa"/>
              <w:right w:w="100" w:type="dxa"/>
            </w:tcMar>
            <w:vAlign w:val="center"/>
          </w:tcPr>
          <w:p w14:paraId="393D91C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方案与结果</w:t>
            </w:r>
          </w:p>
        </w:tc>
        <w:tc>
          <w:tcPr>
            <w:tcW w:w="4000" w:type="dxa"/>
            <w:shd w:val="clear" w:color="auto" w:fill="F8FAFC"/>
            <w:tcMar>
              <w:top w:w="85" w:type="dxa"/>
              <w:left w:w="100" w:type="dxa"/>
              <w:bottom w:w="85" w:type="dxa"/>
              <w:right w:w="100" w:type="dxa"/>
            </w:tcMar>
            <w:vAlign w:val="center"/>
          </w:tcPr>
          <w:p w14:paraId="3FFD586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计算任务ID、输入快照、参数/模型版本、原始结果、人工调整、审批/发布记录</w:t>
            </w:r>
          </w:p>
        </w:tc>
        <w:tc>
          <w:tcPr>
            <w:tcW w:w="2980" w:type="dxa"/>
            <w:shd w:val="clear" w:color="auto" w:fill="F8FAFC"/>
            <w:tcMar>
              <w:top w:w="85" w:type="dxa"/>
              <w:left w:w="100" w:type="dxa"/>
              <w:bottom w:w="85" w:type="dxa"/>
              <w:right w:w="100" w:type="dxa"/>
            </w:tcMar>
            <w:vAlign w:val="center"/>
          </w:tcPr>
          <w:p w14:paraId="1E2411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方案发布后保留不可篡改快照；撤回/失效通过新状态和新版本实现。</w:t>
            </w:r>
          </w:p>
        </w:tc>
      </w:tr>
      <w:tr w14:paraId="692AFDDF">
        <w:trPr>
          <w:jc w:val="center"/>
        </w:trPr>
        <w:tc>
          <w:tcPr>
            <w:tcW w:w="1300" w:type="dxa"/>
            <w:tcMar>
              <w:top w:w="85" w:type="dxa"/>
              <w:left w:w="100" w:type="dxa"/>
              <w:bottom w:w="85" w:type="dxa"/>
              <w:right w:w="100" w:type="dxa"/>
            </w:tcMar>
            <w:vAlign w:val="center"/>
          </w:tcPr>
          <w:p w14:paraId="61C4087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接口数据</w:t>
            </w:r>
          </w:p>
        </w:tc>
        <w:tc>
          <w:tcPr>
            <w:tcW w:w="4000" w:type="dxa"/>
            <w:tcMar>
              <w:top w:w="85" w:type="dxa"/>
              <w:left w:w="100" w:type="dxa"/>
              <w:bottom w:w="85" w:type="dxa"/>
              <w:right w:w="100" w:type="dxa"/>
            </w:tcMar>
            <w:vAlign w:val="center"/>
          </w:tcPr>
          <w:p w14:paraId="69E41C2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接口/事件版本、消息ID、业务键、发送/接收时间、处理状态、重试次数</w:t>
            </w:r>
          </w:p>
        </w:tc>
        <w:tc>
          <w:tcPr>
            <w:tcW w:w="2980" w:type="dxa"/>
            <w:tcMar>
              <w:top w:w="85" w:type="dxa"/>
              <w:left w:w="100" w:type="dxa"/>
              <w:bottom w:w="85" w:type="dxa"/>
              <w:right w:w="100" w:type="dxa"/>
            </w:tcMar>
            <w:vAlign w:val="center"/>
          </w:tcPr>
          <w:p w14:paraId="14C4F64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涉及业务写入的接口必须幂等，失败时支持重试、补偿和人工对账。</w:t>
            </w:r>
          </w:p>
        </w:tc>
      </w:tr>
    </w:tbl>
    <w:p w14:paraId="2759A1E6">
      <w:pPr>
        <w:pStyle w:val="3"/>
        <w:keepNext/>
        <w:rPr>
          <w:rFonts w:hint="eastAsia" w:ascii="黑体" w:hAnsi="黑体" w:eastAsia="黑体" w:cs="黑体"/>
        </w:rPr>
      </w:pPr>
      <w:bookmarkStart w:id="56" w:name="_Toc1636546809"/>
      <w:r>
        <w:rPr>
          <w:rFonts w:hint="eastAsia" w:ascii="黑体" w:hAnsi="黑体" w:eastAsia="黑体" w:cs="黑体"/>
          <w:b/>
          <w:color w:val="1F4E79"/>
          <w:sz w:val="30"/>
          <w:lang w:eastAsia="zh-CN"/>
        </w:rPr>
        <w:t>【</w:t>
      </w:r>
      <w:r>
        <w:rPr>
          <w:rFonts w:hint="eastAsia" w:ascii="黑体" w:hAnsi="黑体" w:eastAsia="黑体" w:cs="黑体"/>
          <w:b/>
          <w:color w:val="FF0000"/>
          <w:sz w:val="30"/>
          <w:lang w:val="en-US" w:eastAsia="zh-CN"/>
        </w:rPr>
        <w:t>待讨论</w:t>
      </w:r>
      <w:r>
        <w:rPr>
          <w:rFonts w:hint="eastAsia" w:ascii="黑体" w:hAnsi="黑体" w:eastAsia="黑体" w:cs="黑体"/>
          <w:b/>
          <w:color w:val="1F4E79"/>
          <w:sz w:val="30"/>
          <w:lang w:eastAsia="zh-CN"/>
        </w:rPr>
        <w:t>】</w:t>
      </w:r>
      <w:r>
        <w:rPr>
          <w:rFonts w:hint="eastAsia" w:ascii="黑体" w:hAnsi="黑体" w:eastAsia="黑体" w:cs="黑体"/>
          <w:b/>
          <w:color w:val="1F4E79"/>
          <w:sz w:val="30"/>
        </w:rPr>
        <w:t>安全、运维与非功能要求</w:t>
      </w:r>
      <w:bookmarkEnd w:id="56"/>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00"/>
        <w:gridCol w:w="4350"/>
        <w:gridCol w:w="2730"/>
      </w:tblGrid>
      <w:tr w14:paraId="10DD335F">
        <w:trPr>
          <w:tblHeader/>
          <w:jc w:val="center"/>
        </w:trPr>
        <w:tc>
          <w:tcPr>
            <w:tcW w:w="1200" w:type="dxa"/>
            <w:shd w:val="clear" w:color="auto" w:fill="D9E2F3"/>
            <w:tcMar>
              <w:top w:w="85" w:type="dxa"/>
              <w:left w:w="100" w:type="dxa"/>
              <w:bottom w:w="85" w:type="dxa"/>
              <w:right w:w="100" w:type="dxa"/>
            </w:tcMar>
            <w:vAlign w:val="center"/>
          </w:tcPr>
          <w:p w14:paraId="4E2B21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类别</w:t>
            </w:r>
          </w:p>
        </w:tc>
        <w:tc>
          <w:tcPr>
            <w:tcW w:w="4350" w:type="dxa"/>
            <w:shd w:val="clear" w:color="auto" w:fill="D9E2F3"/>
            <w:tcMar>
              <w:top w:w="85" w:type="dxa"/>
              <w:left w:w="100" w:type="dxa"/>
              <w:bottom w:w="85" w:type="dxa"/>
              <w:right w:w="100" w:type="dxa"/>
            </w:tcMar>
            <w:vAlign w:val="center"/>
          </w:tcPr>
          <w:p w14:paraId="2723F8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蓝图要求</w:t>
            </w:r>
          </w:p>
        </w:tc>
        <w:tc>
          <w:tcPr>
            <w:tcW w:w="2730" w:type="dxa"/>
            <w:shd w:val="clear" w:color="auto" w:fill="D9E2F3"/>
            <w:tcMar>
              <w:top w:w="85" w:type="dxa"/>
              <w:left w:w="100" w:type="dxa"/>
              <w:bottom w:w="85" w:type="dxa"/>
              <w:right w:w="100" w:type="dxa"/>
            </w:tcMar>
            <w:vAlign w:val="center"/>
          </w:tcPr>
          <w:p w14:paraId="773685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待设计/待确认</w:t>
            </w:r>
          </w:p>
        </w:tc>
      </w:tr>
      <w:tr w14:paraId="5C42FC38">
        <w:trPr>
          <w:jc w:val="center"/>
        </w:trPr>
        <w:tc>
          <w:tcPr>
            <w:tcW w:w="1200" w:type="dxa"/>
            <w:tcMar>
              <w:top w:w="85" w:type="dxa"/>
              <w:left w:w="100" w:type="dxa"/>
              <w:bottom w:w="85" w:type="dxa"/>
              <w:right w:w="100" w:type="dxa"/>
            </w:tcMar>
            <w:vAlign w:val="center"/>
          </w:tcPr>
          <w:p w14:paraId="03B126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身份与权限</w:t>
            </w:r>
          </w:p>
        </w:tc>
        <w:tc>
          <w:tcPr>
            <w:tcW w:w="4350" w:type="dxa"/>
            <w:tcMar>
              <w:top w:w="85" w:type="dxa"/>
              <w:left w:w="100" w:type="dxa"/>
              <w:bottom w:w="85" w:type="dxa"/>
              <w:right w:w="100" w:type="dxa"/>
            </w:tcMar>
            <w:vAlign w:val="center"/>
          </w:tcPr>
          <w:p w14:paraId="2F3F8B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接入企业统一身份认证，按角色和数据范围授权；计算、调整、审批、发布、回退和配置权限分离。</w:t>
            </w:r>
          </w:p>
        </w:tc>
        <w:tc>
          <w:tcPr>
            <w:tcW w:w="2730" w:type="dxa"/>
            <w:tcMar>
              <w:top w:w="85" w:type="dxa"/>
              <w:left w:w="100" w:type="dxa"/>
              <w:bottom w:w="85" w:type="dxa"/>
              <w:right w:w="100" w:type="dxa"/>
            </w:tcMar>
            <w:vAlign w:val="center"/>
          </w:tcPr>
          <w:p w14:paraId="7F88070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统一身份产品、角色-权限矩阵、单点登录和账号同步机制。</w:t>
            </w:r>
          </w:p>
        </w:tc>
      </w:tr>
      <w:tr w14:paraId="76AE09DE">
        <w:trPr>
          <w:jc w:val="center"/>
        </w:trPr>
        <w:tc>
          <w:tcPr>
            <w:tcW w:w="1200" w:type="dxa"/>
            <w:shd w:val="clear" w:color="auto" w:fill="F8FAFC"/>
            <w:tcMar>
              <w:top w:w="85" w:type="dxa"/>
              <w:left w:w="100" w:type="dxa"/>
              <w:bottom w:w="85" w:type="dxa"/>
              <w:right w:w="100" w:type="dxa"/>
            </w:tcMar>
            <w:vAlign w:val="center"/>
          </w:tcPr>
          <w:p w14:paraId="551C718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数据与接口安全</w:t>
            </w:r>
          </w:p>
        </w:tc>
        <w:tc>
          <w:tcPr>
            <w:tcW w:w="4350" w:type="dxa"/>
            <w:shd w:val="clear" w:color="auto" w:fill="F8FAFC"/>
            <w:tcMar>
              <w:top w:w="85" w:type="dxa"/>
              <w:left w:w="100" w:type="dxa"/>
              <w:bottom w:w="85" w:type="dxa"/>
              <w:right w:w="100" w:type="dxa"/>
            </w:tcMar>
            <w:vAlign w:val="center"/>
          </w:tcPr>
          <w:p w14:paraId="194CEC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按数据分级分类控制查看、导出和发布；API使用认证、加密传输、白名单、限流和审计日志。</w:t>
            </w:r>
          </w:p>
        </w:tc>
        <w:tc>
          <w:tcPr>
            <w:tcW w:w="2730" w:type="dxa"/>
            <w:shd w:val="clear" w:color="auto" w:fill="F8FAFC"/>
            <w:tcMar>
              <w:top w:w="85" w:type="dxa"/>
              <w:left w:w="100" w:type="dxa"/>
              <w:bottom w:w="85" w:type="dxa"/>
              <w:right w:w="100" w:type="dxa"/>
            </w:tcMar>
            <w:vAlign w:val="center"/>
          </w:tcPr>
          <w:p w14:paraId="7F52A0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等保/中粮安全基线、密钥管理、数据脱敏和导出审批要求。</w:t>
            </w:r>
          </w:p>
        </w:tc>
      </w:tr>
      <w:tr w14:paraId="5DC1E044">
        <w:trPr>
          <w:jc w:val="center"/>
        </w:trPr>
        <w:tc>
          <w:tcPr>
            <w:tcW w:w="1200" w:type="dxa"/>
            <w:tcMar>
              <w:top w:w="85" w:type="dxa"/>
              <w:left w:w="100" w:type="dxa"/>
              <w:bottom w:w="85" w:type="dxa"/>
              <w:right w:w="100" w:type="dxa"/>
            </w:tcMar>
            <w:vAlign w:val="center"/>
          </w:tcPr>
          <w:p w14:paraId="1E2118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可用性与容灾</w:t>
            </w:r>
          </w:p>
        </w:tc>
        <w:tc>
          <w:tcPr>
            <w:tcW w:w="4350" w:type="dxa"/>
            <w:tcMar>
              <w:top w:w="85" w:type="dxa"/>
              <w:left w:w="100" w:type="dxa"/>
              <w:bottom w:w="85" w:type="dxa"/>
              <w:right w:w="100" w:type="dxa"/>
            </w:tcMar>
            <w:vAlign w:val="center"/>
          </w:tcPr>
          <w:p w14:paraId="7EAB356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各模块可独立部署、扩容和回退；关键服务实施健康检查、故障转移、备份恢复和容灾演练。</w:t>
            </w:r>
          </w:p>
        </w:tc>
        <w:tc>
          <w:tcPr>
            <w:tcW w:w="2730" w:type="dxa"/>
            <w:tcMar>
              <w:top w:w="85" w:type="dxa"/>
              <w:left w:w="100" w:type="dxa"/>
              <w:bottom w:w="85" w:type="dxa"/>
              <w:right w:w="100" w:type="dxa"/>
            </w:tcMar>
            <w:vAlign w:val="center"/>
          </w:tcPr>
          <w:p w14:paraId="4E1FFC0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部署拓扑、节点数、RTO/RPO、备份周期和容灾环境。</w:t>
            </w:r>
          </w:p>
        </w:tc>
      </w:tr>
      <w:tr w14:paraId="4700F953">
        <w:trPr>
          <w:jc w:val="center"/>
        </w:trPr>
        <w:tc>
          <w:tcPr>
            <w:tcW w:w="1200" w:type="dxa"/>
            <w:shd w:val="clear" w:color="auto" w:fill="F8FAFC"/>
            <w:tcMar>
              <w:top w:w="85" w:type="dxa"/>
              <w:left w:w="100" w:type="dxa"/>
              <w:bottom w:w="85" w:type="dxa"/>
              <w:right w:w="100" w:type="dxa"/>
            </w:tcMar>
            <w:vAlign w:val="center"/>
          </w:tcPr>
          <w:p w14:paraId="5E1B34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可观测性</w:t>
            </w:r>
          </w:p>
        </w:tc>
        <w:tc>
          <w:tcPr>
            <w:tcW w:w="4350" w:type="dxa"/>
            <w:shd w:val="clear" w:color="auto" w:fill="F8FAFC"/>
            <w:tcMar>
              <w:top w:w="85" w:type="dxa"/>
              <w:left w:w="100" w:type="dxa"/>
              <w:bottom w:w="85" w:type="dxa"/>
              <w:right w:w="100" w:type="dxa"/>
            </w:tcMar>
            <w:vAlign w:val="center"/>
          </w:tcPr>
          <w:p w14:paraId="6F4F7EB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采集应用、接口、模型任务、数据质量、消息积压、资源和业务指标，实现日志-指标-链路统一定位。</w:t>
            </w:r>
          </w:p>
        </w:tc>
        <w:tc>
          <w:tcPr>
            <w:tcW w:w="2730" w:type="dxa"/>
            <w:shd w:val="clear" w:color="auto" w:fill="F8FAFC"/>
            <w:tcMar>
              <w:top w:w="85" w:type="dxa"/>
              <w:left w:w="100" w:type="dxa"/>
              <w:bottom w:w="85" w:type="dxa"/>
              <w:right w:w="100" w:type="dxa"/>
            </w:tcMar>
            <w:vAlign w:val="center"/>
          </w:tcPr>
          <w:p w14:paraId="468AE0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监控平台、指标阈值、告警升级、日志保留期和运维工单集成。</w:t>
            </w:r>
          </w:p>
        </w:tc>
      </w:tr>
      <w:tr w14:paraId="099A3C63">
        <w:trPr>
          <w:jc w:val="center"/>
        </w:trPr>
        <w:tc>
          <w:tcPr>
            <w:tcW w:w="1200" w:type="dxa"/>
            <w:tcMar>
              <w:top w:w="85" w:type="dxa"/>
              <w:left w:w="100" w:type="dxa"/>
              <w:bottom w:w="85" w:type="dxa"/>
              <w:right w:w="100" w:type="dxa"/>
            </w:tcMar>
            <w:vAlign w:val="center"/>
          </w:tcPr>
          <w:p w14:paraId="6B6737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性能与并发</w:t>
            </w:r>
          </w:p>
        </w:tc>
        <w:tc>
          <w:tcPr>
            <w:tcW w:w="4350" w:type="dxa"/>
            <w:tcMar>
              <w:top w:w="85" w:type="dxa"/>
              <w:left w:w="100" w:type="dxa"/>
              <w:bottom w:w="85" w:type="dxa"/>
              <w:right w:w="100" w:type="dxa"/>
            </w:tcMar>
            <w:vAlign w:val="center"/>
          </w:tcPr>
          <w:p w14:paraId="30B23B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采购优化≤3秒；72小时排程≤5分钟；主视图加载≤3秒、钻取≤2秒；至少支持50并发用户。</w:t>
            </w:r>
          </w:p>
        </w:tc>
        <w:tc>
          <w:tcPr>
            <w:tcW w:w="2730" w:type="dxa"/>
            <w:tcMar>
              <w:top w:w="85" w:type="dxa"/>
              <w:left w:w="100" w:type="dxa"/>
              <w:bottom w:w="85" w:type="dxa"/>
              <w:right w:w="100" w:type="dxa"/>
            </w:tcMar>
            <w:vAlign w:val="center"/>
          </w:tcPr>
          <w:p w14:paraId="0CFA2A8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为每项指标固定数据规模、测试环境、网络、缓存、并发和统计口径。</w:t>
            </w:r>
          </w:p>
        </w:tc>
      </w:tr>
      <w:tr w14:paraId="24BF71C5">
        <w:trPr>
          <w:jc w:val="center"/>
        </w:trPr>
        <w:tc>
          <w:tcPr>
            <w:tcW w:w="1200" w:type="dxa"/>
            <w:shd w:val="clear" w:color="auto" w:fill="F8FAFC"/>
            <w:tcMar>
              <w:top w:w="85" w:type="dxa"/>
              <w:left w:w="100" w:type="dxa"/>
              <w:bottom w:w="85" w:type="dxa"/>
              <w:right w:w="100" w:type="dxa"/>
            </w:tcMar>
            <w:vAlign w:val="center"/>
          </w:tcPr>
          <w:p w14:paraId="366A0E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质保与服务</w:t>
            </w:r>
          </w:p>
        </w:tc>
        <w:tc>
          <w:tcPr>
            <w:tcW w:w="4350" w:type="dxa"/>
            <w:shd w:val="clear" w:color="auto" w:fill="F8FAFC"/>
            <w:tcMar>
              <w:top w:w="85" w:type="dxa"/>
              <w:left w:w="100" w:type="dxa"/>
              <w:bottom w:w="85" w:type="dxa"/>
              <w:right w:w="100" w:type="dxa"/>
            </w:tcMar>
            <w:vAlign w:val="center"/>
          </w:tcPr>
          <w:p w14:paraId="2067887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自正式上线验收合格起提供至少12个月免费质保；建立故障分级、响应和升级机制。</w:t>
            </w:r>
          </w:p>
        </w:tc>
        <w:tc>
          <w:tcPr>
            <w:tcW w:w="2730" w:type="dxa"/>
            <w:shd w:val="clear" w:color="auto" w:fill="F8FAFC"/>
            <w:tcMar>
              <w:top w:w="85" w:type="dxa"/>
              <w:left w:w="100" w:type="dxa"/>
              <w:bottom w:w="85" w:type="dxa"/>
              <w:right w:w="100" w:type="dxa"/>
            </w:tcMar>
            <w:vAlign w:val="center"/>
          </w:tcPr>
          <w:p w14:paraId="32215D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完整SLA、恢复时间、服务窗口、联系矩阵、运维工具和备件管理。</w:t>
            </w:r>
          </w:p>
        </w:tc>
      </w:tr>
    </w:tbl>
    <w:p w14:paraId="626C8C30">
      <w:pPr>
        <w:pStyle w:val="3"/>
        <w:keepNext/>
        <w:rPr>
          <w:rFonts w:hint="eastAsia" w:ascii="黑体" w:hAnsi="黑体" w:eastAsia="黑体" w:cs="黑体"/>
        </w:rPr>
      </w:pPr>
      <w:bookmarkStart w:id="57" w:name="_Toc471668087"/>
      <w:r>
        <w:rPr>
          <w:rFonts w:hint="eastAsia" w:ascii="黑体" w:hAnsi="黑体" w:eastAsia="黑体" w:cs="黑体"/>
          <w:b/>
          <w:color w:val="1F4E79"/>
          <w:sz w:val="30"/>
          <w:lang w:eastAsia="zh-CN"/>
        </w:rPr>
        <w:t>【</w:t>
      </w:r>
      <w:r>
        <w:rPr>
          <w:rFonts w:hint="eastAsia" w:ascii="黑体" w:hAnsi="黑体" w:eastAsia="黑体" w:cs="黑体"/>
          <w:b/>
          <w:color w:val="FF0000"/>
          <w:sz w:val="30"/>
          <w:lang w:val="en-US" w:eastAsia="zh-CN"/>
        </w:rPr>
        <w:t>待讨论</w:t>
      </w:r>
      <w:r>
        <w:rPr>
          <w:rFonts w:hint="eastAsia" w:ascii="黑体" w:hAnsi="黑体" w:eastAsia="黑体" w:cs="黑体"/>
          <w:b/>
          <w:color w:val="1F4E79"/>
          <w:sz w:val="30"/>
          <w:lang w:eastAsia="zh-CN"/>
        </w:rPr>
        <w:t>】</w:t>
      </w:r>
      <w:r>
        <w:rPr>
          <w:rFonts w:hint="eastAsia" w:ascii="黑体" w:hAnsi="黑体" w:eastAsia="黑体" w:cs="黑体"/>
          <w:b/>
          <w:color w:val="1F4E79"/>
          <w:sz w:val="30"/>
        </w:rPr>
        <w:t>技术蓝图待确认项</w:t>
      </w:r>
      <w:bookmarkEnd w:id="57"/>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50"/>
        <w:gridCol w:w="3650"/>
        <w:gridCol w:w="2400"/>
        <w:gridCol w:w="1580"/>
      </w:tblGrid>
      <w:tr w14:paraId="11A4B060">
        <w:trPr>
          <w:tblHeader/>
          <w:jc w:val="center"/>
        </w:trPr>
        <w:tc>
          <w:tcPr>
            <w:tcW w:w="650" w:type="dxa"/>
            <w:shd w:val="clear" w:color="auto" w:fill="D9E2F3"/>
            <w:tcMar>
              <w:top w:w="85" w:type="dxa"/>
              <w:left w:w="100" w:type="dxa"/>
              <w:bottom w:w="85" w:type="dxa"/>
              <w:right w:w="100" w:type="dxa"/>
            </w:tcMar>
            <w:vAlign w:val="center"/>
          </w:tcPr>
          <w:p w14:paraId="10D651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优先级</w:t>
            </w:r>
          </w:p>
        </w:tc>
        <w:tc>
          <w:tcPr>
            <w:tcW w:w="3650" w:type="dxa"/>
            <w:shd w:val="clear" w:color="auto" w:fill="D9E2F3"/>
            <w:tcMar>
              <w:top w:w="85" w:type="dxa"/>
              <w:left w:w="100" w:type="dxa"/>
              <w:bottom w:w="85" w:type="dxa"/>
              <w:right w:w="100" w:type="dxa"/>
            </w:tcMar>
            <w:vAlign w:val="center"/>
          </w:tcPr>
          <w:p w14:paraId="6C54139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待确认项</w:t>
            </w:r>
          </w:p>
        </w:tc>
        <w:tc>
          <w:tcPr>
            <w:tcW w:w="2400" w:type="dxa"/>
            <w:shd w:val="clear" w:color="auto" w:fill="D9E2F3"/>
            <w:tcMar>
              <w:top w:w="85" w:type="dxa"/>
              <w:left w:w="100" w:type="dxa"/>
              <w:bottom w:w="85" w:type="dxa"/>
              <w:right w:w="100" w:type="dxa"/>
            </w:tcMar>
            <w:vAlign w:val="center"/>
          </w:tcPr>
          <w:p w14:paraId="122ED1E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影响</w:t>
            </w:r>
          </w:p>
        </w:tc>
        <w:tc>
          <w:tcPr>
            <w:tcW w:w="1580" w:type="dxa"/>
            <w:shd w:val="clear" w:color="auto" w:fill="D9E2F3"/>
            <w:tcMar>
              <w:top w:w="85" w:type="dxa"/>
              <w:left w:w="100" w:type="dxa"/>
              <w:bottom w:w="85" w:type="dxa"/>
              <w:right w:w="100" w:type="dxa"/>
            </w:tcMar>
            <w:vAlign w:val="center"/>
          </w:tcPr>
          <w:p w14:paraId="07E315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建议责任方</w:t>
            </w:r>
          </w:p>
        </w:tc>
      </w:tr>
      <w:tr w14:paraId="2F9CE8F3">
        <w:trPr>
          <w:jc w:val="center"/>
        </w:trPr>
        <w:tc>
          <w:tcPr>
            <w:tcW w:w="650" w:type="dxa"/>
            <w:tcMar>
              <w:top w:w="85" w:type="dxa"/>
              <w:left w:w="100" w:type="dxa"/>
              <w:bottom w:w="85" w:type="dxa"/>
              <w:right w:w="100" w:type="dxa"/>
            </w:tcMar>
            <w:vAlign w:val="center"/>
          </w:tcPr>
          <w:p w14:paraId="287A093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tcMar>
              <w:top w:w="85" w:type="dxa"/>
              <w:left w:w="100" w:type="dxa"/>
              <w:bottom w:w="85" w:type="dxa"/>
              <w:right w:w="100" w:type="dxa"/>
            </w:tcMar>
            <w:vAlign w:val="center"/>
          </w:tcPr>
          <w:p w14:paraId="2FAC4AC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统一数据服务层、实时数据平台、ESB和API网关的实际产品与能力边界</w:t>
            </w:r>
          </w:p>
        </w:tc>
        <w:tc>
          <w:tcPr>
            <w:tcW w:w="2400" w:type="dxa"/>
            <w:tcMar>
              <w:top w:w="85" w:type="dxa"/>
              <w:left w:w="100" w:type="dxa"/>
              <w:bottom w:w="85" w:type="dxa"/>
              <w:right w:w="100" w:type="dxa"/>
            </w:tcMar>
            <w:vAlign w:val="center"/>
          </w:tcPr>
          <w:p w14:paraId="12F076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无法固化总体架构、接口责任和工期</w:t>
            </w:r>
          </w:p>
        </w:tc>
        <w:tc>
          <w:tcPr>
            <w:tcW w:w="1580" w:type="dxa"/>
            <w:tcMar>
              <w:top w:w="85" w:type="dxa"/>
              <w:left w:w="100" w:type="dxa"/>
              <w:bottom w:w="85" w:type="dxa"/>
              <w:right w:w="100" w:type="dxa"/>
            </w:tcMar>
            <w:vAlign w:val="center"/>
          </w:tcPr>
          <w:p w14:paraId="5B1858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业主IT+集成厂商+SCOS</w:t>
            </w:r>
          </w:p>
        </w:tc>
      </w:tr>
      <w:tr w14:paraId="72418769">
        <w:trPr>
          <w:jc w:val="center"/>
        </w:trPr>
        <w:tc>
          <w:tcPr>
            <w:tcW w:w="650" w:type="dxa"/>
            <w:shd w:val="clear" w:color="auto" w:fill="F8FAFC"/>
            <w:tcMar>
              <w:top w:w="85" w:type="dxa"/>
              <w:left w:w="100" w:type="dxa"/>
              <w:bottom w:w="85" w:type="dxa"/>
              <w:right w:w="100" w:type="dxa"/>
            </w:tcMar>
            <w:vAlign w:val="center"/>
          </w:tcPr>
          <w:p w14:paraId="0BE3A39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shd w:val="clear" w:color="auto" w:fill="F8FAFC"/>
            <w:tcMar>
              <w:top w:w="85" w:type="dxa"/>
              <w:left w:w="100" w:type="dxa"/>
              <w:bottom w:w="85" w:type="dxa"/>
              <w:right w:w="100" w:type="dxa"/>
            </w:tcMar>
            <w:vAlign w:val="center"/>
          </w:tcPr>
          <w:p w14:paraId="0AD756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各源系统字段级接口清单、权威数据源和双向写入范围</w:t>
            </w:r>
          </w:p>
        </w:tc>
        <w:tc>
          <w:tcPr>
            <w:tcW w:w="2400" w:type="dxa"/>
            <w:shd w:val="clear" w:color="auto" w:fill="F8FAFC"/>
            <w:tcMar>
              <w:top w:w="85" w:type="dxa"/>
              <w:left w:w="100" w:type="dxa"/>
              <w:bottom w:w="85" w:type="dxa"/>
              <w:right w:w="100" w:type="dxa"/>
            </w:tcMar>
            <w:vAlign w:val="center"/>
          </w:tcPr>
          <w:p w14:paraId="381A01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数据实体映射和业务闭环无法设计/验收</w:t>
            </w:r>
          </w:p>
        </w:tc>
        <w:tc>
          <w:tcPr>
            <w:tcW w:w="1580" w:type="dxa"/>
            <w:shd w:val="clear" w:color="auto" w:fill="F8FAFC"/>
            <w:tcMar>
              <w:top w:w="85" w:type="dxa"/>
              <w:left w:w="100" w:type="dxa"/>
              <w:bottom w:w="85" w:type="dxa"/>
              <w:right w:w="100" w:type="dxa"/>
            </w:tcMar>
            <w:vAlign w:val="center"/>
          </w:tcPr>
          <w:p w14:paraId="323D28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系统Owner+业务Owner</w:t>
            </w:r>
          </w:p>
        </w:tc>
      </w:tr>
      <w:tr w14:paraId="1FA718FB">
        <w:trPr>
          <w:jc w:val="center"/>
        </w:trPr>
        <w:tc>
          <w:tcPr>
            <w:tcW w:w="650" w:type="dxa"/>
            <w:tcMar>
              <w:top w:w="85" w:type="dxa"/>
              <w:left w:w="100" w:type="dxa"/>
              <w:bottom w:w="85" w:type="dxa"/>
              <w:right w:w="100" w:type="dxa"/>
            </w:tcMar>
            <w:vAlign w:val="center"/>
          </w:tcPr>
          <w:p w14:paraId="3682CB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tcMar>
              <w:top w:w="85" w:type="dxa"/>
              <w:left w:w="100" w:type="dxa"/>
              <w:bottom w:w="85" w:type="dxa"/>
              <w:right w:w="100" w:type="dxa"/>
            </w:tcMar>
            <w:vAlign w:val="center"/>
          </w:tcPr>
          <w:p w14:paraId="38A8FF7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排程完整约束、求解器选型、授权和备用求解路径</w:t>
            </w:r>
          </w:p>
        </w:tc>
        <w:tc>
          <w:tcPr>
            <w:tcW w:w="2400" w:type="dxa"/>
            <w:tcMar>
              <w:top w:w="85" w:type="dxa"/>
              <w:left w:w="100" w:type="dxa"/>
              <w:bottom w:w="85" w:type="dxa"/>
              <w:right w:w="100" w:type="dxa"/>
            </w:tcMar>
            <w:vAlign w:val="center"/>
          </w:tcPr>
          <w:p w14:paraId="1D6C38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无法完成5分钟/100%可行性设计和验收</w:t>
            </w:r>
          </w:p>
        </w:tc>
        <w:tc>
          <w:tcPr>
            <w:tcW w:w="1580" w:type="dxa"/>
            <w:tcMar>
              <w:top w:w="85" w:type="dxa"/>
              <w:left w:w="100" w:type="dxa"/>
              <w:bottom w:w="85" w:type="dxa"/>
              <w:right w:w="100" w:type="dxa"/>
            </w:tcMar>
            <w:vAlign w:val="center"/>
          </w:tcPr>
          <w:p w14:paraId="638B55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算法组+生产工艺+IT</w:t>
            </w:r>
          </w:p>
        </w:tc>
      </w:tr>
      <w:tr w14:paraId="1AC28991">
        <w:trPr>
          <w:jc w:val="center"/>
        </w:trPr>
        <w:tc>
          <w:tcPr>
            <w:tcW w:w="650" w:type="dxa"/>
            <w:shd w:val="clear" w:color="auto" w:fill="F8FAFC"/>
            <w:tcMar>
              <w:top w:w="85" w:type="dxa"/>
              <w:left w:w="100" w:type="dxa"/>
              <w:bottom w:w="85" w:type="dxa"/>
              <w:right w:w="100" w:type="dxa"/>
            </w:tcMar>
            <w:vAlign w:val="center"/>
          </w:tcPr>
          <w:p w14:paraId="3E2235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shd w:val="clear" w:color="auto" w:fill="F8FAFC"/>
            <w:tcMar>
              <w:top w:w="85" w:type="dxa"/>
              <w:left w:w="100" w:type="dxa"/>
              <w:bottom w:w="85" w:type="dxa"/>
              <w:right w:w="100" w:type="dxa"/>
            </w:tcMar>
            <w:vAlign w:val="center"/>
          </w:tcPr>
          <w:p w14:paraId="5871A2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库存优化品类范围、采购风险/多目标与标书偏差处理决议</w:t>
            </w:r>
          </w:p>
        </w:tc>
        <w:tc>
          <w:tcPr>
            <w:tcW w:w="2400" w:type="dxa"/>
            <w:shd w:val="clear" w:color="auto" w:fill="F8FAFC"/>
            <w:tcMar>
              <w:top w:w="85" w:type="dxa"/>
              <w:left w:w="100" w:type="dxa"/>
              <w:bottom w:w="85" w:type="dxa"/>
              <w:right w:w="100" w:type="dxa"/>
            </w:tcMar>
            <w:vAlign w:val="center"/>
          </w:tcPr>
          <w:p w14:paraId="6BC91B2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蓝图范围和验收范围可能冲突</w:t>
            </w:r>
          </w:p>
        </w:tc>
        <w:tc>
          <w:tcPr>
            <w:tcW w:w="1580" w:type="dxa"/>
            <w:shd w:val="clear" w:color="auto" w:fill="F8FAFC"/>
            <w:tcMar>
              <w:top w:w="85" w:type="dxa"/>
              <w:left w:w="100" w:type="dxa"/>
              <w:bottom w:w="85" w:type="dxa"/>
              <w:right w:w="100" w:type="dxa"/>
            </w:tcMar>
            <w:vAlign w:val="center"/>
          </w:tcPr>
          <w:p w14:paraId="725E5EA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项目组+业主</w:t>
            </w:r>
          </w:p>
        </w:tc>
      </w:tr>
      <w:tr w14:paraId="6572A12D">
        <w:trPr>
          <w:jc w:val="center"/>
        </w:trPr>
        <w:tc>
          <w:tcPr>
            <w:tcW w:w="650" w:type="dxa"/>
            <w:tcMar>
              <w:top w:w="85" w:type="dxa"/>
              <w:left w:w="100" w:type="dxa"/>
              <w:bottom w:w="85" w:type="dxa"/>
              <w:right w:w="100" w:type="dxa"/>
            </w:tcMar>
            <w:vAlign w:val="center"/>
          </w:tcPr>
          <w:p w14:paraId="5C33E5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P1</w:t>
            </w:r>
          </w:p>
        </w:tc>
        <w:tc>
          <w:tcPr>
            <w:tcW w:w="3650" w:type="dxa"/>
            <w:tcMar>
              <w:top w:w="85" w:type="dxa"/>
              <w:left w:w="100" w:type="dxa"/>
              <w:bottom w:w="85" w:type="dxa"/>
              <w:right w:w="100" w:type="dxa"/>
            </w:tcMar>
            <w:vAlign w:val="center"/>
          </w:tcPr>
          <w:p w14:paraId="5158DE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成本分摊、批次编码和质量处置流程</w:t>
            </w:r>
          </w:p>
        </w:tc>
        <w:tc>
          <w:tcPr>
            <w:tcW w:w="2400" w:type="dxa"/>
            <w:tcMar>
              <w:top w:w="85" w:type="dxa"/>
              <w:left w:w="100" w:type="dxa"/>
              <w:bottom w:w="85" w:type="dxa"/>
              <w:right w:w="100" w:type="dxa"/>
            </w:tcMar>
            <w:vAlign w:val="center"/>
          </w:tcPr>
          <w:p w14:paraId="2ECE04A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成本和追溯只能保留在总体方案层</w:t>
            </w:r>
          </w:p>
        </w:tc>
        <w:tc>
          <w:tcPr>
            <w:tcW w:w="1580" w:type="dxa"/>
            <w:tcMar>
              <w:top w:w="85" w:type="dxa"/>
              <w:left w:w="100" w:type="dxa"/>
              <w:bottom w:w="85" w:type="dxa"/>
              <w:right w:w="100" w:type="dxa"/>
            </w:tcMar>
            <w:vAlign w:val="center"/>
          </w:tcPr>
          <w:p w14:paraId="08C7C0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财务+质量+生产+仓储</w:t>
            </w:r>
          </w:p>
        </w:tc>
      </w:tr>
      <w:tr w14:paraId="08268CA2">
        <w:trPr>
          <w:jc w:val="center"/>
        </w:trPr>
        <w:tc>
          <w:tcPr>
            <w:tcW w:w="650" w:type="dxa"/>
            <w:shd w:val="clear" w:color="auto" w:fill="F8FAFC"/>
            <w:tcMar>
              <w:top w:w="85" w:type="dxa"/>
              <w:left w:w="100" w:type="dxa"/>
              <w:bottom w:w="85" w:type="dxa"/>
              <w:right w:w="100" w:type="dxa"/>
            </w:tcMar>
            <w:vAlign w:val="center"/>
          </w:tcPr>
          <w:p w14:paraId="4002B3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P1</w:t>
            </w:r>
          </w:p>
        </w:tc>
        <w:tc>
          <w:tcPr>
            <w:tcW w:w="3650" w:type="dxa"/>
            <w:shd w:val="clear" w:color="auto" w:fill="F8FAFC"/>
            <w:tcMar>
              <w:top w:w="85" w:type="dxa"/>
              <w:left w:w="100" w:type="dxa"/>
              <w:bottom w:w="85" w:type="dxa"/>
              <w:right w:w="100" w:type="dxa"/>
            </w:tcMar>
            <w:vAlign w:val="center"/>
          </w:tcPr>
          <w:p w14:paraId="2AC548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部署资源、网络区域、身份安全、日志、备份容灾和RTO/RPO标准</w:t>
            </w:r>
          </w:p>
        </w:tc>
        <w:tc>
          <w:tcPr>
            <w:tcW w:w="2400" w:type="dxa"/>
            <w:shd w:val="clear" w:color="auto" w:fill="F8FAFC"/>
            <w:tcMar>
              <w:top w:w="85" w:type="dxa"/>
              <w:left w:w="100" w:type="dxa"/>
              <w:bottom w:w="85" w:type="dxa"/>
              <w:right w:w="100" w:type="dxa"/>
            </w:tcMar>
            <w:vAlign w:val="center"/>
          </w:tcPr>
          <w:p w14:paraId="40F1D3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无法完成部署图、容量和安全设计</w:t>
            </w:r>
          </w:p>
        </w:tc>
        <w:tc>
          <w:tcPr>
            <w:tcW w:w="1580" w:type="dxa"/>
            <w:shd w:val="clear" w:color="auto" w:fill="F8FAFC"/>
            <w:tcMar>
              <w:top w:w="85" w:type="dxa"/>
              <w:left w:w="100" w:type="dxa"/>
              <w:bottom w:w="85" w:type="dxa"/>
              <w:right w:w="100" w:type="dxa"/>
            </w:tcMar>
            <w:vAlign w:val="center"/>
          </w:tcPr>
          <w:p w14:paraId="036EDB8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业主IT+信息安全+供应商</w:t>
            </w:r>
          </w:p>
        </w:tc>
      </w:tr>
    </w:tbl>
    <w:p w14:paraId="5A2334DA">
      <w:pPr>
        <w:pStyle w:val="2"/>
        <w:keepNext/>
        <w:pageBreakBefore/>
        <w:rPr>
          <w:rFonts w:hint="eastAsia" w:ascii="黑体" w:hAnsi="黑体" w:eastAsia="黑体" w:cs="黑体"/>
          <w:color w:val="auto"/>
        </w:rPr>
      </w:pPr>
      <w:bookmarkStart w:id="58" w:name="_Toc963397132"/>
      <w:bookmarkStart w:id="59" w:name="_【待优化-格式不对】SCOS集成接口规范"/>
      <w:r>
        <w:rPr>
          <w:rFonts w:hint="eastAsia" w:ascii="黑体" w:hAnsi="黑体" w:eastAsia="黑体" w:cs="黑体"/>
          <w:b/>
          <w:color w:val="auto"/>
          <w:sz w:val="32"/>
          <w:lang w:eastAsia="zh-CN"/>
        </w:rPr>
        <w:t>【</w:t>
      </w:r>
      <w:r>
        <w:rPr>
          <w:rFonts w:hint="eastAsia" w:ascii="黑体" w:hAnsi="黑体" w:eastAsia="黑体" w:cs="黑体"/>
          <w:b/>
          <w:color w:val="FF0000"/>
          <w:sz w:val="32"/>
          <w:lang w:val="en-US" w:eastAsia="zh-CN"/>
        </w:rPr>
        <w:t>待优化</w:t>
      </w:r>
      <w:r>
        <w:rPr>
          <w:rFonts w:hint="eastAsia" w:ascii="黑体" w:hAnsi="黑体" w:eastAsia="黑体" w:cs="黑体"/>
          <w:b/>
          <w:color w:val="auto"/>
          <w:sz w:val="32"/>
          <w:lang w:eastAsia="zh-CN"/>
        </w:rPr>
        <w:t>】</w:t>
      </w:r>
      <w:r>
        <w:rPr>
          <w:rFonts w:hint="eastAsia" w:ascii="黑体" w:hAnsi="黑体" w:eastAsia="黑体" w:cs="黑体"/>
          <w:b/>
          <w:color w:val="auto"/>
          <w:sz w:val="32"/>
        </w:rPr>
        <w:t>SCOS集成接口规范</w:t>
      </w:r>
      <w:bookmarkEnd w:id="58"/>
    </w:p>
    <w:tbl>
      <w:tblPr>
        <w:tblStyle w:val="31"/>
        <w:tblW w:w="10496" w:type="dxa"/>
        <w:jc w:val="center"/>
        <w:tblLayout w:type="fixed"/>
        <w:tblCellMar>
          <w:top w:w="0" w:type="dxa"/>
          <w:left w:w="108" w:type="dxa"/>
          <w:bottom w:w="0" w:type="dxa"/>
          <w:right w:w="108" w:type="dxa"/>
        </w:tblCellMar>
      </w:tblPr>
      <w:tblGrid>
        <w:gridCol w:w="714"/>
        <w:gridCol w:w="1095"/>
        <w:gridCol w:w="1200"/>
        <w:gridCol w:w="2055"/>
        <w:gridCol w:w="967"/>
        <w:gridCol w:w="967"/>
        <w:gridCol w:w="1225"/>
        <w:gridCol w:w="1108"/>
        <w:gridCol w:w="1165"/>
      </w:tblGrid>
      <w:tr w14:paraId="20B8A182">
        <w:trPr>
          <w:cantSplit/>
          <w:trHeight w:val="0" w:hRule="atLeast"/>
          <w:tblHeader/>
          <w:jc w:val="center"/>
        </w:trPr>
        <w:tc>
          <w:tcPr>
            <w:tcW w:w="714" w:type="dxa"/>
            <w:vAlign w:val="center"/>
          </w:tcPr>
          <w:p w14:paraId="212A734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序号</w:t>
            </w:r>
          </w:p>
        </w:tc>
        <w:tc>
          <w:tcPr>
            <w:tcW w:w="1095" w:type="dxa"/>
            <w:vAlign w:val="center"/>
          </w:tcPr>
          <w:p w14:paraId="733582C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接口编号</w:t>
            </w:r>
          </w:p>
        </w:tc>
        <w:tc>
          <w:tcPr>
            <w:tcW w:w="1200" w:type="dxa"/>
            <w:vAlign w:val="center"/>
          </w:tcPr>
          <w:p w14:paraId="0C3AB8E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接口名称</w:t>
            </w:r>
          </w:p>
        </w:tc>
        <w:tc>
          <w:tcPr>
            <w:tcW w:w="2055" w:type="dxa"/>
            <w:vAlign w:val="center"/>
          </w:tcPr>
          <w:p w14:paraId="7FF8F83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功能描述</w:t>
            </w:r>
          </w:p>
        </w:tc>
        <w:tc>
          <w:tcPr>
            <w:tcW w:w="967" w:type="dxa"/>
            <w:vAlign w:val="center"/>
          </w:tcPr>
          <w:p w14:paraId="5E236A8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协议方式</w:t>
            </w:r>
          </w:p>
        </w:tc>
        <w:tc>
          <w:tcPr>
            <w:tcW w:w="967" w:type="dxa"/>
            <w:vAlign w:val="center"/>
          </w:tcPr>
          <w:p w14:paraId="4D68AEB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通信模式</w:t>
            </w:r>
          </w:p>
        </w:tc>
        <w:tc>
          <w:tcPr>
            <w:tcW w:w="1225" w:type="dxa"/>
            <w:vAlign w:val="center"/>
          </w:tcPr>
          <w:p w14:paraId="5F0D249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调用方向</w:t>
            </w:r>
          </w:p>
        </w:tc>
        <w:tc>
          <w:tcPr>
            <w:tcW w:w="1108" w:type="dxa"/>
            <w:vAlign w:val="center"/>
          </w:tcPr>
          <w:p w14:paraId="203F015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地址 / 路由 / Topic 名称</w:t>
            </w:r>
          </w:p>
        </w:tc>
        <w:tc>
          <w:tcPr>
            <w:tcW w:w="1165" w:type="dxa"/>
            <w:vAlign w:val="center"/>
          </w:tcPr>
          <w:p w14:paraId="5CE8114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同步条件</w:t>
            </w:r>
          </w:p>
        </w:tc>
      </w:tr>
      <w:tr w14:paraId="0334EBFA">
        <w:trPr>
          <w:cantSplit/>
          <w:jc w:val="center"/>
        </w:trPr>
        <w:tc>
          <w:tcPr>
            <w:tcW w:w="714" w:type="dxa"/>
            <w:vAlign w:val="center"/>
          </w:tcPr>
          <w:p w14:paraId="5E00AF5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w:t>
            </w:r>
          </w:p>
        </w:tc>
        <w:tc>
          <w:tcPr>
            <w:tcW w:w="1095" w:type="dxa"/>
            <w:vAlign w:val="center"/>
          </w:tcPr>
          <w:p w14:paraId="0F08E14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SCOS-CRM-001</w:t>
            </w:r>
          </w:p>
        </w:tc>
        <w:tc>
          <w:tcPr>
            <w:tcW w:w="1200" w:type="dxa"/>
            <w:vAlign w:val="center"/>
          </w:tcPr>
          <w:p w14:paraId="2316843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每日出货计划同步</w:t>
            </w:r>
          </w:p>
        </w:tc>
        <w:tc>
          <w:tcPr>
            <w:tcW w:w="2055" w:type="dxa"/>
            <w:vAlign w:val="center"/>
          </w:tcPr>
          <w:p w14:paraId="38C6E0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CRM向SCOS同步每日出货计划，客户、产品和日期维度的成品需求量，作为库存投影、要货计划和供应链态势分析的需求依据。</w:t>
            </w:r>
          </w:p>
        </w:tc>
        <w:tc>
          <w:tcPr>
            <w:tcW w:w="967" w:type="dxa"/>
            <w:vAlign w:val="center"/>
          </w:tcPr>
          <w:p w14:paraId="1B056F2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0084B2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1225" w:type="dxa"/>
            <w:vAlign w:val="center"/>
          </w:tcPr>
          <w:p w14:paraId="4F7533B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CRM→SCOS</w:t>
            </w:r>
          </w:p>
        </w:tc>
        <w:tc>
          <w:tcPr>
            <w:tcW w:w="1108" w:type="dxa"/>
            <w:vAlign w:val="center"/>
          </w:tcPr>
          <w:p w14:paraId="0ECC51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建议：crm/shipment-plan</w:t>
            </w:r>
          </w:p>
        </w:tc>
        <w:tc>
          <w:tcPr>
            <w:tcW w:w="1165" w:type="dxa"/>
            <w:vAlign w:val="center"/>
          </w:tcPr>
          <w:p w14:paraId="71D80E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每日计划发布后</w:t>
            </w:r>
          </w:p>
        </w:tc>
      </w:tr>
      <w:tr w14:paraId="7FA3CC8F">
        <w:trPr>
          <w:cantSplit/>
          <w:jc w:val="center"/>
        </w:trPr>
        <w:tc>
          <w:tcPr>
            <w:tcW w:w="714" w:type="dxa"/>
            <w:vAlign w:val="center"/>
          </w:tcPr>
          <w:p w14:paraId="7CFF5AD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w:t>
            </w:r>
          </w:p>
        </w:tc>
        <w:tc>
          <w:tcPr>
            <w:tcW w:w="1095" w:type="dxa"/>
            <w:vAlign w:val="center"/>
          </w:tcPr>
          <w:p w14:paraId="5532A5F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SCOS-CON-001</w:t>
            </w:r>
          </w:p>
        </w:tc>
        <w:tc>
          <w:tcPr>
            <w:tcW w:w="1200" w:type="dxa"/>
            <w:vAlign w:val="center"/>
          </w:tcPr>
          <w:p w14:paraId="729FBD0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采购合同同步</w:t>
            </w:r>
          </w:p>
        </w:tc>
        <w:tc>
          <w:tcPr>
            <w:tcW w:w="2055" w:type="dxa"/>
            <w:vAlign w:val="center"/>
          </w:tcPr>
          <w:p w14:paraId="33C0A8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CON向SCOS同步采购合同，采购合同、供应商、物料、数量、有效期和交付约定，支撑采购优化及要货条件校验。</w:t>
            </w:r>
          </w:p>
        </w:tc>
        <w:tc>
          <w:tcPr>
            <w:tcW w:w="967" w:type="dxa"/>
            <w:vAlign w:val="center"/>
          </w:tcPr>
          <w:p w14:paraId="5D4EFA6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89ACA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1225" w:type="dxa"/>
            <w:vAlign w:val="center"/>
          </w:tcPr>
          <w:p w14:paraId="3EBD1AE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CON→SCOS</w:t>
            </w:r>
          </w:p>
        </w:tc>
        <w:tc>
          <w:tcPr>
            <w:tcW w:w="1108" w:type="dxa"/>
            <w:vAlign w:val="center"/>
          </w:tcPr>
          <w:p w14:paraId="4701C2F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建议：con/purchase-contract</w:t>
            </w:r>
          </w:p>
        </w:tc>
        <w:tc>
          <w:tcPr>
            <w:tcW w:w="1165" w:type="dxa"/>
            <w:vAlign w:val="center"/>
          </w:tcPr>
          <w:p w14:paraId="191C10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合同生效或变更后</w:t>
            </w:r>
          </w:p>
        </w:tc>
      </w:tr>
      <w:tr w14:paraId="450C63E9">
        <w:trPr>
          <w:cantSplit/>
          <w:jc w:val="center"/>
        </w:trPr>
        <w:tc>
          <w:tcPr>
            <w:tcW w:w="714" w:type="dxa"/>
            <w:vAlign w:val="center"/>
          </w:tcPr>
          <w:p w14:paraId="42F7EA4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3</w:t>
            </w:r>
          </w:p>
        </w:tc>
        <w:tc>
          <w:tcPr>
            <w:tcW w:w="1095" w:type="dxa"/>
            <w:vAlign w:val="center"/>
          </w:tcPr>
          <w:p w14:paraId="33CB362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SCOS-CON-002</w:t>
            </w:r>
          </w:p>
        </w:tc>
        <w:tc>
          <w:tcPr>
            <w:tcW w:w="1200" w:type="dxa"/>
            <w:vAlign w:val="center"/>
          </w:tcPr>
          <w:p w14:paraId="5ACDD13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销售合同同步</w:t>
            </w:r>
          </w:p>
        </w:tc>
        <w:tc>
          <w:tcPr>
            <w:tcW w:w="2055" w:type="dxa"/>
            <w:vAlign w:val="center"/>
          </w:tcPr>
          <w:p w14:paraId="2F0B389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CON向SCOS同步销售合同，销售合同及客户交付约定，补充需求优先级、履约约束和驾驶舱合同分析口径。</w:t>
            </w:r>
          </w:p>
        </w:tc>
        <w:tc>
          <w:tcPr>
            <w:tcW w:w="967" w:type="dxa"/>
            <w:vAlign w:val="center"/>
          </w:tcPr>
          <w:p w14:paraId="013805B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6307094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1225" w:type="dxa"/>
            <w:vAlign w:val="center"/>
          </w:tcPr>
          <w:p w14:paraId="3B49368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CON→SCOS</w:t>
            </w:r>
          </w:p>
        </w:tc>
        <w:tc>
          <w:tcPr>
            <w:tcW w:w="1108" w:type="dxa"/>
            <w:vAlign w:val="center"/>
          </w:tcPr>
          <w:p w14:paraId="7B586A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建议：con/sales-contract</w:t>
            </w:r>
          </w:p>
        </w:tc>
        <w:tc>
          <w:tcPr>
            <w:tcW w:w="1165" w:type="dxa"/>
            <w:vAlign w:val="center"/>
          </w:tcPr>
          <w:p w14:paraId="126851F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合同生效或变更后</w:t>
            </w:r>
          </w:p>
        </w:tc>
      </w:tr>
      <w:tr w14:paraId="0F877E62">
        <w:trPr>
          <w:cantSplit/>
          <w:jc w:val="center"/>
        </w:trPr>
        <w:tc>
          <w:tcPr>
            <w:tcW w:w="714" w:type="dxa"/>
            <w:vAlign w:val="center"/>
          </w:tcPr>
          <w:p w14:paraId="2203FE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4</w:t>
            </w:r>
          </w:p>
        </w:tc>
        <w:tc>
          <w:tcPr>
            <w:tcW w:w="1095" w:type="dxa"/>
            <w:vAlign w:val="center"/>
          </w:tcPr>
          <w:p w14:paraId="4B57AA6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SCOS-SAP-001</w:t>
            </w:r>
          </w:p>
        </w:tc>
        <w:tc>
          <w:tcPr>
            <w:tcW w:w="1200" w:type="dxa"/>
            <w:vAlign w:val="center"/>
          </w:tcPr>
          <w:p w14:paraId="2C0216C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主数据同步</w:t>
            </w:r>
          </w:p>
        </w:tc>
        <w:tc>
          <w:tcPr>
            <w:tcW w:w="2055" w:type="dxa"/>
            <w:vAlign w:val="center"/>
          </w:tcPr>
          <w:p w14:paraId="1347147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SAP向SCOS同步主数据，物料、供应商、客户、组织、仓库、储罐和设备等主数据，统一SCOS编码和业务范围。</w:t>
            </w:r>
          </w:p>
        </w:tc>
        <w:tc>
          <w:tcPr>
            <w:tcW w:w="967" w:type="dxa"/>
            <w:vAlign w:val="center"/>
          </w:tcPr>
          <w:p w14:paraId="646B7E7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807756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批量推送+补偿拉取</w:t>
            </w:r>
          </w:p>
        </w:tc>
        <w:tc>
          <w:tcPr>
            <w:tcW w:w="1225" w:type="dxa"/>
            <w:vAlign w:val="center"/>
          </w:tcPr>
          <w:p w14:paraId="744A966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SAP→SCOS</w:t>
            </w:r>
          </w:p>
        </w:tc>
        <w:tc>
          <w:tcPr>
            <w:tcW w:w="1108" w:type="dxa"/>
            <w:vAlign w:val="center"/>
          </w:tcPr>
          <w:p w14:paraId="11090D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建议：sap/master-data</w:t>
            </w:r>
          </w:p>
        </w:tc>
        <w:tc>
          <w:tcPr>
            <w:tcW w:w="1165" w:type="dxa"/>
            <w:vAlign w:val="center"/>
          </w:tcPr>
          <w:p w14:paraId="49C1D6D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每日T+1</w:t>
            </w:r>
          </w:p>
        </w:tc>
      </w:tr>
      <w:tr w14:paraId="2C0FFE45">
        <w:trPr>
          <w:cantSplit/>
          <w:jc w:val="center"/>
        </w:trPr>
        <w:tc>
          <w:tcPr>
            <w:tcW w:w="714" w:type="dxa"/>
            <w:vAlign w:val="center"/>
          </w:tcPr>
          <w:p w14:paraId="61A4DA5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5</w:t>
            </w:r>
          </w:p>
        </w:tc>
        <w:tc>
          <w:tcPr>
            <w:tcW w:w="1095" w:type="dxa"/>
            <w:vAlign w:val="center"/>
          </w:tcPr>
          <w:p w14:paraId="785158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SCOS-SAP-002</w:t>
            </w:r>
          </w:p>
        </w:tc>
        <w:tc>
          <w:tcPr>
            <w:tcW w:w="1200" w:type="dxa"/>
            <w:vAlign w:val="center"/>
          </w:tcPr>
          <w:p w14:paraId="1E055D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业务数据同步</w:t>
            </w:r>
          </w:p>
        </w:tc>
        <w:tc>
          <w:tcPr>
            <w:tcW w:w="2055" w:type="dxa"/>
            <w:vAlign w:val="center"/>
          </w:tcPr>
          <w:p w14:paraId="2FC45E7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SAP向SCOS同步业务数据，订单、交易、价格、BOM、未结采购/生产订单、库存、在途、费用池、应收应付和折旧等数据，支撑六大模块计算与对账。</w:t>
            </w:r>
          </w:p>
        </w:tc>
        <w:tc>
          <w:tcPr>
            <w:tcW w:w="967" w:type="dxa"/>
            <w:vAlign w:val="center"/>
          </w:tcPr>
          <w:p w14:paraId="633326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48A0D98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推送+定时拉取</w:t>
            </w:r>
          </w:p>
        </w:tc>
        <w:tc>
          <w:tcPr>
            <w:tcW w:w="1225" w:type="dxa"/>
            <w:vAlign w:val="center"/>
          </w:tcPr>
          <w:p w14:paraId="4F52452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SAP→SCOS</w:t>
            </w:r>
          </w:p>
        </w:tc>
        <w:tc>
          <w:tcPr>
            <w:tcW w:w="1108" w:type="dxa"/>
            <w:vAlign w:val="center"/>
          </w:tcPr>
          <w:p w14:paraId="6304834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建议：sap/business-data</w:t>
            </w:r>
          </w:p>
        </w:tc>
        <w:tc>
          <w:tcPr>
            <w:tcW w:w="1165" w:type="dxa"/>
            <w:vAlign w:val="center"/>
          </w:tcPr>
          <w:p w14:paraId="1996B2B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事件触发+每日补偿</w:t>
            </w:r>
          </w:p>
        </w:tc>
      </w:tr>
      <w:tr w14:paraId="54417B0C">
        <w:trPr>
          <w:cantSplit/>
          <w:jc w:val="center"/>
        </w:trPr>
        <w:tc>
          <w:tcPr>
            <w:tcW w:w="714" w:type="dxa"/>
            <w:vAlign w:val="center"/>
          </w:tcPr>
          <w:p w14:paraId="5612B8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6</w:t>
            </w:r>
          </w:p>
        </w:tc>
        <w:tc>
          <w:tcPr>
            <w:tcW w:w="1095" w:type="dxa"/>
            <w:vAlign w:val="center"/>
          </w:tcPr>
          <w:p w14:paraId="5928356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SCOS-WMS-001</w:t>
            </w:r>
          </w:p>
        </w:tc>
        <w:tc>
          <w:tcPr>
            <w:tcW w:w="1200" w:type="dxa"/>
            <w:vAlign w:val="center"/>
          </w:tcPr>
          <w:p w14:paraId="0AA581A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原辅包在库量同步</w:t>
            </w:r>
          </w:p>
        </w:tc>
        <w:tc>
          <w:tcPr>
            <w:tcW w:w="2055" w:type="dxa"/>
            <w:vAlign w:val="center"/>
          </w:tcPr>
          <w:p w14:paraId="3D40047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WMS向SCOS同步原辅包在库量，原料、辅料和包材的可用库存、锁定量及库位状态，支撑欠料分析、采购优化和要货计划。</w:t>
            </w:r>
          </w:p>
        </w:tc>
        <w:tc>
          <w:tcPr>
            <w:tcW w:w="967" w:type="dxa"/>
            <w:vAlign w:val="center"/>
          </w:tcPr>
          <w:p w14:paraId="5D8446E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1648E06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7127589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135E0ED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建议：wms/material-stock</w:t>
            </w:r>
          </w:p>
        </w:tc>
        <w:tc>
          <w:tcPr>
            <w:tcW w:w="1165" w:type="dxa"/>
            <w:vAlign w:val="center"/>
          </w:tcPr>
          <w:p w14:paraId="5498D3A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库存变动后</w:t>
            </w:r>
          </w:p>
        </w:tc>
      </w:tr>
      <w:tr w14:paraId="7F6232E0">
        <w:trPr>
          <w:cantSplit/>
          <w:jc w:val="center"/>
        </w:trPr>
        <w:tc>
          <w:tcPr>
            <w:tcW w:w="714" w:type="dxa"/>
            <w:vAlign w:val="center"/>
          </w:tcPr>
          <w:p w14:paraId="1D51BCE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7</w:t>
            </w:r>
          </w:p>
        </w:tc>
        <w:tc>
          <w:tcPr>
            <w:tcW w:w="1095" w:type="dxa"/>
            <w:vAlign w:val="center"/>
          </w:tcPr>
          <w:p w14:paraId="47B94B9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SCOS-WMS-002</w:t>
            </w:r>
          </w:p>
        </w:tc>
        <w:tc>
          <w:tcPr>
            <w:tcW w:w="1200" w:type="dxa"/>
            <w:vAlign w:val="center"/>
          </w:tcPr>
          <w:p w14:paraId="3757DDA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成品库存水位同步</w:t>
            </w:r>
          </w:p>
        </w:tc>
        <w:tc>
          <w:tcPr>
            <w:tcW w:w="2055" w:type="dxa"/>
            <w:vAlign w:val="center"/>
          </w:tcPr>
          <w:p w14:paraId="67E778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WMS向SCOS同步成品库存水位，成品现存量、可用量和库龄状态，支撑库存投影、风险预警和库存健康度评价。</w:t>
            </w:r>
          </w:p>
        </w:tc>
        <w:tc>
          <w:tcPr>
            <w:tcW w:w="967" w:type="dxa"/>
            <w:vAlign w:val="center"/>
          </w:tcPr>
          <w:p w14:paraId="0537C88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6604935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6152F48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235CAF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建议：wms/product-stock</w:t>
            </w:r>
          </w:p>
        </w:tc>
        <w:tc>
          <w:tcPr>
            <w:tcW w:w="1165" w:type="dxa"/>
            <w:vAlign w:val="center"/>
          </w:tcPr>
          <w:p w14:paraId="22A9A6D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库存变动后</w:t>
            </w:r>
          </w:p>
        </w:tc>
      </w:tr>
      <w:tr w14:paraId="02A908DD">
        <w:trPr>
          <w:cantSplit/>
          <w:jc w:val="center"/>
        </w:trPr>
        <w:tc>
          <w:tcPr>
            <w:tcW w:w="714" w:type="dxa"/>
            <w:vAlign w:val="center"/>
          </w:tcPr>
          <w:p w14:paraId="4294343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8</w:t>
            </w:r>
          </w:p>
        </w:tc>
        <w:tc>
          <w:tcPr>
            <w:tcW w:w="1095" w:type="dxa"/>
            <w:vAlign w:val="center"/>
          </w:tcPr>
          <w:p w14:paraId="55614E4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SCOS-WMS-003</w:t>
            </w:r>
          </w:p>
        </w:tc>
        <w:tc>
          <w:tcPr>
            <w:tcW w:w="1200" w:type="dxa"/>
            <w:vAlign w:val="center"/>
          </w:tcPr>
          <w:p w14:paraId="4553869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入库原料批次同步</w:t>
            </w:r>
          </w:p>
        </w:tc>
        <w:tc>
          <w:tcPr>
            <w:tcW w:w="2055" w:type="dxa"/>
            <w:vAlign w:val="center"/>
          </w:tcPr>
          <w:p w14:paraId="5A7929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WMS向SCOS同步入库原料批次，入库批次、物料、数量、时间和库位信息，建立原料批次与成本归集的追溯入口。</w:t>
            </w:r>
          </w:p>
        </w:tc>
        <w:tc>
          <w:tcPr>
            <w:tcW w:w="967" w:type="dxa"/>
            <w:vAlign w:val="center"/>
          </w:tcPr>
          <w:p w14:paraId="082D978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1D7AE1B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468CA45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7CB049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建议：wms/inbound-batch</w:t>
            </w:r>
          </w:p>
        </w:tc>
        <w:tc>
          <w:tcPr>
            <w:tcW w:w="1165" w:type="dxa"/>
            <w:vAlign w:val="center"/>
          </w:tcPr>
          <w:p w14:paraId="27AB323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入库确认后</w:t>
            </w:r>
          </w:p>
        </w:tc>
      </w:tr>
      <w:tr w14:paraId="0C06C49D">
        <w:trPr>
          <w:cantSplit/>
          <w:jc w:val="center"/>
        </w:trPr>
        <w:tc>
          <w:tcPr>
            <w:tcW w:w="714" w:type="dxa"/>
            <w:vAlign w:val="center"/>
          </w:tcPr>
          <w:p w14:paraId="6F215F6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9</w:t>
            </w:r>
          </w:p>
        </w:tc>
        <w:tc>
          <w:tcPr>
            <w:tcW w:w="1095" w:type="dxa"/>
            <w:vAlign w:val="center"/>
          </w:tcPr>
          <w:p w14:paraId="23B997C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SCOS-WMS-004</w:t>
            </w:r>
          </w:p>
        </w:tc>
        <w:tc>
          <w:tcPr>
            <w:tcW w:w="1200" w:type="dxa"/>
            <w:vAlign w:val="center"/>
          </w:tcPr>
          <w:p w14:paraId="1F109D5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在途库存同步</w:t>
            </w:r>
          </w:p>
        </w:tc>
        <w:tc>
          <w:tcPr>
            <w:tcW w:w="2055" w:type="dxa"/>
            <w:vAlign w:val="center"/>
          </w:tcPr>
          <w:p w14:paraId="2FC028A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WMS向SCOS同步在途库存，运输中、生产中及待入库数量和预计到达时间，用于库存优化、要货缺口计算和供应风险判断。</w:t>
            </w:r>
          </w:p>
        </w:tc>
        <w:tc>
          <w:tcPr>
            <w:tcW w:w="967" w:type="dxa"/>
            <w:vAlign w:val="center"/>
          </w:tcPr>
          <w:p w14:paraId="5B45AF9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1FABDA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7B0DCEB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1C98891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建议：wms/in-transit-stock</w:t>
            </w:r>
          </w:p>
        </w:tc>
        <w:tc>
          <w:tcPr>
            <w:tcW w:w="1165" w:type="dxa"/>
            <w:vAlign w:val="center"/>
          </w:tcPr>
          <w:p w14:paraId="21B7D7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状态变更后</w:t>
            </w:r>
          </w:p>
        </w:tc>
      </w:tr>
      <w:tr w14:paraId="26261510">
        <w:trPr>
          <w:cantSplit/>
          <w:jc w:val="center"/>
        </w:trPr>
        <w:tc>
          <w:tcPr>
            <w:tcW w:w="714" w:type="dxa"/>
            <w:vAlign w:val="center"/>
          </w:tcPr>
          <w:p w14:paraId="7143165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10</w:t>
            </w:r>
          </w:p>
        </w:tc>
        <w:tc>
          <w:tcPr>
            <w:tcW w:w="1095" w:type="dxa"/>
            <w:vAlign w:val="center"/>
          </w:tcPr>
          <w:p w14:paraId="3964BA0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SCOS-TMS-001</w:t>
            </w:r>
          </w:p>
        </w:tc>
        <w:tc>
          <w:tcPr>
            <w:tcW w:w="1200" w:type="dxa"/>
            <w:vAlign w:val="center"/>
          </w:tcPr>
          <w:p w14:paraId="4DF4058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原料入场车次批次同步</w:t>
            </w:r>
          </w:p>
        </w:tc>
        <w:tc>
          <w:tcPr>
            <w:tcW w:w="2055" w:type="dxa"/>
            <w:vAlign w:val="center"/>
          </w:tcPr>
          <w:p w14:paraId="1BDD087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TMS向SCOS同步原料入场车次批次表，原料入场车次、供应商、物料、批次和时间，关联入厂物流与后续生产批次。</w:t>
            </w:r>
          </w:p>
        </w:tc>
        <w:tc>
          <w:tcPr>
            <w:tcW w:w="967" w:type="dxa"/>
            <w:vAlign w:val="center"/>
          </w:tcPr>
          <w:p w14:paraId="2C68C4A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7BA468E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30B24D7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108" w:type="dxa"/>
            <w:vAlign w:val="center"/>
          </w:tcPr>
          <w:p w14:paraId="2321E03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建议：tms/inbound-batch</w:t>
            </w:r>
          </w:p>
        </w:tc>
        <w:tc>
          <w:tcPr>
            <w:tcW w:w="1165" w:type="dxa"/>
            <w:vAlign w:val="center"/>
          </w:tcPr>
          <w:p w14:paraId="41A2FD1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车辆入场后</w:t>
            </w:r>
          </w:p>
        </w:tc>
      </w:tr>
      <w:tr w14:paraId="684F1965">
        <w:trPr>
          <w:cantSplit/>
          <w:jc w:val="center"/>
        </w:trPr>
        <w:tc>
          <w:tcPr>
            <w:tcW w:w="714" w:type="dxa"/>
            <w:vAlign w:val="center"/>
          </w:tcPr>
          <w:p w14:paraId="4A3087B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11</w:t>
            </w:r>
          </w:p>
        </w:tc>
        <w:tc>
          <w:tcPr>
            <w:tcW w:w="1095" w:type="dxa"/>
            <w:vAlign w:val="center"/>
          </w:tcPr>
          <w:p w14:paraId="1176D4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SCOS-TMS-002</w:t>
            </w:r>
          </w:p>
        </w:tc>
        <w:tc>
          <w:tcPr>
            <w:tcW w:w="1200" w:type="dxa"/>
            <w:vAlign w:val="center"/>
          </w:tcPr>
          <w:p w14:paraId="396F1B0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成品出厂批次同步</w:t>
            </w:r>
          </w:p>
        </w:tc>
        <w:tc>
          <w:tcPr>
            <w:tcW w:w="2055" w:type="dxa"/>
            <w:vAlign w:val="center"/>
          </w:tcPr>
          <w:p w14:paraId="55CDD69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TMS向SCOS同步成品出厂批次表，成品出厂车次、销售交付及批次信息，关联销售履约和销售订单成本。</w:t>
            </w:r>
          </w:p>
        </w:tc>
        <w:tc>
          <w:tcPr>
            <w:tcW w:w="967" w:type="dxa"/>
            <w:vAlign w:val="center"/>
          </w:tcPr>
          <w:p w14:paraId="354488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54D2B63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390A103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108" w:type="dxa"/>
            <w:vAlign w:val="center"/>
          </w:tcPr>
          <w:p w14:paraId="49D9C1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建议：tms/outbound-batch</w:t>
            </w:r>
          </w:p>
        </w:tc>
        <w:tc>
          <w:tcPr>
            <w:tcW w:w="1165" w:type="dxa"/>
            <w:vAlign w:val="center"/>
          </w:tcPr>
          <w:p w14:paraId="13D09FE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车辆出厂后</w:t>
            </w:r>
          </w:p>
        </w:tc>
      </w:tr>
      <w:tr w14:paraId="459C29AF">
        <w:trPr>
          <w:cantSplit/>
          <w:jc w:val="center"/>
        </w:trPr>
        <w:tc>
          <w:tcPr>
            <w:tcW w:w="714" w:type="dxa"/>
            <w:vAlign w:val="center"/>
          </w:tcPr>
          <w:p w14:paraId="12F5FD7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12</w:t>
            </w:r>
          </w:p>
        </w:tc>
        <w:tc>
          <w:tcPr>
            <w:tcW w:w="1095" w:type="dxa"/>
            <w:vAlign w:val="center"/>
          </w:tcPr>
          <w:p w14:paraId="7575B76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SCOS-TMS-003</w:t>
            </w:r>
          </w:p>
        </w:tc>
        <w:tc>
          <w:tcPr>
            <w:tcW w:w="1200" w:type="dxa"/>
            <w:vAlign w:val="center"/>
          </w:tcPr>
          <w:p w14:paraId="4594AF8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物流状态同步</w:t>
            </w:r>
          </w:p>
        </w:tc>
        <w:tc>
          <w:tcPr>
            <w:tcW w:w="2055" w:type="dxa"/>
            <w:vAlign w:val="center"/>
          </w:tcPr>
          <w:p w14:paraId="1CD019A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TMS向SCOS同步物流信息表，车辆、承运、在途状态和预计到达时间，支撑要货计划滚动调整与异常协调。</w:t>
            </w:r>
          </w:p>
        </w:tc>
        <w:tc>
          <w:tcPr>
            <w:tcW w:w="967" w:type="dxa"/>
            <w:vAlign w:val="center"/>
          </w:tcPr>
          <w:p w14:paraId="54F984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5EAF63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事件推送+定时补偿</w:t>
            </w:r>
          </w:p>
        </w:tc>
        <w:tc>
          <w:tcPr>
            <w:tcW w:w="1225" w:type="dxa"/>
            <w:vAlign w:val="center"/>
          </w:tcPr>
          <w:p w14:paraId="576C55F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108" w:type="dxa"/>
            <w:vAlign w:val="center"/>
          </w:tcPr>
          <w:p w14:paraId="2158B3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建议：tms/logistics-status</w:t>
            </w:r>
          </w:p>
        </w:tc>
        <w:tc>
          <w:tcPr>
            <w:tcW w:w="1165" w:type="dxa"/>
            <w:vAlign w:val="center"/>
          </w:tcPr>
          <w:p w14:paraId="6F4CDC1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运输状态变更后</w:t>
            </w:r>
          </w:p>
        </w:tc>
      </w:tr>
      <w:tr w14:paraId="3935C535">
        <w:trPr>
          <w:cantSplit/>
          <w:jc w:val="center"/>
        </w:trPr>
        <w:tc>
          <w:tcPr>
            <w:tcW w:w="714" w:type="dxa"/>
            <w:vAlign w:val="center"/>
          </w:tcPr>
          <w:p w14:paraId="5F00064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13</w:t>
            </w:r>
          </w:p>
        </w:tc>
        <w:tc>
          <w:tcPr>
            <w:tcW w:w="1095" w:type="dxa"/>
            <w:vAlign w:val="center"/>
          </w:tcPr>
          <w:p w14:paraId="6E75D72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SCOS-MES-001</w:t>
            </w:r>
          </w:p>
        </w:tc>
        <w:tc>
          <w:tcPr>
            <w:tcW w:w="1200" w:type="dxa"/>
            <w:vAlign w:val="center"/>
          </w:tcPr>
          <w:p w14:paraId="141E5C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生产进度报工同步</w:t>
            </w:r>
          </w:p>
        </w:tc>
        <w:tc>
          <w:tcPr>
            <w:tcW w:w="2055" w:type="dxa"/>
            <w:vAlign w:val="center"/>
          </w:tcPr>
          <w:p w14:paraId="240C60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MES向SCOS同步生产进度报工表，生产订单、工序、完成量和报工时间，更新库存投影并反馈计划执行状态。</w:t>
            </w:r>
          </w:p>
        </w:tc>
        <w:tc>
          <w:tcPr>
            <w:tcW w:w="967" w:type="dxa"/>
            <w:vAlign w:val="center"/>
          </w:tcPr>
          <w:p w14:paraId="12FBD04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6AEC4CD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6778B05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108" w:type="dxa"/>
            <w:vAlign w:val="center"/>
          </w:tcPr>
          <w:p w14:paraId="4AA3F35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建议：mes/production-progress</w:t>
            </w:r>
          </w:p>
        </w:tc>
        <w:tc>
          <w:tcPr>
            <w:tcW w:w="1165" w:type="dxa"/>
            <w:vAlign w:val="center"/>
          </w:tcPr>
          <w:p w14:paraId="6153381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报工完成后</w:t>
            </w:r>
          </w:p>
        </w:tc>
      </w:tr>
      <w:tr w14:paraId="7260E9CD">
        <w:trPr>
          <w:cantSplit/>
          <w:jc w:val="center"/>
        </w:trPr>
        <w:tc>
          <w:tcPr>
            <w:tcW w:w="714" w:type="dxa"/>
            <w:vAlign w:val="center"/>
          </w:tcPr>
          <w:p w14:paraId="716E642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14</w:t>
            </w:r>
          </w:p>
        </w:tc>
        <w:tc>
          <w:tcPr>
            <w:tcW w:w="1095" w:type="dxa"/>
            <w:vAlign w:val="center"/>
          </w:tcPr>
          <w:p w14:paraId="5813238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SCOS-MES-002</w:t>
            </w:r>
          </w:p>
        </w:tc>
        <w:tc>
          <w:tcPr>
            <w:tcW w:w="1200" w:type="dxa"/>
            <w:vAlign w:val="center"/>
          </w:tcPr>
          <w:p w14:paraId="615E14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生产批次同步</w:t>
            </w:r>
          </w:p>
        </w:tc>
        <w:tc>
          <w:tcPr>
            <w:tcW w:w="2055" w:type="dxa"/>
            <w:vAlign w:val="center"/>
          </w:tcPr>
          <w:p w14:paraId="52DDF6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MES向SCOS同步生产批次表，生产批次、订单、物料、产量和时间信息，建立上下游批次关系并支撑成本归集。</w:t>
            </w:r>
          </w:p>
        </w:tc>
        <w:tc>
          <w:tcPr>
            <w:tcW w:w="967" w:type="dxa"/>
            <w:vAlign w:val="center"/>
          </w:tcPr>
          <w:p w14:paraId="31F89A0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28CD88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536DBB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108" w:type="dxa"/>
            <w:vAlign w:val="center"/>
          </w:tcPr>
          <w:p w14:paraId="4769AE3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建议：mes/production-batch</w:t>
            </w:r>
          </w:p>
        </w:tc>
        <w:tc>
          <w:tcPr>
            <w:tcW w:w="1165" w:type="dxa"/>
            <w:vAlign w:val="center"/>
          </w:tcPr>
          <w:p w14:paraId="45D52E6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批次创建或完工后</w:t>
            </w:r>
          </w:p>
        </w:tc>
      </w:tr>
      <w:tr w14:paraId="6467F294">
        <w:trPr>
          <w:cantSplit/>
          <w:jc w:val="center"/>
        </w:trPr>
        <w:tc>
          <w:tcPr>
            <w:tcW w:w="714" w:type="dxa"/>
            <w:vAlign w:val="center"/>
          </w:tcPr>
          <w:p w14:paraId="44881E9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15</w:t>
            </w:r>
          </w:p>
        </w:tc>
        <w:tc>
          <w:tcPr>
            <w:tcW w:w="1095" w:type="dxa"/>
            <w:vAlign w:val="center"/>
          </w:tcPr>
          <w:p w14:paraId="4CD7236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SCOS-MES-003</w:t>
            </w:r>
          </w:p>
        </w:tc>
        <w:tc>
          <w:tcPr>
            <w:tcW w:w="1200" w:type="dxa"/>
            <w:vAlign w:val="center"/>
          </w:tcPr>
          <w:p w14:paraId="2C616AD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工艺及原辅料成本同步</w:t>
            </w:r>
          </w:p>
        </w:tc>
        <w:tc>
          <w:tcPr>
            <w:tcW w:w="2055" w:type="dxa"/>
            <w:vAlign w:val="center"/>
          </w:tcPr>
          <w:p w14:paraId="75DDB70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MES向SCOS同步工艺及原辅料用量成本表，工艺路线、投入产出、原辅料用量和成本事实，支撑批次成本及生产订单成本计算。</w:t>
            </w:r>
          </w:p>
        </w:tc>
        <w:tc>
          <w:tcPr>
            <w:tcW w:w="967" w:type="dxa"/>
            <w:vAlign w:val="center"/>
          </w:tcPr>
          <w:p w14:paraId="4DA92CD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3492F9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事件推送+定时补偿</w:t>
            </w:r>
          </w:p>
        </w:tc>
        <w:tc>
          <w:tcPr>
            <w:tcW w:w="1225" w:type="dxa"/>
            <w:vAlign w:val="center"/>
          </w:tcPr>
          <w:p w14:paraId="064EE7B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108" w:type="dxa"/>
            <w:vAlign w:val="center"/>
          </w:tcPr>
          <w:p w14:paraId="7B2363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建议：mes/process-cost</w:t>
            </w:r>
          </w:p>
        </w:tc>
        <w:tc>
          <w:tcPr>
            <w:tcW w:w="1165" w:type="dxa"/>
            <w:vAlign w:val="center"/>
          </w:tcPr>
          <w:p w14:paraId="2D8CC92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工序报工或日结后</w:t>
            </w:r>
          </w:p>
        </w:tc>
      </w:tr>
      <w:tr w14:paraId="2DC0653B">
        <w:trPr>
          <w:cantSplit/>
          <w:jc w:val="center"/>
        </w:trPr>
        <w:tc>
          <w:tcPr>
            <w:tcW w:w="714" w:type="dxa"/>
            <w:vAlign w:val="center"/>
          </w:tcPr>
          <w:p w14:paraId="0259703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16</w:t>
            </w:r>
          </w:p>
        </w:tc>
        <w:tc>
          <w:tcPr>
            <w:tcW w:w="1095" w:type="dxa"/>
            <w:vAlign w:val="center"/>
          </w:tcPr>
          <w:p w14:paraId="2DAC489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SCOS-DCS-001</w:t>
            </w:r>
          </w:p>
        </w:tc>
        <w:tc>
          <w:tcPr>
            <w:tcW w:w="1200" w:type="dxa"/>
            <w:vAlign w:val="center"/>
          </w:tcPr>
          <w:p w14:paraId="23ADABE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自动化设备数据同步</w:t>
            </w:r>
          </w:p>
        </w:tc>
        <w:tc>
          <w:tcPr>
            <w:tcW w:w="2055" w:type="dxa"/>
            <w:vAlign w:val="center"/>
          </w:tcPr>
          <w:p w14:paraId="2145B54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DCS向SCOS同步自动化设备数据总表，设备运行、计量、能耗和关键过程数据，补充批次边界、产量及成本事实。</w:t>
            </w:r>
          </w:p>
        </w:tc>
        <w:tc>
          <w:tcPr>
            <w:tcW w:w="967" w:type="dxa"/>
            <w:vAlign w:val="center"/>
          </w:tcPr>
          <w:p w14:paraId="3D44115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2332F5D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实时推送</w:t>
            </w:r>
          </w:p>
        </w:tc>
        <w:tc>
          <w:tcPr>
            <w:tcW w:w="1225" w:type="dxa"/>
            <w:vAlign w:val="center"/>
          </w:tcPr>
          <w:p w14:paraId="0455BF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DCS→SCOS</w:t>
            </w:r>
          </w:p>
        </w:tc>
        <w:tc>
          <w:tcPr>
            <w:tcW w:w="1108" w:type="dxa"/>
            <w:vAlign w:val="center"/>
          </w:tcPr>
          <w:p w14:paraId="2155922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建议：dcs/equipment-data</w:t>
            </w:r>
          </w:p>
        </w:tc>
        <w:tc>
          <w:tcPr>
            <w:tcW w:w="1165" w:type="dxa"/>
            <w:vAlign w:val="center"/>
          </w:tcPr>
          <w:p w14:paraId="4B49B0F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实时/分钟级</w:t>
            </w:r>
          </w:p>
        </w:tc>
      </w:tr>
      <w:tr w14:paraId="4D7D82D7">
        <w:trPr>
          <w:cantSplit/>
          <w:jc w:val="center"/>
        </w:trPr>
        <w:tc>
          <w:tcPr>
            <w:tcW w:w="714" w:type="dxa"/>
            <w:vAlign w:val="center"/>
          </w:tcPr>
          <w:p w14:paraId="587211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17</w:t>
            </w:r>
          </w:p>
        </w:tc>
        <w:tc>
          <w:tcPr>
            <w:tcW w:w="1095" w:type="dxa"/>
            <w:vAlign w:val="center"/>
          </w:tcPr>
          <w:p w14:paraId="11DC11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SCOS-QMS-001</w:t>
            </w:r>
          </w:p>
        </w:tc>
        <w:tc>
          <w:tcPr>
            <w:tcW w:w="1200" w:type="dxa"/>
            <w:vAlign w:val="center"/>
          </w:tcPr>
          <w:p w14:paraId="5AD2C3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质检结果同步</w:t>
            </w:r>
          </w:p>
        </w:tc>
        <w:tc>
          <w:tcPr>
            <w:tcW w:w="2055" w:type="dxa"/>
            <w:vAlign w:val="center"/>
          </w:tcPr>
          <w:p w14:paraId="356206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QMS/LIMS向SCOS同步质检结果表，检验批、质量状态和判定结果，用于批次合格量、质量追溯及驾驶舱质量指标。</w:t>
            </w:r>
          </w:p>
        </w:tc>
        <w:tc>
          <w:tcPr>
            <w:tcW w:w="967" w:type="dxa"/>
            <w:vAlign w:val="center"/>
          </w:tcPr>
          <w:p w14:paraId="04330A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26C4B2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定时拉取+事件补充</w:t>
            </w:r>
          </w:p>
        </w:tc>
        <w:tc>
          <w:tcPr>
            <w:tcW w:w="1225" w:type="dxa"/>
            <w:vAlign w:val="center"/>
          </w:tcPr>
          <w:p w14:paraId="0A70654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QMS/LIMS→SCOS</w:t>
            </w:r>
          </w:p>
        </w:tc>
        <w:tc>
          <w:tcPr>
            <w:tcW w:w="1108" w:type="dxa"/>
            <w:vAlign w:val="center"/>
          </w:tcPr>
          <w:p w14:paraId="150F32E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建议：qms/inspection-result</w:t>
            </w:r>
          </w:p>
        </w:tc>
        <w:tc>
          <w:tcPr>
            <w:tcW w:w="1165" w:type="dxa"/>
            <w:vAlign w:val="center"/>
          </w:tcPr>
          <w:p w14:paraId="6A01E91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批次检验完成后</w:t>
            </w:r>
          </w:p>
        </w:tc>
      </w:tr>
      <w:tr w14:paraId="57462040">
        <w:trPr>
          <w:cantSplit/>
          <w:jc w:val="center"/>
        </w:trPr>
        <w:tc>
          <w:tcPr>
            <w:tcW w:w="714" w:type="dxa"/>
            <w:vAlign w:val="center"/>
          </w:tcPr>
          <w:p w14:paraId="6D9CE70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18</w:t>
            </w:r>
          </w:p>
        </w:tc>
        <w:tc>
          <w:tcPr>
            <w:tcW w:w="1095" w:type="dxa"/>
            <w:vAlign w:val="center"/>
          </w:tcPr>
          <w:p w14:paraId="5E83576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SCOS-CON-003</w:t>
            </w:r>
          </w:p>
        </w:tc>
        <w:tc>
          <w:tcPr>
            <w:tcW w:w="1200" w:type="dxa"/>
            <w:vAlign w:val="center"/>
          </w:tcPr>
          <w:p w14:paraId="547D696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原辅包采购需求下发</w:t>
            </w:r>
          </w:p>
        </w:tc>
        <w:tc>
          <w:tcPr>
            <w:tcW w:w="2055" w:type="dxa"/>
            <w:vAlign w:val="center"/>
          </w:tcPr>
          <w:p w14:paraId="61FD540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SCOS向CON下发原辅包采购需求表，供合同系统形成或调整采购合同并反馈执行状态。</w:t>
            </w:r>
          </w:p>
        </w:tc>
        <w:tc>
          <w:tcPr>
            <w:tcW w:w="967" w:type="dxa"/>
            <w:vAlign w:val="center"/>
          </w:tcPr>
          <w:p w14:paraId="285FA96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4EFE90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4A74AFC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w:t>
            </w:r>
          </w:p>
        </w:tc>
        <w:tc>
          <w:tcPr>
            <w:tcW w:w="1108" w:type="dxa"/>
            <w:vAlign w:val="center"/>
          </w:tcPr>
          <w:p w14:paraId="5228873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建议：con/procurement-demand</w:t>
            </w:r>
          </w:p>
        </w:tc>
        <w:tc>
          <w:tcPr>
            <w:tcW w:w="1165" w:type="dxa"/>
            <w:vAlign w:val="center"/>
          </w:tcPr>
          <w:p w14:paraId="4FA02C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采购方案发布后</w:t>
            </w:r>
          </w:p>
        </w:tc>
      </w:tr>
      <w:tr w14:paraId="25A11EA7">
        <w:trPr>
          <w:cantSplit/>
          <w:jc w:val="center"/>
        </w:trPr>
        <w:tc>
          <w:tcPr>
            <w:tcW w:w="714" w:type="dxa"/>
            <w:vAlign w:val="center"/>
          </w:tcPr>
          <w:p w14:paraId="776DA58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19</w:t>
            </w:r>
          </w:p>
        </w:tc>
        <w:tc>
          <w:tcPr>
            <w:tcW w:w="1095" w:type="dxa"/>
            <w:vAlign w:val="center"/>
          </w:tcPr>
          <w:p w14:paraId="6A46061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SCOS-SAP-003</w:t>
            </w:r>
          </w:p>
        </w:tc>
        <w:tc>
          <w:tcPr>
            <w:tcW w:w="1200" w:type="dxa"/>
            <w:vAlign w:val="center"/>
          </w:tcPr>
          <w:p w14:paraId="3425E4D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生产订单下发</w:t>
            </w:r>
          </w:p>
        </w:tc>
        <w:tc>
          <w:tcPr>
            <w:tcW w:w="2055" w:type="dxa"/>
            <w:vAlign w:val="center"/>
          </w:tcPr>
          <w:p w14:paraId="5945E09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SCOS向SAP下发生产订单，驱动SAP创建正式生产订单并返回业务单号。</w:t>
            </w:r>
          </w:p>
        </w:tc>
        <w:tc>
          <w:tcPr>
            <w:tcW w:w="967" w:type="dxa"/>
            <w:vAlign w:val="center"/>
          </w:tcPr>
          <w:p w14:paraId="1FD5D64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AB401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3D5DB7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w:t>
            </w:r>
          </w:p>
        </w:tc>
        <w:tc>
          <w:tcPr>
            <w:tcW w:w="1108" w:type="dxa"/>
            <w:vAlign w:val="center"/>
          </w:tcPr>
          <w:p w14:paraId="1DB409E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建议：sap/production-order</w:t>
            </w:r>
          </w:p>
        </w:tc>
        <w:tc>
          <w:tcPr>
            <w:tcW w:w="1165" w:type="dxa"/>
            <w:vAlign w:val="center"/>
          </w:tcPr>
          <w:p w14:paraId="3E40027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生产计划发布后</w:t>
            </w:r>
          </w:p>
        </w:tc>
      </w:tr>
      <w:tr w14:paraId="653B2796">
        <w:trPr>
          <w:cantSplit/>
          <w:jc w:val="center"/>
        </w:trPr>
        <w:tc>
          <w:tcPr>
            <w:tcW w:w="714" w:type="dxa"/>
            <w:vAlign w:val="center"/>
          </w:tcPr>
          <w:p w14:paraId="1EBBD61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20</w:t>
            </w:r>
          </w:p>
        </w:tc>
        <w:tc>
          <w:tcPr>
            <w:tcW w:w="1095" w:type="dxa"/>
            <w:vAlign w:val="center"/>
          </w:tcPr>
          <w:p w14:paraId="3D36A51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SCOS-SAP-004</w:t>
            </w:r>
          </w:p>
        </w:tc>
        <w:tc>
          <w:tcPr>
            <w:tcW w:w="1200" w:type="dxa"/>
            <w:vAlign w:val="center"/>
          </w:tcPr>
          <w:p w14:paraId="03479CE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要货计划下发</w:t>
            </w:r>
          </w:p>
        </w:tc>
        <w:tc>
          <w:tcPr>
            <w:tcW w:w="2055" w:type="dxa"/>
            <w:vAlign w:val="center"/>
          </w:tcPr>
          <w:p w14:paraId="1C02867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SCOS向SAP下发要货计划表，作为采购执行、供应商协同和到货跟踪的业务依据。</w:t>
            </w:r>
          </w:p>
        </w:tc>
        <w:tc>
          <w:tcPr>
            <w:tcW w:w="967" w:type="dxa"/>
            <w:vAlign w:val="center"/>
          </w:tcPr>
          <w:p w14:paraId="5D2CE6D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49EE70C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306FB95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w:t>
            </w:r>
          </w:p>
        </w:tc>
        <w:tc>
          <w:tcPr>
            <w:tcW w:w="1108" w:type="dxa"/>
            <w:vAlign w:val="center"/>
          </w:tcPr>
          <w:p w14:paraId="3683BB8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建议：sap/replenishment-plan</w:t>
            </w:r>
          </w:p>
        </w:tc>
        <w:tc>
          <w:tcPr>
            <w:tcW w:w="1165" w:type="dxa"/>
            <w:vAlign w:val="center"/>
          </w:tcPr>
          <w:p w14:paraId="1001680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要货计划确认后</w:t>
            </w:r>
          </w:p>
        </w:tc>
      </w:tr>
      <w:tr w14:paraId="4D39F919">
        <w:trPr>
          <w:cantSplit/>
          <w:jc w:val="center"/>
        </w:trPr>
        <w:tc>
          <w:tcPr>
            <w:tcW w:w="714" w:type="dxa"/>
            <w:vAlign w:val="center"/>
          </w:tcPr>
          <w:p w14:paraId="3AA85D2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21</w:t>
            </w:r>
          </w:p>
        </w:tc>
        <w:tc>
          <w:tcPr>
            <w:tcW w:w="1095" w:type="dxa"/>
            <w:vAlign w:val="center"/>
          </w:tcPr>
          <w:p w14:paraId="2B3A81D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SCOS-WMS-005</w:t>
            </w:r>
          </w:p>
        </w:tc>
        <w:tc>
          <w:tcPr>
            <w:tcW w:w="1200" w:type="dxa"/>
            <w:vAlign w:val="center"/>
          </w:tcPr>
          <w:p w14:paraId="72B62DC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日投料需求下发</w:t>
            </w:r>
          </w:p>
        </w:tc>
        <w:tc>
          <w:tcPr>
            <w:tcW w:w="2055" w:type="dxa"/>
            <w:vAlign w:val="center"/>
          </w:tcPr>
          <w:p w14:paraId="4528645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SCOS向WMS下发玉米淀粉日投料需求，驱动仓储备料、投料及执行反馈。</w:t>
            </w:r>
          </w:p>
        </w:tc>
        <w:tc>
          <w:tcPr>
            <w:tcW w:w="967" w:type="dxa"/>
            <w:vAlign w:val="center"/>
          </w:tcPr>
          <w:p w14:paraId="619A5DF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7DD6277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3092EF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w:t>
            </w:r>
          </w:p>
        </w:tc>
        <w:tc>
          <w:tcPr>
            <w:tcW w:w="1108" w:type="dxa"/>
            <w:vAlign w:val="center"/>
          </w:tcPr>
          <w:p w14:paraId="58FCAAD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建议：wms/daily-feeding</w:t>
            </w:r>
          </w:p>
        </w:tc>
        <w:tc>
          <w:tcPr>
            <w:tcW w:w="1165" w:type="dxa"/>
            <w:vAlign w:val="center"/>
          </w:tcPr>
          <w:p w14:paraId="388E220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每日计划发布或调整后</w:t>
            </w:r>
          </w:p>
        </w:tc>
      </w:tr>
      <w:tr w14:paraId="1F1589F3">
        <w:trPr>
          <w:cantSplit/>
          <w:jc w:val="center"/>
        </w:trPr>
        <w:tc>
          <w:tcPr>
            <w:tcW w:w="714" w:type="dxa"/>
            <w:vAlign w:val="center"/>
          </w:tcPr>
          <w:p w14:paraId="2F569A2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22</w:t>
            </w:r>
          </w:p>
        </w:tc>
        <w:tc>
          <w:tcPr>
            <w:tcW w:w="1095" w:type="dxa"/>
            <w:vAlign w:val="center"/>
          </w:tcPr>
          <w:p w14:paraId="4A0E58B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SCOS-TMS-004</w:t>
            </w:r>
          </w:p>
        </w:tc>
        <w:tc>
          <w:tcPr>
            <w:tcW w:w="1200" w:type="dxa"/>
            <w:vAlign w:val="center"/>
          </w:tcPr>
          <w:p w14:paraId="45A16D6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要货计划下发</w:t>
            </w:r>
          </w:p>
        </w:tc>
        <w:tc>
          <w:tcPr>
            <w:tcW w:w="2055" w:type="dxa"/>
            <w:vAlign w:val="center"/>
          </w:tcPr>
          <w:p w14:paraId="5C2E2AC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SCOS向TMS下发要货计划表，驱动运输计划、车辆调度和到厂反馈。</w:t>
            </w:r>
          </w:p>
        </w:tc>
        <w:tc>
          <w:tcPr>
            <w:tcW w:w="967" w:type="dxa"/>
            <w:vAlign w:val="center"/>
          </w:tcPr>
          <w:p w14:paraId="7C573A8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20EFBEB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2DA4AC5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w:t>
            </w:r>
          </w:p>
        </w:tc>
        <w:tc>
          <w:tcPr>
            <w:tcW w:w="1108" w:type="dxa"/>
            <w:vAlign w:val="center"/>
          </w:tcPr>
          <w:p w14:paraId="79C193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建议：tms/arrival-plan</w:t>
            </w:r>
          </w:p>
        </w:tc>
        <w:tc>
          <w:tcPr>
            <w:tcW w:w="1165" w:type="dxa"/>
            <w:vAlign w:val="center"/>
          </w:tcPr>
          <w:p w14:paraId="3A8EED7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要货计划确认或调整后</w:t>
            </w:r>
          </w:p>
        </w:tc>
      </w:tr>
      <w:tr w14:paraId="46D7F291">
        <w:trPr>
          <w:cantSplit/>
          <w:jc w:val="center"/>
        </w:trPr>
        <w:tc>
          <w:tcPr>
            <w:tcW w:w="714" w:type="dxa"/>
            <w:vAlign w:val="center"/>
          </w:tcPr>
          <w:p w14:paraId="73F8BD1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23</w:t>
            </w:r>
          </w:p>
        </w:tc>
        <w:tc>
          <w:tcPr>
            <w:tcW w:w="1095" w:type="dxa"/>
            <w:vAlign w:val="center"/>
          </w:tcPr>
          <w:p w14:paraId="5E099A2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SCOS-MES-004</w:t>
            </w:r>
          </w:p>
        </w:tc>
        <w:tc>
          <w:tcPr>
            <w:tcW w:w="1200" w:type="dxa"/>
            <w:vAlign w:val="center"/>
          </w:tcPr>
          <w:p w14:paraId="486970F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生产订单下发</w:t>
            </w:r>
          </w:p>
        </w:tc>
        <w:tc>
          <w:tcPr>
            <w:tcW w:w="2055" w:type="dxa"/>
            <w:vAlign w:val="center"/>
          </w:tcPr>
          <w:p w14:paraId="71E0049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SCOS向MES下发生产订单，驱动生产组织并回传进度、产量和批次。</w:t>
            </w:r>
          </w:p>
        </w:tc>
        <w:tc>
          <w:tcPr>
            <w:tcW w:w="967" w:type="dxa"/>
            <w:vAlign w:val="center"/>
          </w:tcPr>
          <w:p w14:paraId="675D2BF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696371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42E413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w:t>
            </w:r>
          </w:p>
        </w:tc>
        <w:tc>
          <w:tcPr>
            <w:tcW w:w="1108" w:type="dxa"/>
            <w:vAlign w:val="center"/>
          </w:tcPr>
          <w:p w14:paraId="33CDE17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建议：mes/production-order</w:t>
            </w:r>
          </w:p>
        </w:tc>
        <w:tc>
          <w:tcPr>
            <w:tcW w:w="1165" w:type="dxa"/>
            <w:vAlign w:val="center"/>
          </w:tcPr>
          <w:p w14:paraId="5DBE0C2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生产订单确认后</w:t>
            </w:r>
          </w:p>
        </w:tc>
      </w:tr>
    </w:tbl>
    <w:p w14:paraId="7260F875">
      <w:pPr>
        <w:rPr>
          <w:rFonts w:hint="eastAsia"/>
        </w:rPr>
      </w:pPr>
    </w:p>
    <w:bookmarkEnd w:id="59"/>
    <w:p w14:paraId="259758A1">
      <w:pPr>
        <w:pStyle w:val="2"/>
        <w:keepNext/>
        <w:pageBreakBefore/>
        <w:rPr>
          <w:rFonts w:hint="eastAsia" w:ascii="黑体" w:hAnsi="黑体" w:eastAsia="黑体" w:cs="黑体"/>
          <w:color w:val="auto"/>
        </w:rPr>
      </w:pPr>
      <w:bookmarkStart w:id="60" w:name="_Toc1936382791"/>
      <w:bookmarkStart w:id="61" w:name="_【待优化-格式不对】SCOS业务场景-智能化覆盖率映射表"/>
      <w:r>
        <w:rPr>
          <w:rFonts w:hint="eastAsia" w:ascii="黑体" w:hAnsi="黑体" w:eastAsia="黑体" w:cs="黑体"/>
          <w:b/>
          <w:color w:val="auto"/>
          <w:sz w:val="32"/>
          <w:lang w:eastAsia="zh-CN"/>
        </w:rPr>
        <w:t>【</w:t>
      </w:r>
      <w:r>
        <w:rPr>
          <w:rFonts w:hint="eastAsia" w:ascii="黑体" w:hAnsi="黑体" w:eastAsia="黑体" w:cs="黑体"/>
          <w:b/>
          <w:color w:val="FF0000"/>
          <w:sz w:val="32"/>
          <w:lang w:val="en-US" w:eastAsia="zh-CN"/>
        </w:rPr>
        <w:t>待优化</w:t>
      </w:r>
      <w:r>
        <w:rPr>
          <w:rFonts w:hint="eastAsia" w:ascii="黑体" w:hAnsi="黑体" w:eastAsia="黑体" w:cs="黑体"/>
          <w:b/>
          <w:color w:val="auto"/>
          <w:sz w:val="32"/>
          <w:lang w:eastAsia="zh-CN"/>
        </w:rPr>
        <w:t>】</w:t>
      </w:r>
      <w:r>
        <w:rPr>
          <w:rFonts w:hint="eastAsia" w:ascii="黑体" w:hAnsi="黑体" w:eastAsia="黑体" w:cs="黑体"/>
          <w:b/>
          <w:color w:val="auto"/>
          <w:sz w:val="32"/>
        </w:rPr>
        <w:t>SCOS业务场景-智能化覆盖率映射表</w:t>
      </w:r>
      <w:bookmarkEnd w:id="60"/>
    </w:p>
    <w:bookmarkEnd w:id="61"/>
    <w:p w14:paraId="5530E875">
      <w:pPr>
        <w:pStyle w:val="3"/>
        <w:bidi w:val="0"/>
        <w:rPr>
          <w:rFonts w:hint="eastAsia" w:ascii="黑体" w:hAnsi="黑体" w:eastAsia="黑体" w:cs="黑体"/>
        </w:rPr>
      </w:pPr>
      <w:bookmarkStart w:id="62" w:name="_Toc1818381699"/>
      <w:r>
        <w:rPr>
          <w:rFonts w:hint="eastAsia" w:ascii="黑体" w:hAnsi="黑体" w:eastAsia="黑体" w:cs="黑体"/>
        </w:rPr>
        <w:t>智能化场景清单</w:t>
      </w:r>
      <w:bookmarkEnd w:id="62"/>
    </w:p>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28"/>
        <w:gridCol w:w="1615"/>
        <w:gridCol w:w="1134"/>
        <w:gridCol w:w="1649"/>
        <w:gridCol w:w="1424"/>
        <w:gridCol w:w="1413"/>
        <w:gridCol w:w="753"/>
      </w:tblGrid>
      <w:tr w14:paraId="02DB1C5F">
        <w:trPr>
          <w:cantSpli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28164D4D">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19655F12">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1EECE956">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63560406">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718D7893">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5696F36F">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3FC5C55F">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default"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考核</w:t>
            </w:r>
          </w:p>
        </w:tc>
      </w:tr>
      <w:tr w14:paraId="22D137A5">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5100BF2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629" w:type="dxa"/>
            <w:tcBorders>
              <w:top w:val="nil"/>
              <w:left w:val="nil"/>
              <w:bottom w:val="nil"/>
              <w:right w:val="nil"/>
            </w:tcBorders>
            <w:noWrap w:val="0"/>
            <w:tcMar>
              <w:top w:w="-1" w:type="dxa"/>
              <w:left w:w="-1" w:type="dxa"/>
              <w:bottom w:w="-1" w:type="dxa"/>
              <w:right w:w="-1" w:type="dxa"/>
            </w:tcMar>
            <w:vAlign w:val="center"/>
          </w:tcPr>
          <w:p w14:paraId="2E0A303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供应链驾驶舱态势监测与预警联动</w:t>
            </w:r>
          </w:p>
        </w:tc>
        <w:tc>
          <w:tcPr>
            <w:tcW w:w="1143" w:type="dxa"/>
            <w:tcBorders>
              <w:top w:val="nil"/>
              <w:left w:val="nil"/>
              <w:bottom w:val="nil"/>
              <w:right w:val="nil"/>
            </w:tcBorders>
            <w:noWrap w:val="0"/>
            <w:tcMar>
              <w:top w:w="-1" w:type="dxa"/>
              <w:left w:w="-1" w:type="dxa"/>
              <w:bottom w:w="-1" w:type="dxa"/>
              <w:right w:w="-1" w:type="dxa"/>
            </w:tcMar>
            <w:vAlign w:val="center"/>
          </w:tcPr>
          <w:p w14:paraId="226BE4A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实时/定时+事件+人工</w:t>
            </w:r>
          </w:p>
        </w:tc>
        <w:tc>
          <w:tcPr>
            <w:tcW w:w="1657" w:type="dxa"/>
            <w:tcBorders>
              <w:top w:val="nil"/>
              <w:left w:val="nil"/>
              <w:bottom w:val="nil"/>
              <w:right w:val="nil"/>
            </w:tcBorders>
            <w:noWrap w:val="0"/>
            <w:tcMar>
              <w:top w:w="-1" w:type="dxa"/>
              <w:left w:w="-1" w:type="dxa"/>
              <w:bottom w:w="-1" w:type="dxa"/>
              <w:right w:w="-1" w:type="dxa"/>
            </w:tcMar>
            <w:vAlign w:val="center"/>
          </w:tcPr>
          <w:p w14:paraId="27B249F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时间序列异常检测+规则引擎</w:t>
            </w:r>
          </w:p>
        </w:tc>
        <w:tc>
          <w:tcPr>
            <w:tcW w:w="1428" w:type="dxa"/>
            <w:tcBorders>
              <w:top w:val="nil"/>
              <w:left w:val="nil"/>
              <w:bottom w:val="nil"/>
              <w:right w:val="nil"/>
            </w:tcBorders>
            <w:noWrap w:val="0"/>
            <w:tcMar>
              <w:top w:w="-1" w:type="dxa"/>
              <w:left w:w="-1" w:type="dxa"/>
              <w:bottom w:w="-1" w:type="dxa"/>
              <w:right w:w="-1" w:type="dxa"/>
            </w:tcMar>
            <w:vAlign w:val="center"/>
          </w:tcPr>
          <w:p w14:paraId="3753EAA5">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主数据、交易数据、实时产销库存、财务成本、SCOS结果</w:t>
            </w:r>
          </w:p>
        </w:tc>
        <w:tc>
          <w:tcPr>
            <w:tcW w:w="1423" w:type="dxa"/>
            <w:tcBorders>
              <w:top w:val="nil"/>
              <w:left w:val="nil"/>
              <w:bottom w:val="nil"/>
              <w:right w:val="nil"/>
            </w:tcBorders>
            <w:noWrap w:val="0"/>
            <w:tcMar>
              <w:top w:w="-1" w:type="dxa"/>
              <w:left w:w="-1" w:type="dxa"/>
              <w:bottom w:w="-1" w:type="dxa"/>
              <w:right w:w="-1" w:type="dxa"/>
            </w:tcMar>
            <w:vAlign w:val="center"/>
          </w:tcPr>
          <w:p w14:paraId="1718006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KPI看板、预警及处置闭环</w:t>
            </w:r>
          </w:p>
        </w:tc>
        <w:tc>
          <w:tcPr>
            <w:tcW w:w="757" w:type="dxa"/>
            <w:tcBorders>
              <w:top w:val="nil"/>
              <w:left w:val="nil"/>
              <w:bottom w:val="nil"/>
              <w:right w:val="nil"/>
            </w:tcBorders>
            <w:noWrap w:val="0"/>
            <w:tcMar>
              <w:top w:w="-1" w:type="dxa"/>
              <w:left w:w="-1" w:type="dxa"/>
              <w:bottom w:w="-1" w:type="dxa"/>
              <w:right w:w="-1" w:type="dxa"/>
            </w:tcMar>
            <w:vAlign w:val="center"/>
          </w:tcPr>
          <w:p w14:paraId="56FADD85">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6C98B767">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137CD22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629" w:type="dxa"/>
            <w:tcBorders>
              <w:top w:val="nil"/>
              <w:left w:val="nil"/>
              <w:bottom w:val="nil"/>
              <w:right w:val="nil"/>
            </w:tcBorders>
            <w:noWrap w:val="0"/>
            <w:tcMar>
              <w:top w:w="-1" w:type="dxa"/>
              <w:left w:w="-1" w:type="dxa"/>
              <w:bottom w:w="-1" w:type="dxa"/>
              <w:right w:w="-1" w:type="dxa"/>
            </w:tcMar>
            <w:vAlign w:val="center"/>
          </w:tcPr>
          <w:p w14:paraId="0FAAE3D7">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供应链沙盘推演</w:t>
            </w:r>
          </w:p>
        </w:tc>
        <w:tc>
          <w:tcPr>
            <w:tcW w:w="1143" w:type="dxa"/>
            <w:tcBorders>
              <w:top w:val="nil"/>
              <w:left w:val="nil"/>
              <w:bottom w:val="nil"/>
              <w:right w:val="nil"/>
            </w:tcBorders>
            <w:noWrap w:val="0"/>
            <w:tcMar>
              <w:top w:w="-1" w:type="dxa"/>
              <w:left w:w="-1" w:type="dxa"/>
              <w:bottom w:w="-1" w:type="dxa"/>
              <w:right w:w="-1" w:type="dxa"/>
            </w:tcMar>
            <w:vAlign w:val="center"/>
          </w:tcPr>
          <w:p w14:paraId="2C27568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人工+预警事件</w:t>
            </w:r>
          </w:p>
        </w:tc>
        <w:tc>
          <w:tcPr>
            <w:tcW w:w="1657" w:type="dxa"/>
            <w:tcBorders>
              <w:top w:val="nil"/>
              <w:left w:val="nil"/>
              <w:bottom w:val="nil"/>
              <w:right w:val="nil"/>
            </w:tcBorders>
            <w:noWrap w:val="0"/>
            <w:tcMar>
              <w:top w:w="-1" w:type="dxa"/>
              <w:left w:w="-1" w:type="dxa"/>
              <w:bottom w:w="-1" w:type="dxa"/>
              <w:right w:w="-1" w:type="dxa"/>
            </w:tcMar>
            <w:vAlign w:val="center"/>
          </w:tcPr>
          <w:p w14:paraId="7A941F8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What-if仿真+敏感性分析</w:t>
            </w:r>
          </w:p>
        </w:tc>
        <w:tc>
          <w:tcPr>
            <w:tcW w:w="1428" w:type="dxa"/>
            <w:tcBorders>
              <w:top w:val="nil"/>
              <w:left w:val="nil"/>
              <w:bottom w:val="nil"/>
              <w:right w:val="nil"/>
            </w:tcBorders>
            <w:noWrap w:val="0"/>
            <w:tcMar>
              <w:top w:w="-1" w:type="dxa"/>
              <w:left w:w="-1" w:type="dxa"/>
              <w:bottom w:w="-1" w:type="dxa"/>
              <w:right w:w="-1" w:type="dxa"/>
            </w:tcMar>
            <w:vAlign w:val="center"/>
          </w:tcPr>
          <w:p w14:paraId="3EB298A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业务快照、已发布计划、库存/采购状态、情景参数</w:t>
            </w:r>
          </w:p>
        </w:tc>
        <w:tc>
          <w:tcPr>
            <w:tcW w:w="1423" w:type="dxa"/>
            <w:tcBorders>
              <w:top w:val="nil"/>
              <w:left w:val="nil"/>
              <w:bottom w:val="nil"/>
              <w:right w:val="nil"/>
            </w:tcBorders>
            <w:noWrap w:val="0"/>
            <w:tcMar>
              <w:top w:w="-1" w:type="dxa"/>
              <w:left w:w="-1" w:type="dxa"/>
              <w:bottom w:w="-1" w:type="dxa"/>
              <w:right w:w="-1" w:type="dxa"/>
            </w:tcMar>
            <w:vAlign w:val="center"/>
          </w:tcPr>
          <w:p w14:paraId="3480103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影响对比及备选方案</w:t>
            </w:r>
          </w:p>
        </w:tc>
        <w:tc>
          <w:tcPr>
            <w:tcW w:w="757" w:type="dxa"/>
            <w:tcBorders>
              <w:top w:val="nil"/>
              <w:left w:val="nil"/>
              <w:bottom w:val="nil"/>
              <w:right w:val="nil"/>
            </w:tcBorders>
            <w:noWrap w:val="0"/>
            <w:tcMar>
              <w:top w:w="-1" w:type="dxa"/>
              <w:left w:w="-1" w:type="dxa"/>
              <w:bottom w:w="-1" w:type="dxa"/>
              <w:right w:w="-1" w:type="dxa"/>
            </w:tcMar>
            <w:vAlign w:val="center"/>
          </w:tcPr>
          <w:p w14:paraId="170C0C6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017BAD7E">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37EEFD7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629" w:type="dxa"/>
            <w:tcBorders>
              <w:top w:val="nil"/>
              <w:left w:val="nil"/>
              <w:bottom w:val="nil"/>
              <w:right w:val="nil"/>
            </w:tcBorders>
            <w:noWrap w:val="0"/>
            <w:tcMar>
              <w:top w:w="-1" w:type="dxa"/>
              <w:left w:w="-1" w:type="dxa"/>
              <w:bottom w:w="-1" w:type="dxa"/>
              <w:right w:w="-1" w:type="dxa"/>
            </w:tcMar>
            <w:vAlign w:val="center"/>
          </w:tcPr>
          <w:p w14:paraId="138C12B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成品库存优化与生产补货协同</w:t>
            </w:r>
          </w:p>
        </w:tc>
        <w:tc>
          <w:tcPr>
            <w:tcW w:w="1143" w:type="dxa"/>
            <w:tcBorders>
              <w:top w:val="nil"/>
              <w:left w:val="nil"/>
              <w:bottom w:val="nil"/>
              <w:right w:val="nil"/>
            </w:tcBorders>
            <w:noWrap w:val="0"/>
            <w:tcMar>
              <w:top w:w="-1" w:type="dxa"/>
              <w:left w:w="-1" w:type="dxa"/>
              <w:bottom w:w="-1" w:type="dxa"/>
              <w:right w:w="-1" w:type="dxa"/>
            </w:tcMar>
            <w:vAlign w:val="center"/>
          </w:tcPr>
          <w:p w14:paraId="16CCFE5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月度+周度+日度+事件</w:t>
            </w:r>
          </w:p>
        </w:tc>
        <w:tc>
          <w:tcPr>
            <w:tcW w:w="1657" w:type="dxa"/>
            <w:tcBorders>
              <w:top w:val="nil"/>
              <w:left w:val="nil"/>
              <w:bottom w:val="nil"/>
              <w:right w:val="nil"/>
            </w:tcBorders>
            <w:noWrap w:val="0"/>
            <w:tcMar>
              <w:top w:w="-1" w:type="dxa"/>
              <w:left w:w="-1" w:type="dxa"/>
              <w:bottom w:w="-1" w:type="dxa"/>
              <w:right w:w="-1" w:type="dxa"/>
            </w:tcMar>
            <w:vAlign w:val="center"/>
          </w:tcPr>
          <w:p w14:paraId="164D83B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（R,s,S）库存模型+滚动库存递推</w:t>
            </w:r>
          </w:p>
        </w:tc>
        <w:tc>
          <w:tcPr>
            <w:tcW w:w="1428" w:type="dxa"/>
            <w:tcBorders>
              <w:top w:val="nil"/>
              <w:left w:val="nil"/>
              <w:bottom w:val="nil"/>
              <w:right w:val="nil"/>
            </w:tcBorders>
            <w:noWrap w:val="0"/>
            <w:tcMar>
              <w:top w:w="-1" w:type="dxa"/>
              <w:left w:w="-1" w:type="dxa"/>
              <w:bottom w:w="-1" w:type="dxa"/>
              <w:right w:w="-1" w:type="dxa"/>
            </w:tcMar>
            <w:vAlign w:val="center"/>
          </w:tcPr>
          <w:p w14:paraId="3A29F9F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出货/订单、库存、生产入库、补充周期、储罐容量</w:t>
            </w:r>
          </w:p>
        </w:tc>
        <w:tc>
          <w:tcPr>
            <w:tcW w:w="1423" w:type="dxa"/>
            <w:tcBorders>
              <w:top w:val="nil"/>
              <w:left w:val="nil"/>
              <w:bottom w:val="nil"/>
              <w:right w:val="nil"/>
            </w:tcBorders>
            <w:noWrap w:val="0"/>
            <w:tcMar>
              <w:top w:w="-1" w:type="dxa"/>
              <w:left w:w="-1" w:type="dxa"/>
              <w:bottom w:w="-1" w:type="dxa"/>
              <w:right w:w="-1" w:type="dxa"/>
            </w:tcMar>
            <w:vAlign w:val="center"/>
          </w:tcPr>
          <w:p w14:paraId="3BB86BBA">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库存参数、补货建议、风险及入库建议</w:t>
            </w:r>
          </w:p>
        </w:tc>
        <w:tc>
          <w:tcPr>
            <w:tcW w:w="757" w:type="dxa"/>
            <w:tcBorders>
              <w:top w:val="nil"/>
              <w:left w:val="nil"/>
              <w:bottom w:val="nil"/>
              <w:right w:val="nil"/>
            </w:tcBorders>
            <w:noWrap w:val="0"/>
            <w:tcMar>
              <w:top w:w="-1" w:type="dxa"/>
              <w:left w:w="-1" w:type="dxa"/>
              <w:bottom w:w="-1" w:type="dxa"/>
              <w:right w:w="-1" w:type="dxa"/>
            </w:tcMar>
            <w:vAlign w:val="center"/>
          </w:tcPr>
          <w:p w14:paraId="70BBB3E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028DA2AA">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29E3BF90">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629" w:type="dxa"/>
            <w:tcBorders>
              <w:top w:val="nil"/>
              <w:left w:val="nil"/>
              <w:bottom w:val="nil"/>
              <w:right w:val="nil"/>
            </w:tcBorders>
            <w:noWrap w:val="0"/>
            <w:tcMar>
              <w:top w:w="-1" w:type="dxa"/>
              <w:left w:w="-1" w:type="dxa"/>
              <w:bottom w:w="-1" w:type="dxa"/>
              <w:right w:w="-1" w:type="dxa"/>
            </w:tcMar>
            <w:vAlign w:val="center"/>
          </w:tcPr>
          <w:p w14:paraId="1FC49E9E">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精益生产排程与异常重排</w:t>
            </w:r>
          </w:p>
        </w:tc>
        <w:tc>
          <w:tcPr>
            <w:tcW w:w="1143" w:type="dxa"/>
            <w:tcBorders>
              <w:top w:val="nil"/>
              <w:left w:val="nil"/>
              <w:bottom w:val="nil"/>
              <w:right w:val="nil"/>
            </w:tcBorders>
            <w:noWrap w:val="0"/>
            <w:tcMar>
              <w:top w:w="-1" w:type="dxa"/>
              <w:left w:w="-1" w:type="dxa"/>
              <w:bottom w:w="-1" w:type="dxa"/>
              <w:right w:w="-1" w:type="dxa"/>
            </w:tcMar>
            <w:vAlign w:val="center"/>
          </w:tcPr>
          <w:p w14:paraId="778DA8AB">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c>
          <w:tcPr>
            <w:tcW w:w="1657" w:type="dxa"/>
            <w:tcBorders>
              <w:top w:val="nil"/>
              <w:left w:val="nil"/>
              <w:bottom w:val="nil"/>
              <w:right w:val="nil"/>
            </w:tcBorders>
            <w:noWrap w:val="0"/>
            <w:tcMar>
              <w:top w:w="-1" w:type="dxa"/>
              <w:left w:w="-1" w:type="dxa"/>
              <w:bottom w:w="-1" w:type="dxa"/>
              <w:right w:w="-1" w:type="dxa"/>
            </w:tcMar>
            <w:vAlign w:val="center"/>
          </w:tcPr>
          <w:p w14:paraId="218530F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p>
        </w:tc>
        <w:tc>
          <w:tcPr>
            <w:tcW w:w="1428" w:type="dxa"/>
            <w:tcBorders>
              <w:top w:val="nil"/>
              <w:left w:val="nil"/>
              <w:bottom w:val="nil"/>
              <w:right w:val="nil"/>
            </w:tcBorders>
            <w:noWrap w:val="0"/>
            <w:tcMar>
              <w:top w:w="-1" w:type="dxa"/>
              <w:left w:w="-1" w:type="dxa"/>
              <w:bottom w:w="-1" w:type="dxa"/>
              <w:right w:w="-1" w:type="dxa"/>
            </w:tcMar>
            <w:vAlign w:val="center"/>
          </w:tcPr>
          <w:p w14:paraId="2599516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c>
          <w:tcPr>
            <w:tcW w:w="1423" w:type="dxa"/>
            <w:tcBorders>
              <w:top w:val="nil"/>
              <w:left w:val="nil"/>
              <w:bottom w:val="nil"/>
              <w:right w:val="nil"/>
            </w:tcBorders>
            <w:noWrap w:val="0"/>
            <w:tcMar>
              <w:top w:w="-1" w:type="dxa"/>
              <w:left w:w="-1" w:type="dxa"/>
              <w:bottom w:w="-1" w:type="dxa"/>
              <w:right w:w="-1" w:type="dxa"/>
            </w:tcMar>
            <w:vAlign w:val="center"/>
          </w:tcPr>
          <w:p w14:paraId="6657A96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c>
          <w:tcPr>
            <w:tcW w:w="757" w:type="dxa"/>
            <w:tcBorders>
              <w:top w:val="nil"/>
              <w:left w:val="nil"/>
              <w:bottom w:val="nil"/>
              <w:right w:val="nil"/>
            </w:tcBorders>
            <w:noWrap w:val="0"/>
            <w:tcMar>
              <w:top w:w="-1" w:type="dxa"/>
              <w:left w:w="-1" w:type="dxa"/>
              <w:bottom w:w="-1" w:type="dxa"/>
              <w:right w:w="-1" w:type="dxa"/>
            </w:tcMar>
            <w:vAlign w:val="center"/>
          </w:tcPr>
          <w:p w14:paraId="62D5FC7B">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r>
      <w:tr w14:paraId="63409BB8">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077E0E2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629" w:type="dxa"/>
            <w:tcBorders>
              <w:top w:val="nil"/>
              <w:left w:val="nil"/>
              <w:bottom w:val="nil"/>
              <w:right w:val="nil"/>
            </w:tcBorders>
            <w:noWrap w:val="0"/>
            <w:tcMar>
              <w:top w:w="-1" w:type="dxa"/>
              <w:left w:w="-1" w:type="dxa"/>
              <w:bottom w:w="-1" w:type="dxa"/>
              <w:right w:w="-1" w:type="dxa"/>
            </w:tcMar>
            <w:vAlign w:val="center"/>
          </w:tcPr>
          <w:p w14:paraId="2BE702A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原料采购决策优化</w:t>
            </w:r>
          </w:p>
        </w:tc>
        <w:tc>
          <w:tcPr>
            <w:tcW w:w="1143" w:type="dxa"/>
            <w:tcBorders>
              <w:top w:val="nil"/>
              <w:left w:val="nil"/>
              <w:bottom w:val="nil"/>
              <w:right w:val="nil"/>
            </w:tcBorders>
            <w:noWrap w:val="0"/>
            <w:tcMar>
              <w:top w:w="-1" w:type="dxa"/>
              <w:left w:w="-1" w:type="dxa"/>
              <w:bottom w:w="-1" w:type="dxa"/>
              <w:right w:w="-1" w:type="dxa"/>
            </w:tcMar>
            <w:vAlign w:val="center"/>
          </w:tcPr>
          <w:p w14:paraId="6642083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月度+周度+事件+人工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0251B35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7596330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原料需求、采购在途、供应商报价/能力、价格及资金成本</w:t>
            </w:r>
          </w:p>
        </w:tc>
        <w:tc>
          <w:tcPr>
            <w:tcW w:w="1423" w:type="dxa"/>
            <w:tcBorders>
              <w:top w:val="nil"/>
              <w:left w:val="nil"/>
              <w:bottom w:val="nil"/>
              <w:right w:val="nil"/>
            </w:tcBorders>
            <w:noWrap w:val="0"/>
            <w:tcMar>
              <w:top w:w="-1" w:type="dxa"/>
              <w:left w:w="-1" w:type="dxa"/>
              <w:bottom w:w="-1" w:type="dxa"/>
              <w:right w:w="-1" w:type="dxa"/>
            </w:tcMar>
            <w:vAlign w:val="center"/>
          </w:tcPr>
          <w:p w14:paraId="6FA5E0AB">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采购量、供应商组合、下单/到货建议</w:t>
            </w:r>
          </w:p>
        </w:tc>
        <w:tc>
          <w:tcPr>
            <w:tcW w:w="757" w:type="dxa"/>
            <w:tcBorders>
              <w:top w:val="nil"/>
              <w:left w:val="nil"/>
              <w:bottom w:val="nil"/>
              <w:right w:val="nil"/>
            </w:tcBorders>
            <w:noWrap w:val="0"/>
            <w:tcMar>
              <w:top w:w="-1" w:type="dxa"/>
              <w:left w:w="-1" w:type="dxa"/>
              <w:bottom w:w="-1" w:type="dxa"/>
              <w:right w:w="-1" w:type="dxa"/>
            </w:tcMar>
            <w:vAlign w:val="center"/>
          </w:tcPr>
          <w:p w14:paraId="740F843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361394F4">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38B2F2C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629" w:type="dxa"/>
            <w:tcBorders>
              <w:top w:val="nil"/>
              <w:left w:val="nil"/>
              <w:bottom w:val="nil"/>
              <w:right w:val="nil"/>
            </w:tcBorders>
            <w:noWrap w:val="0"/>
            <w:tcMar>
              <w:top w:w="-1" w:type="dxa"/>
              <w:left w:w="-1" w:type="dxa"/>
              <w:bottom w:w="-1" w:type="dxa"/>
              <w:right w:w="-1" w:type="dxa"/>
            </w:tcMar>
            <w:vAlign w:val="center"/>
          </w:tcPr>
          <w:p w14:paraId="2F5AFE0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原辅包要货决策优化</w:t>
            </w:r>
          </w:p>
        </w:tc>
        <w:tc>
          <w:tcPr>
            <w:tcW w:w="1143" w:type="dxa"/>
            <w:tcBorders>
              <w:top w:val="nil"/>
              <w:left w:val="nil"/>
              <w:bottom w:val="nil"/>
              <w:right w:val="nil"/>
            </w:tcBorders>
            <w:noWrap w:val="0"/>
            <w:tcMar>
              <w:top w:w="-1" w:type="dxa"/>
              <w:left w:w="-1" w:type="dxa"/>
              <w:bottom w:w="-1" w:type="dxa"/>
              <w:right w:w="-1" w:type="dxa"/>
            </w:tcMar>
            <w:vAlign w:val="center"/>
          </w:tcPr>
          <w:p w14:paraId="0F6643F0">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日度+事件+人工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631B3FE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2BC8F5F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生产耗用、库存/在途、合同余量、供应商可供、运输及质检状态</w:t>
            </w:r>
          </w:p>
        </w:tc>
        <w:tc>
          <w:tcPr>
            <w:tcW w:w="1423" w:type="dxa"/>
            <w:tcBorders>
              <w:top w:val="nil"/>
              <w:left w:val="nil"/>
              <w:bottom w:val="nil"/>
              <w:right w:val="nil"/>
            </w:tcBorders>
            <w:noWrap w:val="0"/>
            <w:tcMar>
              <w:top w:w="-1" w:type="dxa"/>
              <w:left w:w="-1" w:type="dxa"/>
              <w:bottom w:w="-1" w:type="dxa"/>
              <w:right w:w="-1" w:type="dxa"/>
            </w:tcMar>
            <w:vAlign w:val="center"/>
          </w:tcPr>
          <w:p w14:paraId="080F897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供应商/合同组合、到货日期与数量、缺口预警及调整建议</w:t>
            </w:r>
          </w:p>
        </w:tc>
        <w:tc>
          <w:tcPr>
            <w:tcW w:w="757" w:type="dxa"/>
            <w:tcBorders>
              <w:top w:val="nil"/>
              <w:left w:val="nil"/>
              <w:bottom w:val="nil"/>
              <w:right w:val="nil"/>
            </w:tcBorders>
            <w:noWrap w:val="0"/>
            <w:tcMar>
              <w:top w:w="-1" w:type="dxa"/>
              <w:left w:w="-1" w:type="dxa"/>
              <w:bottom w:w="-1" w:type="dxa"/>
              <w:right w:w="-1" w:type="dxa"/>
            </w:tcMar>
            <w:vAlign w:val="center"/>
          </w:tcPr>
          <w:p w14:paraId="499833C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474DBC07">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6A8068B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629" w:type="dxa"/>
            <w:tcBorders>
              <w:top w:val="nil"/>
              <w:left w:val="nil"/>
              <w:bottom w:val="nil"/>
              <w:right w:val="nil"/>
            </w:tcBorders>
            <w:noWrap w:val="0"/>
            <w:tcMar>
              <w:top w:w="-1" w:type="dxa"/>
              <w:left w:w="-1" w:type="dxa"/>
              <w:bottom w:w="-1" w:type="dxa"/>
              <w:right w:w="-1" w:type="dxa"/>
            </w:tcMar>
            <w:vAlign w:val="center"/>
          </w:tcPr>
          <w:p w14:paraId="7F4FEA0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成本统计、分摊与多维盈利分析</w:t>
            </w:r>
          </w:p>
        </w:tc>
        <w:tc>
          <w:tcPr>
            <w:tcW w:w="1143" w:type="dxa"/>
            <w:tcBorders>
              <w:top w:val="nil"/>
              <w:left w:val="nil"/>
              <w:bottom w:val="nil"/>
              <w:right w:val="nil"/>
            </w:tcBorders>
            <w:noWrap w:val="0"/>
            <w:tcMar>
              <w:top w:w="-1" w:type="dxa"/>
              <w:left w:w="-1" w:type="dxa"/>
              <w:bottom w:w="-1" w:type="dxa"/>
              <w:right w:w="-1" w:type="dxa"/>
            </w:tcMar>
            <w:vAlign w:val="center"/>
          </w:tcPr>
          <w:p w14:paraId="5F9A4A2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日/月定时+数据变更+人工</w:t>
            </w:r>
          </w:p>
        </w:tc>
        <w:tc>
          <w:tcPr>
            <w:tcW w:w="1657" w:type="dxa"/>
            <w:tcBorders>
              <w:top w:val="nil"/>
              <w:left w:val="nil"/>
              <w:bottom w:val="nil"/>
              <w:right w:val="nil"/>
            </w:tcBorders>
            <w:noWrap w:val="0"/>
            <w:tcMar>
              <w:top w:w="-1" w:type="dxa"/>
              <w:left w:w="-1" w:type="dxa"/>
              <w:bottom w:w="-1" w:type="dxa"/>
              <w:right w:w="-1" w:type="dxa"/>
            </w:tcMar>
            <w:vAlign w:val="center"/>
          </w:tcPr>
          <w:p w14:paraId="2F3A41C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作业成本法（ABC）+差异分析模型</w:t>
            </w:r>
          </w:p>
        </w:tc>
        <w:tc>
          <w:tcPr>
            <w:tcW w:w="1428" w:type="dxa"/>
            <w:tcBorders>
              <w:top w:val="nil"/>
              <w:left w:val="nil"/>
              <w:bottom w:val="nil"/>
              <w:right w:val="nil"/>
            </w:tcBorders>
            <w:noWrap w:val="0"/>
            <w:tcMar>
              <w:top w:w="-1" w:type="dxa"/>
              <w:left w:w="-1" w:type="dxa"/>
              <w:bottom w:w="-1" w:type="dxa"/>
              <w:right w:w="-1" w:type="dxa"/>
            </w:tcMar>
            <w:vAlign w:val="center"/>
          </w:tcPr>
          <w:p w14:paraId="0C591F17">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SAP成本财务、MES生产能耗、WMS/TMS仓储运输、销售订单</w:t>
            </w:r>
          </w:p>
        </w:tc>
        <w:tc>
          <w:tcPr>
            <w:tcW w:w="1423" w:type="dxa"/>
            <w:tcBorders>
              <w:top w:val="nil"/>
              <w:left w:val="nil"/>
              <w:bottom w:val="nil"/>
              <w:right w:val="nil"/>
            </w:tcBorders>
            <w:noWrap w:val="0"/>
            <w:tcMar>
              <w:top w:w="-1" w:type="dxa"/>
              <w:left w:w="-1" w:type="dxa"/>
              <w:bottom w:w="-1" w:type="dxa"/>
              <w:right w:w="-1" w:type="dxa"/>
            </w:tcMar>
            <w:vAlign w:val="center"/>
          </w:tcPr>
          <w:p w14:paraId="68E31D0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多维成本、盈利及差异分析</w:t>
            </w:r>
          </w:p>
        </w:tc>
        <w:tc>
          <w:tcPr>
            <w:tcW w:w="757" w:type="dxa"/>
            <w:tcBorders>
              <w:top w:val="nil"/>
              <w:left w:val="nil"/>
              <w:bottom w:val="nil"/>
              <w:right w:val="nil"/>
            </w:tcBorders>
            <w:noWrap w:val="0"/>
            <w:tcMar>
              <w:top w:w="-1" w:type="dxa"/>
              <w:left w:w="-1" w:type="dxa"/>
              <w:bottom w:w="-1" w:type="dxa"/>
              <w:right w:w="-1" w:type="dxa"/>
            </w:tcMar>
            <w:vAlign w:val="center"/>
          </w:tcPr>
          <w:p w14:paraId="07B6566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5D6E8335">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2F52FAA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629" w:type="dxa"/>
            <w:tcBorders>
              <w:top w:val="nil"/>
              <w:left w:val="nil"/>
              <w:bottom w:val="nil"/>
              <w:right w:val="nil"/>
            </w:tcBorders>
            <w:noWrap w:val="0"/>
            <w:tcMar>
              <w:top w:w="-1" w:type="dxa"/>
              <w:left w:w="-1" w:type="dxa"/>
              <w:bottom w:w="-1" w:type="dxa"/>
              <w:right w:w="-1" w:type="dxa"/>
            </w:tcMar>
            <w:vAlign w:val="center"/>
          </w:tcPr>
          <w:p w14:paraId="3C5D77B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供应链全程追溯与质量协同</w:t>
            </w:r>
          </w:p>
        </w:tc>
        <w:tc>
          <w:tcPr>
            <w:tcW w:w="1143" w:type="dxa"/>
            <w:tcBorders>
              <w:top w:val="nil"/>
              <w:left w:val="nil"/>
              <w:bottom w:val="nil"/>
              <w:right w:val="nil"/>
            </w:tcBorders>
            <w:noWrap w:val="0"/>
            <w:tcMar>
              <w:top w:w="-1" w:type="dxa"/>
              <w:left w:w="-1" w:type="dxa"/>
              <w:bottom w:w="-1" w:type="dxa"/>
              <w:right w:w="-1" w:type="dxa"/>
            </w:tcMar>
            <w:vAlign w:val="center"/>
          </w:tcPr>
          <w:p w14:paraId="43E4F56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人工查询+质量事件</w:t>
            </w:r>
          </w:p>
        </w:tc>
        <w:tc>
          <w:tcPr>
            <w:tcW w:w="1657" w:type="dxa"/>
            <w:tcBorders>
              <w:top w:val="nil"/>
              <w:left w:val="nil"/>
              <w:bottom w:val="nil"/>
              <w:right w:val="nil"/>
            </w:tcBorders>
            <w:noWrap w:val="0"/>
            <w:tcMar>
              <w:top w:w="-1" w:type="dxa"/>
              <w:left w:w="-1" w:type="dxa"/>
              <w:bottom w:w="-1" w:type="dxa"/>
              <w:right w:w="-1" w:type="dxa"/>
            </w:tcMar>
            <w:vAlign w:val="center"/>
          </w:tcPr>
          <w:p w14:paraId="336F1CE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批次知识图谱+图搜索算法</w:t>
            </w:r>
          </w:p>
        </w:tc>
        <w:tc>
          <w:tcPr>
            <w:tcW w:w="1428" w:type="dxa"/>
            <w:tcBorders>
              <w:top w:val="nil"/>
              <w:left w:val="nil"/>
              <w:bottom w:val="nil"/>
              <w:right w:val="nil"/>
            </w:tcBorders>
            <w:noWrap w:val="0"/>
            <w:tcMar>
              <w:top w:w="-1" w:type="dxa"/>
              <w:left w:w="-1" w:type="dxa"/>
              <w:bottom w:w="-1" w:type="dxa"/>
              <w:right w:w="-1" w:type="dxa"/>
            </w:tcMar>
            <w:vAlign w:val="center"/>
          </w:tcPr>
          <w:p w14:paraId="4B77534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MES/WMS批次、LIMS/QMS检验、SAP单据、TMS交付</w:t>
            </w:r>
          </w:p>
        </w:tc>
        <w:tc>
          <w:tcPr>
            <w:tcW w:w="1423" w:type="dxa"/>
            <w:tcBorders>
              <w:top w:val="nil"/>
              <w:left w:val="nil"/>
              <w:bottom w:val="nil"/>
              <w:right w:val="nil"/>
            </w:tcBorders>
            <w:noWrap w:val="0"/>
            <w:tcMar>
              <w:top w:w="-1" w:type="dxa"/>
              <w:left w:w="-1" w:type="dxa"/>
              <w:bottom w:w="-1" w:type="dxa"/>
              <w:right w:w="-1" w:type="dxa"/>
            </w:tcMar>
            <w:vAlign w:val="center"/>
          </w:tcPr>
          <w:p w14:paraId="1D7B104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正反向追溯、影响清单及处置建议</w:t>
            </w:r>
          </w:p>
        </w:tc>
        <w:tc>
          <w:tcPr>
            <w:tcW w:w="757" w:type="dxa"/>
            <w:tcBorders>
              <w:top w:val="nil"/>
              <w:left w:val="nil"/>
              <w:bottom w:val="nil"/>
              <w:right w:val="nil"/>
            </w:tcBorders>
            <w:noWrap w:val="0"/>
            <w:tcMar>
              <w:top w:w="-1" w:type="dxa"/>
              <w:left w:w="-1" w:type="dxa"/>
              <w:bottom w:w="-1" w:type="dxa"/>
              <w:right w:w="-1" w:type="dxa"/>
            </w:tcMar>
            <w:vAlign w:val="center"/>
          </w:tcPr>
          <w:p w14:paraId="5E6D3E4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bl>
    <w:p w14:paraId="70642555"/>
    <w:p w14:paraId="0F08390F">
      <w:pPr>
        <w:pStyle w:val="3"/>
        <w:bidi w:val="0"/>
        <w:rPr>
          <w:rFonts w:hint="eastAsia" w:ascii="黑体" w:hAnsi="黑体" w:eastAsia="黑体" w:cs="黑体"/>
        </w:rPr>
      </w:pPr>
      <w:bookmarkStart w:id="63" w:name="_Toc701434636"/>
      <w:r>
        <w:rPr>
          <w:rFonts w:hint="eastAsia" w:ascii="黑体" w:hAnsi="黑体" w:eastAsia="黑体" w:cs="黑体"/>
        </w:rPr>
        <w:t>场景验收指标</w:t>
      </w:r>
      <w:bookmarkEnd w:id="63"/>
    </w:p>
    <w:tbl>
      <w:tblPr>
        <w:tblStyle w:val="32"/>
        <w:tblW w:w="1045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Layout w:type="autofit"/>
        <w:tblCellMar>
          <w:top w:w="0" w:type="dxa"/>
          <w:left w:w="108" w:type="dxa"/>
          <w:bottom w:w="0" w:type="dxa"/>
          <w:right w:w="108" w:type="dxa"/>
        </w:tblCellMar>
      </w:tblPr>
      <w:tblGrid>
        <w:gridCol w:w="2528"/>
        <w:gridCol w:w="1708"/>
        <w:gridCol w:w="1525"/>
        <w:gridCol w:w="2579"/>
        <w:gridCol w:w="2117"/>
      </w:tblGrid>
      <w:tr w14:paraId="3C011DB0">
        <w:trPr>
          <w:cantSplit/>
          <w:tblHeader/>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2EC587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场景编号</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2D262D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验收指标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7306A7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建议目标值</w:t>
            </w:r>
          </w:p>
        </w:tc>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A0B834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验证方式</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762858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考核说明</w:t>
            </w:r>
          </w:p>
        </w:tc>
      </w:tr>
      <w:tr w14:paraId="70E534A9">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98D490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ECFA1D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主视图加载及钻取响应</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14A3C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主视图≤</w:t>
            </w:r>
            <w:r>
              <w:rPr>
                <w:rFonts w:hint="eastAsia" w:ascii="宋体" w:hAnsi="宋体" w:eastAsia="宋体"/>
                <w:sz w:val="20"/>
                <w:szCs w:val="22"/>
                <w:lang w:val="en-US" w:eastAsia="zh-CN"/>
              </w:rPr>
              <w:t>5</w:t>
            </w:r>
            <w:r>
              <w:rPr>
                <w:rFonts w:hint="default" w:ascii="宋体" w:hAnsi="宋体" w:eastAsia="宋体"/>
                <w:sz w:val="20"/>
                <w:szCs w:val="22"/>
              </w:rPr>
              <w:t>秒；钻取≤</w:t>
            </w:r>
            <w:r>
              <w:rPr>
                <w:rFonts w:hint="eastAsia" w:ascii="宋体" w:hAnsi="宋体" w:eastAsia="宋体"/>
                <w:sz w:val="20"/>
                <w:szCs w:val="22"/>
                <w:lang w:val="en-US" w:eastAsia="zh-CN"/>
              </w:rPr>
              <w:t>5</w:t>
            </w:r>
            <w:r>
              <w:rPr>
                <w:rFonts w:hint="default" w:ascii="宋体" w:hAnsi="宋体" w:eastAsia="宋体"/>
                <w:sz w:val="20"/>
                <w:szCs w:val="22"/>
              </w:rPr>
              <w:t>秒</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5BFA46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在约定数据量及50并发条件下，连续执行主视图加载和逐级钻取，统计95分位响应时间。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AD100F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不含首次缓存预热和外部源系统不可用时段。</w:t>
            </w:r>
          </w:p>
        </w:tc>
      </w:tr>
      <w:tr w14:paraId="0591F876">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9F3C42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AE0A5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规则型预警触发准确率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728950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准确率100%；关键异常漏报率0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29D7D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构造正常、越界和恢复样本，逐项比对阈值规则、预警级别、触发时间和处置记录。</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463E0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以双方确认的指标口径、阈值和抑制规则为准。</w:t>
            </w:r>
          </w:p>
        </w:tc>
      </w:tr>
      <w:tr w14:paraId="38475AFF">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716F3E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0ED2E3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沙盘数据隔离率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8FBF6C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A5EA78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对同一业务快照执行多组情景推演，核对正式计划、交易和主数据在推演前后均未被修改。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1B3A54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沙盘结果只有经审批发布后方可形成正式业务数据。</w:t>
            </w:r>
          </w:p>
        </w:tc>
      </w:tr>
      <w:tr w14:paraId="064579A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23DED6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FAC99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推演结果可复现率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B003D0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5ABF44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使用相同快照、参数和模型版本重复运行三次，比对主要产能、库存、采购、交付及成本结果。</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2AB9D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允许显示精度导致的舍入差异。</w:t>
            </w:r>
          </w:p>
        </w:tc>
      </w:tr>
      <w:tr w14:paraId="755C9A1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8AA17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40E724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月度订单满足率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51E52F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和设定的服务水平相差小于5%</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8F7250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基于销售订单，计算各产品月度实际的订单满足率，和各产品设定的服务水平进行比对。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E6C97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如果出现无法预知的特殊事件，需要剔除考核范围。</w:t>
            </w:r>
          </w:p>
        </w:tc>
      </w:tr>
      <w:tr w14:paraId="15C76276">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1261C9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36353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sz w:val="20"/>
                <w:szCs w:val="22"/>
                <w:lang w:val="en-US" w:eastAsia="zh-CN"/>
              </w:rPr>
              <w:t>月度库存周转天数</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294544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降低5%</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3583C5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基于月度库存平均水位和月度平均出库，计算月度库存周转天数，和现状进行比对。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77BD9D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如果出现无法预知的特殊事件，需要剔除考核范围。</w:t>
            </w:r>
          </w:p>
        </w:tc>
      </w:tr>
      <w:tr w14:paraId="4635F72D">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F47B6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5E682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补货约束满足率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610034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63CF18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设置重复计划入库、储罐容量不足和补充周期变化场景，核对防重、容量和风险日判断。</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C63701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锁定期内风险只预警，不自动修改已锁定计划。</w:t>
            </w:r>
          </w:p>
        </w:tc>
      </w:tr>
      <w:tr w14:paraId="45B9BEA3">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AA887A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69DA3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排程硬约束满足率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95651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53640E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在确认的订单、产线、物料、设备和清洗约束数据集上运行排程，逐项检查硬约束。</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61CC5A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预留场景；正式考核前须确认完整约束清单及优先级。</w:t>
            </w:r>
          </w:p>
        </w:tc>
      </w:tr>
      <w:tr w14:paraId="384B3E22">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18FB5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7BA891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72小时详细排程耗时</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7F98F9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≤5分钟</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B977CA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在双方确认的数据规模、计算资源和典型生产场景下连续运行三次，记录完整排程时间。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04C419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预留场景；正式考核前须固化数据规模和测试环境。</w:t>
            </w:r>
          </w:p>
        </w:tc>
      </w:tr>
      <w:tr w14:paraId="08FC6E3B">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420178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0B516C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待采购需求净算准确率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2C62F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≥99%</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4189BC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选取典型物料，按需求、未完成采购承诺和在途数据手工复算，并与系统净算结果逐项比较。</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C5DD13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以已发布需求版本及有效采购承诺为统计边界。</w:t>
            </w:r>
          </w:p>
        </w:tc>
      </w:tr>
      <w:tr w14:paraId="29FB2562">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D5BCE3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8110FF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采购方案硬约束满足率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026C37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C4CE80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检查推荐方案是否满足需求量、供应商可供量、交付期、资质和合同等已确认硬约束。</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B4510D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不可行时必须输出数量或时间缺口及原因。</w:t>
            </w:r>
          </w:p>
        </w:tc>
      </w:tr>
      <w:tr w14:paraId="2D304FC2">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A196D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680ED7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要货需求覆盖准确率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3CC511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w:t>
            </w:r>
            <w:r>
              <w:rPr>
                <w:rFonts w:hint="eastAsia" w:ascii="宋体" w:hAnsi="宋体" w:eastAsia="宋体"/>
                <w:sz w:val="20"/>
                <w:szCs w:val="22"/>
                <w:lang w:val="en-US" w:eastAsia="zh-CN"/>
              </w:rPr>
              <w:t>0</w:t>
            </w:r>
            <w:r>
              <w:rPr>
                <w:rFonts w:hint="default" w:ascii="宋体" w:hAnsi="宋体" w:eastAsia="宋体"/>
                <w:sz w:val="20"/>
                <w:szCs w:val="22"/>
              </w:rPr>
              <w:t>%</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1A9F1F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选取典型物料和日期，按生产耗用、可用库存及固定到货手工复算，并与系统建议逐项比较。</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CA07AE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以已发布需求、合格未冻结库存及已确认到货为统计边界。</w:t>
            </w:r>
          </w:p>
        </w:tc>
      </w:tr>
      <w:tr w14:paraId="4167FAE7">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8B5130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DB2191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要货方案硬约束满足率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4B9EFD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3CC413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逐项核对合同余量、最早到货、供应能力、收货能力、禁运状态及锁定安排是否满足。</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646735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不可行时必须输出风险日期、缺口数量及原因。</w:t>
            </w:r>
          </w:p>
        </w:tc>
      </w:tr>
      <w:tr w14:paraId="5D00E6C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B8A64E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D30D53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成本归集对账一致率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E4D6C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5C6F19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抽取完整核算周期，按费用池、产品、订单和批次汇总SCOS结果，并与SAP权威成本对账。</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3D32C2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允许双方确认的币种换算和小数舍入差异。</w:t>
            </w:r>
          </w:p>
        </w:tc>
      </w:tr>
      <w:tr w14:paraId="2CBB5479">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C4711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6F2A9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分摊结果可追溯率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413BF3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1602DA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从成本结果反查来源凭证、费用池、分摊规则、参数版本和计算记录，检查链路完整性。</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412C8D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所有人工调整须保留原因、操作者和审批记录。</w:t>
            </w:r>
          </w:p>
        </w:tc>
      </w:tr>
      <w:tr w14:paraId="694698E5">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30F7B3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70243C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批次追溯链完整率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EA51C7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w:t>
            </w:r>
            <w:r>
              <w:rPr>
                <w:rFonts w:hint="eastAsia" w:ascii="宋体" w:hAnsi="宋体" w:eastAsia="宋体"/>
                <w:sz w:val="20"/>
                <w:szCs w:val="22"/>
                <w:lang w:val="en-US" w:eastAsia="zh-CN"/>
              </w:rPr>
              <w:t>5</w:t>
            </w:r>
            <w:r>
              <w:rPr>
                <w:rFonts w:hint="default" w:ascii="宋体" w:hAnsi="宋体" w:eastAsia="宋体"/>
                <w:sz w:val="20"/>
                <w:szCs w:val="22"/>
              </w:rPr>
              <w:t>%</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F63B38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使用预置的原料至客户完整批次链，执行正向和反向查询，与MES、WMS、QMS及SAP记录比对。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C82076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源系统缺失且已登记的数据除外，并单独列示。</w:t>
            </w:r>
          </w:p>
        </w:tc>
      </w:tr>
      <w:tr w14:paraId="1F7BC0D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C2E5EA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4AA060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批次追溯查询响应</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0902FC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95分位≤5秒</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8A8C9E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在约定批次数量和50并发条件下执行正反向查询，统计95分位端到端响应时间。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95D992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不含外部源系统临时补查等待时间。</w:t>
            </w:r>
          </w:p>
        </w:tc>
      </w:tr>
    </w:tbl>
    <w:p w14:paraId="5209DCF1"/>
    <w:p w14:paraId="256C883B">
      <w:pPr>
        <w:pStyle w:val="3"/>
        <w:bidi w:val="0"/>
        <w:rPr>
          <w:rFonts w:hint="eastAsia" w:ascii="黑体" w:hAnsi="黑体" w:eastAsia="黑体" w:cs="黑体"/>
          <w:b/>
          <w:color w:val="auto"/>
          <w:sz w:val="30"/>
        </w:rPr>
      </w:pPr>
      <w:bookmarkStart w:id="64" w:name="_Toc1474188869"/>
      <w:r>
        <w:rPr>
          <w:rFonts w:hint="eastAsia" w:ascii="黑体" w:hAnsi="黑体" w:eastAsia="黑体" w:cs="黑体"/>
          <w:color w:val="auto"/>
        </w:rPr>
        <w:t>智能化场景覆盖率</w:t>
      </w:r>
      <w:bookmarkEnd w:id="64"/>
    </w:p>
    <w:tbl>
      <w:tblPr>
        <w:tblStyle w:val="32"/>
        <w:tblW w:w="10358"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Layout w:type="autofit"/>
        <w:tblCellMar>
          <w:top w:w="0" w:type="dxa"/>
          <w:left w:w="108" w:type="dxa"/>
          <w:bottom w:w="0" w:type="dxa"/>
          <w:right w:w="108" w:type="dxa"/>
        </w:tblCellMar>
      </w:tblPr>
      <w:tblGrid>
        <w:gridCol w:w="2431"/>
        <w:gridCol w:w="1054"/>
        <w:gridCol w:w="2770"/>
        <w:gridCol w:w="4103"/>
      </w:tblGrid>
      <w:tr w14:paraId="5AC06409">
        <w:trPr>
          <w:cantSplit/>
          <w:tblHeader/>
          <w:jc w:val="center"/>
        </w:trPr>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E9C754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统计项</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0E346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数量</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CCCC8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计算方式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3CDAB8E">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说明</w:t>
            </w:r>
          </w:p>
        </w:tc>
      </w:tr>
      <w:tr w14:paraId="684CFE79">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B9F61C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智能化场景总数</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93C2AC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54D070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6.1去重场景编号数</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E9A44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001—008共8项，含1项预留场景。</w:t>
            </w:r>
          </w:p>
        </w:tc>
      </w:tr>
      <w:tr w14:paraId="0D347E1F">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B67C35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计入智能化覆盖率考核</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794E7E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39034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6.1“考核”为“是”的场景数</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2050B6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001—003、005—008，共7项。</w:t>
            </w:r>
          </w:p>
        </w:tc>
      </w:tr>
      <w:tr w14:paraId="5BCAD65F">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6BF46B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暂不计入考核（预留场景）</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8C720E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82558C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智能化场景总数－计入考核数量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DEEF2C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004共1项，待场景内容及约束确认后转入考核。</w:t>
            </w:r>
          </w:p>
        </w:tc>
      </w:tr>
      <w:tr w14:paraId="0F2C53DA">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2CA05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本章内部考核覆盖率</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5544BF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87.5%</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350299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7÷8×100%</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F2A85C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反映当前已具备明确考核口径的场景比例。</w:t>
            </w:r>
          </w:p>
        </w:tc>
      </w:tr>
      <w:tr w14:paraId="34E91685">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B7629D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占全厂智能化场景比例</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10892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待定</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4A2797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8÷全厂智能化场景总数×100%</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05C9E9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待全厂智能化场景总清单确认后更新。</w:t>
            </w:r>
          </w:p>
        </w:tc>
      </w:tr>
    </w:tbl>
    <w:p w14:paraId="5CCDE163"/>
    <w:p w14:paraId="5EA18E2A">
      <w:pPr>
        <w:pStyle w:val="2"/>
        <w:keepNext/>
        <w:pageBreakBefore/>
        <w:rPr>
          <w:rFonts w:hint="eastAsia" w:ascii="黑体" w:hAnsi="黑体" w:eastAsia="黑体" w:cs="黑体"/>
          <w:color w:val="auto"/>
        </w:rPr>
      </w:pPr>
      <w:bookmarkStart w:id="65" w:name="_Toc1173485844"/>
      <w:bookmarkStart w:id="66" w:name="_SCOS非功能性需求响应表"/>
      <w:r>
        <w:rPr>
          <w:rFonts w:hint="eastAsia" w:ascii="黑体" w:hAnsi="黑体" w:eastAsia="黑体" w:cs="黑体"/>
          <w:b/>
          <w:color w:val="auto"/>
          <w:sz w:val="32"/>
        </w:rPr>
        <w:t>SCOS非功能性需求响应表</w:t>
      </w:r>
      <w:bookmarkEnd w:id="65"/>
    </w:p>
    <w:bookmarkEnd w:id="66"/>
    <w:tbl>
      <w:tblPr>
        <w:tblStyle w:val="79"/>
        <w:tblW w:w="10317" w:type="dxa"/>
        <w:jc w:val="center"/>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Layout w:type="fixed"/>
        <w:tblCellMar>
          <w:top w:w="0" w:type="dxa"/>
          <w:left w:w="108" w:type="dxa"/>
          <w:bottom w:w="0" w:type="dxa"/>
          <w:right w:w="108" w:type="dxa"/>
        </w:tblCellMar>
      </w:tblPr>
      <w:tblGrid>
        <w:gridCol w:w="2956"/>
        <w:gridCol w:w="3205"/>
        <w:gridCol w:w="2135"/>
        <w:gridCol w:w="2021"/>
      </w:tblGrid>
      <w:tr w14:paraId="0EC9A410">
        <w:trPr>
          <w:trHeight w:val="546" w:hRule="atLeast"/>
          <w:tblHeader/>
          <w:jc w:val="center"/>
        </w:trPr>
        <w:tc>
          <w:tcPr>
            <w:tcW w:w="2956" w:type="dxa"/>
            <w:tcBorders>
              <w:tl2br w:val="nil"/>
              <w:tr2bl w:val="nil"/>
            </w:tcBorders>
            <w:vAlign w:val="center"/>
          </w:tcPr>
          <w:p w14:paraId="6EB9318E">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招标条款编号及原文</w:t>
            </w:r>
          </w:p>
        </w:tc>
        <w:tc>
          <w:tcPr>
            <w:tcW w:w="3205" w:type="dxa"/>
            <w:tcBorders>
              <w:tl2br w:val="nil"/>
              <w:tr2bl w:val="nil"/>
            </w:tcBorders>
            <w:vAlign w:val="center"/>
          </w:tcPr>
          <w:p w14:paraId="40AD5AD3">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响应方案</w:t>
            </w:r>
          </w:p>
        </w:tc>
        <w:tc>
          <w:tcPr>
            <w:tcW w:w="2135" w:type="dxa"/>
            <w:tcBorders>
              <w:tl2br w:val="nil"/>
              <w:tr2bl w:val="nil"/>
            </w:tcBorders>
            <w:vAlign w:val="center"/>
          </w:tcPr>
          <w:p w14:paraId="027CEB0D">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满足方式</w:t>
            </w:r>
          </w:p>
        </w:tc>
        <w:tc>
          <w:tcPr>
            <w:tcW w:w="2021" w:type="dxa"/>
            <w:tcBorders>
              <w:tl2br w:val="nil"/>
              <w:tr2bl w:val="nil"/>
            </w:tcBorders>
            <w:vAlign w:val="center"/>
          </w:tcPr>
          <w:p w14:paraId="2EF8A134">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对应交付物章节</w:t>
            </w:r>
          </w:p>
        </w:tc>
      </w:tr>
      <w:tr w14:paraId="2DD7C0E1">
        <w:trPr>
          <w:trHeight w:val="1431" w:hRule="atLeast"/>
          <w:jc w:val="center"/>
        </w:trPr>
        <w:tc>
          <w:tcPr>
            <w:tcW w:w="2956" w:type="dxa"/>
            <w:tcBorders>
              <w:tl2br w:val="nil"/>
              <w:tr2bl w:val="nil"/>
            </w:tcBorders>
            <w:vAlign w:val="center"/>
          </w:tcPr>
          <w:p w14:paraId="54CD4452">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（1）数据高保真与一致性：</w:t>
            </w:r>
            <w:r>
              <w:rPr>
                <w:rStyle w:val="82"/>
                <w:sz w:val="21"/>
                <w:szCs w:val="21"/>
                <w:lang w:val="en-US" w:eastAsia="zh-CN" w:bidi="ar"/>
              </w:rPr>
              <w:t>作为供应链计划中枢，必须确保计划、订单、库存、成本数据绝对准确、版本清晰</w:t>
            </w:r>
          </w:p>
        </w:tc>
        <w:tc>
          <w:tcPr>
            <w:tcW w:w="3205" w:type="dxa"/>
            <w:tcBorders>
              <w:tl2br w:val="nil"/>
              <w:tr2bl w:val="nil"/>
            </w:tcBorders>
            <w:vAlign w:val="center"/>
          </w:tcPr>
          <w:p w14:paraId="71E70B56">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系统对年/月/日三级计划、采购计划、库存数据、成本核算结果实施版本受控、流程</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、变更管理，确保数据全链路可追溯。</w:t>
            </w:r>
          </w:p>
        </w:tc>
        <w:tc>
          <w:tcPr>
            <w:tcW w:w="2135" w:type="dxa"/>
            <w:tcBorders>
              <w:tl2br w:val="nil"/>
              <w:tr2bl w:val="nil"/>
            </w:tcBorders>
            <w:vAlign w:val="center"/>
          </w:tcPr>
          <w:p w14:paraId="1D6CCF06">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i w:val="0"/>
                <w:iCs w:val="0"/>
                <w:color w:val="000000"/>
                <w:kern w:val="0"/>
                <w:sz w:val="21"/>
                <w:szCs w:val="21"/>
                <w:u w:val="none"/>
                <w:lang w:val="en-US" w:eastAsia="zh-CN" w:bidi="ar"/>
              </w:rPr>
              <w:t>主数据唯一编码、版本号规则、</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机制、数据对账机制等闭环管理。</w:t>
            </w:r>
          </w:p>
        </w:tc>
        <w:tc>
          <w:tcPr>
            <w:tcW w:w="2021" w:type="dxa"/>
            <w:tcBorders>
              <w:tl2br w:val="nil"/>
              <w:tr2bl w:val="nil"/>
            </w:tcBorders>
            <w:vAlign w:val="center"/>
          </w:tcPr>
          <w:p w14:paraId="1047B26B">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二</w:t>
            </w:r>
            <w:r>
              <w:rPr>
                <w:rFonts w:hint="eastAsia" w:ascii="宋体" w:hAnsi="宋体" w:eastAsia="宋体" w:cs="宋体"/>
                <w:i w:val="0"/>
                <w:iCs w:val="0"/>
                <w:color w:val="000000"/>
                <w:kern w:val="0"/>
                <w:sz w:val="21"/>
                <w:szCs w:val="21"/>
                <w:u w:val="none"/>
                <w:lang w:val="en-US" w:eastAsia="zh-CN" w:bidi="ar"/>
              </w:rPr>
              <w:t xml:space="preserve">章 </w:t>
            </w:r>
          </w:p>
          <w:p w14:paraId="623EC8DE">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2.2.1</w:t>
            </w:r>
            <w:r>
              <w:rPr>
                <w:rFonts w:hint="eastAsia" w:ascii="宋体" w:hAnsi="宋体" w:eastAsia="宋体" w:cs="宋体"/>
                <w:i w:val="0"/>
                <w:iCs w:val="0"/>
                <w:color w:val="000000"/>
                <w:kern w:val="0"/>
                <w:sz w:val="21"/>
                <w:szCs w:val="21"/>
                <w:u w:val="none"/>
                <w:lang w:val="en-US" w:eastAsia="zh-CN" w:bidi="ar"/>
              </w:rPr>
              <w:t xml:space="preserve"> </w:t>
            </w:r>
            <w:r>
              <w:rPr>
                <w:rFonts w:hint="eastAsia" w:ascii="宋体" w:hAnsi="宋体" w:cs="宋体"/>
                <w:i w:val="0"/>
                <w:iCs w:val="0"/>
                <w:color w:val="000000"/>
                <w:kern w:val="0"/>
                <w:sz w:val="21"/>
                <w:szCs w:val="21"/>
                <w:u w:val="none"/>
                <w:lang w:val="en-US" w:eastAsia="zh-CN" w:bidi="ar"/>
              </w:rPr>
              <w:t>年度计划创建</w:t>
            </w:r>
          </w:p>
          <w:p w14:paraId="096E04F2">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2.2.4 月原辅包需求计划</w:t>
            </w:r>
          </w:p>
          <w:p w14:paraId="258BD39E">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2.2.6 每日生产订单创建</w:t>
            </w:r>
          </w:p>
          <w:p w14:paraId="4475557C">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2.2.7 生产综合计划制定</w:t>
            </w:r>
          </w:p>
          <w:p w14:paraId="48F52C51">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2.2.8 每日到厂需求计划制定</w:t>
            </w:r>
          </w:p>
          <w:p w14:paraId="5499507E">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cs="宋体"/>
                <w:i w:val="0"/>
                <w:iCs w:val="0"/>
                <w:color w:val="000000"/>
                <w:kern w:val="0"/>
                <w:sz w:val="21"/>
                <w:szCs w:val="21"/>
                <w:u w:val="none"/>
                <w:lang w:val="en-US" w:eastAsia="zh-CN" w:bidi="ar"/>
              </w:rPr>
              <w:t>2.2.9 每日玉米淀粉投料需求制定</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cs="宋体"/>
                <w:i w:val="0"/>
                <w:iCs w:val="0"/>
                <w:color w:val="000000"/>
                <w:kern w:val="0"/>
                <w:sz w:val="21"/>
                <w:szCs w:val="21"/>
                <w:u w:val="none"/>
                <w:lang w:val="en-US" w:eastAsia="zh-CN" w:bidi="ar"/>
              </w:rPr>
              <w:t>2.5</w:t>
            </w:r>
            <w:r>
              <w:rPr>
                <w:rFonts w:hint="eastAsia" w:ascii="宋体" w:hAnsi="宋体" w:eastAsia="宋体" w:cs="宋体"/>
                <w:i w:val="0"/>
                <w:iCs w:val="0"/>
                <w:color w:val="000000"/>
                <w:kern w:val="0"/>
                <w:sz w:val="21"/>
                <w:szCs w:val="21"/>
                <w:u w:val="none"/>
                <w:lang w:val="en-US" w:eastAsia="zh-CN" w:bidi="ar"/>
              </w:rPr>
              <w:t xml:space="preserve"> SCOS业务规则清单</w:t>
            </w:r>
          </w:p>
        </w:tc>
      </w:tr>
      <w:tr w14:paraId="0273954B">
        <w:trPr>
          <w:trHeight w:val="1115" w:hRule="atLeast"/>
          <w:jc w:val="center"/>
        </w:trPr>
        <w:tc>
          <w:tcPr>
            <w:tcW w:w="2956" w:type="dxa"/>
            <w:tcBorders>
              <w:tl2br w:val="nil"/>
              <w:tr2bl w:val="nil"/>
            </w:tcBorders>
            <w:vAlign w:val="center"/>
          </w:tcPr>
          <w:p w14:paraId="78EAB0FB">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（2）结构化与可配置性：</w:t>
            </w:r>
            <w:r>
              <w:rPr>
                <w:rStyle w:val="82"/>
                <w:sz w:val="21"/>
                <w:szCs w:val="21"/>
                <w:lang w:val="en-US" w:eastAsia="zh-CN" w:bidi="ar"/>
              </w:rPr>
              <w:t>系统需高度结构化以适应淀粉糖行业多品类、多产线、多供应商的复杂供应链场景，同时支持业务流程的灵活配置</w:t>
            </w:r>
          </w:p>
        </w:tc>
        <w:tc>
          <w:tcPr>
            <w:tcW w:w="3205" w:type="dxa"/>
            <w:tcBorders>
              <w:tl2br w:val="nil"/>
              <w:tr2bl w:val="nil"/>
            </w:tcBorders>
            <w:vAlign w:val="center"/>
          </w:tcPr>
          <w:p w14:paraId="3307854A">
            <w:pPr>
              <w:keepNext w:val="0"/>
              <w:keepLines w:val="0"/>
              <w:widowControl/>
              <w:suppressLineNumbers w:val="0"/>
              <w:jc w:val="left"/>
              <w:textAlignment w:val="center"/>
              <w:rPr>
                <w:rFonts w:hint="eastAsia" w:ascii="宋体" w:hAnsi="宋体" w:eastAsia="宋体" w:cs="宋体"/>
                <w:sz w:val="21"/>
                <w:szCs w:val="21"/>
                <w:lang w:eastAsia="zh-CN"/>
              </w:rPr>
            </w:pPr>
            <w:r>
              <w:rPr>
                <w:rFonts w:hint="eastAsia" w:ascii="宋体" w:hAnsi="宋体" w:eastAsia="宋体" w:cs="宋体"/>
                <w:i w:val="0"/>
                <w:iCs w:val="0"/>
                <w:color w:val="000000"/>
                <w:kern w:val="0"/>
                <w:sz w:val="21"/>
                <w:szCs w:val="21"/>
                <w:u w:val="none"/>
                <w:lang w:val="en-US" w:eastAsia="zh-CN" w:bidi="ar"/>
              </w:rPr>
              <w:t>按计划、采购、库存、生产、成本等业务对象建立结构化字段、枚举、必填校验、模板和流程节点，支持排程规则、优化参数、</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流程的灵活配置</w:t>
            </w:r>
          </w:p>
        </w:tc>
        <w:tc>
          <w:tcPr>
            <w:tcW w:w="2135" w:type="dxa"/>
            <w:tcBorders>
              <w:tl2br w:val="nil"/>
              <w:tr2bl w:val="nil"/>
            </w:tcBorders>
            <w:vAlign w:val="center"/>
          </w:tcPr>
          <w:p w14:paraId="68228222">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i w:val="0"/>
                <w:iCs w:val="0"/>
                <w:color w:val="000000"/>
                <w:kern w:val="0"/>
                <w:sz w:val="21"/>
                <w:szCs w:val="21"/>
                <w:u w:val="none"/>
                <w:lang w:val="en-US" w:eastAsia="zh-CN" w:bidi="ar"/>
              </w:rPr>
              <w:t>字段映射表、流程</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节点配置、优化参数配置、业务规则配置</w:t>
            </w:r>
          </w:p>
        </w:tc>
        <w:tc>
          <w:tcPr>
            <w:tcW w:w="2021" w:type="dxa"/>
            <w:tcBorders>
              <w:tl2br w:val="nil"/>
              <w:tr2bl w:val="nil"/>
            </w:tcBorders>
            <w:vAlign w:val="center"/>
          </w:tcPr>
          <w:p w14:paraId="6C41C3C6">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二</w:t>
            </w:r>
            <w:r>
              <w:rPr>
                <w:rFonts w:hint="eastAsia" w:ascii="宋体" w:hAnsi="宋体" w:eastAsia="宋体" w:cs="宋体"/>
                <w:i w:val="0"/>
                <w:iCs w:val="0"/>
                <w:color w:val="000000"/>
                <w:kern w:val="0"/>
                <w:sz w:val="21"/>
                <w:szCs w:val="21"/>
                <w:u w:val="none"/>
                <w:lang w:val="en-US" w:eastAsia="zh-CN" w:bidi="ar"/>
              </w:rPr>
              <w:t>章 全部业务文档</w:t>
            </w:r>
          </w:p>
        </w:tc>
      </w:tr>
      <w:tr w14:paraId="11612A3B">
        <w:trPr>
          <w:trHeight w:val="1115" w:hRule="atLeast"/>
          <w:jc w:val="center"/>
        </w:trPr>
        <w:tc>
          <w:tcPr>
            <w:tcW w:w="2956" w:type="dxa"/>
            <w:tcBorders>
              <w:tl2br w:val="nil"/>
              <w:tr2bl w:val="nil"/>
            </w:tcBorders>
            <w:vAlign w:val="center"/>
          </w:tcPr>
          <w:p w14:paraId="7C53B4CD">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（3）集成可靠性：</w:t>
            </w:r>
            <w:r>
              <w:rPr>
                <w:rStyle w:val="82"/>
                <w:sz w:val="21"/>
                <w:szCs w:val="21"/>
                <w:lang w:val="en-US" w:eastAsia="zh-CN" w:bidi="ar"/>
              </w:rPr>
              <w:t>与其它系统的接口必须具备高可靠性与事务一致性</w:t>
            </w:r>
          </w:p>
        </w:tc>
        <w:tc>
          <w:tcPr>
            <w:tcW w:w="3205" w:type="dxa"/>
            <w:tcBorders>
              <w:tl2br w:val="nil"/>
              <w:tr2bl w:val="nil"/>
            </w:tcBorders>
            <w:vAlign w:val="center"/>
          </w:tcPr>
          <w:p w14:paraId="74A9888A">
            <w:pPr>
              <w:keepNext w:val="0"/>
              <w:keepLines w:val="0"/>
              <w:widowControl/>
              <w:suppressLineNumbers w:val="0"/>
              <w:jc w:val="left"/>
              <w:textAlignment w:val="center"/>
              <w:rPr>
                <w:rFonts w:hint="eastAsia" w:ascii="宋体" w:hAnsi="宋体" w:eastAsia="宋体" w:cs="宋体"/>
                <w:sz w:val="21"/>
                <w:szCs w:val="21"/>
                <w:lang w:eastAsia="zh-CN"/>
              </w:rPr>
            </w:pPr>
            <w:r>
              <w:rPr>
                <w:rFonts w:hint="eastAsia" w:ascii="宋体" w:hAnsi="宋体" w:eastAsia="宋体" w:cs="宋体"/>
                <w:i w:val="0"/>
                <w:iCs w:val="0"/>
                <w:color w:val="000000"/>
                <w:kern w:val="0"/>
                <w:sz w:val="21"/>
                <w:szCs w:val="21"/>
                <w:u w:val="none"/>
                <w:lang w:val="en-US" w:eastAsia="zh-CN" w:bidi="ar"/>
              </w:rPr>
              <w:t>采用统一数据服务层、接口</w:t>
            </w:r>
            <w:r>
              <w:rPr>
                <w:rFonts w:hint="eastAsia" w:ascii="宋体" w:hAnsi="宋体" w:cs="宋体"/>
                <w:i w:val="0"/>
                <w:iCs w:val="0"/>
                <w:color w:val="000000"/>
                <w:kern w:val="0"/>
                <w:sz w:val="21"/>
                <w:szCs w:val="21"/>
                <w:u w:val="none"/>
                <w:lang w:val="en-US" w:eastAsia="zh-CN" w:bidi="ar"/>
              </w:rPr>
              <w:t>请求</w:t>
            </w:r>
            <w:r>
              <w:rPr>
                <w:rFonts w:hint="eastAsia" w:ascii="宋体" w:hAnsi="宋体" w:eastAsia="宋体" w:cs="宋体"/>
                <w:i w:val="0"/>
                <w:iCs w:val="0"/>
                <w:color w:val="000000"/>
                <w:kern w:val="0"/>
                <w:sz w:val="21"/>
                <w:szCs w:val="21"/>
                <w:u w:val="none"/>
                <w:lang w:val="en-US" w:eastAsia="zh-CN" w:bidi="ar"/>
              </w:rPr>
              <w:t>重试</w:t>
            </w:r>
            <w:r>
              <w:rPr>
                <w:rFonts w:hint="eastAsia" w:ascii="宋体" w:hAnsi="宋体" w:eastAsia="宋体" w:cs="宋体"/>
                <w:i w:val="0"/>
                <w:iCs w:val="0"/>
                <w:color w:val="000000"/>
                <w:kern w:val="0"/>
                <w:sz w:val="21"/>
                <w:szCs w:val="21"/>
                <w:highlight w:val="none"/>
                <w:u w:val="none"/>
                <w:lang w:val="en-US" w:eastAsia="zh-CN" w:bidi="ar"/>
              </w:rPr>
              <w:t>、幂等控制</w:t>
            </w:r>
            <w:r>
              <w:rPr>
                <w:rFonts w:hint="eastAsia" w:ascii="宋体" w:hAnsi="宋体" w:cs="宋体"/>
                <w:i w:val="0"/>
                <w:iCs w:val="0"/>
                <w:color w:val="000000"/>
                <w:kern w:val="0"/>
                <w:sz w:val="21"/>
                <w:szCs w:val="21"/>
                <w:highlight w:val="none"/>
                <w:u w:val="none"/>
                <w:lang w:val="en-US" w:eastAsia="zh-CN" w:bidi="ar"/>
              </w:rPr>
              <w:t>（防重）</w:t>
            </w:r>
            <w:r>
              <w:rPr>
                <w:rFonts w:hint="eastAsia" w:ascii="宋体" w:hAnsi="宋体" w:eastAsia="宋体" w:cs="宋体"/>
                <w:i w:val="0"/>
                <w:iCs w:val="0"/>
                <w:color w:val="000000"/>
                <w:kern w:val="0"/>
                <w:sz w:val="21"/>
                <w:szCs w:val="21"/>
                <w:highlight w:val="none"/>
                <w:u w:val="none"/>
                <w:lang w:val="en-US" w:eastAsia="zh-CN" w:bidi="ar"/>
              </w:rPr>
              <w:t>、</w:t>
            </w:r>
            <w:r>
              <w:rPr>
                <w:rFonts w:hint="eastAsia" w:ascii="宋体" w:hAnsi="宋体" w:eastAsia="宋体" w:cs="宋体"/>
                <w:i w:val="0"/>
                <w:iCs w:val="0"/>
                <w:color w:val="000000"/>
                <w:kern w:val="0"/>
                <w:sz w:val="21"/>
                <w:szCs w:val="21"/>
                <w:u w:val="none"/>
                <w:lang w:val="en-US" w:eastAsia="zh-CN" w:bidi="ar"/>
              </w:rPr>
              <w:t>错误码与人工介入机制，保障跨系统数据一致性</w:t>
            </w:r>
          </w:p>
        </w:tc>
        <w:tc>
          <w:tcPr>
            <w:tcW w:w="2135" w:type="dxa"/>
            <w:tcBorders>
              <w:tl2br w:val="nil"/>
              <w:tr2bl w:val="nil"/>
            </w:tcBorders>
            <w:shd w:val="clear" w:color="auto" w:fill="auto"/>
            <w:vAlign w:val="center"/>
          </w:tcPr>
          <w:p w14:paraId="13CFE3D3">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HTTP 接口定义超时、</w:t>
            </w:r>
            <w:r>
              <w:rPr>
                <w:rFonts w:hint="eastAsia" w:ascii="宋体" w:hAnsi="宋体" w:cs="宋体"/>
                <w:i w:val="0"/>
                <w:iCs w:val="0"/>
                <w:color w:val="000000"/>
                <w:kern w:val="0"/>
                <w:sz w:val="21"/>
                <w:szCs w:val="21"/>
                <w:u w:val="none"/>
                <w:lang w:val="en-US" w:eastAsia="zh-CN" w:bidi="ar"/>
              </w:rPr>
              <w:t>身份</w:t>
            </w:r>
            <w:r>
              <w:rPr>
                <w:rFonts w:hint="eastAsia" w:ascii="宋体" w:hAnsi="宋体" w:eastAsia="宋体" w:cs="宋体"/>
                <w:i w:val="0"/>
                <w:iCs w:val="0"/>
                <w:color w:val="000000"/>
                <w:kern w:val="0"/>
                <w:sz w:val="21"/>
                <w:szCs w:val="21"/>
                <w:u w:val="none"/>
                <w:lang w:val="en-US" w:eastAsia="zh-CN" w:bidi="ar"/>
              </w:rPr>
              <w:t>鉴权、完整链路日志记录和异常处理</w:t>
            </w:r>
          </w:p>
        </w:tc>
        <w:tc>
          <w:tcPr>
            <w:tcW w:w="2021" w:type="dxa"/>
            <w:tcBorders>
              <w:tl2br w:val="nil"/>
              <w:tr2bl w:val="nil"/>
            </w:tcBorders>
            <w:shd w:val="clear" w:color="auto" w:fill="auto"/>
            <w:vAlign w:val="center"/>
          </w:tcPr>
          <w:p w14:paraId="7C076F5E">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五</w:t>
            </w:r>
            <w:r>
              <w:rPr>
                <w:rFonts w:hint="eastAsia" w:ascii="宋体" w:hAnsi="宋体" w:eastAsia="宋体" w:cs="宋体"/>
                <w:i w:val="0"/>
                <w:iCs w:val="0"/>
                <w:color w:val="000000"/>
                <w:kern w:val="0"/>
                <w:sz w:val="21"/>
                <w:szCs w:val="21"/>
                <w:u w:val="none"/>
                <w:lang w:val="en-US" w:eastAsia="zh-CN" w:bidi="ar"/>
              </w:rPr>
              <w:t>章 SCOS 集成接口规范</w:t>
            </w:r>
          </w:p>
        </w:tc>
      </w:tr>
      <w:tr w14:paraId="409EA768">
        <w:trPr>
          <w:trHeight w:val="1245" w:hRule="atLeast"/>
          <w:jc w:val="center"/>
        </w:trPr>
        <w:tc>
          <w:tcPr>
            <w:tcW w:w="2956" w:type="dxa"/>
            <w:tcBorders>
              <w:tl2br w:val="nil"/>
              <w:tr2bl w:val="nil"/>
            </w:tcBorders>
            <w:vAlign w:val="center"/>
          </w:tcPr>
          <w:p w14:paraId="2CA61F05">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（4）安全性：</w:t>
            </w:r>
            <w:r>
              <w:rPr>
                <w:rStyle w:val="82"/>
                <w:sz w:val="21"/>
                <w:szCs w:val="21"/>
                <w:lang w:val="en-US" w:eastAsia="zh-CN" w:bidi="ar"/>
              </w:rPr>
              <w:t>成本、价格、供应商信息等核心供应链数据须具备严格的访问控制、操作审计与数据加密保护</w:t>
            </w:r>
          </w:p>
        </w:tc>
        <w:tc>
          <w:tcPr>
            <w:tcW w:w="3205" w:type="dxa"/>
            <w:tcBorders>
              <w:tl2br w:val="nil"/>
              <w:tr2bl w:val="nil"/>
            </w:tcBorders>
            <w:shd w:val="clear" w:color="auto" w:fill="auto"/>
            <w:vAlign w:val="center"/>
          </w:tcPr>
          <w:p w14:paraId="756EC87C">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按角色权限矩阵控制创建、浏览、编辑、下载、打印、复核、删除权限，字段级数据权限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，数据库</w:t>
            </w:r>
            <w:r>
              <w:rPr>
                <w:rFonts w:hint="eastAsia" w:ascii="宋体" w:hAnsi="宋体" w:cs="宋体"/>
                <w:i w:val="0"/>
                <w:iCs w:val="0"/>
                <w:color w:val="000000"/>
                <w:kern w:val="0"/>
                <w:sz w:val="21"/>
                <w:szCs w:val="21"/>
                <w:highlight w:val="none"/>
                <w:u w:val="none"/>
                <w:lang w:val="en-US" w:eastAsia="zh-CN" w:bidi="ar"/>
              </w:rPr>
              <w:t>文档</w:t>
            </w:r>
            <w:r>
              <w:rPr>
                <w:rFonts w:hint="eastAsia" w:ascii="宋体" w:hAnsi="宋体" w:eastAsia="宋体" w:cs="宋体"/>
                <w:i w:val="0"/>
                <w:iCs w:val="0"/>
                <w:color w:val="000000"/>
                <w:kern w:val="0"/>
                <w:sz w:val="21"/>
                <w:szCs w:val="21"/>
                <w:highlight w:val="none"/>
                <w:u w:val="none"/>
                <w:lang w:val="en-US" w:eastAsia="zh-CN" w:bidi="ar"/>
              </w:rPr>
              <w:t>加密处理</w:t>
            </w:r>
          </w:p>
        </w:tc>
        <w:tc>
          <w:tcPr>
            <w:tcW w:w="2135" w:type="dxa"/>
            <w:tcBorders>
              <w:tl2br w:val="nil"/>
              <w:tr2bl w:val="nil"/>
            </w:tcBorders>
            <w:shd w:val="clear" w:color="auto" w:fill="auto"/>
            <w:vAlign w:val="center"/>
          </w:tcPr>
          <w:p w14:paraId="63029BA0">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RBAC角色权限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、ABAC字段权限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、接口鉴权、操作审计</w:t>
            </w:r>
          </w:p>
        </w:tc>
        <w:tc>
          <w:tcPr>
            <w:tcW w:w="2021" w:type="dxa"/>
            <w:tcBorders>
              <w:tl2br w:val="nil"/>
              <w:tr2bl w:val="nil"/>
            </w:tcBorders>
            <w:shd w:val="clear" w:color="auto" w:fill="auto"/>
            <w:vAlign w:val="center"/>
          </w:tcPr>
          <w:p w14:paraId="49DDE0E5">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二</w:t>
            </w:r>
            <w:r>
              <w:rPr>
                <w:rFonts w:hint="eastAsia" w:ascii="宋体" w:hAnsi="宋体" w:eastAsia="宋体" w:cs="宋体"/>
                <w:i w:val="0"/>
                <w:iCs w:val="0"/>
                <w:color w:val="000000"/>
                <w:kern w:val="0"/>
                <w:sz w:val="21"/>
                <w:szCs w:val="21"/>
                <w:u w:val="none"/>
                <w:lang w:val="en-US" w:eastAsia="zh-CN" w:bidi="ar"/>
              </w:rPr>
              <w:t xml:space="preserve">章 </w:t>
            </w:r>
          </w:p>
          <w:p w14:paraId="04C5A501">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cs="宋体"/>
                <w:i w:val="0"/>
                <w:iCs w:val="0"/>
                <w:color w:val="000000"/>
                <w:kern w:val="0"/>
                <w:sz w:val="21"/>
                <w:szCs w:val="21"/>
                <w:u w:val="none"/>
                <w:lang w:val="en-US" w:eastAsia="zh-CN" w:bidi="ar"/>
              </w:rPr>
              <w:t>2.4</w:t>
            </w:r>
            <w:r>
              <w:rPr>
                <w:rFonts w:hint="eastAsia" w:ascii="宋体" w:hAnsi="宋体" w:eastAsia="宋体" w:cs="宋体"/>
                <w:i w:val="0"/>
                <w:iCs w:val="0"/>
                <w:color w:val="000000"/>
                <w:kern w:val="0"/>
                <w:sz w:val="21"/>
                <w:szCs w:val="21"/>
                <w:u w:val="none"/>
                <w:lang w:val="en-US" w:eastAsia="zh-CN" w:bidi="ar"/>
              </w:rPr>
              <w:t xml:space="preserve"> SCOS 角色权限矩阵</w:t>
            </w:r>
          </w:p>
        </w:tc>
      </w:tr>
      <w:tr w14:paraId="272C9F25">
        <w:trPr>
          <w:trHeight w:val="934" w:hRule="atLeast"/>
          <w:jc w:val="center"/>
        </w:trPr>
        <w:tc>
          <w:tcPr>
            <w:tcW w:w="2956" w:type="dxa"/>
            <w:tcBorders>
              <w:tl2br w:val="nil"/>
              <w:tr2bl w:val="nil"/>
            </w:tcBorders>
            <w:vAlign w:val="center"/>
          </w:tcPr>
          <w:p w14:paraId="191CBC6F">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（5）易用性与协同性：</w:t>
            </w:r>
            <w:r>
              <w:rPr>
                <w:rStyle w:val="82"/>
                <w:sz w:val="21"/>
                <w:szCs w:val="21"/>
                <w:lang w:val="en-US" w:eastAsia="zh-CN" w:bidi="ar"/>
              </w:rPr>
              <w:t>界面应直观，便于计划、采购、生产、物流、销售多角色在线协同工作</w:t>
            </w:r>
          </w:p>
        </w:tc>
        <w:tc>
          <w:tcPr>
            <w:tcW w:w="3205" w:type="dxa"/>
            <w:tcBorders>
              <w:tl2br w:val="nil"/>
              <w:tr2bl w:val="nil"/>
            </w:tcBorders>
            <w:shd w:val="clear" w:color="auto" w:fill="auto"/>
            <w:vAlign w:val="center"/>
          </w:tcPr>
          <w:p w14:paraId="5007CDEC">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通过计划池、需求汇总、复核确认、异常预警支持跨部门在线协同，计划调整自动同步相关环节</w:t>
            </w:r>
          </w:p>
        </w:tc>
        <w:tc>
          <w:tcPr>
            <w:tcW w:w="2135" w:type="dxa"/>
            <w:tcBorders>
              <w:tl2br w:val="nil"/>
              <w:tr2bl w:val="nil"/>
            </w:tcBorders>
            <w:shd w:val="clear" w:color="auto" w:fill="auto"/>
            <w:vAlign w:val="center"/>
          </w:tcPr>
          <w:p w14:paraId="3C1676D9">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流程表单标准化、消息通知闭环、数据联动更新</w:t>
            </w:r>
          </w:p>
        </w:tc>
        <w:tc>
          <w:tcPr>
            <w:tcW w:w="2021" w:type="dxa"/>
            <w:tcBorders>
              <w:tl2br w:val="nil"/>
              <w:tr2bl w:val="nil"/>
            </w:tcBorders>
            <w:shd w:val="clear" w:color="auto" w:fill="auto"/>
            <w:vAlign w:val="center"/>
          </w:tcPr>
          <w:p w14:paraId="338A4166">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七</w:t>
            </w:r>
            <w:r>
              <w:rPr>
                <w:rFonts w:hint="eastAsia" w:ascii="宋体" w:hAnsi="宋体" w:eastAsia="宋体" w:cs="宋体"/>
                <w:i w:val="0"/>
                <w:iCs w:val="0"/>
                <w:color w:val="000000"/>
                <w:kern w:val="0"/>
                <w:sz w:val="21"/>
                <w:szCs w:val="21"/>
                <w:u w:val="none"/>
                <w:lang w:val="en-US" w:eastAsia="zh-CN" w:bidi="ar"/>
              </w:rPr>
              <w:t xml:space="preserve">章 </w:t>
            </w:r>
          </w:p>
          <w:p w14:paraId="049A0BE8">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非功能性需求响应</w:t>
            </w:r>
          </w:p>
        </w:tc>
      </w:tr>
      <w:tr w14:paraId="478A3F52">
        <w:trPr>
          <w:trHeight w:val="980" w:hRule="atLeast"/>
          <w:jc w:val="center"/>
        </w:trPr>
        <w:tc>
          <w:tcPr>
            <w:tcW w:w="2956" w:type="dxa"/>
            <w:tcBorders>
              <w:tl2br w:val="nil"/>
              <w:tr2bl w:val="nil"/>
            </w:tcBorders>
            <w:vAlign w:val="center"/>
          </w:tcPr>
          <w:p w14:paraId="6934B789">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（6）可用性要求：</w:t>
            </w:r>
            <w:r>
              <w:rPr>
                <w:rStyle w:val="82"/>
                <w:sz w:val="21"/>
                <w:szCs w:val="21"/>
                <w:lang w:val="en-US" w:eastAsia="zh-CN" w:bidi="ar"/>
              </w:rPr>
              <w:t>系统需 7×24 稳定运行，年可用率≥99.5%</w:t>
            </w:r>
          </w:p>
        </w:tc>
        <w:tc>
          <w:tcPr>
            <w:tcW w:w="3205" w:type="dxa"/>
            <w:tcBorders>
              <w:tl2br w:val="nil"/>
              <w:tr2bl w:val="nil"/>
            </w:tcBorders>
            <w:shd w:val="clear" w:color="auto" w:fill="auto"/>
            <w:vAlign w:val="center"/>
          </w:tcPr>
          <w:p w14:paraId="01AC33E8">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系统建立日常运维监控机制，对系统运行状态、数据备份、接口调用情况进行监控；制定数据备份策略，定期进行数据库备份，确保数据可恢复</w:t>
            </w:r>
          </w:p>
        </w:tc>
        <w:tc>
          <w:tcPr>
            <w:tcW w:w="2135" w:type="dxa"/>
            <w:tcBorders>
              <w:tl2br w:val="nil"/>
              <w:tr2bl w:val="nil"/>
            </w:tcBorders>
            <w:shd w:val="clear" w:color="auto" w:fill="auto"/>
            <w:vAlign w:val="center"/>
          </w:tcPr>
          <w:p w14:paraId="2108D105">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系统运行状态监控、数据备份机制、接口调用监控、灾备方案</w:t>
            </w:r>
          </w:p>
        </w:tc>
        <w:tc>
          <w:tcPr>
            <w:tcW w:w="2021" w:type="dxa"/>
            <w:tcBorders>
              <w:tl2br w:val="nil"/>
              <w:tr2bl w:val="nil"/>
            </w:tcBorders>
            <w:shd w:val="clear" w:color="auto" w:fill="auto"/>
            <w:vAlign w:val="center"/>
          </w:tcPr>
          <w:p w14:paraId="2CBDDC83">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七</w:t>
            </w:r>
            <w:r>
              <w:rPr>
                <w:rFonts w:hint="eastAsia" w:ascii="宋体" w:hAnsi="宋体" w:eastAsia="宋体" w:cs="宋体"/>
                <w:i w:val="0"/>
                <w:iCs w:val="0"/>
                <w:color w:val="000000"/>
                <w:kern w:val="0"/>
                <w:sz w:val="21"/>
                <w:szCs w:val="21"/>
                <w:u w:val="none"/>
                <w:lang w:val="en-US" w:eastAsia="zh-CN" w:bidi="ar"/>
              </w:rPr>
              <w:t xml:space="preserve">章 </w:t>
            </w:r>
          </w:p>
          <w:p w14:paraId="4BF482FE">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非功能性需求响应</w:t>
            </w:r>
          </w:p>
        </w:tc>
      </w:tr>
      <w:tr w14:paraId="5D25443F">
        <w:trPr>
          <w:trHeight w:val="934" w:hRule="atLeast"/>
          <w:jc w:val="center"/>
        </w:trPr>
        <w:tc>
          <w:tcPr>
            <w:tcW w:w="2956" w:type="dxa"/>
            <w:tcBorders>
              <w:tl2br w:val="nil"/>
              <w:tr2bl w:val="nil"/>
            </w:tcBorders>
            <w:vAlign w:val="center"/>
          </w:tcPr>
          <w:p w14:paraId="6B5D2286">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（7）性能要求：</w:t>
            </w:r>
            <w:r>
              <w:rPr>
                <w:rStyle w:val="82"/>
                <w:sz w:val="21"/>
                <w:szCs w:val="21"/>
                <w:lang w:val="en-US" w:eastAsia="zh-CN" w:bidi="ar"/>
              </w:rPr>
              <w:t>页面响应≤3s，复杂查询≤10s，排程与优化计算≤30s</w:t>
            </w:r>
          </w:p>
        </w:tc>
        <w:tc>
          <w:tcPr>
            <w:tcW w:w="3205" w:type="dxa"/>
            <w:tcBorders>
              <w:tl2br w:val="nil"/>
              <w:tr2bl w:val="nil"/>
            </w:tcBorders>
            <w:shd w:val="clear" w:color="auto" w:fill="auto"/>
            <w:vAlign w:val="center"/>
          </w:tcPr>
          <w:p w14:paraId="2996E5A7">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常用</w:t>
            </w:r>
            <w:r>
              <w:rPr>
                <w:rFonts w:hint="eastAsia" w:ascii="宋体" w:hAnsi="宋体" w:cs="宋体"/>
                <w:i w:val="0"/>
                <w:iCs w:val="0"/>
                <w:color w:val="000000"/>
                <w:kern w:val="0"/>
                <w:sz w:val="21"/>
                <w:szCs w:val="21"/>
                <w:highlight w:val="none"/>
                <w:u w:val="none"/>
                <w:lang w:val="en-US" w:eastAsia="zh-CN" w:bidi="ar"/>
              </w:rPr>
              <w:t>数据</w:t>
            </w:r>
            <w:r>
              <w:rPr>
                <w:rFonts w:hint="eastAsia" w:ascii="宋体" w:hAnsi="宋体" w:eastAsia="宋体" w:cs="宋体"/>
                <w:i w:val="0"/>
                <w:iCs w:val="0"/>
                <w:color w:val="000000"/>
                <w:kern w:val="0"/>
                <w:sz w:val="21"/>
                <w:szCs w:val="21"/>
                <w:highlight w:val="none"/>
                <w:u w:val="none"/>
                <w:lang w:val="en-US" w:eastAsia="zh-CN" w:bidi="ar"/>
              </w:rPr>
              <w:t>与权限</w:t>
            </w:r>
            <w:r>
              <w:rPr>
                <w:rFonts w:hint="eastAsia" w:ascii="宋体" w:hAnsi="宋体" w:cs="宋体"/>
                <w:i w:val="0"/>
                <w:iCs w:val="0"/>
                <w:color w:val="000000"/>
                <w:kern w:val="0"/>
                <w:sz w:val="21"/>
                <w:szCs w:val="21"/>
                <w:highlight w:val="none"/>
                <w:u w:val="none"/>
                <w:lang w:val="en-US" w:eastAsia="zh-CN" w:bidi="ar"/>
              </w:rPr>
              <w:t>等</w:t>
            </w:r>
            <w:r>
              <w:rPr>
                <w:rFonts w:hint="eastAsia" w:ascii="宋体" w:hAnsi="宋体" w:eastAsia="宋体" w:cs="宋体"/>
                <w:i w:val="0"/>
                <w:iCs w:val="0"/>
                <w:color w:val="000000"/>
                <w:kern w:val="0"/>
                <w:sz w:val="21"/>
                <w:szCs w:val="21"/>
                <w:highlight w:val="none"/>
                <w:u w:val="none"/>
                <w:lang w:val="en-US" w:eastAsia="zh-CN" w:bidi="ar"/>
              </w:rPr>
              <w:t>热数据常态缓存</w:t>
            </w:r>
            <w:r>
              <w:rPr>
                <w:rFonts w:hint="eastAsia" w:ascii="宋体" w:hAnsi="宋体" w:cs="宋体"/>
                <w:i w:val="0"/>
                <w:iCs w:val="0"/>
                <w:color w:val="000000"/>
                <w:kern w:val="0"/>
                <w:sz w:val="21"/>
                <w:szCs w:val="21"/>
                <w:highlight w:val="none"/>
                <w:u w:val="none"/>
                <w:lang w:val="en-US" w:eastAsia="zh-CN" w:bidi="ar"/>
              </w:rPr>
              <w:t>化</w:t>
            </w:r>
            <w:r>
              <w:rPr>
                <w:rFonts w:hint="eastAsia" w:ascii="宋体" w:hAnsi="宋体" w:eastAsia="宋体" w:cs="宋体"/>
                <w:i w:val="0"/>
                <w:iCs w:val="0"/>
                <w:color w:val="000000"/>
                <w:kern w:val="0"/>
                <w:sz w:val="21"/>
                <w:szCs w:val="21"/>
                <w:highlight w:val="none"/>
                <w:u w:val="none"/>
                <w:lang w:val="en-US" w:eastAsia="zh-CN" w:bidi="ar"/>
              </w:rPr>
              <w:t>，详情页采用索引、缓存和分页加速；复杂排程与优化计算采用异步任务队列处理</w:t>
            </w:r>
          </w:p>
        </w:tc>
        <w:tc>
          <w:tcPr>
            <w:tcW w:w="2135" w:type="dxa"/>
            <w:tcBorders>
              <w:tl2br w:val="nil"/>
              <w:tr2bl w:val="nil"/>
            </w:tcBorders>
            <w:shd w:val="clear" w:color="auto" w:fill="auto"/>
            <w:vAlign w:val="center"/>
          </w:tcPr>
          <w:p w14:paraId="7D911719">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页面查询优化、异步计算任务、结果缓存、接口 QPS</w:t>
            </w:r>
            <w:r>
              <w:rPr>
                <w:rFonts w:hint="eastAsia" w:ascii="宋体" w:hAnsi="宋体" w:cs="宋体"/>
                <w:i w:val="0"/>
                <w:iCs w:val="0"/>
                <w:color w:val="000000"/>
                <w:kern w:val="0"/>
                <w:sz w:val="21"/>
                <w:szCs w:val="21"/>
                <w:highlight w:val="none"/>
                <w:u w:val="none"/>
                <w:lang w:val="en-US" w:eastAsia="zh-CN" w:bidi="ar"/>
              </w:rPr>
              <w:t>（每秒请求数）</w:t>
            </w:r>
            <w:r>
              <w:rPr>
                <w:rFonts w:hint="eastAsia" w:ascii="宋体" w:hAnsi="宋体" w:eastAsia="宋体" w:cs="宋体"/>
                <w:i w:val="0"/>
                <w:iCs w:val="0"/>
                <w:color w:val="000000"/>
                <w:kern w:val="0"/>
                <w:sz w:val="21"/>
                <w:szCs w:val="21"/>
                <w:highlight w:val="none"/>
                <w:u w:val="none"/>
                <w:lang w:val="en-US" w:eastAsia="zh-CN" w:bidi="ar"/>
              </w:rPr>
              <w:t>限制与超时控制</w:t>
            </w:r>
          </w:p>
        </w:tc>
        <w:tc>
          <w:tcPr>
            <w:tcW w:w="2021" w:type="dxa"/>
            <w:tcBorders>
              <w:tl2br w:val="nil"/>
              <w:tr2bl w:val="nil"/>
            </w:tcBorders>
            <w:shd w:val="clear" w:color="auto" w:fill="auto"/>
            <w:vAlign w:val="center"/>
          </w:tcPr>
          <w:p w14:paraId="38984F28">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七</w:t>
            </w:r>
            <w:r>
              <w:rPr>
                <w:rFonts w:hint="eastAsia" w:ascii="宋体" w:hAnsi="宋体" w:eastAsia="宋体" w:cs="宋体"/>
                <w:i w:val="0"/>
                <w:iCs w:val="0"/>
                <w:color w:val="000000"/>
                <w:kern w:val="0"/>
                <w:sz w:val="21"/>
                <w:szCs w:val="21"/>
                <w:u w:val="none"/>
                <w:lang w:val="en-US" w:eastAsia="zh-CN" w:bidi="ar"/>
              </w:rPr>
              <w:t xml:space="preserve">章 </w:t>
            </w:r>
          </w:p>
          <w:p w14:paraId="21BDD5F1">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非功能性需求响应</w:t>
            </w:r>
          </w:p>
        </w:tc>
      </w:tr>
    </w:tbl>
    <w:p w14:paraId="475E5FFC"/>
    <w:p w14:paraId="3F478F35">
      <w:pPr>
        <w:pStyle w:val="2"/>
        <w:keepNext/>
        <w:pageBreakBefore/>
        <w:rPr>
          <w:rFonts w:hint="eastAsia" w:ascii="黑体" w:hAnsi="黑体" w:eastAsia="黑体" w:cs="黑体"/>
          <w:color w:val="auto"/>
        </w:rPr>
      </w:pPr>
      <w:bookmarkStart w:id="67" w:name="_Toc286766060"/>
      <w:r>
        <w:rPr>
          <w:rFonts w:hint="eastAsia" w:ascii="黑体" w:hAnsi="黑体" w:eastAsia="黑体" w:cs="黑体"/>
          <w:b/>
          <w:color w:val="auto"/>
          <w:sz w:val="32"/>
        </w:rPr>
        <w:t>SCOS蓝图交付物清单</w:t>
      </w:r>
      <w:bookmarkEnd w:id="67"/>
    </w:p>
    <w:tbl>
      <w:tblPr>
        <w:tblStyle w:val="32"/>
        <w:tblW w:w="10298" w:type="dxa"/>
        <w:jc w:val="center"/>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Layout w:type="fixed"/>
        <w:tblCellMar>
          <w:top w:w="0" w:type="dxa"/>
          <w:left w:w="108" w:type="dxa"/>
          <w:bottom w:w="0" w:type="dxa"/>
          <w:right w:w="108" w:type="dxa"/>
        </w:tblCellMar>
      </w:tblPr>
      <w:tblGrid>
        <w:gridCol w:w="823"/>
        <w:gridCol w:w="2246"/>
        <w:gridCol w:w="1080"/>
        <w:gridCol w:w="2434"/>
        <w:gridCol w:w="2625"/>
        <w:gridCol w:w="1090"/>
      </w:tblGrid>
      <w:tr w14:paraId="50954461">
        <w:trPr>
          <w:trHeight w:val="514" w:hRule="atLeast"/>
          <w:tblHeader/>
          <w:jc w:val="center"/>
        </w:trPr>
        <w:tc>
          <w:tcPr>
            <w:tcW w:w="823" w:type="dxa"/>
            <w:tcBorders>
              <w:tl2br w:val="nil"/>
              <w:tr2bl w:val="nil"/>
            </w:tcBorders>
            <w:noWrap w:val="0"/>
            <w:tcMar>
              <w:top w:w="-1" w:type="dxa"/>
              <w:left w:w="-1" w:type="dxa"/>
              <w:bottom w:w="-1" w:type="dxa"/>
              <w:right w:w="-1" w:type="dxa"/>
            </w:tcMar>
            <w:vAlign w:val="center"/>
          </w:tcPr>
          <w:p w14:paraId="20FEDB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序号</w:t>
            </w:r>
          </w:p>
        </w:tc>
        <w:tc>
          <w:tcPr>
            <w:tcW w:w="2246" w:type="dxa"/>
            <w:tcBorders>
              <w:tl2br w:val="nil"/>
              <w:tr2bl w:val="nil"/>
            </w:tcBorders>
            <w:noWrap w:val="0"/>
            <w:tcMar>
              <w:top w:w="-1" w:type="dxa"/>
              <w:left w:w="-1" w:type="dxa"/>
              <w:bottom w:w="-1" w:type="dxa"/>
              <w:right w:w="-1" w:type="dxa"/>
            </w:tcMar>
            <w:vAlign w:val="center"/>
          </w:tcPr>
          <w:p w14:paraId="5173AF0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交付物名称</w:t>
            </w:r>
          </w:p>
        </w:tc>
        <w:tc>
          <w:tcPr>
            <w:tcW w:w="1080" w:type="dxa"/>
            <w:tcBorders>
              <w:tl2br w:val="nil"/>
              <w:tr2bl w:val="nil"/>
            </w:tcBorders>
            <w:noWrap w:val="0"/>
            <w:tcMar>
              <w:top w:w="-1" w:type="dxa"/>
              <w:left w:w="-1" w:type="dxa"/>
              <w:bottom w:w="-1" w:type="dxa"/>
              <w:right w:w="-1" w:type="dxa"/>
            </w:tcMar>
            <w:vAlign w:val="center"/>
          </w:tcPr>
          <w:p w14:paraId="67A1C07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文件格式</w:t>
            </w:r>
          </w:p>
        </w:tc>
        <w:tc>
          <w:tcPr>
            <w:tcW w:w="2434" w:type="dxa"/>
            <w:tcBorders>
              <w:tl2br w:val="nil"/>
              <w:tr2bl w:val="nil"/>
            </w:tcBorders>
            <w:noWrap w:val="0"/>
            <w:tcMar>
              <w:top w:w="-1" w:type="dxa"/>
              <w:left w:w="-1" w:type="dxa"/>
              <w:bottom w:w="-1" w:type="dxa"/>
              <w:right w:w="-1" w:type="dxa"/>
            </w:tcMar>
            <w:vAlign w:val="center"/>
          </w:tcPr>
          <w:p w14:paraId="0D8487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lang w:val="en-US" w:eastAsia="zh-CN"/>
              </w:rPr>
            </w:pPr>
            <w:r>
              <w:rPr>
                <w:rFonts w:hint="eastAsia" w:ascii="宋体" w:hAnsi="宋体" w:eastAsia="宋体" w:cs="宋体"/>
                <w:b/>
                <w:sz w:val="21"/>
                <w:szCs w:val="21"/>
              </w:rPr>
              <w:t>页数/</w:t>
            </w:r>
            <w:r>
              <w:rPr>
                <w:rFonts w:hint="eastAsia" w:ascii="宋体" w:hAnsi="宋体" w:eastAsia="宋体" w:cs="宋体"/>
                <w:b/>
                <w:sz w:val="21"/>
                <w:szCs w:val="21"/>
                <w:lang w:val="en-US" w:eastAsia="zh-CN"/>
              </w:rPr>
              <w:t>规模</w:t>
            </w:r>
          </w:p>
        </w:tc>
        <w:tc>
          <w:tcPr>
            <w:tcW w:w="2625" w:type="dxa"/>
            <w:tcBorders>
              <w:tl2br w:val="nil"/>
              <w:tr2bl w:val="nil"/>
            </w:tcBorders>
            <w:noWrap w:val="0"/>
            <w:tcMar>
              <w:top w:w="-1" w:type="dxa"/>
              <w:left w:w="-1" w:type="dxa"/>
              <w:bottom w:w="-1" w:type="dxa"/>
              <w:right w:w="-1" w:type="dxa"/>
            </w:tcMar>
            <w:vAlign w:val="center"/>
          </w:tcPr>
          <w:p w14:paraId="69B43AC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对应本细则条款号</w:t>
            </w:r>
          </w:p>
        </w:tc>
        <w:tc>
          <w:tcPr>
            <w:tcW w:w="1090" w:type="dxa"/>
            <w:tcBorders>
              <w:tl2br w:val="nil"/>
              <w:tr2bl w:val="nil"/>
            </w:tcBorders>
            <w:noWrap w:val="0"/>
            <w:tcMar>
              <w:top w:w="-1" w:type="dxa"/>
              <w:left w:w="-1" w:type="dxa"/>
              <w:bottom w:w="-1" w:type="dxa"/>
              <w:right w:w="-1" w:type="dxa"/>
            </w:tcMar>
            <w:vAlign w:val="center"/>
          </w:tcPr>
          <w:p w14:paraId="4F73CC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提交状态</w:t>
            </w:r>
          </w:p>
        </w:tc>
      </w:tr>
      <w:tr w14:paraId="11299399">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71F78E5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1</w:t>
            </w:r>
          </w:p>
        </w:tc>
        <w:tc>
          <w:tcPr>
            <w:tcW w:w="2246" w:type="dxa"/>
            <w:tcBorders>
              <w:tl2br w:val="nil"/>
              <w:tr2bl w:val="nil"/>
            </w:tcBorders>
            <w:noWrap w:val="0"/>
            <w:tcMar>
              <w:top w:w="-1" w:type="dxa"/>
              <w:left w:w="-1" w:type="dxa"/>
              <w:bottom w:w="-1" w:type="dxa"/>
              <w:right w:w="-1" w:type="dxa"/>
            </w:tcMar>
            <w:vAlign w:val="center"/>
          </w:tcPr>
          <w:p w14:paraId="74D1CD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w:t>
            </w:r>
            <w:r>
              <w:rPr>
                <w:rFonts w:hint="eastAsia" w:ascii="宋体" w:hAnsi="宋体" w:eastAsia="宋体" w:cs="宋体"/>
                <w:sz w:val="21"/>
                <w:szCs w:val="21"/>
              </w:rPr>
              <w:t>业务流程总览</w:t>
            </w:r>
          </w:p>
        </w:tc>
        <w:tc>
          <w:tcPr>
            <w:tcW w:w="1080" w:type="dxa"/>
            <w:tcBorders>
              <w:tl2br w:val="nil"/>
              <w:tr2bl w:val="nil"/>
            </w:tcBorders>
            <w:noWrap w:val="0"/>
            <w:tcMar>
              <w:top w:w="-1" w:type="dxa"/>
              <w:left w:w="-1" w:type="dxa"/>
              <w:bottom w:w="-1" w:type="dxa"/>
              <w:right w:w="-1" w:type="dxa"/>
            </w:tcMar>
            <w:vAlign w:val="center"/>
          </w:tcPr>
          <w:p w14:paraId="7C03E1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2F36E5F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\l "_SCOS业务流程总览" </w:instrText>
            </w:r>
            <w:r>
              <w:rPr>
                <w:rFonts w:hint="eastAsia" w:ascii="宋体" w:hAnsi="宋体" w:eastAsia="宋体" w:cs="宋体"/>
                <w:sz w:val="21"/>
                <w:szCs w:val="21"/>
                <w:lang w:val="en-US" w:eastAsia="zh-CN"/>
              </w:rPr>
              <w:fldChar w:fldCharType="separate"/>
            </w:r>
            <w:r>
              <w:rPr>
                <w:rStyle w:val="36"/>
                <w:rFonts w:hint="eastAsia" w:ascii="宋体" w:hAnsi="宋体" w:eastAsia="宋体" w:cs="宋体"/>
                <w:sz w:val="21"/>
                <w:szCs w:val="21"/>
                <w:lang w:val="en-US" w:eastAsia="zh-CN"/>
              </w:rPr>
              <w:t>SCOS业务流程总览</w:t>
            </w:r>
            <w:r>
              <w:rPr>
                <w:rFonts w:hint="eastAsia" w:ascii="宋体" w:hAnsi="宋体" w:eastAsia="宋体" w:cs="宋体"/>
                <w:sz w:val="21"/>
                <w:szCs w:val="21"/>
                <w:lang w:val="en-US" w:eastAsia="zh-CN"/>
              </w:rPr>
              <w:fldChar w:fldCharType="end"/>
            </w:r>
          </w:p>
        </w:tc>
        <w:tc>
          <w:tcPr>
            <w:tcW w:w="2625" w:type="dxa"/>
            <w:tcBorders>
              <w:tl2br w:val="nil"/>
              <w:tr2bl w:val="nil"/>
            </w:tcBorders>
            <w:noWrap w:val="0"/>
            <w:tcMar>
              <w:top w:w="-1" w:type="dxa"/>
              <w:left w:w="-1" w:type="dxa"/>
              <w:bottom w:w="-1" w:type="dxa"/>
              <w:right w:w="-1" w:type="dxa"/>
            </w:tcMar>
            <w:vAlign w:val="center"/>
          </w:tcPr>
          <w:p w14:paraId="7DC02E32">
            <w:pPr>
              <w:keepNext w:val="0"/>
              <w:keepLines w:val="0"/>
              <w:numPr>
                <w:ilvl w:val="0"/>
                <w:numId w:val="0"/>
              </w:numPr>
              <w:suppressLineNumbers w:val="0"/>
              <w:snapToGrid w:val="0"/>
              <w:spacing w:before="0" w:beforeAutospacing="0" w:after="0" w:afterAutospacing="0"/>
              <w:ind w:left="0" w:right="0" w:righ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2.1 SCOS</w:t>
            </w:r>
            <w:r>
              <w:rPr>
                <w:rFonts w:hint="eastAsia" w:ascii="宋体" w:hAnsi="宋体" w:eastAsia="宋体" w:cs="宋体"/>
                <w:sz w:val="21"/>
                <w:szCs w:val="21"/>
              </w:rPr>
              <w:t>业务流程总</w:t>
            </w:r>
            <w:r>
              <w:rPr>
                <w:rFonts w:hint="eastAsia" w:ascii="宋体" w:hAnsi="宋体" w:eastAsia="宋体" w:cs="宋体"/>
                <w:sz w:val="21"/>
                <w:szCs w:val="21"/>
                <w:lang w:val="en-US" w:eastAsia="zh-CN"/>
              </w:rPr>
              <w:t>图</w:t>
            </w:r>
          </w:p>
        </w:tc>
        <w:tc>
          <w:tcPr>
            <w:tcW w:w="1090" w:type="dxa"/>
            <w:tcBorders>
              <w:tl2br w:val="nil"/>
              <w:tr2bl w:val="nil"/>
            </w:tcBorders>
            <w:noWrap w:val="0"/>
            <w:tcMar>
              <w:top w:w="-1" w:type="dxa"/>
              <w:left w:w="-1" w:type="dxa"/>
              <w:bottom w:w="-1" w:type="dxa"/>
              <w:right w:w="-1" w:type="dxa"/>
            </w:tcMar>
            <w:vAlign w:val="center"/>
          </w:tcPr>
          <w:p w14:paraId="7F10A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6F06DF09">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305B18C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2</w:t>
            </w:r>
          </w:p>
        </w:tc>
        <w:tc>
          <w:tcPr>
            <w:tcW w:w="2246" w:type="dxa"/>
            <w:tcBorders>
              <w:tl2br w:val="nil"/>
              <w:tr2bl w:val="nil"/>
            </w:tcBorders>
            <w:noWrap w:val="0"/>
            <w:tcMar>
              <w:top w:w="-1" w:type="dxa"/>
              <w:left w:w="-1" w:type="dxa"/>
              <w:bottom w:w="-1" w:type="dxa"/>
              <w:right w:w="-1" w:type="dxa"/>
            </w:tcMar>
            <w:vAlign w:val="center"/>
          </w:tcPr>
          <w:p w14:paraId="1D70F36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关键业务流程说明</w:t>
            </w:r>
          </w:p>
        </w:tc>
        <w:tc>
          <w:tcPr>
            <w:tcW w:w="1080" w:type="dxa"/>
            <w:tcBorders>
              <w:tl2br w:val="nil"/>
              <w:tr2bl w:val="nil"/>
            </w:tcBorders>
            <w:noWrap w:val="0"/>
            <w:tcMar>
              <w:top w:w="-1" w:type="dxa"/>
              <w:left w:w="-1" w:type="dxa"/>
              <w:bottom w:w="-1" w:type="dxa"/>
              <w:right w:w="-1" w:type="dxa"/>
            </w:tcMar>
            <w:vAlign w:val="center"/>
          </w:tcPr>
          <w:p w14:paraId="2A8336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4C083E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"_【核心部分-待后续优化】关键业务流程说明" </w:instrText>
            </w:r>
            <w:r>
              <w:rPr>
                <w:rFonts w:hint="eastAsia" w:ascii="宋体" w:hAnsi="宋体" w:eastAsia="宋体" w:cs="宋体"/>
                <w:sz w:val="21"/>
                <w:szCs w:val="21"/>
              </w:rPr>
              <w:fldChar w:fldCharType="separate"/>
            </w:r>
            <w:r>
              <w:rPr>
                <w:rStyle w:val="36"/>
                <w:rFonts w:hint="eastAsia" w:ascii="宋体" w:hAnsi="宋体" w:eastAsia="宋体" w:cs="宋体"/>
                <w:sz w:val="21"/>
                <w:szCs w:val="21"/>
              </w:rPr>
              <w:t>SCOS关键业务流程说明</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48CF4377">
            <w:pPr>
              <w:keepNext w:val="0"/>
              <w:keepLines w:val="0"/>
              <w:numPr>
                <w:ilvl w:val="0"/>
                <w:numId w:val="0"/>
              </w:numPr>
              <w:suppressLineNumbers w:val="0"/>
              <w:snapToGrid w:val="0"/>
              <w:spacing w:before="0" w:beforeAutospacing="0" w:after="0" w:afterAutospacing="0"/>
              <w:ind w:left="0" w:leftChars="0" w:right="0" w:rightChars="0"/>
              <w:jc w:val="left"/>
              <w:rPr>
                <w:rFonts w:hint="eastAsia" w:ascii="宋体" w:hAnsi="宋体" w:eastAsia="宋体" w:cs="宋体"/>
                <w:sz w:val="21"/>
                <w:szCs w:val="21"/>
                <w:lang w:val="en-US"/>
              </w:rPr>
            </w:pPr>
            <w:r>
              <w:rPr>
                <w:rFonts w:hint="eastAsia" w:ascii="宋体" w:hAnsi="宋体" w:eastAsia="宋体" w:cs="宋体"/>
                <w:sz w:val="21"/>
                <w:szCs w:val="21"/>
                <w:lang w:val="en-US" w:eastAsia="zh-CN"/>
              </w:rPr>
              <w:t>2.2 SCOS关键业务流程说明</w:t>
            </w:r>
          </w:p>
        </w:tc>
        <w:tc>
          <w:tcPr>
            <w:tcW w:w="1090" w:type="dxa"/>
            <w:tcBorders>
              <w:tl2br w:val="nil"/>
              <w:tr2bl w:val="nil"/>
            </w:tcBorders>
            <w:noWrap w:val="0"/>
            <w:tcMar>
              <w:top w:w="-1" w:type="dxa"/>
              <w:left w:w="-1" w:type="dxa"/>
              <w:bottom w:w="-1" w:type="dxa"/>
              <w:right w:w="-1" w:type="dxa"/>
            </w:tcMar>
            <w:vAlign w:val="center"/>
          </w:tcPr>
          <w:p w14:paraId="30A5D1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5DCE4959">
        <w:trPr>
          <w:trHeight w:val="517" w:hRule="atLeast"/>
          <w:jc w:val="center"/>
        </w:trPr>
        <w:tc>
          <w:tcPr>
            <w:tcW w:w="823" w:type="dxa"/>
            <w:tcBorders>
              <w:tl2br w:val="nil"/>
              <w:tr2bl w:val="nil"/>
            </w:tcBorders>
            <w:shd w:val="clear" w:color="auto" w:fill="auto"/>
            <w:noWrap w:val="0"/>
            <w:tcMar>
              <w:top w:w="-1" w:type="dxa"/>
              <w:left w:w="-1" w:type="dxa"/>
              <w:bottom w:w="-1" w:type="dxa"/>
              <w:right w:w="-1" w:type="dxa"/>
            </w:tcMar>
            <w:vAlign w:val="center"/>
          </w:tcPr>
          <w:p w14:paraId="21608D4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3</w:t>
            </w:r>
          </w:p>
        </w:tc>
        <w:tc>
          <w:tcPr>
            <w:tcW w:w="2246" w:type="dxa"/>
            <w:tcBorders>
              <w:tl2br w:val="nil"/>
              <w:tr2bl w:val="nil"/>
            </w:tcBorders>
            <w:shd w:val="clear" w:color="auto" w:fill="auto"/>
            <w:noWrap w:val="0"/>
            <w:tcMar>
              <w:top w:w="-1" w:type="dxa"/>
              <w:left w:w="-1" w:type="dxa"/>
              <w:bottom w:w="-1" w:type="dxa"/>
              <w:right w:w="-1" w:type="dxa"/>
            </w:tcMar>
            <w:vAlign w:val="center"/>
          </w:tcPr>
          <w:p w14:paraId="2B2632D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rPr>
              <w:t>系统边界与分工表</w:t>
            </w:r>
          </w:p>
        </w:tc>
        <w:tc>
          <w:tcPr>
            <w:tcW w:w="1080" w:type="dxa"/>
            <w:tcBorders>
              <w:tl2br w:val="nil"/>
              <w:tr2bl w:val="nil"/>
            </w:tcBorders>
            <w:shd w:val="clear" w:color="auto" w:fill="auto"/>
            <w:noWrap w:val="0"/>
            <w:tcMar>
              <w:top w:w="-1" w:type="dxa"/>
              <w:left w:w="-1" w:type="dxa"/>
              <w:bottom w:w="-1" w:type="dxa"/>
              <w:right w:w="-1" w:type="dxa"/>
            </w:tcMar>
            <w:vAlign w:val="center"/>
          </w:tcPr>
          <w:p w14:paraId="753C4C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02A96D5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"_系统边界与分工" </w:instrText>
            </w:r>
            <w:r>
              <w:rPr>
                <w:rFonts w:hint="eastAsia" w:ascii="宋体" w:hAnsi="宋体" w:eastAsia="宋体" w:cs="宋体"/>
                <w:kern w:val="2"/>
                <w:sz w:val="21"/>
                <w:szCs w:val="21"/>
                <w:lang w:val="en-US" w:eastAsia="zh-CN" w:bidi="ar-SA"/>
              </w:rPr>
              <w:fldChar w:fldCharType="separate"/>
            </w:r>
            <w:r>
              <w:rPr>
                <w:rStyle w:val="36"/>
                <w:rFonts w:hint="eastAsia" w:ascii="宋体" w:hAnsi="宋体" w:eastAsia="宋体" w:cs="宋体"/>
                <w:kern w:val="2"/>
                <w:sz w:val="21"/>
                <w:szCs w:val="21"/>
                <w:lang w:val="en-US" w:eastAsia="zh-CN" w:bidi="ar-SA"/>
              </w:rPr>
              <w:t>SCOS系统边界与分工</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3D140C8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2.2.6 SCOS</w:t>
            </w:r>
            <w:r>
              <w:rPr>
                <w:rFonts w:hint="eastAsia" w:ascii="宋体" w:hAnsi="宋体" w:eastAsia="宋体" w:cs="宋体"/>
                <w:sz w:val="21"/>
                <w:szCs w:val="21"/>
              </w:rPr>
              <w:t>系统边界与分工</w:t>
            </w:r>
          </w:p>
        </w:tc>
        <w:tc>
          <w:tcPr>
            <w:tcW w:w="1090" w:type="dxa"/>
            <w:tcBorders>
              <w:tl2br w:val="nil"/>
              <w:tr2bl w:val="nil"/>
            </w:tcBorders>
            <w:shd w:val="clear" w:color="auto" w:fill="auto"/>
            <w:noWrap w:val="0"/>
            <w:tcMar>
              <w:top w:w="-1" w:type="dxa"/>
              <w:left w:w="-1" w:type="dxa"/>
              <w:bottom w:w="-1" w:type="dxa"/>
              <w:right w:w="-1" w:type="dxa"/>
            </w:tcMar>
            <w:vAlign w:val="center"/>
          </w:tcPr>
          <w:p w14:paraId="12A97F7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2529D958">
        <w:trPr>
          <w:trHeight w:val="445" w:hRule="atLeast"/>
          <w:jc w:val="center"/>
        </w:trPr>
        <w:tc>
          <w:tcPr>
            <w:tcW w:w="823" w:type="dxa"/>
            <w:tcBorders>
              <w:tl2br w:val="nil"/>
              <w:tr2bl w:val="nil"/>
            </w:tcBorders>
            <w:shd w:val="clear" w:color="auto" w:fill="auto"/>
            <w:noWrap w:val="0"/>
            <w:tcMar>
              <w:top w:w="-1" w:type="dxa"/>
              <w:left w:w="-1" w:type="dxa"/>
              <w:bottom w:w="-1" w:type="dxa"/>
              <w:right w:w="-1" w:type="dxa"/>
            </w:tcMar>
            <w:vAlign w:val="center"/>
          </w:tcPr>
          <w:p w14:paraId="1E1091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4</w:t>
            </w:r>
          </w:p>
        </w:tc>
        <w:tc>
          <w:tcPr>
            <w:tcW w:w="2246" w:type="dxa"/>
            <w:tcBorders>
              <w:tl2br w:val="nil"/>
              <w:tr2bl w:val="nil"/>
            </w:tcBorders>
            <w:shd w:val="clear" w:color="auto" w:fill="auto"/>
            <w:noWrap w:val="0"/>
            <w:tcMar>
              <w:top w:w="-1" w:type="dxa"/>
              <w:left w:w="-1" w:type="dxa"/>
              <w:bottom w:w="-1" w:type="dxa"/>
              <w:right w:w="-1" w:type="dxa"/>
            </w:tcMar>
            <w:vAlign w:val="center"/>
          </w:tcPr>
          <w:p w14:paraId="5CC1DAD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SCOS功能架构</w:t>
            </w:r>
          </w:p>
        </w:tc>
        <w:tc>
          <w:tcPr>
            <w:tcW w:w="1080" w:type="dxa"/>
            <w:tcBorders>
              <w:tl2br w:val="nil"/>
              <w:tr2bl w:val="nil"/>
            </w:tcBorders>
            <w:shd w:val="clear" w:color="auto" w:fill="auto"/>
            <w:noWrap w:val="0"/>
            <w:tcMar>
              <w:top w:w="-1" w:type="dxa"/>
              <w:left w:w="-1" w:type="dxa"/>
              <w:bottom w:w="-1" w:type="dxa"/>
              <w:right w:w="-1" w:type="dxa"/>
            </w:tcMar>
            <w:vAlign w:val="center"/>
          </w:tcPr>
          <w:p w14:paraId="30CBA2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4459E97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"_功能架构"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SCOS功能架构</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323BAA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2.3 SCOS功能架构图</w:t>
            </w:r>
          </w:p>
        </w:tc>
        <w:tc>
          <w:tcPr>
            <w:tcW w:w="1090" w:type="dxa"/>
            <w:tcBorders>
              <w:tl2br w:val="nil"/>
              <w:tr2bl w:val="nil"/>
            </w:tcBorders>
            <w:shd w:val="clear" w:color="auto" w:fill="auto"/>
            <w:noWrap w:val="0"/>
            <w:tcMar>
              <w:top w:w="-1" w:type="dxa"/>
              <w:left w:w="-1" w:type="dxa"/>
              <w:bottom w:w="-1" w:type="dxa"/>
              <w:right w:w="-1" w:type="dxa"/>
            </w:tcMar>
            <w:vAlign w:val="center"/>
          </w:tcPr>
          <w:p w14:paraId="412250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32D6A628">
        <w:trPr>
          <w:trHeight w:val="508" w:hRule="atLeast"/>
          <w:jc w:val="center"/>
        </w:trPr>
        <w:tc>
          <w:tcPr>
            <w:tcW w:w="823" w:type="dxa"/>
            <w:tcBorders>
              <w:tl2br w:val="nil"/>
              <w:tr2bl w:val="nil"/>
            </w:tcBorders>
            <w:noWrap w:val="0"/>
            <w:tcMar>
              <w:top w:w="-1" w:type="dxa"/>
              <w:left w:w="-1" w:type="dxa"/>
              <w:bottom w:w="-1" w:type="dxa"/>
              <w:right w:w="-1" w:type="dxa"/>
            </w:tcMar>
            <w:vAlign w:val="center"/>
          </w:tcPr>
          <w:p w14:paraId="17D1A2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5</w:t>
            </w:r>
          </w:p>
        </w:tc>
        <w:tc>
          <w:tcPr>
            <w:tcW w:w="2246" w:type="dxa"/>
            <w:tcBorders>
              <w:tl2br w:val="nil"/>
              <w:tr2bl w:val="nil"/>
            </w:tcBorders>
            <w:noWrap w:val="0"/>
            <w:tcMar>
              <w:top w:w="-1" w:type="dxa"/>
              <w:left w:w="-1" w:type="dxa"/>
              <w:bottom w:w="-1" w:type="dxa"/>
              <w:right w:w="-1" w:type="dxa"/>
            </w:tcMar>
            <w:vAlign w:val="center"/>
          </w:tcPr>
          <w:p w14:paraId="49EB72A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w:t>
            </w:r>
            <w:r>
              <w:rPr>
                <w:rFonts w:hint="eastAsia" w:ascii="宋体" w:hAnsi="宋体" w:eastAsia="宋体" w:cs="宋体"/>
                <w:sz w:val="21"/>
                <w:szCs w:val="21"/>
              </w:rPr>
              <w:t>角色权限矩阵</w:t>
            </w:r>
          </w:p>
        </w:tc>
        <w:tc>
          <w:tcPr>
            <w:tcW w:w="1080" w:type="dxa"/>
            <w:tcBorders>
              <w:tl2br w:val="nil"/>
              <w:tr2bl w:val="nil"/>
            </w:tcBorders>
            <w:noWrap w:val="0"/>
            <w:tcMar>
              <w:top w:w="-1" w:type="dxa"/>
              <w:left w:w="-1" w:type="dxa"/>
              <w:bottom w:w="-1" w:type="dxa"/>
              <w:right w:w="-1" w:type="dxa"/>
            </w:tcMar>
            <w:vAlign w:val="center"/>
          </w:tcPr>
          <w:p w14:paraId="10F683D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792B934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"_SCOS角色权限矩阵" </w:instrText>
            </w:r>
            <w:r>
              <w:rPr>
                <w:rFonts w:hint="eastAsia" w:ascii="宋体" w:hAnsi="宋体" w:eastAsia="宋体" w:cs="宋体"/>
                <w:sz w:val="21"/>
                <w:szCs w:val="21"/>
              </w:rPr>
              <w:fldChar w:fldCharType="separate"/>
            </w:r>
            <w:r>
              <w:rPr>
                <w:rStyle w:val="37"/>
                <w:rFonts w:hint="eastAsia" w:ascii="宋体" w:hAnsi="宋体" w:eastAsia="宋体" w:cs="宋体"/>
                <w:sz w:val="21"/>
                <w:szCs w:val="21"/>
              </w:rPr>
              <w:t>SCOS角色权限矩阵</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5FE5946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2.4 SCOS</w:t>
            </w:r>
            <w:r>
              <w:rPr>
                <w:rFonts w:hint="eastAsia" w:ascii="宋体" w:hAnsi="宋体" w:eastAsia="宋体" w:cs="宋体"/>
                <w:sz w:val="21"/>
                <w:szCs w:val="21"/>
              </w:rPr>
              <w:t>角色权限矩阵</w:t>
            </w:r>
          </w:p>
        </w:tc>
        <w:tc>
          <w:tcPr>
            <w:tcW w:w="1090" w:type="dxa"/>
            <w:tcBorders>
              <w:tl2br w:val="nil"/>
              <w:tr2bl w:val="nil"/>
            </w:tcBorders>
            <w:noWrap w:val="0"/>
            <w:tcMar>
              <w:top w:w="-1" w:type="dxa"/>
              <w:left w:w="-1" w:type="dxa"/>
              <w:bottom w:w="-1" w:type="dxa"/>
              <w:right w:w="-1" w:type="dxa"/>
            </w:tcMar>
            <w:vAlign w:val="center"/>
          </w:tcPr>
          <w:p w14:paraId="0DE1CE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2AE35F98">
        <w:trPr>
          <w:trHeight w:val="523" w:hRule="atLeast"/>
          <w:jc w:val="center"/>
        </w:trPr>
        <w:tc>
          <w:tcPr>
            <w:tcW w:w="823" w:type="dxa"/>
            <w:tcBorders>
              <w:tl2br w:val="nil"/>
              <w:tr2bl w:val="nil"/>
            </w:tcBorders>
            <w:noWrap w:val="0"/>
            <w:tcMar>
              <w:top w:w="-1" w:type="dxa"/>
              <w:left w:w="-1" w:type="dxa"/>
              <w:bottom w:w="-1" w:type="dxa"/>
              <w:right w:w="-1" w:type="dxa"/>
            </w:tcMar>
            <w:vAlign w:val="center"/>
          </w:tcPr>
          <w:p w14:paraId="0697B0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6</w:t>
            </w:r>
          </w:p>
        </w:tc>
        <w:tc>
          <w:tcPr>
            <w:tcW w:w="2246" w:type="dxa"/>
            <w:tcBorders>
              <w:tl2br w:val="nil"/>
              <w:tr2bl w:val="nil"/>
            </w:tcBorders>
            <w:noWrap w:val="0"/>
            <w:tcMar>
              <w:top w:w="-1" w:type="dxa"/>
              <w:left w:w="-1" w:type="dxa"/>
              <w:bottom w:w="-1" w:type="dxa"/>
              <w:right w:w="-1" w:type="dxa"/>
            </w:tcMar>
            <w:vAlign w:val="center"/>
          </w:tcPr>
          <w:p w14:paraId="278D982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w:t>
            </w:r>
            <w:r>
              <w:rPr>
                <w:rFonts w:hint="eastAsia" w:ascii="宋体" w:hAnsi="宋体" w:eastAsia="宋体" w:cs="宋体"/>
                <w:sz w:val="21"/>
                <w:szCs w:val="21"/>
              </w:rPr>
              <w:t>业务规则清单</w:t>
            </w:r>
          </w:p>
        </w:tc>
        <w:tc>
          <w:tcPr>
            <w:tcW w:w="1080" w:type="dxa"/>
            <w:tcBorders>
              <w:tl2br w:val="nil"/>
              <w:tr2bl w:val="nil"/>
            </w:tcBorders>
            <w:noWrap w:val="0"/>
            <w:tcMar>
              <w:top w:w="-1" w:type="dxa"/>
              <w:left w:w="-1" w:type="dxa"/>
              <w:bottom w:w="-1" w:type="dxa"/>
              <w:right w:w="-1" w:type="dxa"/>
            </w:tcMar>
            <w:vAlign w:val="center"/>
          </w:tcPr>
          <w:p w14:paraId="32EF15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67269AA0">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"_SCOS业务规则清单" </w:instrText>
            </w:r>
            <w:r>
              <w:rPr>
                <w:rFonts w:hint="eastAsia" w:ascii="宋体" w:hAnsi="宋体" w:eastAsia="宋体" w:cs="宋体"/>
                <w:sz w:val="21"/>
                <w:szCs w:val="21"/>
              </w:rPr>
              <w:fldChar w:fldCharType="separate"/>
            </w:r>
            <w:r>
              <w:rPr>
                <w:rStyle w:val="37"/>
                <w:rFonts w:hint="eastAsia" w:ascii="宋体" w:hAnsi="宋体" w:eastAsia="宋体" w:cs="宋体"/>
                <w:sz w:val="21"/>
                <w:szCs w:val="21"/>
              </w:rPr>
              <w:t>SCOS业务规则清单</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03391F9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2.5 SCOS</w:t>
            </w:r>
            <w:r>
              <w:rPr>
                <w:rFonts w:hint="eastAsia" w:ascii="宋体" w:hAnsi="宋体" w:eastAsia="宋体" w:cs="宋体"/>
                <w:sz w:val="21"/>
                <w:szCs w:val="21"/>
              </w:rPr>
              <w:t>业务规则清单</w:t>
            </w:r>
          </w:p>
        </w:tc>
        <w:tc>
          <w:tcPr>
            <w:tcW w:w="1090" w:type="dxa"/>
            <w:tcBorders>
              <w:tl2br w:val="nil"/>
              <w:tr2bl w:val="nil"/>
            </w:tcBorders>
            <w:noWrap w:val="0"/>
            <w:tcMar>
              <w:top w:w="-1" w:type="dxa"/>
              <w:left w:w="-1" w:type="dxa"/>
              <w:bottom w:w="-1" w:type="dxa"/>
              <w:right w:w="-1" w:type="dxa"/>
            </w:tcMar>
            <w:vAlign w:val="center"/>
          </w:tcPr>
          <w:p w14:paraId="2EB5490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1BE5791C">
        <w:trPr>
          <w:trHeight w:val="523" w:hRule="atLeast"/>
          <w:jc w:val="center"/>
        </w:trPr>
        <w:tc>
          <w:tcPr>
            <w:tcW w:w="823" w:type="dxa"/>
            <w:tcBorders>
              <w:tl2br w:val="nil"/>
              <w:tr2bl w:val="nil"/>
            </w:tcBorders>
            <w:noWrap w:val="0"/>
            <w:tcMar>
              <w:top w:w="-1" w:type="dxa"/>
              <w:left w:w="-1" w:type="dxa"/>
              <w:bottom w:w="-1" w:type="dxa"/>
              <w:right w:w="-1" w:type="dxa"/>
            </w:tcMar>
            <w:vAlign w:val="center"/>
          </w:tcPr>
          <w:p w14:paraId="4905B6B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7</w:t>
            </w:r>
          </w:p>
        </w:tc>
        <w:tc>
          <w:tcPr>
            <w:tcW w:w="2246" w:type="dxa"/>
            <w:tcBorders>
              <w:tl2br w:val="nil"/>
              <w:tr2bl w:val="nil"/>
            </w:tcBorders>
            <w:shd w:val="clear" w:color="auto" w:fill="auto"/>
            <w:noWrap w:val="0"/>
            <w:tcMar>
              <w:top w:w="-1" w:type="dxa"/>
              <w:left w:w="-1" w:type="dxa"/>
              <w:bottom w:w="-1" w:type="dxa"/>
              <w:right w:w="-1" w:type="dxa"/>
            </w:tcMar>
            <w:vAlign w:val="center"/>
          </w:tcPr>
          <w:p w14:paraId="6BC99FB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数据流架构图</w:t>
            </w:r>
          </w:p>
        </w:tc>
        <w:tc>
          <w:tcPr>
            <w:tcW w:w="1080" w:type="dxa"/>
            <w:tcBorders>
              <w:tl2br w:val="nil"/>
              <w:tr2bl w:val="nil"/>
            </w:tcBorders>
            <w:shd w:val="clear" w:color="auto" w:fill="auto"/>
            <w:noWrap w:val="0"/>
            <w:tcMar>
              <w:top w:w="-1" w:type="dxa"/>
              <w:left w:w="-1" w:type="dxa"/>
              <w:bottom w:w="-1" w:type="dxa"/>
              <w:right w:w="-1" w:type="dxa"/>
            </w:tcMar>
            <w:vAlign w:val="center"/>
          </w:tcPr>
          <w:p w14:paraId="522642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546A516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"_SCOS数据流架构图"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SCOS数据流架构图</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61BCF9F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4.1 SCOS</w:t>
            </w:r>
            <w:r>
              <w:rPr>
                <w:rFonts w:hint="eastAsia" w:ascii="宋体" w:hAnsi="宋体" w:eastAsia="宋体" w:cs="宋体"/>
                <w:sz w:val="21"/>
                <w:szCs w:val="21"/>
              </w:rPr>
              <w:t>数据流架构图</w:t>
            </w:r>
          </w:p>
        </w:tc>
        <w:tc>
          <w:tcPr>
            <w:tcW w:w="1090" w:type="dxa"/>
            <w:tcBorders>
              <w:tl2br w:val="nil"/>
              <w:tr2bl w:val="nil"/>
            </w:tcBorders>
            <w:shd w:val="clear" w:color="auto" w:fill="auto"/>
            <w:noWrap w:val="0"/>
            <w:tcMar>
              <w:top w:w="-1" w:type="dxa"/>
              <w:left w:w="-1" w:type="dxa"/>
              <w:bottom w:w="-1" w:type="dxa"/>
              <w:right w:w="-1" w:type="dxa"/>
            </w:tcMar>
            <w:vAlign w:val="center"/>
          </w:tcPr>
          <w:p w14:paraId="1ACD41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4F9D22A6">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34FBB1A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8</w:t>
            </w:r>
          </w:p>
        </w:tc>
        <w:tc>
          <w:tcPr>
            <w:tcW w:w="2246" w:type="dxa"/>
            <w:tcBorders>
              <w:tl2br w:val="nil"/>
              <w:tr2bl w:val="nil"/>
            </w:tcBorders>
            <w:shd w:val="clear" w:color="auto" w:fill="auto"/>
            <w:noWrap w:val="0"/>
            <w:tcMar>
              <w:top w:w="-1" w:type="dxa"/>
              <w:left w:w="-1" w:type="dxa"/>
              <w:bottom w:w="-1" w:type="dxa"/>
              <w:right w:w="-1" w:type="dxa"/>
            </w:tcMar>
            <w:vAlign w:val="center"/>
          </w:tcPr>
          <w:p w14:paraId="46D2E32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数据实体与字段映射表</w:t>
            </w:r>
          </w:p>
        </w:tc>
        <w:tc>
          <w:tcPr>
            <w:tcW w:w="1080" w:type="dxa"/>
            <w:tcBorders>
              <w:tl2br w:val="nil"/>
              <w:tr2bl w:val="nil"/>
            </w:tcBorders>
            <w:shd w:val="clear" w:color="auto" w:fill="auto"/>
            <w:noWrap w:val="0"/>
            <w:tcMar>
              <w:top w:w="-1" w:type="dxa"/>
              <w:left w:w="-1" w:type="dxa"/>
              <w:bottom w:w="-1" w:type="dxa"/>
              <w:right w:w="-1" w:type="dxa"/>
            </w:tcMar>
            <w:vAlign w:val="center"/>
          </w:tcPr>
          <w:p w14:paraId="2C5AB1E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1061F73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"_SCOS数据实体与字段映射表" </w:instrText>
            </w:r>
            <w:r>
              <w:rPr>
                <w:rFonts w:hint="eastAsia" w:ascii="宋体" w:hAnsi="宋体" w:eastAsia="宋体" w:cs="宋体"/>
                <w:kern w:val="2"/>
                <w:sz w:val="21"/>
                <w:szCs w:val="21"/>
                <w:lang w:val="en-US" w:eastAsia="zh-CN" w:bidi="ar-SA"/>
              </w:rPr>
              <w:fldChar w:fldCharType="separate"/>
            </w:r>
            <w:r>
              <w:rPr>
                <w:rStyle w:val="36"/>
                <w:rFonts w:hint="eastAsia" w:ascii="宋体" w:hAnsi="宋体" w:eastAsia="宋体" w:cs="宋体"/>
                <w:kern w:val="2"/>
                <w:sz w:val="21"/>
                <w:szCs w:val="21"/>
                <w:lang w:val="en-US" w:eastAsia="zh-CN" w:bidi="ar-SA"/>
              </w:rPr>
              <w:t>SCOS数据实体与字段映射表</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6CD1B17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4.2 SCOS</w:t>
            </w:r>
            <w:r>
              <w:rPr>
                <w:rFonts w:hint="eastAsia" w:ascii="宋体" w:hAnsi="宋体" w:eastAsia="宋体" w:cs="宋体"/>
                <w:sz w:val="21"/>
                <w:szCs w:val="21"/>
              </w:rPr>
              <w:t>数据实体与字段映射表</w:t>
            </w:r>
          </w:p>
        </w:tc>
        <w:tc>
          <w:tcPr>
            <w:tcW w:w="1090" w:type="dxa"/>
            <w:tcBorders>
              <w:tl2br w:val="nil"/>
              <w:tr2bl w:val="nil"/>
            </w:tcBorders>
            <w:shd w:val="clear" w:color="auto" w:fill="auto"/>
            <w:noWrap w:val="0"/>
            <w:tcMar>
              <w:top w:w="-1" w:type="dxa"/>
              <w:left w:w="-1" w:type="dxa"/>
              <w:bottom w:w="-1" w:type="dxa"/>
              <w:right w:w="-1" w:type="dxa"/>
            </w:tcMar>
            <w:vAlign w:val="center"/>
          </w:tcPr>
          <w:p w14:paraId="127062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3D227824">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3532D2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9</w:t>
            </w:r>
          </w:p>
        </w:tc>
        <w:tc>
          <w:tcPr>
            <w:tcW w:w="2246" w:type="dxa"/>
            <w:tcBorders>
              <w:tl2br w:val="nil"/>
              <w:tr2bl w:val="nil"/>
            </w:tcBorders>
            <w:shd w:val="clear" w:color="auto" w:fill="auto"/>
            <w:noWrap w:val="0"/>
            <w:tcMar>
              <w:top w:w="-1" w:type="dxa"/>
              <w:left w:w="-1" w:type="dxa"/>
              <w:bottom w:w="-1" w:type="dxa"/>
              <w:right w:w="-1" w:type="dxa"/>
            </w:tcMar>
            <w:vAlign w:val="center"/>
          </w:tcPr>
          <w:p w14:paraId="62C8DC9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集成接口规范</w:t>
            </w:r>
          </w:p>
        </w:tc>
        <w:tc>
          <w:tcPr>
            <w:tcW w:w="1080" w:type="dxa"/>
            <w:tcBorders>
              <w:tl2br w:val="nil"/>
              <w:tr2bl w:val="nil"/>
            </w:tcBorders>
            <w:shd w:val="clear" w:color="auto" w:fill="auto"/>
            <w:noWrap w:val="0"/>
            <w:tcMar>
              <w:top w:w="-1" w:type="dxa"/>
              <w:left w:w="-1" w:type="dxa"/>
              <w:bottom w:w="-1" w:type="dxa"/>
              <w:right w:w="-1" w:type="dxa"/>
            </w:tcMar>
            <w:vAlign w:val="center"/>
          </w:tcPr>
          <w:p w14:paraId="0395403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30CE504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"_【待优化-格式不对】SCOS集成接口规范"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SCOS集成接口规范</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F94701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五、SCOS</w:t>
            </w:r>
            <w:r>
              <w:rPr>
                <w:rFonts w:hint="eastAsia" w:ascii="宋体" w:hAnsi="宋体" w:eastAsia="宋体" w:cs="宋体"/>
                <w:sz w:val="21"/>
                <w:szCs w:val="21"/>
              </w:rPr>
              <w:t>集成接口规范</w:t>
            </w:r>
          </w:p>
        </w:tc>
        <w:tc>
          <w:tcPr>
            <w:tcW w:w="1090" w:type="dxa"/>
            <w:tcBorders>
              <w:tl2br w:val="nil"/>
              <w:tr2bl w:val="nil"/>
            </w:tcBorders>
            <w:shd w:val="clear" w:color="auto" w:fill="auto"/>
            <w:noWrap w:val="0"/>
            <w:tcMar>
              <w:top w:w="-1" w:type="dxa"/>
              <w:left w:w="-1" w:type="dxa"/>
              <w:bottom w:w="-1" w:type="dxa"/>
              <w:right w:w="-1" w:type="dxa"/>
            </w:tcMar>
            <w:vAlign w:val="center"/>
          </w:tcPr>
          <w:p w14:paraId="1C0F7EF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5E8499E6">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5B50159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w:t>
            </w:r>
          </w:p>
        </w:tc>
        <w:tc>
          <w:tcPr>
            <w:tcW w:w="2246" w:type="dxa"/>
            <w:tcBorders>
              <w:tl2br w:val="nil"/>
              <w:tr2bl w:val="nil"/>
            </w:tcBorders>
            <w:shd w:val="clear" w:color="auto" w:fill="auto"/>
            <w:noWrap w:val="0"/>
            <w:tcMar>
              <w:top w:w="-1" w:type="dxa"/>
              <w:left w:w="-1" w:type="dxa"/>
              <w:bottom w:w="-1" w:type="dxa"/>
              <w:right w:w="-1" w:type="dxa"/>
            </w:tcMar>
            <w:vAlign w:val="center"/>
          </w:tcPr>
          <w:p w14:paraId="312CFB0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SCOS业务场景-智能化覆盖率映射表</w:t>
            </w:r>
          </w:p>
        </w:tc>
        <w:tc>
          <w:tcPr>
            <w:tcW w:w="1080" w:type="dxa"/>
            <w:tcBorders>
              <w:tl2br w:val="nil"/>
              <w:tr2bl w:val="nil"/>
            </w:tcBorders>
            <w:shd w:val="clear" w:color="auto" w:fill="auto"/>
            <w:noWrap w:val="0"/>
            <w:tcMar>
              <w:top w:w="-1" w:type="dxa"/>
              <w:left w:w="-1" w:type="dxa"/>
              <w:bottom w:w="-1" w:type="dxa"/>
              <w:right w:w="-1" w:type="dxa"/>
            </w:tcMar>
            <w:vAlign w:val="center"/>
          </w:tcPr>
          <w:p w14:paraId="3F6EC2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48F3F1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\l "_【待优化-格式不对】SCOS业务场景-智能化覆盖率映射表" </w:instrText>
            </w:r>
            <w:r>
              <w:rPr>
                <w:rFonts w:hint="eastAsia" w:ascii="宋体" w:hAnsi="宋体" w:eastAsia="宋体" w:cs="宋体"/>
                <w:sz w:val="21"/>
                <w:szCs w:val="21"/>
                <w:lang w:val="en-US" w:eastAsia="zh-CN"/>
              </w:rPr>
              <w:fldChar w:fldCharType="separate"/>
            </w:r>
            <w:r>
              <w:rPr>
                <w:rStyle w:val="37"/>
                <w:rFonts w:hint="eastAsia" w:ascii="宋体" w:hAnsi="宋体" w:eastAsia="宋体" w:cs="宋体"/>
                <w:sz w:val="21"/>
                <w:szCs w:val="21"/>
                <w:lang w:val="en-US" w:eastAsia="zh-CN"/>
              </w:rPr>
              <w:t>SCOS业务场景-智能化覆盖率映射表</w:t>
            </w:r>
            <w:r>
              <w:rPr>
                <w:rFonts w:hint="eastAsia" w:ascii="宋体" w:hAnsi="宋体" w:eastAsia="宋体" w:cs="宋体"/>
                <w:sz w:val="21"/>
                <w:szCs w:val="21"/>
                <w:lang w:val="en-US" w:eastAsia="zh-CN"/>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3EC64C9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六、SCOS业务场景-智能化覆盖率映射表</w:t>
            </w:r>
          </w:p>
        </w:tc>
        <w:tc>
          <w:tcPr>
            <w:tcW w:w="1090" w:type="dxa"/>
            <w:tcBorders>
              <w:tl2br w:val="nil"/>
              <w:tr2bl w:val="nil"/>
            </w:tcBorders>
            <w:shd w:val="clear" w:color="auto" w:fill="auto"/>
            <w:noWrap w:val="0"/>
            <w:tcMar>
              <w:top w:w="-1" w:type="dxa"/>
              <w:left w:w="-1" w:type="dxa"/>
              <w:bottom w:w="-1" w:type="dxa"/>
              <w:right w:w="-1" w:type="dxa"/>
            </w:tcMar>
            <w:vAlign w:val="center"/>
          </w:tcPr>
          <w:p w14:paraId="6854B84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1205D43C">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0E3CC4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11</w:t>
            </w:r>
          </w:p>
        </w:tc>
        <w:tc>
          <w:tcPr>
            <w:tcW w:w="2246" w:type="dxa"/>
            <w:tcBorders>
              <w:tl2br w:val="nil"/>
              <w:tr2bl w:val="nil"/>
            </w:tcBorders>
            <w:shd w:val="clear" w:color="auto" w:fill="auto"/>
            <w:noWrap w:val="0"/>
            <w:tcMar>
              <w:top w:w="-1" w:type="dxa"/>
              <w:left w:w="-1" w:type="dxa"/>
              <w:bottom w:w="-1" w:type="dxa"/>
              <w:right w:w="-1" w:type="dxa"/>
            </w:tcMar>
            <w:vAlign w:val="center"/>
          </w:tcPr>
          <w:p w14:paraId="763E0C9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非功能性需求响应表</w:t>
            </w:r>
          </w:p>
        </w:tc>
        <w:tc>
          <w:tcPr>
            <w:tcW w:w="1080" w:type="dxa"/>
            <w:tcBorders>
              <w:tl2br w:val="nil"/>
              <w:tr2bl w:val="nil"/>
            </w:tcBorders>
            <w:shd w:val="clear" w:color="auto" w:fill="auto"/>
            <w:noWrap w:val="0"/>
            <w:tcMar>
              <w:top w:w="-1" w:type="dxa"/>
              <w:left w:w="-1" w:type="dxa"/>
              <w:bottom w:w="-1" w:type="dxa"/>
              <w:right w:w="-1" w:type="dxa"/>
            </w:tcMar>
            <w:vAlign w:val="center"/>
          </w:tcPr>
          <w:p w14:paraId="32BFDB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4975F2E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"_SCOS非功能性需求响应表"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SCOS非功能性需求响应表</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9E23B1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七、SCOS</w:t>
            </w:r>
            <w:r>
              <w:rPr>
                <w:rFonts w:hint="eastAsia" w:ascii="宋体" w:hAnsi="宋体" w:eastAsia="宋体" w:cs="宋体"/>
                <w:sz w:val="21"/>
                <w:szCs w:val="21"/>
              </w:rPr>
              <w:t>非功能性需求响应表</w:t>
            </w:r>
          </w:p>
        </w:tc>
        <w:tc>
          <w:tcPr>
            <w:tcW w:w="1090" w:type="dxa"/>
            <w:tcBorders>
              <w:tl2br w:val="nil"/>
              <w:tr2bl w:val="nil"/>
            </w:tcBorders>
            <w:shd w:val="clear" w:color="auto" w:fill="auto"/>
            <w:noWrap w:val="0"/>
            <w:tcMar>
              <w:top w:w="-1" w:type="dxa"/>
              <w:left w:w="-1" w:type="dxa"/>
              <w:bottom w:w="-1" w:type="dxa"/>
              <w:right w:w="-1" w:type="dxa"/>
            </w:tcMar>
            <w:vAlign w:val="center"/>
          </w:tcPr>
          <w:p w14:paraId="095B3D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1FA6F1FE">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251ADC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1</w:t>
            </w:r>
            <w:r>
              <w:rPr>
                <w:rFonts w:hint="eastAsia" w:ascii="宋体" w:hAnsi="宋体" w:eastAsia="宋体" w:cs="宋体"/>
                <w:sz w:val="21"/>
                <w:szCs w:val="21"/>
                <w:lang w:val="en-US" w:eastAsia="zh-CN"/>
              </w:rPr>
              <w:t>2</w:t>
            </w:r>
          </w:p>
        </w:tc>
        <w:tc>
          <w:tcPr>
            <w:tcW w:w="2246" w:type="dxa"/>
            <w:tcBorders>
              <w:tl2br w:val="nil"/>
              <w:tr2bl w:val="nil"/>
            </w:tcBorders>
            <w:shd w:val="clear" w:color="auto" w:fill="auto"/>
            <w:noWrap w:val="0"/>
            <w:tcMar>
              <w:top w:w="-1" w:type="dxa"/>
              <w:left w:w="-1" w:type="dxa"/>
              <w:bottom w:w="-1" w:type="dxa"/>
              <w:right w:w="-1" w:type="dxa"/>
            </w:tcMar>
            <w:vAlign w:val="center"/>
          </w:tcPr>
          <w:p w14:paraId="1BF3EB5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蓝图交付物清单</w:t>
            </w:r>
          </w:p>
        </w:tc>
        <w:tc>
          <w:tcPr>
            <w:tcW w:w="1080" w:type="dxa"/>
            <w:tcBorders>
              <w:tl2br w:val="nil"/>
              <w:tr2bl w:val="nil"/>
            </w:tcBorders>
            <w:shd w:val="clear" w:color="auto" w:fill="auto"/>
            <w:noWrap w:val="0"/>
            <w:tcMar>
              <w:top w:w="-1" w:type="dxa"/>
              <w:left w:w="-1" w:type="dxa"/>
              <w:bottom w:w="-1" w:type="dxa"/>
              <w:right w:w="-1" w:type="dxa"/>
            </w:tcMar>
            <w:vAlign w:val="center"/>
          </w:tcPr>
          <w:p w14:paraId="63FEA6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68AE0EE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"_【待输出】SCOS蓝图交付物清单"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SCOS蓝图交付物清单</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DA60C1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八、SCOS</w:t>
            </w:r>
            <w:r>
              <w:rPr>
                <w:rFonts w:hint="eastAsia" w:ascii="宋体" w:hAnsi="宋体" w:eastAsia="宋体" w:cs="宋体"/>
                <w:sz w:val="21"/>
                <w:szCs w:val="21"/>
              </w:rPr>
              <w:t>蓝图交付物清单</w:t>
            </w:r>
          </w:p>
        </w:tc>
        <w:tc>
          <w:tcPr>
            <w:tcW w:w="1090" w:type="dxa"/>
            <w:tcBorders>
              <w:tl2br w:val="nil"/>
              <w:tr2bl w:val="nil"/>
            </w:tcBorders>
            <w:shd w:val="clear" w:color="auto" w:fill="auto"/>
            <w:noWrap w:val="0"/>
            <w:tcMar>
              <w:top w:w="-1" w:type="dxa"/>
              <w:left w:w="-1" w:type="dxa"/>
              <w:bottom w:w="-1" w:type="dxa"/>
              <w:right w:w="-1" w:type="dxa"/>
            </w:tcMar>
            <w:vAlign w:val="center"/>
          </w:tcPr>
          <w:p w14:paraId="4615AB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bl>
    <w:p w14:paraId="78FD6784"/>
    <w:sectPr>
      <w:footerReference r:id="rId8" w:type="first"/>
      <w:footerReference r:id="rId7" w:type="default"/>
      <w:pgSz w:w="11906" w:h="16838"/>
      <w:pgMar w:top="0" w:right="1797" w:bottom="1440" w:left="1797" w:header="0" w:footer="992" w:gutter="0"/>
      <w:pgBorders>
        <w:top w:val="none" w:sz="0" w:space="0"/>
        <w:left w:val="none" w:sz="0" w:space="0"/>
        <w:bottom w:val="none" w:sz="0" w:space="0"/>
        <w:right w:val="none" w:sz="0" w:space="0"/>
      </w:pgBorders>
      <w:pgNumType w:fmt="decimal"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PMingLiU">
    <w:altName w:val="宋体-繁"/>
    <w:panose1 w:val="02010601000101010101"/>
    <w:charset w:val="88"/>
    <w:family w:val="swiss"/>
    <w:pitch w:val="default"/>
    <w:sig w:usb0="00000000" w:usb1="00000000" w:usb2="00000016" w:usb3="00000000" w:csb0="00100001" w:csb1="00000000"/>
  </w:font>
  <w:font w:name="Tahoma">
    <w:panose1 w:val="020B0604030504040204"/>
    <w:charset w:val="00"/>
    <w:family w:val="swiss"/>
    <w:pitch w:val="default"/>
    <w:sig w:usb0="E1002AFF" w:usb1="C000605B" w:usb2="00000029" w:usb3="00000000" w:csb0="200101FF" w:csb1="20280000"/>
  </w:font>
  <w:font w:name="Times">
    <w:altName w:val="Times New Roman"/>
    <w:panose1 w:val="00000500000000020000"/>
    <w:charset w:val="00"/>
    <w:family w:val="roman"/>
    <w:pitch w:val="default"/>
    <w:sig w:usb0="00000000" w:usb1="00000000" w:usb2="00000000" w:usb3="00000000" w:csb0="2000019F" w:csb1="4F010000"/>
  </w:font>
  <w:font w:name="楷体_GB2312">
    <w:altName w:val="汉仪楷体简"/>
    <w:panose1 w:val="02010609030101010101"/>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繁">
    <w:panose1 w:val="02010600040101010101"/>
    <w:charset w:val="86"/>
    <w:family w:val="auto"/>
    <w:pitch w:val="default"/>
    <w:sig w:usb0="00000287" w:usb1="080F0000" w:usb2="00000000" w:usb3="00000000" w:csb0="0004009F" w:csb1="DFD70000"/>
  </w:font>
  <w:font w:name="PingFang SC">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PingFang SC Regular">
    <w:panose1 w:val="020B0400000000000000"/>
    <w:charset w:val="86"/>
    <w:family w:val="auto"/>
    <w:pitch w:val="default"/>
    <w:sig w:usb0="A00002FF" w:usb1="7ACFFDFB" w:usb2="00000017" w:usb3="00000000" w:csb0="00040001" w:csb1="00000000"/>
  </w:font>
  <w:font w:name="Helvetica Neue Regular">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3CD90">
    <w:pPr>
      <w:pStyle w:val="22"/>
      <w:jc w:val="right"/>
      <w:rPr>
        <w:rFonts w:hint="eastAsia"/>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3CD5">
    <w:pPr>
      <w:pStyle w:val="22"/>
      <w:jc w:val="right"/>
      <w:rPr>
        <w:rFonts w:hint="eastAsia"/>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1P1AiN8BAADBAwAADgAAAAAA&#10;AAABACAAAAAeAQAAZHJzL2Uyb0RvYy54bWxQSwUGAAAAAAYABgBZAQAAbwUAAAAA&#10;">
              <v:fill on="f" focussize="0,0"/>
              <v:stroke on="f"/>
              <v:imagedata o:title=""/>
              <o:lock v:ext="edit" aspectratio="f"/>
              <v:textbox inset="0mm,0mm,0mm,0mm" style="mso-fit-shape-to-text:t;">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D761">
    <w:pPr>
      <w:pStyle w:val="22"/>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iLEz44QEAAMEDAAAOAAAA&#10;AAAAAAEAIAAAAB4BAABkcnMvZTJvRG9jLnhtbFBLBQYAAAAABgAGAFkBAABxBQAAAAA=&#10;">
              <v:fill on="f" focussize="0,0"/>
              <v:stroke on="f"/>
              <v:imagedata o:title=""/>
              <o:lock v:ext="edit" aspectratio="f"/>
              <v:textbox inset="0mm,0mm,0mm,0mm" style="mso-fit-shape-to-text:t;">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jc w:val="center"/>
      <w:rPr>
        <w:rFonts w:hint="default"/>
        <w:lang w:val="en-US"/>
      </w:rPr>
    </w:pPr>
    <w:r>
      <w:rPr>
        <w:rFonts w:hint="eastAsia"/>
        <w:sz w:val="24"/>
        <w:szCs w:val="28"/>
        <w:lang w:val="en-US" w:eastAsia="zh-CN"/>
      </w:rPr>
      <w:t>研发管理业务蓝图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6"/>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2"/>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6F97A34D"/>
    <w:multiLevelType w:val="singleLevel"/>
    <w:tmpl w:val="6F97A34D"/>
    <w:lvl w:ilvl="0" w:tentative="0">
      <w:start w:val="1"/>
      <w:numFmt w:val="decimal"/>
      <w:lvlText w:val="%1."/>
      <w:lvlJc w:val="left"/>
      <w:pPr>
        <w:tabs>
          <w:tab w:val="left" w:pos="312"/>
        </w:tabs>
      </w:pPr>
    </w:lvl>
  </w:abstractNum>
  <w:abstractNum w:abstractNumId="3">
    <w:nsid w:val="712C3E86"/>
    <w:multiLevelType w:val="multilevel"/>
    <w:tmpl w:val="712C3E86"/>
    <w:lvl w:ilvl="0" w:tentative="0">
      <w:start w:val="1"/>
      <w:numFmt w:val="chineseCounting"/>
      <w:pStyle w:val="2"/>
      <w:suff w:val="nothing"/>
      <w:lvlText w:val="%1、"/>
      <w:lvlJc w:val="left"/>
      <w:pPr>
        <w:tabs>
          <w:tab w:val="left" w:pos="420"/>
        </w:tabs>
        <w:ind w:left="432" w:hanging="432"/>
      </w:pPr>
      <w:rPr>
        <w:rFonts w:hint="eastAsia"/>
      </w:rPr>
    </w:lvl>
    <w:lvl w:ilvl="1" w:tentative="0">
      <w:start w:val="1"/>
      <w:numFmt w:val="decimal"/>
      <w:pStyle w:val="3"/>
      <w:isLgl/>
      <w:suff w:val="nothing"/>
      <w:lvlText w:val="%1.%2 "/>
      <w:lvlJc w:val="left"/>
      <w:pPr>
        <w:tabs>
          <w:tab w:val="left" w:pos="0"/>
        </w:tabs>
        <w:ind w:left="236" w:firstLine="171"/>
      </w:pPr>
      <w:rPr>
        <w:rFonts w:hint="eastAsia"/>
      </w:rPr>
    </w:lvl>
    <w:lvl w:ilvl="2" w:tentative="0">
      <w:start w:val="1"/>
      <w:numFmt w:val="decimal"/>
      <w:pStyle w:val="4"/>
      <w:isLgl/>
      <w:suff w:val="nothing"/>
      <w:lvlText w:val="%1.%2.%3 "/>
      <w:lvlJc w:val="left"/>
      <w:pPr>
        <w:ind w:left="-156" w:firstLine="79"/>
      </w:pPr>
      <w:rPr>
        <w:rFonts w:hint="eastAsia"/>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212A2F"/>
    <w:rsid w:val="00245594"/>
    <w:rsid w:val="00252D64"/>
    <w:rsid w:val="002B7BDF"/>
    <w:rsid w:val="002D0B0F"/>
    <w:rsid w:val="00321E17"/>
    <w:rsid w:val="004106CC"/>
    <w:rsid w:val="0047410F"/>
    <w:rsid w:val="004B3FD8"/>
    <w:rsid w:val="0050025D"/>
    <w:rsid w:val="00607CD2"/>
    <w:rsid w:val="006226F3"/>
    <w:rsid w:val="006D1854"/>
    <w:rsid w:val="006E00CE"/>
    <w:rsid w:val="006E5E11"/>
    <w:rsid w:val="00757F11"/>
    <w:rsid w:val="0076752E"/>
    <w:rsid w:val="00783422"/>
    <w:rsid w:val="007C08B0"/>
    <w:rsid w:val="0081083A"/>
    <w:rsid w:val="0087219E"/>
    <w:rsid w:val="008E05D7"/>
    <w:rsid w:val="009958F7"/>
    <w:rsid w:val="009A4E0B"/>
    <w:rsid w:val="009B07A7"/>
    <w:rsid w:val="009B0FF4"/>
    <w:rsid w:val="009F4339"/>
    <w:rsid w:val="00A4407A"/>
    <w:rsid w:val="00A81D22"/>
    <w:rsid w:val="00AA5FE0"/>
    <w:rsid w:val="00AE4E5E"/>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348DE"/>
    <w:rsid w:val="00D4692C"/>
    <w:rsid w:val="00E24854"/>
    <w:rsid w:val="00E33E00"/>
    <w:rsid w:val="00E46AB2"/>
    <w:rsid w:val="00F45208"/>
    <w:rsid w:val="00F77F1F"/>
    <w:rsid w:val="011614FB"/>
    <w:rsid w:val="011D2D66"/>
    <w:rsid w:val="013C64BD"/>
    <w:rsid w:val="014E5F84"/>
    <w:rsid w:val="01520EF8"/>
    <w:rsid w:val="01578CB6"/>
    <w:rsid w:val="015F310C"/>
    <w:rsid w:val="01680784"/>
    <w:rsid w:val="016C2D4F"/>
    <w:rsid w:val="01847962"/>
    <w:rsid w:val="018D42BD"/>
    <w:rsid w:val="018E53BB"/>
    <w:rsid w:val="019030FF"/>
    <w:rsid w:val="01A249C3"/>
    <w:rsid w:val="01A32339"/>
    <w:rsid w:val="01D6741B"/>
    <w:rsid w:val="01F561BC"/>
    <w:rsid w:val="021138F7"/>
    <w:rsid w:val="02277CC5"/>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7D5B64"/>
    <w:rsid w:val="037E320E"/>
    <w:rsid w:val="03A72764"/>
    <w:rsid w:val="03B456F5"/>
    <w:rsid w:val="03B552C8"/>
    <w:rsid w:val="03B7409F"/>
    <w:rsid w:val="03C12BFD"/>
    <w:rsid w:val="03D74410"/>
    <w:rsid w:val="03DF1C63"/>
    <w:rsid w:val="03E1792B"/>
    <w:rsid w:val="03E5574F"/>
    <w:rsid w:val="03FC1593"/>
    <w:rsid w:val="03FF62A8"/>
    <w:rsid w:val="04071455"/>
    <w:rsid w:val="040C6EF6"/>
    <w:rsid w:val="04103C70"/>
    <w:rsid w:val="04137DFA"/>
    <w:rsid w:val="041660F7"/>
    <w:rsid w:val="04267B2D"/>
    <w:rsid w:val="04277401"/>
    <w:rsid w:val="0431202E"/>
    <w:rsid w:val="043B638D"/>
    <w:rsid w:val="044B7594"/>
    <w:rsid w:val="044E498E"/>
    <w:rsid w:val="046877E2"/>
    <w:rsid w:val="0475016D"/>
    <w:rsid w:val="04781A0B"/>
    <w:rsid w:val="0479661F"/>
    <w:rsid w:val="04976897"/>
    <w:rsid w:val="04AB1FBE"/>
    <w:rsid w:val="04BE5F02"/>
    <w:rsid w:val="04C1427B"/>
    <w:rsid w:val="04D9694D"/>
    <w:rsid w:val="04E14131"/>
    <w:rsid w:val="04EA5290"/>
    <w:rsid w:val="04F74D2D"/>
    <w:rsid w:val="04FEF9F4"/>
    <w:rsid w:val="05073C98"/>
    <w:rsid w:val="05281683"/>
    <w:rsid w:val="05290F57"/>
    <w:rsid w:val="054537C2"/>
    <w:rsid w:val="054B5371"/>
    <w:rsid w:val="055406CA"/>
    <w:rsid w:val="05594913"/>
    <w:rsid w:val="057228FE"/>
    <w:rsid w:val="058F3C3A"/>
    <w:rsid w:val="05907F7E"/>
    <w:rsid w:val="05C56ED2"/>
    <w:rsid w:val="05C644A5"/>
    <w:rsid w:val="05CF1C23"/>
    <w:rsid w:val="05CF6EB3"/>
    <w:rsid w:val="05D6A8DC"/>
    <w:rsid w:val="05F11A75"/>
    <w:rsid w:val="05F31F23"/>
    <w:rsid w:val="05F77E76"/>
    <w:rsid w:val="060519C4"/>
    <w:rsid w:val="063267C3"/>
    <w:rsid w:val="06B55198"/>
    <w:rsid w:val="06D53145"/>
    <w:rsid w:val="06E11AE9"/>
    <w:rsid w:val="06E25862"/>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A5FF7"/>
    <w:rsid w:val="085E0860"/>
    <w:rsid w:val="086766D9"/>
    <w:rsid w:val="086D43CF"/>
    <w:rsid w:val="087821DE"/>
    <w:rsid w:val="087E5506"/>
    <w:rsid w:val="087F5AEB"/>
    <w:rsid w:val="08822648"/>
    <w:rsid w:val="088475FD"/>
    <w:rsid w:val="08883776"/>
    <w:rsid w:val="088C0B36"/>
    <w:rsid w:val="08A72EF2"/>
    <w:rsid w:val="08B07870"/>
    <w:rsid w:val="08B5506F"/>
    <w:rsid w:val="08BA0844"/>
    <w:rsid w:val="08BD0334"/>
    <w:rsid w:val="08E24F8B"/>
    <w:rsid w:val="08E45616"/>
    <w:rsid w:val="08F17FDE"/>
    <w:rsid w:val="08F875BE"/>
    <w:rsid w:val="090A0C01"/>
    <w:rsid w:val="090A10C5"/>
    <w:rsid w:val="090B72F2"/>
    <w:rsid w:val="091C6030"/>
    <w:rsid w:val="092669FE"/>
    <w:rsid w:val="09287EA3"/>
    <w:rsid w:val="09325DEF"/>
    <w:rsid w:val="09350C06"/>
    <w:rsid w:val="093E0F73"/>
    <w:rsid w:val="093E76C7"/>
    <w:rsid w:val="09421657"/>
    <w:rsid w:val="094B62DC"/>
    <w:rsid w:val="0956773F"/>
    <w:rsid w:val="09577C19"/>
    <w:rsid w:val="09616F12"/>
    <w:rsid w:val="0969708C"/>
    <w:rsid w:val="096B2561"/>
    <w:rsid w:val="096D3B08"/>
    <w:rsid w:val="098128D7"/>
    <w:rsid w:val="098C549B"/>
    <w:rsid w:val="09AB7352"/>
    <w:rsid w:val="09CF47C3"/>
    <w:rsid w:val="09D516AE"/>
    <w:rsid w:val="09D62E23"/>
    <w:rsid w:val="0A054BE4"/>
    <w:rsid w:val="0A1B3F65"/>
    <w:rsid w:val="0A592132"/>
    <w:rsid w:val="0A5D5F01"/>
    <w:rsid w:val="0A622F41"/>
    <w:rsid w:val="0A73514E"/>
    <w:rsid w:val="0AAE262A"/>
    <w:rsid w:val="0AD32091"/>
    <w:rsid w:val="0ADA14C3"/>
    <w:rsid w:val="0AE75B3C"/>
    <w:rsid w:val="0AF3003D"/>
    <w:rsid w:val="0AF44923"/>
    <w:rsid w:val="0B057D70"/>
    <w:rsid w:val="0B1100DC"/>
    <w:rsid w:val="0B57681E"/>
    <w:rsid w:val="0B6E4FFD"/>
    <w:rsid w:val="0B84338B"/>
    <w:rsid w:val="0B9A670B"/>
    <w:rsid w:val="0B9B505D"/>
    <w:rsid w:val="0BB51797"/>
    <w:rsid w:val="0BB53D28"/>
    <w:rsid w:val="0BB92B92"/>
    <w:rsid w:val="0BB94724"/>
    <w:rsid w:val="0BE107DE"/>
    <w:rsid w:val="0BE91440"/>
    <w:rsid w:val="0BF7E88B"/>
    <w:rsid w:val="0BFD2F86"/>
    <w:rsid w:val="0BFF15C8"/>
    <w:rsid w:val="0BFFC41C"/>
    <w:rsid w:val="0C0C5775"/>
    <w:rsid w:val="0C246F78"/>
    <w:rsid w:val="0C2B455F"/>
    <w:rsid w:val="0C2D2A86"/>
    <w:rsid w:val="0C2F32F7"/>
    <w:rsid w:val="0C4F37DF"/>
    <w:rsid w:val="0C5F4538"/>
    <w:rsid w:val="0C64466B"/>
    <w:rsid w:val="0C674A4A"/>
    <w:rsid w:val="0C8131E5"/>
    <w:rsid w:val="0C8F38B2"/>
    <w:rsid w:val="0C9D5951"/>
    <w:rsid w:val="0CA70DBF"/>
    <w:rsid w:val="0CD8594F"/>
    <w:rsid w:val="0CE84F8D"/>
    <w:rsid w:val="0CEE52F6"/>
    <w:rsid w:val="0CF34325"/>
    <w:rsid w:val="0D350825"/>
    <w:rsid w:val="0D3D34CC"/>
    <w:rsid w:val="0D447EB9"/>
    <w:rsid w:val="0D573276"/>
    <w:rsid w:val="0D647CF2"/>
    <w:rsid w:val="0D75F289"/>
    <w:rsid w:val="0D7A67F4"/>
    <w:rsid w:val="0D8B27AF"/>
    <w:rsid w:val="0DB46977"/>
    <w:rsid w:val="0DB95A00"/>
    <w:rsid w:val="0DC7755F"/>
    <w:rsid w:val="0DD13167"/>
    <w:rsid w:val="0DEE4FAC"/>
    <w:rsid w:val="0DF9311F"/>
    <w:rsid w:val="0DFE82E7"/>
    <w:rsid w:val="0E0802A4"/>
    <w:rsid w:val="0E0B38F0"/>
    <w:rsid w:val="0E0C5732"/>
    <w:rsid w:val="0E111158"/>
    <w:rsid w:val="0E213409"/>
    <w:rsid w:val="0E4700F3"/>
    <w:rsid w:val="0E5C414B"/>
    <w:rsid w:val="0E5E4367"/>
    <w:rsid w:val="0E6F3C47"/>
    <w:rsid w:val="0E8813E4"/>
    <w:rsid w:val="0E8F4521"/>
    <w:rsid w:val="0E9F19DD"/>
    <w:rsid w:val="0EA30E54"/>
    <w:rsid w:val="0ED03838"/>
    <w:rsid w:val="0EDB59B8"/>
    <w:rsid w:val="0F005CCD"/>
    <w:rsid w:val="0F12576C"/>
    <w:rsid w:val="0F244B76"/>
    <w:rsid w:val="0F29227F"/>
    <w:rsid w:val="0F437CC1"/>
    <w:rsid w:val="0F4E6319"/>
    <w:rsid w:val="0F503375"/>
    <w:rsid w:val="0F784FB5"/>
    <w:rsid w:val="0F7F5900"/>
    <w:rsid w:val="0F9C36A6"/>
    <w:rsid w:val="0FB748C3"/>
    <w:rsid w:val="0FBBDBD7"/>
    <w:rsid w:val="0FBC30F4"/>
    <w:rsid w:val="0FCE5EBA"/>
    <w:rsid w:val="0FD82AD0"/>
    <w:rsid w:val="0FDD0E6A"/>
    <w:rsid w:val="0FE44CB0"/>
    <w:rsid w:val="0FE62A80"/>
    <w:rsid w:val="0FEF171B"/>
    <w:rsid w:val="0FF27A70"/>
    <w:rsid w:val="0FF7F9AA"/>
    <w:rsid w:val="0FF9A693"/>
    <w:rsid w:val="0FFB2976"/>
    <w:rsid w:val="10014FAA"/>
    <w:rsid w:val="10066A65"/>
    <w:rsid w:val="100C0ABB"/>
    <w:rsid w:val="101136E1"/>
    <w:rsid w:val="102066B5"/>
    <w:rsid w:val="102B3EF3"/>
    <w:rsid w:val="102D4481"/>
    <w:rsid w:val="10424E4B"/>
    <w:rsid w:val="10546B97"/>
    <w:rsid w:val="10757727"/>
    <w:rsid w:val="108D7BD8"/>
    <w:rsid w:val="109052A3"/>
    <w:rsid w:val="10940911"/>
    <w:rsid w:val="10B464C1"/>
    <w:rsid w:val="10D42352"/>
    <w:rsid w:val="10E11220"/>
    <w:rsid w:val="10F1555C"/>
    <w:rsid w:val="10F62A2C"/>
    <w:rsid w:val="11017E3D"/>
    <w:rsid w:val="1103131A"/>
    <w:rsid w:val="110939B5"/>
    <w:rsid w:val="110E0D66"/>
    <w:rsid w:val="111D6E87"/>
    <w:rsid w:val="112E1B59"/>
    <w:rsid w:val="112E63D2"/>
    <w:rsid w:val="11323891"/>
    <w:rsid w:val="113B3965"/>
    <w:rsid w:val="11497A10"/>
    <w:rsid w:val="115A0E16"/>
    <w:rsid w:val="115B4B8E"/>
    <w:rsid w:val="116B5F2B"/>
    <w:rsid w:val="1179776E"/>
    <w:rsid w:val="11840DE8"/>
    <w:rsid w:val="1191274E"/>
    <w:rsid w:val="11A20C5E"/>
    <w:rsid w:val="11BF4345"/>
    <w:rsid w:val="11D81D1F"/>
    <w:rsid w:val="11DD7458"/>
    <w:rsid w:val="11DD7B80"/>
    <w:rsid w:val="11E623C4"/>
    <w:rsid w:val="11EA09BB"/>
    <w:rsid w:val="11FDD8CB"/>
    <w:rsid w:val="120179F5"/>
    <w:rsid w:val="121D3BF2"/>
    <w:rsid w:val="125A5EAE"/>
    <w:rsid w:val="125B720A"/>
    <w:rsid w:val="125D4D08"/>
    <w:rsid w:val="12622A28"/>
    <w:rsid w:val="128C47CC"/>
    <w:rsid w:val="129A4C28"/>
    <w:rsid w:val="12A14823"/>
    <w:rsid w:val="12A44022"/>
    <w:rsid w:val="12B2677C"/>
    <w:rsid w:val="12BD4625"/>
    <w:rsid w:val="12C02EFB"/>
    <w:rsid w:val="12C17224"/>
    <w:rsid w:val="12D41384"/>
    <w:rsid w:val="12D76496"/>
    <w:rsid w:val="12D86AFB"/>
    <w:rsid w:val="12DB5F87"/>
    <w:rsid w:val="12E31B17"/>
    <w:rsid w:val="12EF1A32"/>
    <w:rsid w:val="12F901BB"/>
    <w:rsid w:val="12F94DAB"/>
    <w:rsid w:val="130C25E4"/>
    <w:rsid w:val="13280619"/>
    <w:rsid w:val="13286C49"/>
    <w:rsid w:val="134E710B"/>
    <w:rsid w:val="139A5E3D"/>
    <w:rsid w:val="139D4210"/>
    <w:rsid w:val="13A74B2A"/>
    <w:rsid w:val="13BB3AB8"/>
    <w:rsid w:val="13BC5DB8"/>
    <w:rsid w:val="13C0248A"/>
    <w:rsid w:val="13C06F2A"/>
    <w:rsid w:val="13C433E2"/>
    <w:rsid w:val="13D749A0"/>
    <w:rsid w:val="13E61CFD"/>
    <w:rsid w:val="13F73ACE"/>
    <w:rsid w:val="14035161"/>
    <w:rsid w:val="143D70CC"/>
    <w:rsid w:val="14603905"/>
    <w:rsid w:val="148835E1"/>
    <w:rsid w:val="14900811"/>
    <w:rsid w:val="14904172"/>
    <w:rsid w:val="149363ED"/>
    <w:rsid w:val="14947591"/>
    <w:rsid w:val="149C7998"/>
    <w:rsid w:val="14A34882"/>
    <w:rsid w:val="14AB3737"/>
    <w:rsid w:val="14AE3227"/>
    <w:rsid w:val="14C60F96"/>
    <w:rsid w:val="14CB2F17"/>
    <w:rsid w:val="14D233B9"/>
    <w:rsid w:val="14D66C67"/>
    <w:rsid w:val="14D84BF0"/>
    <w:rsid w:val="14E46078"/>
    <w:rsid w:val="14F544E1"/>
    <w:rsid w:val="150D57FF"/>
    <w:rsid w:val="150E269C"/>
    <w:rsid w:val="151439D2"/>
    <w:rsid w:val="15152C6A"/>
    <w:rsid w:val="153351A6"/>
    <w:rsid w:val="153D4CD7"/>
    <w:rsid w:val="154A72DE"/>
    <w:rsid w:val="156F5159"/>
    <w:rsid w:val="15783D30"/>
    <w:rsid w:val="157B75AD"/>
    <w:rsid w:val="157E2ADB"/>
    <w:rsid w:val="158C3568"/>
    <w:rsid w:val="15AF36A9"/>
    <w:rsid w:val="15B00039"/>
    <w:rsid w:val="15BF3FFD"/>
    <w:rsid w:val="15C34C68"/>
    <w:rsid w:val="15CD4FC7"/>
    <w:rsid w:val="15CD7A9E"/>
    <w:rsid w:val="15D2431D"/>
    <w:rsid w:val="15D56225"/>
    <w:rsid w:val="15FB66B9"/>
    <w:rsid w:val="15FFBF92"/>
    <w:rsid w:val="16136CFF"/>
    <w:rsid w:val="164136E4"/>
    <w:rsid w:val="164B51D1"/>
    <w:rsid w:val="16532CFC"/>
    <w:rsid w:val="16547378"/>
    <w:rsid w:val="16604D12"/>
    <w:rsid w:val="168E1E4B"/>
    <w:rsid w:val="16934831"/>
    <w:rsid w:val="169E43D4"/>
    <w:rsid w:val="16CD6EAE"/>
    <w:rsid w:val="16EB59A7"/>
    <w:rsid w:val="16EC0DFF"/>
    <w:rsid w:val="16F57E0F"/>
    <w:rsid w:val="16FB68F7"/>
    <w:rsid w:val="16FEEE6C"/>
    <w:rsid w:val="1703785A"/>
    <w:rsid w:val="17043616"/>
    <w:rsid w:val="1705338A"/>
    <w:rsid w:val="174B64D4"/>
    <w:rsid w:val="174C315A"/>
    <w:rsid w:val="175B3C7D"/>
    <w:rsid w:val="176FC43B"/>
    <w:rsid w:val="17757E35"/>
    <w:rsid w:val="177B7D38"/>
    <w:rsid w:val="17942BA8"/>
    <w:rsid w:val="17A5266F"/>
    <w:rsid w:val="17AB6D23"/>
    <w:rsid w:val="17AC7EF2"/>
    <w:rsid w:val="17C074F9"/>
    <w:rsid w:val="17D0734B"/>
    <w:rsid w:val="17E7386B"/>
    <w:rsid w:val="17F51899"/>
    <w:rsid w:val="17F7F413"/>
    <w:rsid w:val="17FB1A3B"/>
    <w:rsid w:val="17FE6E56"/>
    <w:rsid w:val="17FF64AB"/>
    <w:rsid w:val="18003FBB"/>
    <w:rsid w:val="18120968"/>
    <w:rsid w:val="181E6F28"/>
    <w:rsid w:val="18236353"/>
    <w:rsid w:val="18370FB6"/>
    <w:rsid w:val="183B34A8"/>
    <w:rsid w:val="183C53ED"/>
    <w:rsid w:val="18477C1A"/>
    <w:rsid w:val="18495740"/>
    <w:rsid w:val="186359F2"/>
    <w:rsid w:val="18916593"/>
    <w:rsid w:val="189A205E"/>
    <w:rsid w:val="18A230A3"/>
    <w:rsid w:val="18A34340"/>
    <w:rsid w:val="18AA77E9"/>
    <w:rsid w:val="18AD19A9"/>
    <w:rsid w:val="18C63235"/>
    <w:rsid w:val="18C70119"/>
    <w:rsid w:val="18D87CBA"/>
    <w:rsid w:val="18DF2BB7"/>
    <w:rsid w:val="18F16CB3"/>
    <w:rsid w:val="18FED94C"/>
    <w:rsid w:val="19085E4B"/>
    <w:rsid w:val="19145D4E"/>
    <w:rsid w:val="191A6982"/>
    <w:rsid w:val="1935342A"/>
    <w:rsid w:val="193A03BC"/>
    <w:rsid w:val="193E2DCB"/>
    <w:rsid w:val="19430B61"/>
    <w:rsid w:val="19480C9F"/>
    <w:rsid w:val="19602878"/>
    <w:rsid w:val="19662322"/>
    <w:rsid w:val="197F6BB8"/>
    <w:rsid w:val="198F0A41"/>
    <w:rsid w:val="199820C4"/>
    <w:rsid w:val="19A14C01"/>
    <w:rsid w:val="19C01A32"/>
    <w:rsid w:val="19CA5DD8"/>
    <w:rsid w:val="19CF2EBF"/>
    <w:rsid w:val="19D47FBD"/>
    <w:rsid w:val="1A0822E3"/>
    <w:rsid w:val="1A0C09AF"/>
    <w:rsid w:val="1A18186E"/>
    <w:rsid w:val="1A2521DD"/>
    <w:rsid w:val="1A491FB6"/>
    <w:rsid w:val="1A564145"/>
    <w:rsid w:val="1A803641"/>
    <w:rsid w:val="1A9E27F9"/>
    <w:rsid w:val="1AA43A98"/>
    <w:rsid w:val="1AA440DC"/>
    <w:rsid w:val="1ABFC63E"/>
    <w:rsid w:val="1AFBF9CD"/>
    <w:rsid w:val="1AFE4B89"/>
    <w:rsid w:val="1B0919D7"/>
    <w:rsid w:val="1B223C80"/>
    <w:rsid w:val="1B3846F0"/>
    <w:rsid w:val="1B43604F"/>
    <w:rsid w:val="1B4E38C0"/>
    <w:rsid w:val="1B585803"/>
    <w:rsid w:val="1B5A4CD4"/>
    <w:rsid w:val="1B5C1C2F"/>
    <w:rsid w:val="1B7139D2"/>
    <w:rsid w:val="1B984B09"/>
    <w:rsid w:val="1B9D7353"/>
    <w:rsid w:val="1BB83309"/>
    <w:rsid w:val="1BBE100B"/>
    <w:rsid w:val="1BC45208"/>
    <w:rsid w:val="1BC7A9D2"/>
    <w:rsid w:val="1BCF0653"/>
    <w:rsid w:val="1BDA70AF"/>
    <w:rsid w:val="1BDE2525"/>
    <w:rsid w:val="1BF92801"/>
    <w:rsid w:val="1BFE6842"/>
    <w:rsid w:val="1C011545"/>
    <w:rsid w:val="1C1C637A"/>
    <w:rsid w:val="1C264B43"/>
    <w:rsid w:val="1C2912CC"/>
    <w:rsid w:val="1C3FF0EC"/>
    <w:rsid w:val="1C650A0C"/>
    <w:rsid w:val="1C6E6B6E"/>
    <w:rsid w:val="1C917171"/>
    <w:rsid w:val="1C9A5D29"/>
    <w:rsid w:val="1C9C2C60"/>
    <w:rsid w:val="1CED1F8B"/>
    <w:rsid w:val="1CFFCFC7"/>
    <w:rsid w:val="1D085C52"/>
    <w:rsid w:val="1D1310FC"/>
    <w:rsid w:val="1D1F2F14"/>
    <w:rsid w:val="1D2F6450"/>
    <w:rsid w:val="1D3C3CB7"/>
    <w:rsid w:val="1D3D5F97"/>
    <w:rsid w:val="1D471BD6"/>
    <w:rsid w:val="1D5B1678"/>
    <w:rsid w:val="1D770D4C"/>
    <w:rsid w:val="1D888F2A"/>
    <w:rsid w:val="1D8C4DEF"/>
    <w:rsid w:val="1D9F76F1"/>
    <w:rsid w:val="1DAD4CFF"/>
    <w:rsid w:val="1DBB159B"/>
    <w:rsid w:val="1DD7CBA6"/>
    <w:rsid w:val="1DD871C9"/>
    <w:rsid w:val="1DE00903"/>
    <w:rsid w:val="1DFB6D4A"/>
    <w:rsid w:val="1DFFC63E"/>
    <w:rsid w:val="1E180A71"/>
    <w:rsid w:val="1E366F65"/>
    <w:rsid w:val="1E3A375D"/>
    <w:rsid w:val="1E3F7CDD"/>
    <w:rsid w:val="1E495DF2"/>
    <w:rsid w:val="1E5501C5"/>
    <w:rsid w:val="1E574A0E"/>
    <w:rsid w:val="1E7471DE"/>
    <w:rsid w:val="1E8C45D9"/>
    <w:rsid w:val="1E9235F6"/>
    <w:rsid w:val="1E933BB9"/>
    <w:rsid w:val="1EB7F713"/>
    <w:rsid w:val="1EB872AF"/>
    <w:rsid w:val="1EBA53BD"/>
    <w:rsid w:val="1EBB1463"/>
    <w:rsid w:val="1EC57AEB"/>
    <w:rsid w:val="1ECD6879"/>
    <w:rsid w:val="1ED64B25"/>
    <w:rsid w:val="1EE07B63"/>
    <w:rsid w:val="1EE77DD4"/>
    <w:rsid w:val="1EE7F941"/>
    <w:rsid w:val="1EE97DF2"/>
    <w:rsid w:val="1EF5549D"/>
    <w:rsid w:val="1EF67398"/>
    <w:rsid w:val="1EFEA515"/>
    <w:rsid w:val="1F100353"/>
    <w:rsid w:val="1F176598"/>
    <w:rsid w:val="1F232AA8"/>
    <w:rsid w:val="1F30765A"/>
    <w:rsid w:val="1F352F44"/>
    <w:rsid w:val="1F3822A2"/>
    <w:rsid w:val="1F3D58D3"/>
    <w:rsid w:val="1F5F4A4D"/>
    <w:rsid w:val="1F7C187E"/>
    <w:rsid w:val="1F8D413A"/>
    <w:rsid w:val="1F900E4C"/>
    <w:rsid w:val="1F901EA7"/>
    <w:rsid w:val="1F9B4D2F"/>
    <w:rsid w:val="1F9F0F8E"/>
    <w:rsid w:val="1FA63478"/>
    <w:rsid w:val="1FAF1E5F"/>
    <w:rsid w:val="1FBA2406"/>
    <w:rsid w:val="1FBD2A39"/>
    <w:rsid w:val="1FC94624"/>
    <w:rsid w:val="1FCE2288"/>
    <w:rsid w:val="1FCF6E73"/>
    <w:rsid w:val="1FDABD68"/>
    <w:rsid w:val="1FDB7A6F"/>
    <w:rsid w:val="1FDE70B6"/>
    <w:rsid w:val="1FE51F70"/>
    <w:rsid w:val="1FEBF21C"/>
    <w:rsid w:val="1FEF299D"/>
    <w:rsid w:val="1FF38547"/>
    <w:rsid w:val="1FF6B29C"/>
    <w:rsid w:val="1FF703D3"/>
    <w:rsid w:val="1FFBAA6A"/>
    <w:rsid w:val="1FFBFDC7"/>
    <w:rsid w:val="1FFF9842"/>
    <w:rsid w:val="1FFFD053"/>
    <w:rsid w:val="1FFFEB9F"/>
    <w:rsid w:val="200C3F86"/>
    <w:rsid w:val="200E4A1F"/>
    <w:rsid w:val="20353D62"/>
    <w:rsid w:val="204D5FA0"/>
    <w:rsid w:val="20507898"/>
    <w:rsid w:val="20695B39"/>
    <w:rsid w:val="20842008"/>
    <w:rsid w:val="20B43CF2"/>
    <w:rsid w:val="20DA53AA"/>
    <w:rsid w:val="20FF577E"/>
    <w:rsid w:val="210D0CC2"/>
    <w:rsid w:val="211B52F1"/>
    <w:rsid w:val="211E4F14"/>
    <w:rsid w:val="21224D81"/>
    <w:rsid w:val="212378F0"/>
    <w:rsid w:val="21311468"/>
    <w:rsid w:val="216D1A37"/>
    <w:rsid w:val="21780CB1"/>
    <w:rsid w:val="21787EF5"/>
    <w:rsid w:val="21900C74"/>
    <w:rsid w:val="21957C48"/>
    <w:rsid w:val="21B52D55"/>
    <w:rsid w:val="21BF4CC5"/>
    <w:rsid w:val="21BFAD0C"/>
    <w:rsid w:val="21C0508A"/>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F0181"/>
    <w:rsid w:val="22623FCE"/>
    <w:rsid w:val="228329C8"/>
    <w:rsid w:val="228F1762"/>
    <w:rsid w:val="22911EB1"/>
    <w:rsid w:val="22B51889"/>
    <w:rsid w:val="22BC5584"/>
    <w:rsid w:val="22C1655D"/>
    <w:rsid w:val="22CE3412"/>
    <w:rsid w:val="22E17A1D"/>
    <w:rsid w:val="22E36792"/>
    <w:rsid w:val="22F83FEB"/>
    <w:rsid w:val="23030452"/>
    <w:rsid w:val="2306369F"/>
    <w:rsid w:val="233849C7"/>
    <w:rsid w:val="233C0790"/>
    <w:rsid w:val="234C2D59"/>
    <w:rsid w:val="23520C6D"/>
    <w:rsid w:val="23551588"/>
    <w:rsid w:val="2357607E"/>
    <w:rsid w:val="23690890"/>
    <w:rsid w:val="23834019"/>
    <w:rsid w:val="23964A5E"/>
    <w:rsid w:val="23A3792D"/>
    <w:rsid w:val="23A9170F"/>
    <w:rsid w:val="23AC6E99"/>
    <w:rsid w:val="23D42CAA"/>
    <w:rsid w:val="23EF300E"/>
    <w:rsid w:val="23F74F9A"/>
    <w:rsid w:val="23FF584D"/>
    <w:rsid w:val="24040114"/>
    <w:rsid w:val="240B5FA0"/>
    <w:rsid w:val="24113B37"/>
    <w:rsid w:val="24150E93"/>
    <w:rsid w:val="242B3716"/>
    <w:rsid w:val="242C2E2F"/>
    <w:rsid w:val="243F3E9B"/>
    <w:rsid w:val="24661DF5"/>
    <w:rsid w:val="246F25C8"/>
    <w:rsid w:val="24755E7E"/>
    <w:rsid w:val="247B32BF"/>
    <w:rsid w:val="2491511F"/>
    <w:rsid w:val="249723D5"/>
    <w:rsid w:val="249F2AB4"/>
    <w:rsid w:val="24A217AC"/>
    <w:rsid w:val="24A96E7E"/>
    <w:rsid w:val="24D26ABE"/>
    <w:rsid w:val="24E707BB"/>
    <w:rsid w:val="24EB0F0B"/>
    <w:rsid w:val="24ED7049"/>
    <w:rsid w:val="25036248"/>
    <w:rsid w:val="25044920"/>
    <w:rsid w:val="25083EA5"/>
    <w:rsid w:val="251C753A"/>
    <w:rsid w:val="25223C13"/>
    <w:rsid w:val="25404D37"/>
    <w:rsid w:val="254607D8"/>
    <w:rsid w:val="255816B9"/>
    <w:rsid w:val="2561292F"/>
    <w:rsid w:val="256E31C8"/>
    <w:rsid w:val="258558A4"/>
    <w:rsid w:val="25951619"/>
    <w:rsid w:val="25980210"/>
    <w:rsid w:val="25987D07"/>
    <w:rsid w:val="259A3A47"/>
    <w:rsid w:val="25A349C2"/>
    <w:rsid w:val="25B26B77"/>
    <w:rsid w:val="25F72C80"/>
    <w:rsid w:val="25FB0004"/>
    <w:rsid w:val="26031625"/>
    <w:rsid w:val="260D4692"/>
    <w:rsid w:val="26170C2C"/>
    <w:rsid w:val="26252FE1"/>
    <w:rsid w:val="267B575B"/>
    <w:rsid w:val="267F3234"/>
    <w:rsid w:val="269B56F1"/>
    <w:rsid w:val="26A0369D"/>
    <w:rsid w:val="26C557BD"/>
    <w:rsid w:val="26C568DA"/>
    <w:rsid w:val="26C713AC"/>
    <w:rsid w:val="26D1EA4C"/>
    <w:rsid w:val="26DE799C"/>
    <w:rsid w:val="26E74AA2"/>
    <w:rsid w:val="26ED5E31"/>
    <w:rsid w:val="26EF2464"/>
    <w:rsid w:val="26FC6074"/>
    <w:rsid w:val="26FF9C91"/>
    <w:rsid w:val="270BA4BB"/>
    <w:rsid w:val="270C29EC"/>
    <w:rsid w:val="270F5DA7"/>
    <w:rsid w:val="272730F1"/>
    <w:rsid w:val="272852B8"/>
    <w:rsid w:val="272C6959"/>
    <w:rsid w:val="272F1FA5"/>
    <w:rsid w:val="273C5982"/>
    <w:rsid w:val="27606603"/>
    <w:rsid w:val="2769652E"/>
    <w:rsid w:val="27776D8D"/>
    <w:rsid w:val="27934767"/>
    <w:rsid w:val="27961FBA"/>
    <w:rsid w:val="27BF5A1F"/>
    <w:rsid w:val="27D044E5"/>
    <w:rsid w:val="27D9B076"/>
    <w:rsid w:val="27DD14EA"/>
    <w:rsid w:val="27DD57C6"/>
    <w:rsid w:val="27E36432"/>
    <w:rsid w:val="27E476A4"/>
    <w:rsid w:val="27E770BC"/>
    <w:rsid w:val="27FBCE58"/>
    <w:rsid w:val="27FDAFA3"/>
    <w:rsid w:val="280D1B36"/>
    <w:rsid w:val="28237451"/>
    <w:rsid w:val="28383284"/>
    <w:rsid w:val="28515867"/>
    <w:rsid w:val="28550131"/>
    <w:rsid w:val="286A466A"/>
    <w:rsid w:val="28771519"/>
    <w:rsid w:val="287853D1"/>
    <w:rsid w:val="287B78F8"/>
    <w:rsid w:val="28AA3FD9"/>
    <w:rsid w:val="28B22E8E"/>
    <w:rsid w:val="28B776A0"/>
    <w:rsid w:val="28CD627E"/>
    <w:rsid w:val="28D503CB"/>
    <w:rsid w:val="28DB0637"/>
    <w:rsid w:val="28DB142C"/>
    <w:rsid w:val="28F2659B"/>
    <w:rsid w:val="290862B9"/>
    <w:rsid w:val="290C07F0"/>
    <w:rsid w:val="291718D0"/>
    <w:rsid w:val="29317CDB"/>
    <w:rsid w:val="2934714C"/>
    <w:rsid w:val="29453A81"/>
    <w:rsid w:val="294855A0"/>
    <w:rsid w:val="29563397"/>
    <w:rsid w:val="29577634"/>
    <w:rsid w:val="297760FA"/>
    <w:rsid w:val="29833F07"/>
    <w:rsid w:val="298365D8"/>
    <w:rsid w:val="298B52D9"/>
    <w:rsid w:val="29AB2D12"/>
    <w:rsid w:val="29B51F43"/>
    <w:rsid w:val="29C235A5"/>
    <w:rsid w:val="29CA2459"/>
    <w:rsid w:val="29D07A70"/>
    <w:rsid w:val="29DA5C3B"/>
    <w:rsid w:val="29DE652E"/>
    <w:rsid w:val="29E575A9"/>
    <w:rsid w:val="29E61A78"/>
    <w:rsid w:val="29F747DA"/>
    <w:rsid w:val="2A0111CD"/>
    <w:rsid w:val="2A1B6F7E"/>
    <w:rsid w:val="2A2322AC"/>
    <w:rsid w:val="2A2F1CDB"/>
    <w:rsid w:val="2A39453E"/>
    <w:rsid w:val="2A4468E8"/>
    <w:rsid w:val="2A452A0A"/>
    <w:rsid w:val="2A461AE0"/>
    <w:rsid w:val="2A67601F"/>
    <w:rsid w:val="2A7F42F2"/>
    <w:rsid w:val="2A855847"/>
    <w:rsid w:val="2A8B196A"/>
    <w:rsid w:val="2AA77941"/>
    <w:rsid w:val="2AA8222A"/>
    <w:rsid w:val="2AA902C1"/>
    <w:rsid w:val="2AB96756"/>
    <w:rsid w:val="2AC74B8A"/>
    <w:rsid w:val="2ACB7B38"/>
    <w:rsid w:val="2AD7BF38"/>
    <w:rsid w:val="2ADA4EF4"/>
    <w:rsid w:val="2AFD1A91"/>
    <w:rsid w:val="2AFE8723"/>
    <w:rsid w:val="2B004385"/>
    <w:rsid w:val="2B1D615B"/>
    <w:rsid w:val="2B2E7586"/>
    <w:rsid w:val="2B3F8EC5"/>
    <w:rsid w:val="2B450F27"/>
    <w:rsid w:val="2B55703A"/>
    <w:rsid w:val="2B8C79C6"/>
    <w:rsid w:val="2B9F25ED"/>
    <w:rsid w:val="2BA411B4"/>
    <w:rsid w:val="2BA8B3B4"/>
    <w:rsid w:val="2BAC5784"/>
    <w:rsid w:val="2BD75D4F"/>
    <w:rsid w:val="2BD870AF"/>
    <w:rsid w:val="2BE8286B"/>
    <w:rsid w:val="2BEA65DC"/>
    <w:rsid w:val="2BEC02B5"/>
    <w:rsid w:val="2BEC479F"/>
    <w:rsid w:val="2BEF7F55"/>
    <w:rsid w:val="2C01229D"/>
    <w:rsid w:val="2C035F30"/>
    <w:rsid w:val="2C1427BB"/>
    <w:rsid w:val="2C1649D2"/>
    <w:rsid w:val="2C1A44DE"/>
    <w:rsid w:val="2C253A23"/>
    <w:rsid w:val="2C2F5EF6"/>
    <w:rsid w:val="2C446B2D"/>
    <w:rsid w:val="2C4D1CCA"/>
    <w:rsid w:val="2C536736"/>
    <w:rsid w:val="2C7566AC"/>
    <w:rsid w:val="2C825C43"/>
    <w:rsid w:val="2C963918"/>
    <w:rsid w:val="2C972AC7"/>
    <w:rsid w:val="2CA45E23"/>
    <w:rsid w:val="2CB400A6"/>
    <w:rsid w:val="2CBD3883"/>
    <w:rsid w:val="2CC05F34"/>
    <w:rsid w:val="2CC55886"/>
    <w:rsid w:val="2CC83A52"/>
    <w:rsid w:val="2CD3251A"/>
    <w:rsid w:val="2CDFA205"/>
    <w:rsid w:val="2CFED713"/>
    <w:rsid w:val="2D185992"/>
    <w:rsid w:val="2D1D71A5"/>
    <w:rsid w:val="2D23544A"/>
    <w:rsid w:val="2D327376"/>
    <w:rsid w:val="2D3F6442"/>
    <w:rsid w:val="2D451C1A"/>
    <w:rsid w:val="2D5262DB"/>
    <w:rsid w:val="2D6CB804"/>
    <w:rsid w:val="2D865FF5"/>
    <w:rsid w:val="2D8F684C"/>
    <w:rsid w:val="2D9417B7"/>
    <w:rsid w:val="2DA87687"/>
    <w:rsid w:val="2DBB66B4"/>
    <w:rsid w:val="2DBD69B9"/>
    <w:rsid w:val="2DC87B07"/>
    <w:rsid w:val="2DCD0805"/>
    <w:rsid w:val="2DD54233"/>
    <w:rsid w:val="2DD9E860"/>
    <w:rsid w:val="2DE37FB9"/>
    <w:rsid w:val="2DE53C0F"/>
    <w:rsid w:val="2DF3038D"/>
    <w:rsid w:val="2DF623E7"/>
    <w:rsid w:val="2DFD4901"/>
    <w:rsid w:val="2DFF1D40"/>
    <w:rsid w:val="2DFF7C43"/>
    <w:rsid w:val="2E083455"/>
    <w:rsid w:val="2E0C05E0"/>
    <w:rsid w:val="2E0F6966"/>
    <w:rsid w:val="2E1072F6"/>
    <w:rsid w:val="2E2B5E45"/>
    <w:rsid w:val="2E393461"/>
    <w:rsid w:val="2E3A7064"/>
    <w:rsid w:val="2E3E1DCE"/>
    <w:rsid w:val="2E4E3659"/>
    <w:rsid w:val="2E5F3951"/>
    <w:rsid w:val="2E6B577A"/>
    <w:rsid w:val="2EA620E4"/>
    <w:rsid w:val="2EA71C5B"/>
    <w:rsid w:val="2EAB0AAB"/>
    <w:rsid w:val="2EABAEE0"/>
    <w:rsid w:val="2EB364A5"/>
    <w:rsid w:val="2EB86C06"/>
    <w:rsid w:val="2EBC7A92"/>
    <w:rsid w:val="2EC42C7A"/>
    <w:rsid w:val="2EDF3A89"/>
    <w:rsid w:val="2EE06A9A"/>
    <w:rsid w:val="2F121012"/>
    <w:rsid w:val="2F147A9B"/>
    <w:rsid w:val="2F2258B6"/>
    <w:rsid w:val="2F32550E"/>
    <w:rsid w:val="2F332614"/>
    <w:rsid w:val="2F350375"/>
    <w:rsid w:val="2F472B9E"/>
    <w:rsid w:val="2F4D2D11"/>
    <w:rsid w:val="2F4F55C0"/>
    <w:rsid w:val="2F5A1E9D"/>
    <w:rsid w:val="2F5DC5D9"/>
    <w:rsid w:val="2F6B4E4F"/>
    <w:rsid w:val="2F6F3887"/>
    <w:rsid w:val="2F75095C"/>
    <w:rsid w:val="2F7946CF"/>
    <w:rsid w:val="2F7D6EF5"/>
    <w:rsid w:val="2F7EC3B3"/>
    <w:rsid w:val="2F854E58"/>
    <w:rsid w:val="2F930DD1"/>
    <w:rsid w:val="2F97EB8F"/>
    <w:rsid w:val="2FAC2E94"/>
    <w:rsid w:val="2FBB19A7"/>
    <w:rsid w:val="2FBC4AD6"/>
    <w:rsid w:val="2FBDE4D0"/>
    <w:rsid w:val="2FD7D3EC"/>
    <w:rsid w:val="2FD81D46"/>
    <w:rsid w:val="2FDC7194"/>
    <w:rsid w:val="2FDE0400"/>
    <w:rsid w:val="2FE40FC7"/>
    <w:rsid w:val="2FEF3E25"/>
    <w:rsid w:val="2FEF9A83"/>
    <w:rsid w:val="2FF28238"/>
    <w:rsid w:val="2FF2B663"/>
    <w:rsid w:val="2FF75ABD"/>
    <w:rsid w:val="2FFA7F34"/>
    <w:rsid w:val="2FFB81CA"/>
    <w:rsid w:val="2FFE29AD"/>
    <w:rsid w:val="2FFF752E"/>
    <w:rsid w:val="2FFFC90F"/>
    <w:rsid w:val="300A287B"/>
    <w:rsid w:val="30155939"/>
    <w:rsid w:val="30223949"/>
    <w:rsid w:val="30314FE0"/>
    <w:rsid w:val="30330DD3"/>
    <w:rsid w:val="3036075B"/>
    <w:rsid w:val="303D78E2"/>
    <w:rsid w:val="30406FD1"/>
    <w:rsid w:val="3049057C"/>
    <w:rsid w:val="3053334D"/>
    <w:rsid w:val="30672894"/>
    <w:rsid w:val="30725C8A"/>
    <w:rsid w:val="30776F35"/>
    <w:rsid w:val="30792EFB"/>
    <w:rsid w:val="307F111D"/>
    <w:rsid w:val="308275EA"/>
    <w:rsid w:val="30840ACC"/>
    <w:rsid w:val="30920BEE"/>
    <w:rsid w:val="309A4933"/>
    <w:rsid w:val="309C3CC8"/>
    <w:rsid w:val="30D42ED7"/>
    <w:rsid w:val="30DE0001"/>
    <w:rsid w:val="30E14632"/>
    <w:rsid w:val="30F50A3D"/>
    <w:rsid w:val="30F73AB6"/>
    <w:rsid w:val="30F9590F"/>
    <w:rsid w:val="30FF6E8C"/>
    <w:rsid w:val="31283B34"/>
    <w:rsid w:val="31350B00"/>
    <w:rsid w:val="31383596"/>
    <w:rsid w:val="313F6A1F"/>
    <w:rsid w:val="315A604D"/>
    <w:rsid w:val="316A1E0C"/>
    <w:rsid w:val="317A4FED"/>
    <w:rsid w:val="31994BEB"/>
    <w:rsid w:val="319F64F2"/>
    <w:rsid w:val="31A1649A"/>
    <w:rsid w:val="31CA75AD"/>
    <w:rsid w:val="31DF7492"/>
    <w:rsid w:val="31E57E30"/>
    <w:rsid w:val="31F67A05"/>
    <w:rsid w:val="31F79EDE"/>
    <w:rsid w:val="31FC0875"/>
    <w:rsid w:val="320C25F2"/>
    <w:rsid w:val="320D0FB0"/>
    <w:rsid w:val="32230959"/>
    <w:rsid w:val="323632CF"/>
    <w:rsid w:val="32420577"/>
    <w:rsid w:val="32427031"/>
    <w:rsid w:val="32546D64"/>
    <w:rsid w:val="328450EB"/>
    <w:rsid w:val="328C49EF"/>
    <w:rsid w:val="329B5284"/>
    <w:rsid w:val="32A66287"/>
    <w:rsid w:val="32AD18BC"/>
    <w:rsid w:val="32AD2E45"/>
    <w:rsid w:val="32DF90E3"/>
    <w:rsid w:val="32EB4AC3"/>
    <w:rsid w:val="32FF6030"/>
    <w:rsid w:val="331F2E53"/>
    <w:rsid w:val="3321758E"/>
    <w:rsid w:val="33273D63"/>
    <w:rsid w:val="332C4738"/>
    <w:rsid w:val="334975E7"/>
    <w:rsid w:val="33660F1D"/>
    <w:rsid w:val="3367C5D5"/>
    <w:rsid w:val="33743B62"/>
    <w:rsid w:val="3377466D"/>
    <w:rsid w:val="338319BA"/>
    <w:rsid w:val="338B0EAB"/>
    <w:rsid w:val="3398CF89"/>
    <w:rsid w:val="33AF10F6"/>
    <w:rsid w:val="33CC26E2"/>
    <w:rsid w:val="33E61CF5"/>
    <w:rsid w:val="33EA0AAD"/>
    <w:rsid w:val="33EA7BA3"/>
    <w:rsid w:val="33F3CD48"/>
    <w:rsid w:val="33F60B96"/>
    <w:rsid w:val="33FC6423"/>
    <w:rsid w:val="3402116D"/>
    <w:rsid w:val="34086058"/>
    <w:rsid w:val="3424335A"/>
    <w:rsid w:val="34254E5C"/>
    <w:rsid w:val="3430372B"/>
    <w:rsid w:val="34327204"/>
    <w:rsid w:val="343777C7"/>
    <w:rsid w:val="34482D34"/>
    <w:rsid w:val="344C4E4C"/>
    <w:rsid w:val="34563CEC"/>
    <w:rsid w:val="347907F4"/>
    <w:rsid w:val="347B142B"/>
    <w:rsid w:val="347D7562"/>
    <w:rsid w:val="347F4C87"/>
    <w:rsid w:val="348A1163"/>
    <w:rsid w:val="34AE0818"/>
    <w:rsid w:val="34AF2977"/>
    <w:rsid w:val="34B95B62"/>
    <w:rsid w:val="34C12E62"/>
    <w:rsid w:val="34D4418C"/>
    <w:rsid w:val="34E017EF"/>
    <w:rsid w:val="34E7065F"/>
    <w:rsid w:val="34FB6C49"/>
    <w:rsid w:val="35066A3B"/>
    <w:rsid w:val="350B22A4"/>
    <w:rsid w:val="350B5E00"/>
    <w:rsid w:val="350E3B42"/>
    <w:rsid w:val="35300A8B"/>
    <w:rsid w:val="353F2372"/>
    <w:rsid w:val="357723F2"/>
    <w:rsid w:val="35A3428A"/>
    <w:rsid w:val="35A62037"/>
    <w:rsid w:val="35A72369"/>
    <w:rsid w:val="35B3495D"/>
    <w:rsid w:val="35B359C0"/>
    <w:rsid w:val="35BF449B"/>
    <w:rsid w:val="35C17F8A"/>
    <w:rsid w:val="35C76FE0"/>
    <w:rsid w:val="35CF507F"/>
    <w:rsid w:val="35D2004D"/>
    <w:rsid w:val="35EF5B31"/>
    <w:rsid w:val="35F5AF5D"/>
    <w:rsid w:val="35FBC845"/>
    <w:rsid w:val="35FD60FF"/>
    <w:rsid w:val="36025094"/>
    <w:rsid w:val="360303BF"/>
    <w:rsid w:val="360C05BC"/>
    <w:rsid w:val="361418A2"/>
    <w:rsid w:val="361C403D"/>
    <w:rsid w:val="36227C9F"/>
    <w:rsid w:val="363A0BF9"/>
    <w:rsid w:val="364953DA"/>
    <w:rsid w:val="365F3078"/>
    <w:rsid w:val="36633A19"/>
    <w:rsid w:val="367B3D87"/>
    <w:rsid w:val="367D7167"/>
    <w:rsid w:val="367DDC35"/>
    <w:rsid w:val="367F11FA"/>
    <w:rsid w:val="368516AB"/>
    <w:rsid w:val="368E248F"/>
    <w:rsid w:val="369562F3"/>
    <w:rsid w:val="36B81FB7"/>
    <w:rsid w:val="36BF0388"/>
    <w:rsid w:val="36BF9E69"/>
    <w:rsid w:val="36EF6D53"/>
    <w:rsid w:val="370A3651"/>
    <w:rsid w:val="371317B3"/>
    <w:rsid w:val="373DDDA3"/>
    <w:rsid w:val="37417C74"/>
    <w:rsid w:val="374BE5A3"/>
    <w:rsid w:val="374D1306"/>
    <w:rsid w:val="374DB9D0"/>
    <w:rsid w:val="375B512E"/>
    <w:rsid w:val="376D1D07"/>
    <w:rsid w:val="3778621B"/>
    <w:rsid w:val="377FA5A6"/>
    <w:rsid w:val="379876F3"/>
    <w:rsid w:val="379A74B9"/>
    <w:rsid w:val="37A05205"/>
    <w:rsid w:val="37BB7CF6"/>
    <w:rsid w:val="37C0268B"/>
    <w:rsid w:val="37CF39CA"/>
    <w:rsid w:val="37D17296"/>
    <w:rsid w:val="37D76F6C"/>
    <w:rsid w:val="37DB6AB9"/>
    <w:rsid w:val="37DD5860"/>
    <w:rsid w:val="37E9EE1B"/>
    <w:rsid w:val="37ED1E46"/>
    <w:rsid w:val="37EF82B8"/>
    <w:rsid w:val="37F00FD4"/>
    <w:rsid w:val="37F35D21"/>
    <w:rsid w:val="37FCC55C"/>
    <w:rsid w:val="37FDC568"/>
    <w:rsid w:val="37FF0EED"/>
    <w:rsid w:val="38327B47"/>
    <w:rsid w:val="383576EA"/>
    <w:rsid w:val="383A3FFC"/>
    <w:rsid w:val="38446D79"/>
    <w:rsid w:val="38471845"/>
    <w:rsid w:val="384E7C11"/>
    <w:rsid w:val="385F68CE"/>
    <w:rsid w:val="387A583E"/>
    <w:rsid w:val="387E4B3B"/>
    <w:rsid w:val="389B465E"/>
    <w:rsid w:val="38A00833"/>
    <w:rsid w:val="38A86A29"/>
    <w:rsid w:val="38BF3A85"/>
    <w:rsid w:val="38C06F01"/>
    <w:rsid w:val="38C20ECB"/>
    <w:rsid w:val="38C5366B"/>
    <w:rsid w:val="38C63A29"/>
    <w:rsid w:val="38E86319"/>
    <w:rsid w:val="38FF2A9F"/>
    <w:rsid w:val="390469A8"/>
    <w:rsid w:val="3917772D"/>
    <w:rsid w:val="392576AC"/>
    <w:rsid w:val="392B0F47"/>
    <w:rsid w:val="393F1557"/>
    <w:rsid w:val="393F42CA"/>
    <w:rsid w:val="396A5D10"/>
    <w:rsid w:val="3974645A"/>
    <w:rsid w:val="397FF1E1"/>
    <w:rsid w:val="39846181"/>
    <w:rsid w:val="398C6304"/>
    <w:rsid w:val="39936DAD"/>
    <w:rsid w:val="39AD45D1"/>
    <w:rsid w:val="39BB3678"/>
    <w:rsid w:val="39BC7F13"/>
    <w:rsid w:val="39C033C3"/>
    <w:rsid w:val="39CE1AF2"/>
    <w:rsid w:val="39E17663"/>
    <w:rsid w:val="39E775D4"/>
    <w:rsid w:val="39ED11E2"/>
    <w:rsid w:val="39EDAA43"/>
    <w:rsid w:val="39EE7A9E"/>
    <w:rsid w:val="39F350B4"/>
    <w:rsid w:val="3A323E2F"/>
    <w:rsid w:val="3A3A7021"/>
    <w:rsid w:val="3A4060DF"/>
    <w:rsid w:val="3A4C56D1"/>
    <w:rsid w:val="3A4F49E1"/>
    <w:rsid w:val="3A50005F"/>
    <w:rsid w:val="3A54296F"/>
    <w:rsid w:val="3A6366DE"/>
    <w:rsid w:val="3A9A0395"/>
    <w:rsid w:val="3AB03049"/>
    <w:rsid w:val="3ABFED9E"/>
    <w:rsid w:val="3ADB297E"/>
    <w:rsid w:val="3ADF1D2C"/>
    <w:rsid w:val="3AE8050A"/>
    <w:rsid w:val="3AF826E2"/>
    <w:rsid w:val="3B1772FC"/>
    <w:rsid w:val="3B2E4C9B"/>
    <w:rsid w:val="3B334302"/>
    <w:rsid w:val="3B3731A4"/>
    <w:rsid w:val="3B3A6D66"/>
    <w:rsid w:val="3B440E49"/>
    <w:rsid w:val="3B464036"/>
    <w:rsid w:val="3B556755"/>
    <w:rsid w:val="3B5F602A"/>
    <w:rsid w:val="3B6F9D45"/>
    <w:rsid w:val="3B8D091C"/>
    <w:rsid w:val="3B9052B1"/>
    <w:rsid w:val="3BA66882"/>
    <w:rsid w:val="3BA9AAAC"/>
    <w:rsid w:val="3BAF30D6"/>
    <w:rsid w:val="3BB69542"/>
    <w:rsid w:val="3BBE5E4D"/>
    <w:rsid w:val="3BC44F5A"/>
    <w:rsid w:val="3BC63B7F"/>
    <w:rsid w:val="3BD74CA2"/>
    <w:rsid w:val="3BD86C58"/>
    <w:rsid w:val="3BD8B611"/>
    <w:rsid w:val="3BE51B6A"/>
    <w:rsid w:val="3BEDAD66"/>
    <w:rsid w:val="3BEE9BC7"/>
    <w:rsid w:val="3BFF839E"/>
    <w:rsid w:val="3BFFF1B3"/>
    <w:rsid w:val="3C0666B2"/>
    <w:rsid w:val="3C0D6901"/>
    <w:rsid w:val="3C100BA6"/>
    <w:rsid w:val="3C1E0B0E"/>
    <w:rsid w:val="3C2B4FD9"/>
    <w:rsid w:val="3C352D8E"/>
    <w:rsid w:val="3C613A24"/>
    <w:rsid w:val="3C6504EB"/>
    <w:rsid w:val="3C655CD1"/>
    <w:rsid w:val="3C9078FD"/>
    <w:rsid w:val="3C9A5CBB"/>
    <w:rsid w:val="3C9A71F9"/>
    <w:rsid w:val="3CA95C03"/>
    <w:rsid w:val="3CAC611A"/>
    <w:rsid w:val="3CAF5C0A"/>
    <w:rsid w:val="3CB44F98"/>
    <w:rsid w:val="3CB9031A"/>
    <w:rsid w:val="3CD80DF1"/>
    <w:rsid w:val="3CE8111C"/>
    <w:rsid w:val="3CE9F484"/>
    <w:rsid w:val="3CEDE268"/>
    <w:rsid w:val="3CF25AF7"/>
    <w:rsid w:val="3D0746DB"/>
    <w:rsid w:val="3D0A4BEF"/>
    <w:rsid w:val="3D110E22"/>
    <w:rsid w:val="3D2FCB5C"/>
    <w:rsid w:val="3D3103CE"/>
    <w:rsid w:val="3D37218E"/>
    <w:rsid w:val="3D3A5969"/>
    <w:rsid w:val="3D5A0CCE"/>
    <w:rsid w:val="3D605157"/>
    <w:rsid w:val="3D6A98AB"/>
    <w:rsid w:val="3D7103B4"/>
    <w:rsid w:val="3D7D5A70"/>
    <w:rsid w:val="3D840E45"/>
    <w:rsid w:val="3D867B10"/>
    <w:rsid w:val="3D8E62A8"/>
    <w:rsid w:val="3DA7347D"/>
    <w:rsid w:val="3DB321C8"/>
    <w:rsid w:val="3DB51B25"/>
    <w:rsid w:val="3DC76DD6"/>
    <w:rsid w:val="3DCD531B"/>
    <w:rsid w:val="3DD9003B"/>
    <w:rsid w:val="3DDD4A74"/>
    <w:rsid w:val="3DDF22C7"/>
    <w:rsid w:val="3DDF2E3B"/>
    <w:rsid w:val="3DDF50AF"/>
    <w:rsid w:val="3DDF69AE"/>
    <w:rsid w:val="3DEB5DED"/>
    <w:rsid w:val="3DEC8171"/>
    <w:rsid w:val="3DEF80AE"/>
    <w:rsid w:val="3DF58939"/>
    <w:rsid w:val="3DFA47F9"/>
    <w:rsid w:val="3DFB4D1F"/>
    <w:rsid w:val="3DFFADEF"/>
    <w:rsid w:val="3DFFBD80"/>
    <w:rsid w:val="3DFFEB88"/>
    <w:rsid w:val="3DFFF37F"/>
    <w:rsid w:val="3E0D1600"/>
    <w:rsid w:val="3E1C651F"/>
    <w:rsid w:val="3E2148E6"/>
    <w:rsid w:val="3E296A77"/>
    <w:rsid w:val="3E2A640E"/>
    <w:rsid w:val="3E38BFDC"/>
    <w:rsid w:val="3E4649FE"/>
    <w:rsid w:val="3E4A5080"/>
    <w:rsid w:val="3E5B5C82"/>
    <w:rsid w:val="3E5C53BF"/>
    <w:rsid w:val="3E5E1696"/>
    <w:rsid w:val="3E5EDE15"/>
    <w:rsid w:val="3E7F9D29"/>
    <w:rsid w:val="3E810BCD"/>
    <w:rsid w:val="3E885CEB"/>
    <w:rsid w:val="3E950E30"/>
    <w:rsid w:val="3E965664"/>
    <w:rsid w:val="3EA13FCD"/>
    <w:rsid w:val="3EB05890"/>
    <w:rsid w:val="3EB33C6D"/>
    <w:rsid w:val="3EB42B35"/>
    <w:rsid w:val="3EB7375B"/>
    <w:rsid w:val="3EBD2B0C"/>
    <w:rsid w:val="3EBF6624"/>
    <w:rsid w:val="3EDC25BB"/>
    <w:rsid w:val="3EDC26F2"/>
    <w:rsid w:val="3EDE4585"/>
    <w:rsid w:val="3EE74145"/>
    <w:rsid w:val="3EE7F631"/>
    <w:rsid w:val="3EEF5D48"/>
    <w:rsid w:val="3EEFFD42"/>
    <w:rsid w:val="3EF075F6"/>
    <w:rsid w:val="3EF787EA"/>
    <w:rsid w:val="3EFC58C6"/>
    <w:rsid w:val="3EFE458D"/>
    <w:rsid w:val="3F067E9E"/>
    <w:rsid w:val="3F071F0D"/>
    <w:rsid w:val="3F13B7A3"/>
    <w:rsid w:val="3F1D63BC"/>
    <w:rsid w:val="3F1E2BD3"/>
    <w:rsid w:val="3F277D3F"/>
    <w:rsid w:val="3F2FB009"/>
    <w:rsid w:val="3F3E478C"/>
    <w:rsid w:val="3F3E8C26"/>
    <w:rsid w:val="3F3F55D8"/>
    <w:rsid w:val="3F3FF5EF"/>
    <w:rsid w:val="3F5E7474"/>
    <w:rsid w:val="3F634A8A"/>
    <w:rsid w:val="3F737FFD"/>
    <w:rsid w:val="3F784F9D"/>
    <w:rsid w:val="3F7B5B9F"/>
    <w:rsid w:val="3F7BDE11"/>
    <w:rsid w:val="3F7E0008"/>
    <w:rsid w:val="3F7E53FD"/>
    <w:rsid w:val="3F7E6BCC"/>
    <w:rsid w:val="3F7F09DF"/>
    <w:rsid w:val="3F7F1E25"/>
    <w:rsid w:val="3F7FB2CA"/>
    <w:rsid w:val="3F7FDBC4"/>
    <w:rsid w:val="3F80388E"/>
    <w:rsid w:val="3F8A0269"/>
    <w:rsid w:val="3F8C1185"/>
    <w:rsid w:val="3F916667"/>
    <w:rsid w:val="3F9D1756"/>
    <w:rsid w:val="3FA550A3"/>
    <w:rsid w:val="3FA570E9"/>
    <w:rsid w:val="3FAFCF1F"/>
    <w:rsid w:val="3FB3CE41"/>
    <w:rsid w:val="3FB452E6"/>
    <w:rsid w:val="3FB4E5C2"/>
    <w:rsid w:val="3FB55CD6"/>
    <w:rsid w:val="3FBE8BD8"/>
    <w:rsid w:val="3FBF4BE3"/>
    <w:rsid w:val="3FBFAD34"/>
    <w:rsid w:val="3FC9219E"/>
    <w:rsid w:val="3FD519D5"/>
    <w:rsid w:val="3FD70CEB"/>
    <w:rsid w:val="3FDBDD88"/>
    <w:rsid w:val="3FDD223E"/>
    <w:rsid w:val="3FDFBCB9"/>
    <w:rsid w:val="3FDFDC77"/>
    <w:rsid w:val="3FE1D653"/>
    <w:rsid w:val="3FE848CB"/>
    <w:rsid w:val="3FEAF0A2"/>
    <w:rsid w:val="3FEBD7E9"/>
    <w:rsid w:val="3FEC644E"/>
    <w:rsid w:val="3FEF6382"/>
    <w:rsid w:val="3FF3F39A"/>
    <w:rsid w:val="3FF50614"/>
    <w:rsid w:val="3FF65532"/>
    <w:rsid w:val="3FFA9B2F"/>
    <w:rsid w:val="3FFAD8F6"/>
    <w:rsid w:val="3FFB3BF8"/>
    <w:rsid w:val="3FFB76EA"/>
    <w:rsid w:val="3FFBEF28"/>
    <w:rsid w:val="3FFBF331"/>
    <w:rsid w:val="3FFC0875"/>
    <w:rsid w:val="3FFC5273"/>
    <w:rsid w:val="3FFC5332"/>
    <w:rsid w:val="3FFD8C2E"/>
    <w:rsid w:val="3FFEA819"/>
    <w:rsid w:val="3FFFF84F"/>
    <w:rsid w:val="40077BE8"/>
    <w:rsid w:val="401F6C03"/>
    <w:rsid w:val="40291677"/>
    <w:rsid w:val="406805AA"/>
    <w:rsid w:val="407D29C3"/>
    <w:rsid w:val="408812A1"/>
    <w:rsid w:val="409C46F8"/>
    <w:rsid w:val="40BE48B9"/>
    <w:rsid w:val="40C53E29"/>
    <w:rsid w:val="40D246F5"/>
    <w:rsid w:val="40DD4172"/>
    <w:rsid w:val="40DE086C"/>
    <w:rsid w:val="410367FC"/>
    <w:rsid w:val="4105404B"/>
    <w:rsid w:val="4126745A"/>
    <w:rsid w:val="4145623B"/>
    <w:rsid w:val="414605D8"/>
    <w:rsid w:val="414E27DD"/>
    <w:rsid w:val="41617770"/>
    <w:rsid w:val="41681B3C"/>
    <w:rsid w:val="418D32C8"/>
    <w:rsid w:val="41A37D9D"/>
    <w:rsid w:val="41AF3FB7"/>
    <w:rsid w:val="41BA022B"/>
    <w:rsid w:val="41CE2CBF"/>
    <w:rsid w:val="41E409EC"/>
    <w:rsid w:val="41FDB119"/>
    <w:rsid w:val="42001671"/>
    <w:rsid w:val="42100A15"/>
    <w:rsid w:val="42187DAE"/>
    <w:rsid w:val="42677828"/>
    <w:rsid w:val="4275470F"/>
    <w:rsid w:val="4283791D"/>
    <w:rsid w:val="42957651"/>
    <w:rsid w:val="42E24574"/>
    <w:rsid w:val="42FC76D0"/>
    <w:rsid w:val="430A2F6B"/>
    <w:rsid w:val="433951B5"/>
    <w:rsid w:val="433C4414"/>
    <w:rsid w:val="4376196D"/>
    <w:rsid w:val="437B1F9B"/>
    <w:rsid w:val="43851473"/>
    <w:rsid w:val="4396043E"/>
    <w:rsid w:val="439F9C10"/>
    <w:rsid w:val="43AB3D16"/>
    <w:rsid w:val="43AD09C3"/>
    <w:rsid w:val="43CA280D"/>
    <w:rsid w:val="43DB616F"/>
    <w:rsid w:val="43E46BFC"/>
    <w:rsid w:val="43EF2D90"/>
    <w:rsid w:val="43EFFBC5"/>
    <w:rsid w:val="43F37E95"/>
    <w:rsid w:val="43F85E9E"/>
    <w:rsid w:val="440E5732"/>
    <w:rsid w:val="44150B50"/>
    <w:rsid w:val="44281AE8"/>
    <w:rsid w:val="4446233C"/>
    <w:rsid w:val="445157F9"/>
    <w:rsid w:val="44693CC3"/>
    <w:rsid w:val="44921D2E"/>
    <w:rsid w:val="44935E12"/>
    <w:rsid w:val="44996471"/>
    <w:rsid w:val="44AB079C"/>
    <w:rsid w:val="44B1627E"/>
    <w:rsid w:val="44B2044D"/>
    <w:rsid w:val="44B729D9"/>
    <w:rsid w:val="44BD69EB"/>
    <w:rsid w:val="44BD6C44"/>
    <w:rsid w:val="44DA499F"/>
    <w:rsid w:val="44E16B7D"/>
    <w:rsid w:val="44FB0400"/>
    <w:rsid w:val="44FC470A"/>
    <w:rsid w:val="452638D4"/>
    <w:rsid w:val="452D1DC2"/>
    <w:rsid w:val="453B3F40"/>
    <w:rsid w:val="4544329A"/>
    <w:rsid w:val="454C301F"/>
    <w:rsid w:val="456652D4"/>
    <w:rsid w:val="456927F9"/>
    <w:rsid w:val="456E4165"/>
    <w:rsid w:val="45893A19"/>
    <w:rsid w:val="45C1250B"/>
    <w:rsid w:val="45C435FA"/>
    <w:rsid w:val="45CD5F5B"/>
    <w:rsid w:val="45DD622C"/>
    <w:rsid w:val="45E2495B"/>
    <w:rsid w:val="45EF1E24"/>
    <w:rsid w:val="460A7953"/>
    <w:rsid w:val="461634B3"/>
    <w:rsid w:val="461A4898"/>
    <w:rsid w:val="461C2718"/>
    <w:rsid w:val="463F3290"/>
    <w:rsid w:val="46402B6E"/>
    <w:rsid w:val="46467C99"/>
    <w:rsid w:val="46480573"/>
    <w:rsid w:val="464A6980"/>
    <w:rsid w:val="464C60CC"/>
    <w:rsid w:val="46771813"/>
    <w:rsid w:val="468C2B19"/>
    <w:rsid w:val="469F45FA"/>
    <w:rsid w:val="46A55988"/>
    <w:rsid w:val="46A613B3"/>
    <w:rsid w:val="46AE01FC"/>
    <w:rsid w:val="46B82087"/>
    <w:rsid w:val="46BF4803"/>
    <w:rsid w:val="46CF66BA"/>
    <w:rsid w:val="46CF7057"/>
    <w:rsid w:val="46FA8FF4"/>
    <w:rsid w:val="47067DB5"/>
    <w:rsid w:val="470ED653"/>
    <w:rsid w:val="471A09B1"/>
    <w:rsid w:val="47275C7E"/>
    <w:rsid w:val="473B4DD9"/>
    <w:rsid w:val="473D779F"/>
    <w:rsid w:val="475E63F3"/>
    <w:rsid w:val="476F14B4"/>
    <w:rsid w:val="47727F60"/>
    <w:rsid w:val="47962FFF"/>
    <w:rsid w:val="479F062A"/>
    <w:rsid w:val="47B32045"/>
    <w:rsid w:val="47C747F6"/>
    <w:rsid w:val="47DC1EBB"/>
    <w:rsid w:val="47DC37AA"/>
    <w:rsid w:val="47DC6B96"/>
    <w:rsid w:val="47DE73A4"/>
    <w:rsid w:val="47FBC182"/>
    <w:rsid w:val="47FC0DB5"/>
    <w:rsid w:val="47FE9217"/>
    <w:rsid w:val="480B608A"/>
    <w:rsid w:val="48256293"/>
    <w:rsid w:val="48440B68"/>
    <w:rsid w:val="484E2664"/>
    <w:rsid w:val="48515DC8"/>
    <w:rsid w:val="485B6C46"/>
    <w:rsid w:val="485D6325"/>
    <w:rsid w:val="48733F90"/>
    <w:rsid w:val="487B3A98"/>
    <w:rsid w:val="488D5B16"/>
    <w:rsid w:val="48AC2FFE"/>
    <w:rsid w:val="48B459D5"/>
    <w:rsid w:val="48B77A66"/>
    <w:rsid w:val="48B93350"/>
    <w:rsid w:val="48C663A1"/>
    <w:rsid w:val="48CB3DCC"/>
    <w:rsid w:val="48F0738F"/>
    <w:rsid w:val="48F826E7"/>
    <w:rsid w:val="49016A3B"/>
    <w:rsid w:val="490A0BA2"/>
    <w:rsid w:val="490D18E7"/>
    <w:rsid w:val="4961203A"/>
    <w:rsid w:val="49625EC0"/>
    <w:rsid w:val="4969673B"/>
    <w:rsid w:val="497E0A8E"/>
    <w:rsid w:val="49903741"/>
    <w:rsid w:val="49BA5C57"/>
    <w:rsid w:val="49C23212"/>
    <w:rsid w:val="49C91E7D"/>
    <w:rsid w:val="49D40C88"/>
    <w:rsid w:val="49DA1A8D"/>
    <w:rsid w:val="49E74038"/>
    <w:rsid w:val="49EB0BD4"/>
    <w:rsid w:val="49F80027"/>
    <w:rsid w:val="49FD6207"/>
    <w:rsid w:val="49FE7552"/>
    <w:rsid w:val="49FF2393"/>
    <w:rsid w:val="4A0632D8"/>
    <w:rsid w:val="4A08001C"/>
    <w:rsid w:val="4A1B29F5"/>
    <w:rsid w:val="4A1C7B57"/>
    <w:rsid w:val="4A3E1813"/>
    <w:rsid w:val="4A615739"/>
    <w:rsid w:val="4A6F61FE"/>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AFF886B"/>
    <w:rsid w:val="4B002700"/>
    <w:rsid w:val="4B06733D"/>
    <w:rsid w:val="4B0709C0"/>
    <w:rsid w:val="4B201A81"/>
    <w:rsid w:val="4B4320F8"/>
    <w:rsid w:val="4B576BE5"/>
    <w:rsid w:val="4B5C574C"/>
    <w:rsid w:val="4B5FC7B9"/>
    <w:rsid w:val="4B843F6C"/>
    <w:rsid w:val="4BA007F5"/>
    <w:rsid w:val="4BAF3531"/>
    <w:rsid w:val="4BC671C9"/>
    <w:rsid w:val="4BE04638"/>
    <w:rsid w:val="4BF638E9"/>
    <w:rsid w:val="4BFAA9D5"/>
    <w:rsid w:val="4BFBF96C"/>
    <w:rsid w:val="4BFCDA7D"/>
    <w:rsid w:val="4BFD1FF2"/>
    <w:rsid w:val="4BFFC6E1"/>
    <w:rsid w:val="4C067202"/>
    <w:rsid w:val="4C5D2DE6"/>
    <w:rsid w:val="4C613484"/>
    <w:rsid w:val="4C6D5B21"/>
    <w:rsid w:val="4CB30DFF"/>
    <w:rsid w:val="4CB701C3"/>
    <w:rsid w:val="4CBD7ED0"/>
    <w:rsid w:val="4CED4926"/>
    <w:rsid w:val="4CFCCBCA"/>
    <w:rsid w:val="4CFD53E1"/>
    <w:rsid w:val="4D002DB2"/>
    <w:rsid w:val="4D1063DD"/>
    <w:rsid w:val="4D19055E"/>
    <w:rsid w:val="4D2A239A"/>
    <w:rsid w:val="4D376F36"/>
    <w:rsid w:val="4D4E35F7"/>
    <w:rsid w:val="4D58654C"/>
    <w:rsid w:val="4D706BFF"/>
    <w:rsid w:val="4D72F2C4"/>
    <w:rsid w:val="4D7351CB"/>
    <w:rsid w:val="4D7A11C1"/>
    <w:rsid w:val="4DB373F7"/>
    <w:rsid w:val="4DB46AD0"/>
    <w:rsid w:val="4DEB6377"/>
    <w:rsid w:val="4E080D95"/>
    <w:rsid w:val="4E1458CD"/>
    <w:rsid w:val="4E1501AA"/>
    <w:rsid w:val="4E157897"/>
    <w:rsid w:val="4E320D8A"/>
    <w:rsid w:val="4E611424"/>
    <w:rsid w:val="4E683861"/>
    <w:rsid w:val="4E746617"/>
    <w:rsid w:val="4E8130D3"/>
    <w:rsid w:val="4E9110C1"/>
    <w:rsid w:val="4EA50C1B"/>
    <w:rsid w:val="4EA54AF9"/>
    <w:rsid w:val="4EAC3B24"/>
    <w:rsid w:val="4EAF3848"/>
    <w:rsid w:val="4EC5306C"/>
    <w:rsid w:val="4EC8400D"/>
    <w:rsid w:val="4EDD7044"/>
    <w:rsid w:val="4EE3FBC1"/>
    <w:rsid w:val="4EF23735"/>
    <w:rsid w:val="4EF902B0"/>
    <w:rsid w:val="4EFE032C"/>
    <w:rsid w:val="4F0F4779"/>
    <w:rsid w:val="4F174A8C"/>
    <w:rsid w:val="4F583D63"/>
    <w:rsid w:val="4F592503"/>
    <w:rsid w:val="4F6F8B0A"/>
    <w:rsid w:val="4F7BF45A"/>
    <w:rsid w:val="4F7F4E05"/>
    <w:rsid w:val="4F8DC100"/>
    <w:rsid w:val="4F8E7901"/>
    <w:rsid w:val="4F907CED"/>
    <w:rsid w:val="4F912F4E"/>
    <w:rsid w:val="4F9B5FBB"/>
    <w:rsid w:val="4FB27574"/>
    <w:rsid w:val="4FBBB80F"/>
    <w:rsid w:val="4FCB6460"/>
    <w:rsid w:val="4FCE41A2"/>
    <w:rsid w:val="4FDC42F4"/>
    <w:rsid w:val="4FDE63EF"/>
    <w:rsid w:val="4FDFB1A7"/>
    <w:rsid w:val="4FDFCE49"/>
    <w:rsid w:val="4FE421CD"/>
    <w:rsid w:val="4FEF6ED4"/>
    <w:rsid w:val="4FEFFD84"/>
    <w:rsid w:val="4FF3573E"/>
    <w:rsid w:val="4FF7A287"/>
    <w:rsid w:val="4FFE5F94"/>
    <w:rsid w:val="4FFE883B"/>
    <w:rsid w:val="4FFF93C3"/>
    <w:rsid w:val="5028222A"/>
    <w:rsid w:val="50302767"/>
    <w:rsid w:val="503400B6"/>
    <w:rsid w:val="503B1779"/>
    <w:rsid w:val="503C110B"/>
    <w:rsid w:val="503C1161"/>
    <w:rsid w:val="504D3625"/>
    <w:rsid w:val="50533412"/>
    <w:rsid w:val="50746AF7"/>
    <w:rsid w:val="507A47DF"/>
    <w:rsid w:val="508023F2"/>
    <w:rsid w:val="508551C2"/>
    <w:rsid w:val="509F550A"/>
    <w:rsid w:val="50A54F03"/>
    <w:rsid w:val="50AA076B"/>
    <w:rsid w:val="50AA0EDA"/>
    <w:rsid w:val="50B0012E"/>
    <w:rsid w:val="50B54CA8"/>
    <w:rsid w:val="50FA2A4B"/>
    <w:rsid w:val="50FA2A73"/>
    <w:rsid w:val="51070D17"/>
    <w:rsid w:val="510C4F82"/>
    <w:rsid w:val="513421C6"/>
    <w:rsid w:val="51404D2B"/>
    <w:rsid w:val="51486741"/>
    <w:rsid w:val="51501CA0"/>
    <w:rsid w:val="516172EA"/>
    <w:rsid w:val="51A463DC"/>
    <w:rsid w:val="51CD2D07"/>
    <w:rsid w:val="51EACAB0"/>
    <w:rsid w:val="51FF3550"/>
    <w:rsid w:val="51FFD316"/>
    <w:rsid w:val="52087684"/>
    <w:rsid w:val="52224DD1"/>
    <w:rsid w:val="523C056E"/>
    <w:rsid w:val="523C29F9"/>
    <w:rsid w:val="52687CEA"/>
    <w:rsid w:val="528B1ED6"/>
    <w:rsid w:val="529062EC"/>
    <w:rsid w:val="529B2DD1"/>
    <w:rsid w:val="52A336C4"/>
    <w:rsid w:val="52AA2EB5"/>
    <w:rsid w:val="52B4142D"/>
    <w:rsid w:val="52EAC045"/>
    <w:rsid w:val="52F061DD"/>
    <w:rsid w:val="531B048E"/>
    <w:rsid w:val="532F31A9"/>
    <w:rsid w:val="53364BCC"/>
    <w:rsid w:val="53541258"/>
    <w:rsid w:val="535722C9"/>
    <w:rsid w:val="535F7F53"/>
    <w:rsid w:val="536D0486"/>
    <w:rsid w:val="537961D3"/>
    <w:rsid w:val="537B3EED"/>
    <w:rsid w:val="538452A3"/>
    <w:rsid w:val="539646E0"/>
    <w:rsid w:val="539955AD"/>
    <w:rsid w:val="539E2FE8"/>
    <w:rsid w:val="53A00F43"/>
    <w:rsid w:val="53AC56B8"/>
    <w:rsid w:val="53B95B6D"/>
    <w:rsid w:val="53BB71CF"/>
    <w:rsid w:val="53BD20B9"/>
    <w:rsid w:val="53BEBC76"/>
    <w:rsid w:val="53BF1070"/>
    <w:rsid w:val="53D97D2A"/>
    <w:rsid w:val="53DE4531"/>
    <w:rsid w:val="53EF1AB8"/>
    <w:rsid w:val="53F827A0"/>
    <w:rsid w:val="53FD3A8A"/>
    <w:rsid w:val="54307546"/>
    <w:rsid w:val="544607AB"/>
    <w:rsid w:val="544A318B"/>
    <w:rsid w:val="54600098"/>
    <w:rsid w:val="54612FF9"/>
    <w:rsid w:val="54773C97"/>
    <w:rsid w:val="547B6EC0"/>
    <w:rsid w:val="548D3EAE"/>
    <w:rsid w:val="54943068"/>
    <w:rsid w:val="549B74C0"/>
    <w:rsid w:val="54A454D1"/>
    <w:rsid w:val="54A54DC8"/>
    <w:rsid w:val="54A767DE"/>
    <w:rsid w:val="54AB6112"/>
    <w:rsid w:val="54AD44D0"/>
    <w:rsid w:val="54D966CD"/>
    <w:rsid w:val="54F468D8"/>
    <w:rsid w:val="550D12C8"/>
    <w:rsid w:val="55450A62"/>
    <w:rsid w:val="55453D13"/>
    <w:rsid w:val="554618F6"/>
    <w:rsid w:val="555271FC"/>
    <w:rsid w:val="555A0B35"/>
    <w:rsid w:val="55614055"/>
    <w:rsid w:val="556B43D4"/>
    <w:rsid w:val="55791150"/>
    <w:rsid w:val="557B26D6"/>
    <w:rsid w:val="55846B36"/>
    <w:rsid w:val="558B1CB3"/>
    <w:rsid w:val="558D1FE7"/>
    <w:rsid w:val="55AF2052"/>
    <w:rsid w:val="55B32574"/>
    <w:rsid w:val="55B94290"/>
    <w:rsid w:val="55C60E22"/>
    <w:rsid w:val="55D10265"/>
    <w:rsid w:val="55E93AE3"/>
    <w:rsid w:val="55EE10FA"/>
    <w:rsid w:val="55F123EA"/>
    <w:rsid w:val="55FD411B"/>
    <w:rsid w:val="55FDFFCD"/>
    <w:rsid w:val="55FF451C"/>
    <w:rsid w:val="560C6576"/>
    <w:rsid w:val="5619468E"/>
    <w:rsid w:val="561968C9"/>
    <w:rsid w:val="561F6B5A"/>
    <w:rsid w:val="56644B3C"/>
    <w:rsid w:val="56663CE0"/>
    <w:rsid w:val="5667B3E4"/>
    <w:rsid w:val="566A3EC6"/>
    <w:rsid w:val="567E2386"/>
    <w:rsid w:val="56847AE7"/>
    <w:rsid w:val="56A76843"/>
    <w:rsid w:val="56B0015D"/>
    <w:rsid w:val="56B22127"/>
    <w:rsid w:val="56B70327"/>
    <w:rsid w:val="56CE5FBC"/>
    <w:rsid w:val="56D26326"/>
    <w:rsid w:val="56DA3985"/>
    <w:rsid w:val="56EB24D4"/>
    <w:rsid w:val="57077A2B"/>
    <w:rsid w:val="570A547C"/>
    <w:rsid w:val="570C5D6D"/>
    <w:rsid w:val="571063AD"/>
    <w:rsid w:val="57167056"/>
    <w:rsid w:val="571682CB"/>
    <w:rsid w:val="57262EF2"/>
    <w:rsid w:val="57380ED0"/>
    <w:rsid w:val="573FB6FA"/>
    <w:rsid w:val="574216FD"/>
    <w:rsid w:val="575D64CC"/>
    <w:rsid w:val="5763403D"/>
    <w:rsid w:val="576F0018"/>
    <w:rsid w:val="576F1DC6"/>
    <w:rsid w:val="57743881"/>
    <w:rsid w:val="577924DD"/>
    <w:rsid w:val="577A75C3"/>
    <w:rsid w:val="577E025B"/>
    <w:rsid w:val="578A062C"/>
    <w:rsid w:val="579746E1"/>
    <w:rsid w:val="57975075"/>
    <w:rsid w:val="57A40D99"/>
    <w:rsid w:val="57B72FF4"/>
    <w:rsid w:val="57BB325E"/>
    <w:rsid w:val="57CE1850"/>
    <w:rsid w:val="57CF743D"/>
    <w:rsid w:val="57DF6DD5"/>
    <w:rsid w:val="57E02CC4"/>
    <w:rsid w:val="57E842D2"/>
    <w:rsid w:val="57EF3DAD"/>
    <w:rsid w:val="57EF72E8"/>
    <w:rsid w:val="57F367AC"/>
    <w:rsid w:val="57F74F7B"/>
    <w:rsid w:val="57F77429"/>
    <w:rsid w:val="57FC598D"/>
    <w:rsid w:val="57FF10D2"/>
    <w:rsid w:val="57FF1E68"/>
    <w:rsid w:val="57FF8AF5"/>
    <w:rsid w:val="57FFEB31"/>
    <w:rsid w:val="57FFF3FF"/>
    <w:rsid w:val="581875C8"/>
    <w:rsid w:val="58250DC7"/>
    <w:rsid w:val="58277084"/>
    <w:rsid w:val="585C58B0"/>
    <w:rsid w:val="58605503"/>
    <w:rsid w:val="58747932"/>
    <w:rsid w:val="5877129C"/>
    <w:rsid w:val="58A15BF6"/>
    <w:rsid w:val="58C11948"/>
    <w:rsid w:val="58E00F03"/>
    <w:rsid w:val="58E16E01"/>
    <w:rsid w:val="58F5F697"/>
    <w:rsid w:val="59032BA2"/>
    <w:rsid w:val="59037F05"/>
    <w:rsid w:val="59097FF9"/>
    <w:rsid w:val="591043AD"/>
    <w:rsid w:val="591C41D0"/>
    <w:rsid w:val="591F4074"/>
    <w:rsid w:val="5924281B"/>
    <w:rsid w:val="59426249"/>
    <w:rsid w:val="59464DA9"/>
    <w:rsid w:val="594E2362"/>
    <w:rsid w:val="59587520"/>
    <w:rsid w:val="595A6A38"/>
    <w:rsid w:val="595FD031"/>
    <w:rsid w:val="597926C9"/>
    <w:rsid w:val="597E1ED1"/>
    <w:rsid w:val="597E4984"/>
    <w:rsid w:val="59802B07"/>
    <w:rsid w:val="5984098A"/>
    <w:rsid w:val="5996363A"/>
    <w:rsid w:val="599FFAE7"/>
    <w:rsid w:val="59BB8D36"/>
    <w:rsid w:val="59BD1015"/>
    <w:rsid w:val="59CC6ED7"/>
    <w:rsid w:val="59F10CF0"/>
    <w:rsid w:val="59F69BA3"/>
    <w:rsid w:val="59FF08EE"/>
    <w:rsid w:val="5A054982"/>
    <w:rsid w:val="5A1B4FF3"/>
    <w:rsid w:val="5A1D7A23"/>
    <w:rsid w:val="5A227012"/>
    <w:rsid w:val="5A2E0AB3"/>
    <w:rsid w:val="5A461F0B"/>
    <w:rsid w:val="5A547122"/>
    <w:rsid w:val="5A70032F"/>
    <w:rsid w:val="5A984DD1"/>
    <w:rsid w:val="5A998449"/>
    <w:rsid w:val="5A9C26D5"/>
    <w:rsid w:val="5A9C35AB"/>
    <w:rsid w:val="5AB9150E"/>
    <w:rsid w:val="5ABD4210"/>
    <w:rsid w:val="5ABE78FD"/>
    <w:rsid w:val="5ABF3B49"/>
    <w:rsid w:val="5AE14D89"/>
    <w:rsid w:val="5AE91FD9"/>
    <w:rsid w:val="5AEB5C8C"/>
    <w:rsid w:val="5AF15262"/>
    <w:rsid w:val="5AF656F7"/>
    <w:rsid w:val="5AFB4FD7"/>
    <w:rsid w:val="5B1E5FDD"/>
    <w:rsid w:val="5B2829B8"/>
    <w:rsid w:val="5B3752F1"/>
    <w:rsid w:val="5B3A26EB"/>
    <w:rsid w:val="5B486A9A"/>
    <w:rsid w:val="5B7F4848"/>
    <w:rsid w:val="5B905AAB"/>
    <w:rsid w:val="5B9E17DD"/>
    <w:rsid w:val="5BC07C83"/>
    <w:rsid w:val="5BC576D9"/>
    <w:rsid w:val="5BC73051"/>
    <w:rsid w:val="5BDF587F"/>
    <w:rsid w:val="5BEE59CA"/>
    <w:rsid w:val="5BEEDC86"/>
    <w:rsid w:val="5BEFF4C2"/>
    <w:rsid w:val="5BF3746A"/>
    <w:rsid w:val="5BF422B6"/>
    <w:rsid w:val="5BF840AA"/>
    <w:rsid w:val="5BF842B4"/>
    <w:rsid w:val="5BFB342B"/>
    <w:rsid w:val="5BFB3597"/>
    <w:rsid w:val="5BFB5C8C"/>
    <w:rsid w:val="5BFB8FCB"/>
    <w:rsid w:val="5BFBA970"/>
    <w:rsid w:val="5BFC4010"/>
    <w:rsid w:val="5BFD5FEF"/>
    <w:rsid w:val="5BFE0C7E"/>
    <w:rsid w:val="5BFEEA05"/>
    <w:rsid w:val="5BFF6E6A"/>
    <w:rsid w:val="5BFFA9F2"/>
    <w:rsid w:val="5C0056E3"/>
    <w:rsid w:val="5C05558B"/>
    <w:rsid w:val="5C4C7E91"/>
    <w:rsid w:val="5C731DC8"/>
    <w:rsid w:val="5C8B3048"/>
    <w:rsid w:val="5CAA564F"/>
    <w:rsid w:val="5CAF313F"/>
    <w:rsid w:val="5CBC4063"/>
    <w:rsid w:val="5CC00C5B"/>
    <w:rsid w:val="5CC6081A"/>
    <w:rsid w:val="5CD71FE6"/>
    <w:rsid w:val="5CDE5E81"/>
    <w:rsid w:val="5CDF691D"/>
    <w:rsid w:val="5CE00DF1"/>
    <w:rsid w:val="5CFF153D"/>
    <w:rsid w:val="5CFF4929"/>
    <w:rsid w:val="5D0000A8"/>
    <w:rsid w:val="5D012F32"/>
    <w:rsid w:val="5D1A4582"/>
    <w:rsid w:val="5D3E11E9"/>
    <w:rsid w:val="5D5B2019"/>
    <w:rsid w:val="5D650BBB"/>
    <w:rsid w:val="5D6F0D72"/>
    <w:rsid w:val="5D705070"/>
    <w:rsid w:val="5D857AC4"/>
    <w:rsid w:val="5D8E0DA2"/>
    <w:rsid w:val="5D9407D9"/>
    <w:rsid w:val="5DA80F61"/>
    <w:rsid w:val="5DAA683B"/>
    <w:rsid w:val="5DAF45E7"/>
    <w:rsid w:val="5DAFC408"/>
    <w:rsid w:val="5DB7EF4E"/>
    <w:rsid w:val="5DCEFBAE"/>
    <w:rsid w:val="5DD32121"/>
    <w:rsid w:val="5DD66D7C"/>
    <w:rsid w:val="5DD9FED9"/>
    <w:rsid w:val="5DDF7FC7"/>
    <w:rsid w:val="5DE22C40"/>
    <w:rsid w:val="5DE864F9"/>
    <w:rsid w:val="5DEF687E"/>
    <w:rsid w:val="5DF7423F"/>
    <w:rsid w:val="5DF87B95"/>
    <w:rsid w:val="5DFD1C2B"/>
    <w:rsid w:val="5DFF0898"/>
    <w:rsid w:val="5DFF63BA"/>
    <w:rsid w:val="5E0205E0"/>
    <w:rsid w:val="5E362CFB"/>
    <w:rsid w:val="5E3653EC"/>
    <w:rsid w:val="5E366553"/>
    <w:rsid w:val="5E3E53BE"/>
    <w:rsid w:val="5E52534D"/>
    <w:rsid w:val="5E5A37D0"/>
    <w:rsid w:val="5E5B54D8"/>
    <w:rsid w:val="5E6C6B92"/>
    <w:rsid w:val="5E7EE4CD"/>
    <w:rsid w:val="5E8F5F1F"/>
    <w:rsid w:val="5E9B5B97"/>
    <w:rsid w:val="5E9C71C5"/>
    <w:rsid w:val="5EAF2218"/>
    <w:rsid w:val="5ED3003D"/>
    <w:rsid w:val="5EDCCDD7"/>
    <w:rsid w:val="5EDF4C82"/>
    <w:rsid w:val="5EDF8EA5"/>
    <w:rsid w:val="5EE757C9"/>
    <w:rsid w:val="5EEAC1F3"/>
    <w:rsid w:val="5EEEB22F"/>
    <w:rsid w:val="5EF59879"/>
    <w:rsid w:val="5EF5B193"/>
    <w:rsid w:val="5EFB4350"/>
    <w:rsid w:val="5EFB6493"/>
    <w:rsid w:val="5EFDF16C"/>
    <w:rsid w:val="5EFF163E"/>
    <w:rsid w:val="5EFF6126"/>
    <w:rsid w:val="5F0963F9"/>
    <w:rsid w:val="5F0E4B4E"/>
    <w:rsid w:val="5F100333"/>
    <w:rsid w:val="5F217650"/>
    <w:rsid w:val="5F2F29DF"/>
    <w:rsid w:val="5F332DDB"/>
    <w:rsid w:val="5F390976"/>
    <w:rsid w:val="5F3F4E6F"/>
    <w:rsid w:val="5F4542A9"/>
    <w:rsid w:val="5F4C19F1"/>
    <w:rsid w:val="5F576B1E"/>
    <w:rsid w:val="5F64545E"/>
    <w:rsid w:val="5F693096"/>
    <w:rsid w:val="5F6B72AD"/>
    <w:rsid w:val="5F734876"/>
    <w:rsid w:val="5F7445AB"/>
    <w:rsid w:val="5F7CCB4C"/>
    <w:rsid w:val="5F7F40D0"/>
    <w:rsid w:val="5F8D54E0"/>
    <w:rsid w:val="5F95C94D"/>
    <w:rsid w:val="5F9C2193"/>
    <w:rsid w:val="5F9E28CE"/>
    <w:rsid w:val="5F9F5E2A"/>
    <w:rsid w:val="5F9FFDCE"/>
    <w:rsid w:val="5FA43E4A"/>
    <w:rsid w:val="5FA82319"/>
    <w:rsid w:val="5FAA1AAF"/>
    <w:rsid w:val="5FAE6571"/>
    <w:rsid w:val="5FAF81D3"/>
    <w:rsid w:val="5FB37464"/>
    <w:rsid w:val="5FB5CB06"/>
    <w:rsid w:val="5FB74D04"/>
    <w:rsid w:val="5FB7FC49"/>
    <w:rsid w:val="5FBBC5E0"/>
    <w:rsid w:val="5FBE192F"/>
    <w:rsid w:val="5FBFB602"/>
    <w:rsid w:val="5FCB016D"/>
    <w:rsid w:val="5FCD7FD2"/>
    <w:rsid w:val="5FCF01DD"/>
    <w:rsid w:val="5FD6524E"/>
    <w:rsid w:val="5FDBDFE9"/>
    <w:rsid w:val="5FDCEBCB"/>
    <w:rsid w:val="5FE4E89F"/>
    <w:rsid w:val="5FEA5A50"/>
    <w:rsid w:val="5FEC9D50"/>
    <w:rsid w:val="5FED0871"/>
    <w:rsid w:val="5FEE662E"/>
    <w:rsid w:val="5FEE757C"/>
    <w:rsid w:val="5FEF43DD"/>
    <w:rsid w:val="5FEFD4DA"/>
    <w:rsid w:val="5FF35785"/>
    <w:rsid w:val="5FFB587B"/>
    <w:rsid w:val="5FFB8BCC"/>
    <w:rsid w:val="5FFBD2A5"/>
    <w:rsid w:val="5FFCB86E"/>
    <w:rsid w:val="5FFCCFEF"/>
    <w:rsid w:val="5FFD6422"/>
    <w:rsid w:val="5FFE82FB"/>
    <w:rsid w:val="5FFF2132"/>
    <w:rsid w:val="5FFF9391"/>
    <w:rsid w:val="5FFFE54C"/>
    <w:rsid w:val="600F4698"/>
    <w:rsid w:val="60135BFE"/>
    <w:rsid w:val="60165FF1"/>
    <w:rsid w:val="601878EC"/>
    <w:rsid w:val="6028345A"/>
    <w:rsid w:val="60285C26"/>
    <w:rsid w:val="60397415"/>
    <w:rsid w:val="6047408C"/>
    <w:rsid w:val="60740B2E"/>
    <w:rsid w:val="607C686C"/>
    <w:rsid w:val="6084265C"/>
    <w:rsid w:val="60953F01"/>
    <w:rsid w:val="60F046AA"/>
    <w:rsid w:val="6105633A"/>
    <w:rsid w:val="610F0A45"/>
    <w:rsid w:val="6138DC2D"/>
    <w:rsid w:val="613A318E"/>
    <w:rsid w:val="614B4A38"/>
    <w:rsid w:val="614C69AF"/>
    <w:rsid w:val="616724F7"/>
    <w:rsid w:val="61710B30"/>
    <w:rsid w:val="617E0347"/>
    <w:rsid w:val="61967070"/>
    <w:rsid w:val="61B70D3C"/>
    <w:rsid w:val="61B825BC"/>
    <w:rsid w:val="61C40F61"/>
    <w:rsid w:val="61C4682A"/>
    <w:rsid w:val="61CE21E5"/>
    <w:rsid w:val="61DE0274"/>
    <w:rsid w:val="61DFBCC9"/>
    <w:rsid w:val="61EE5FDE"/>
    <w:rsid w:val="61FE4BEB"/>
    <w:rsid w:val="62196C33"/>
    <w:rsid w:val="622720EB"/>
    <w:rsid w:val="622B5618"/>
    <w:rsid w:val="62525E65"/>
    <w:rsid w:val="625B1297"/>
    <w:rsid w:val="62726788"/>
    <w:rsid w:val="6279D7B6"/>
    <w:rsid w:val="62851D59"/>
    <w:rsid w:val="628B45D7"/>
    <w:rsid w:val="62B72874"/>
    <w:rsid w:val="62B925AC"/>
    <w:rsid w:val="62C52A98"/>
    <w:rsid w:val="62E80C7F"/>
    <w:rsid w:val="62FF990A"/>
    <w:rsid w:val="6302251B"/>
    <w:rsid w:val="632918EB"/>
    <w:rsid w:val="63342F97"/>
    <w:rsid w:val="63422A85"/>
    <w:rsid w:val="63470962"/>
    <w:rsid w:val="634A676B"/>
    <w:rsid w:val="634B4489"/>
    <w:rsid w:val="63723B7C"/>
    <w:rsid w:val="63736226"/>
    <w:rsid w:val="637609F6"/>
    <w:rsid w:val="63A63014"/>
    <w:rsid w:val="63AF1137"/>
    <w:rsid w:val="63BF135B"/>
    <w:rsid w:val="63D00937"/>
    <w:rsid w:val="63D14483"/>
    <w:rsid w:val="63D500F7"/>
    <w:rsid w:val="63DC1C35"/>
    <w:rsid w:val="63DD9D8B"/>
    <w:rsid w:val="63E40722"/>
    <w:rsid w:val="63E81C94"/>
    <w:rsid w:val="63F5426F"/>
    <w:rsid w:val="63F54745"/>
    <w:rsid w:val="63F72DA7"/>
    <w:rsid w:val="63F773BF"/>
    <w:rsid w:val="63FD37DE"/>
    <w:rsid w:val="63FF983E"/>
    <w:rsid w:val="63FFC7E8"/>
    <w:rsid w:val="64032214"/>
    <w:rsid w:val="64082020"/>
    <w:rsid w:val="6436347E"/>
    <w:rsid w:val="64385432"/>
    <w:rsid w:val="644736BC"/>
    <w:rsid w:val="64524F4A"/>
    <w:rsid w:val="6454419C"/>
    <w:rsid w:val="645E4E80"/>
    <w:rsid w:val="646D3B32"/>
    <w:rsid w:val="6475380F"/>
    <w:rsid w:val="64770C5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7DC244"/>
    <w:rsid w:val="65B3128D"/>
    <w:rsid w:val="65B31A18"/>
    <w:rsid w:val="65B36BB3"/>
    <w:rsid w:val="65BA6467"/>
    <w:rsid w:val="65C50665"/>
    <w:rsid w:val="65C76908"/>
    <w:rsid w:val="65C842CB"/>
    <w:rsid w:val="65C94D98"/>
    <w:rsid w:val="65CE23AE"/>
    <w:rsid w:val="65CE4DF4"/>
    <w:rsid w:val="65D5092F"/>
    <w:rsid w:val="65DFB4C6"/>
    <w:rsid w:val="65E14B73"/>
    <w:rsid w:val="65E15F77"/>
    <w:rsid w:val="65E66119"/>
    <w:rsid w:val="65F72507"/>
    <w:rsid w:val="65FB43C2"/>
    <w:rsid w:val="66001B35"/>
    <w:rsid w:val="660B4C8A"/>
    <w:rsid w:val="663074C7"/>
    <w:rsid w:val="66353FBE"/>
    <w:rsid w:val="6637E569"/>
    <w:rsid w:val="663E57AA"/>
    <w:rsid w:val="6675289A"/>
    <w:rsid w:val="66794A10"/>
    <w:rsid w:val="667FB0F4"/>
    <w:rsid w:val="667FE6B4"/>
    <w:rsid w:val="6683763C"/>
    <w:rsid w:val="66917FD9"/>
    <w:rsid w:val="66974E96"/>
    <w:rsid w:val="66B9504E"/>
    <w:rsid w:val="66BB6FFF"/>
    <w:rsid w:val="66BF2CEF"/>
    <w:rsid w:val="66C8504F"/>
    <w:rsid w:val="66CA22E9"/>
    <w:rsid w:val="66CC9847"/>
    <w:rsid w:val="66CD106E"/>
    <w:rsid w:val="66D210FB"/>
    <w:rsid w:val="66E12470"/>
    <w:rsid w:val="66E7830E"/>
    <w:rsid w:val="66EE0BF2"/>
    <w:rsid w:val="66EE8EAD"/>
    <w:rsid w:val="67010066"/>
    <w:rsid w:val="671C497D"/>
    <w:rsid w:val="671D3749"/>
    <w:rsid w:val="67242300"/>
    <w:rsid w:val="674848E9"/>
    <w:rsid w:val="674A63AC"/>
    <w:rsid w:val="675D6234"/>
    <w:rsid w:val="675D8979"/>
    <w:rsid w:val="67682E27"/>
    <w:rsid w:val="676A4358"/>
    <w:rsid w:val="677F2647"/>
    <w:rsid w:val="67A7C8F9"/>
    <w:rsid w:val="67AC741B"/>
    <w:rsid w:val="67AFA1DE"/>
    <w:rsid w:val="67B26DBE"/>
    <w:rsid w:val="67B6396A"/>
    <w:rsid w:val="67B65149"/>
    <w:rsid w:val="67BB759C"/>
    <w:rsid w:val="67CB3049"/>
    <w:rsid w:val="67CD37DA"/>
    <w:rsid w:val="67EE7ED5"/>
    <w:rsid w:val="67EFCA8D"/>
    <w:rsid w:val="67F78BFE"/>
    <w:rsid w:val="67FE22F6"/>
    <w:rsid w:val="67FFF2CC"/>
    <w:rsid w:val="680447AD"/>
    <w:rsid w:val="68120201"/>
    <w:rsid w:val="68251C6A"/>
    <w:rsid w:val="68336E40"/>
    <w:rsid w:val="684352D5"/>
    <w:rsid w:val="6849742C"/>
    <w:rsid w:val="685F6B11"/>
    <w:rsid w:val="687B2634"/>
    <w:rsid w:val="68B166E3"/>
    <w:rsid w:val="68BE1872"/>
    <w:rsid w:val="68BFAAA5"/>
    <w:rsid w:val="68C513CB"/>
    <w:rsid w:val="68CD0D3E"/>
    <w:rsid w:val="68D04014"/>
    <w:rsid w:val="68D8555E"/>
    <w:rsid w:val="68D91796"/>
    <w:rsid w:val="691D55AF"/>
    <w:rsid w:val="69232124"/>
    <w:rsid w:val="69270728"/>
    <w:rsid w:val="692A6524"/>
    <w:rsid w:val="693A1E76"/>
    <w:rsid w:val="694617D8"/>
    <w:rsid w:val="695A3EDC"/>
    <w:rsid w:val="6961209D"/>
    <w:rsid w:val="69655E7A"/>
    <w:rsid w:val="69670B4F"/>
    <w:rsid w:val="696C1B25"/>
    <w:rsid w:val="696D00E3"/>
    <w:rsid w:val="69790883"/>
    <w:rsid w:val="699F29DF"/>
    <w:rsid w:val="699F75F5"/>
    <w:rsid w:val="69B81D8B"/>
    <w:rsid w:val="69BA61B5"/>
    <w:rsid w:val="69BD10B7"/>
    <w:rsid w:val="69BD2E65"/>
    <w:rsid w:val="69C21525"/>
    <w:rsid w:val="69CE6191"/>
    <w:rsid w:val="69D34437"/>
    <w:rsid w:val="69D520AE"/>
    <w:rsid w:val="69D6AC4E"/>
    <w:rsid w:val="69D7FD86"/>
    <w:rsid w:val="69DEC831"/>
    <w:rsid w:val="69DF5EE5"/>
    <w:rsid w:val="69F3BBB5"/>
    <w:rsid w:val="69F3F068"/>
    <w:rsid w:val="69FC8612"/>
    <w:rsid w:val="69FF874B"/>
    <w:rsid w:val="69FF92A3"/>
    <w:rsid w:val="6A052FA0"/>
    <w:rsid w:val="6A083800"/>
    <w:rsid w:val="6A1707C7"/>
    <w:rsid w:val="6A257D16"/>
    <w:rsid w:val="6A291205"/>
    <w:rsid w:val="6A420834"/>
    <w:rsid w:val="6A461251"/>
    <w:rsid w:val="6A463D2C"/>
    <w:rsid w:val="6A535740"/>
    <w:rsid w:val="6A591CD2"/>
    <w:rsid w:val="6A6908F7"/>
    <w:rsid w:val="6A6F3544"/>
    <w:rsid w:val="6A791458"/>
    <w:rsid w:val="6A863B07"/>
    <w:rsid w:val="6A896F72"/>
    <w:rsid w:val="6A917F7C"/>
    <w:rsid w:val="6ABE6CA7"/>
    <w:rsid w:val="6ADA4648"/>
    <w:rsid w:val="6ADC2764"/>
    <w:rsid w:val="6AE3C01E"/>
    <w:rsid w:val="6AE9107E"/>
    <w:rsid w:val="6AE9569D"/>
    <w:rsid w:val="6AEC1C54"/>
    <w:rsid w:val="6AEF7BB7"/>
    <w:rsid w:val="6AF07079"/>
    <w:rsid w:val="6AF1726A"/>
    <w:rsid w:val="6AFC6AD6"/>
    <w:rsid w:val="6AFF7E2B"/>
    <w:rsid w:val="6AFFD252"/>
    <w:rsid w:val="6B2105A5"/>
    <w:rsid w:val="6B3A0067"/>
    <w:rsid w:val="6B3F6C95"/>
    <w:rsid w:val="6B4915B5"/>
    <w:rsid w:val="6B4D1FC7"/>
    <w:rsid w:val="6B56608D"/>
    <w:rsid w:val="6B7684F6"/>
    <w:rsid w:val="6B7AF4D5"/>
    <w:rsid w:val="6B91584F"/>
    <w:rsid w:val="6B9D0CCD"/>
    <w:rsid w:val="6B9DB148"/>
    <w:rsid w:val="6B9F7E04"/>
    <w:rsid w:val="6BB6C70E"/>
    <w:rsid w:val="6BB8240C"/>
    <w:rsid w:val="6BB84DEC"/>
    <w:rsid w:val="6BBF2EC5"/>
    <w:rsid w:val="6BDADEDB"/>
    <w:rsid w:val="6BE07E99"/>
    <w:rsid w:val="6BE40B7D"/>
    <w:rsid w:val="6BEB605C"/>
    <w:rsid w:val="6BEE2298"/>
    <w:rsid w:val="6BFB3C6A"/>
    <w:rsid w:val="6BFDAEF0"/>
    <w:rsid w:val="6BFFBF87"/>
    <w:rsid w:val="6C3B76F2"/>
    <w:rsid w:val="6C450EF0"/>
    <w:rsid w:val="6C457995"/>
    <w:rsid w:val="6C48777B"/>
    <w:rsid w:val="6C4C6608"/>
    <w:rsid w:val="6C4D41DC"/>
    <w:rsid w:val="6C6B0957"/>
    <w:rsid w:val="6C7C7008"/>
    <w:rsid w:val="6C8B0FF9"/>
    <w:rsid w:val="6C9003BD"/>
    <w:rsid w:val="6CA43E69"/>
    <w:rsid w:val="6CA5DD33"/>
    <w:rsid w:val="6CA71A09"/>
    <w:rsid w:val="6CAA2625"/>
    <w:rsid w:val="6CB04AD5"/>
    <w:rsid w:val="6CB33E70"/>
    <w:rsid w:val="6CB56076"/>
    <w:rsid w:val="6CC3531E"/>
    <w:rsid w:val="6CC4275D"/>
    <w:rsid w:val="6CC60C6F"/>
    <w:rsid w:val="6CC85DA9"/>
    <w:rsid w:val="6CD03518"/>
    <w:rsid w:val="6CDFFEEB"/>
    <w:rsid w:val="6CEA1EDF"/>
    <w:rsid w:val="6CF5580F"/>
    <w:rsid w:val="6CFB0115"/>
    <w:rsid w:val="6CFC5A53"/>
    <w:rsid w:val="6D0A4613"/>
    <w:rsid w:val="6D0F7C1C"/>
    <w:rsid w:val="6D1B4804"/>
    <w:rsid w:val="6D21195D"/>
    <w:rsid w:val="6D285BB7"/>
    <w:rsid w:val="6D291C5E"/>
    <w:rsid w:val="6D376AB8"/>
    <w:rsid w:val="6D3C105A"/>
    <w:rsid w:val="6D3F3718"/>
    <w:rsid w:val="6D406899"/>
    <w:rsid w:val="6D4A2C62"/>
    <w:rsid w:val="6D66182D"/>
    <w:rsid w:val="6D6D7ABE"/>
    <w:rsid w:val="6D6FE5C7"/>
    <w:rsid w:val="6D7B5EEC"/>
    <w:rsid w:val="6D8C6CB5"/>
    <w:rsid w:val="6D970F5E"/>
    <w:rsid w:val="6DA6FEFB"/>
    <w:rsid w:val="6DA7746E"/>
    <w:rsid w:val="6DB706F2"/>
    <w:rsid w:val="6DB7E750"/>
    <w:rsid w:val="6DBECE7F"/>
    <w:rsid w:val="6DC3D8E8"/>
    <w:rsid w:val="6DD92BDE"/>
    <w:rsid w:val="6DDE8629"/>
    <w:rsid w:val="6DECB3E3"/>
    <w:rsid w:val="6DEE45A7"/>
    <w:rsid w:val="6DF16232"/>
    <w:rsid w:val="6DF7D96F"/>
    <w:rsid w:val="6DF95E46"/>
    <w:rsid w:val="6DFB18C5"/>
    <w:rsid w:val="6DFB7E27"/>
    <w:rsid w:val="6DFE6194"/>
    <w:rsid w:val="6DFF0642"/>
    <w:rsid w:val="6DFF1795"/>
    <w:rsid w:val="6DFF7F73"/>
    <w:rsid w:val="6E1B6935"/>
    <w:rsid w:val="6E1F40EF"/>
    <w:rsid w:val="6E331948"/>
    <w:rsid w:val="6E5E0A92"/>
    <w:rsid w:val="6E7E0862"/>
    <w:rsid w:val="6E7EF06F"/>
    <w:rsid w:val="6E852690"/>
    <w:rsid w:val="6E8E6D18"/>
    <w:rsid w:val="6E906E0C"/>
    <w:rsid w:val="6E967FFB"/>
    <w:rsid w:val="6EA35C22"/>
    <w:rsid w:val="6EBE5B7B"/>
    <w:rsid w:val="6EC466C2"/>
    <w:rsid w:val="6ED030A9"/>
    <w:rsid w:val="6ED0555D"/>
    <w:rsid w:val="6ED36C87"/>
    <w:rsid w:val="6ED81FD9"/>
    <w:rsid w:val="6ED959C6"/>
    <w:rsid w:val="6EDA0016"/>
    <w:rsid w:val="6EDBDDDE"/>
    <w:rsid w:val="6EDF5CA8"/>
    <w:rsid w:val="6EE5485B"/>
    <w:rsid w:val="6EF07839"/>
    <w:rsid w:val="6EF235B1"/>
    <w:rsid w:val="6EF7B59F"/>
    <w:rsid w:val="6EFA090D"/>
    <w:rsid w:val="6EFFFC27"/>
    <w:rsid w:val="6F012E7C"/>
    <w:rsid w:val="6F064FA0"/>
    <w:rsid w:val="6F0C4BB1"/>
    <w:rsid w:val="6F1F508D"/>
    <w:rsid w:val="6F24186A"/>
    <w:rsid w:val="6F2D03C8"/>
    <w:rsid w:val="6F2F54E3"/>
    <w:rsid w:val="6F357FF8"/>
    <w:rsid w:val="6F39D533"/>
    <w:rsid w:val="6F3D6063"/>
    <w:rsid w:val="6F3F6E5A"/>
    <w:rsid w:val="6F4B56C0"/>
    <w:rsid w:val="6F4B6292"/>
    <w:rsid w:val="6F596ED1"/>
    <w:rsid w:val="6F5FC79E"/>
    <w:rsid w:val="6F666A20"/>
    <w:rsid w:val="6F67378E"/>
    <w:rsid w:val="6F6E1984"/>
    <w:rsid w:val="6F733438"/>
    <w:rsid w:val="6F755123"/>
    <w:rsid w:val="6F763B0C"/>
    <w:rsid w:val="6F7D9290"/>
    <w:rsid w:val="6F7E6421"/>
    <w:rsid w:val="6F7E6F33"/>
    <w:rsid w:val="6F7EFA78"/>
    <w:rsid w:val="6F93A071"/>
    <w:rsid w:val="6F97D615"/>
    <w:rsid w:val="6F97E0A0"/>
    <w:rsid w:val="6F9D6521"/>
    <w:rsid w:val="6F9FFA7E"/>
    <w:rsid w:val="6FA229AA"/>
    <w:rsid w:val="6FAA873B"/>
    <w:rsid w:val="6FABBBFB"/>
    <w:rsid w:val="6FAF2683"/>
    <w:rsid w:val="6FB73410"/>
    <w:rsid w:val="6FB7424D"/>
    <w:rsid w:val="6FB7686E"/>
    <w:rsid w:val="6FBD4B5F"/>
    <w:rsid w:val="6FBD62BD"/>
    <w:rsid w:val="6FBE2D32"/>
    <w:rsid w:val="6FBF1D3E"/>
    <w:rsid w:val="6FC0545D"/>
    <w:rsid w:val="6FC61156"/>
    <w:rsid w:val="6FC7623B"/>
    <w:rsid w:val="6FC772D4"/>
    <w:rsid w:val="6FD505E9"/>
    <w:rsid w:val="6FD60103"/>
    <w:rsid w:val="6FD7269A"/>
    <w:rsid w:val="6FDD71A1"/>
    <w:rsid w:val="6FE24103"/>
    <w:rsid w:val="6FE690EE"/>
    <w:rsid w:val="6FEB740A"/>
    <w:rsid w:val="6FEFCC61"/>
    <w:rsid w:val="6FF52BCA"/>
    <w:rsid w:val="6FF6C684"/>
    <w:rsid w:val="6FF9011D"/>
    <w:rsid w:val="6FF9535E"/>
    <w:rsid w:val="6FFB3AFE"/>
    <w:rsid w:val="6FFB6E76"/>
    <w:rsid w:val="6FFF3600"/>
    <w:rsid w:val="6FFF62DE"/>
    <w:rsid w:val="6FFF70AC"/>
    <w:rsid w:val="6FFF8DF7"/>
    <w:rsid w:val="6FFFB55F"/>
    <w:rsid w:val="6FFFBE5A"/>
    <w:rsid w:val="6FFFD809"/>
    <w:rsid w:val="70221706"/>
    <w:rsid w:val="702E3FF6"/>
    <w:rsid w:val="70306D73"/>
    <w:rsid w:val="70692594"/>
    <w:rsid w:val="7073227F"/>
    <w:rsid w:val="7085085E"/>
    <w:rsid w:val="70901F84"/>
    <w:rsid w:val="70926DFA"/>
    <w:rsid w:val="709706B5"/>
    <w:rsid w:val="709D2496"/>
    <w:rsid w:val="70C74370"/>
    <w:rsid w:val="70D13314"/>
    <w:rsid w:val="70D22318"/>
    <w:rsid w:val="70E71F82"/>
    <w:rsid w:val="70E95588"/>
    <w:rsid w:val="70FB0F90"/>
    <w:rsid w:val="70FD1DED"/>
    <w:rsid w:val="711F4406"/>
    <w:rsid w:val="71242620"/>
    <w:rsid w:val="71301304"/>
    <w:rsid w:val="71306613"/>
    <w:rsid w:val="713C4FB8"/>
    <w:rsid w:val="71433B02"/>
    <w:rsid w:val="717D51A3"/>
    <w:rsid w:val="71AA0173"/>
    <w:rsid w:val="71AD4217"/>
    <w:rsid w:val="71C12CE4"/>
    <w:rsid w:val="71C9314D"/>
    <w:rsid w:val="71CF004C"/>
    <w:rsid w:val="71D3BF39"/>
    <w:rsid w:val="71D65BDC"/>
    <w:rsid w:val="71E84D08"/>
    <w:rsid w:val="71EA6A44"/>
    <w:rsid w:val="71EC253A"/>
    <w:rsid w:val="71EF4B02"/>
    <w:rsid w:val="71EF5ACC"/>
    <w:rsid w:val="71F02A85"/>
    <w:rsid w:val="71FF18BD"/>
    <w:rsid w:val="71FFF525"/>
    <w:rsid w:val="720C52BF"/>
    <w:rsid w:val="72165809"/>
    <w:rsid w:val="721E6704"/>
    <w:rsid w:val="72256ADE"/>
    <w:rsid w:val="7239E3C7"/>
    <w:rsid w:val="724C7C4B"/>
    <w:rsid w:val="72536115"/>
    <w:rsid w:val="725560EA"/>
    <w:rsid w:val="72776E1D"/>
    <w:rsid w:val="72920BA0"/>
    <w:rsid w:val="729A01E8"/>
    <w:rsid w:val="72C9287B"/>
    <w:rsid w:val="72CE1EB1"/>
    <w:rsid w:val="72DF209E"/>
    <w:rsid w:val="72EA3C3A"/>
    <w:rsid w:val="72F50D3E"/>
    <w:rsid w:val="72F524A8"/>
    <w:rsid w:val="72FF18B8"/>
    <w:rsid w:val="731B34AF"/>
    <w:rsid w:val="73267CCD"/>
    <w:rsid w:val="733267A4"/>
    <w:rsid w:val="733C759B"/>
    <w:rsid w:val="73552361"/>
    <w:rsid w:val="73555EBD"/>
    <w:rsid w:val="73577E87"/>
    <w:rsid w:val="735D2FC3"/>
    <w:rsid w:val="736C1141"/>
    <w:rsid w:val="7379401F"/>
    <w:rsid w:val="738A386D"/>
    <w:rsid w:val="73974727"/>
    <w:rsid w:val="739C8FD1"/>
    <w:rsid w:val="739F538A"/>
    <w:rsid w:val="73A527A7"/>
    <w:rsid w:val="73B52DFF"/>
    <w:rsid w:val="73C92407"/>
    <w:rsid w:val="73CF1F4E"/>
    <w:rsid w:val="73D276CD"/>
    <w:rsid w:val="73D749AB"/>
    <w:rsid w:val="73D77271"/>
    <w:rsid w:val="73D93250"/>
    <w:rsid w:val="73DB42F4"/>
    <w:rsid w:val="73DD260A"/>
    <w:rsid w:val="73DF31F3"/>
    <w:rsid w:val="73F301AC"/>
    <w:rsid w:val="73F43CE7"/>
    <w:rsid w:val="73FAFF87"/>
    <w:rsid w:val="73FB6617"/>
    <w:rsid w:val="73FB9438"/>
    <w:rsid w:val="73FD61ED"/>
    <w:rsid w:val="73FECB2D"/>
    <w:rsid w:val="73FF88CC"/>
    <w:rsid w:val="73FFFAC8"/>
    <w:rsid w:val="741322AD"/>
    <w:rsid w:val="7413415B"/>
    <w:rsid w:val="74243790"/>
    <w:rsid w:val="742576F4"/>
    <w:rsid w:val="7431692A"/>
    <w:rsid w:val="74387CB8"/>
    <w:rsid w:val="743F1D56"/>
    <w:rsid w:val="74440B21"/>
    <w:rsid w:val="744964F5"/>
    <w:rsid w:val="745A3314"/>
    <w:rsid w:val="747D1B6F"/>
    <w:rsid w:val="748A60FB"/>
    <w:rsid w:val="748E3AAD"/>
    <w:rsid w:val="74911176"/>
    <w:rsid w:val="749B17E6"/>
    <w:rsid w:val="749C0C4A"/>
    <w:rsid w:val="74AF3B68"/>
    <w:rsid w:val="74B22B0A"/>
    <w:rsid w:val="74B4020F"/>
    <w:rsid w:val="74D996C1"/>
    <w:rsid w:val="74E46B7B"/>
    <w:rsid w:val="74E66F97"/>
    <w:rsid w:val="74EF9BEE"/>
    <w:rsid w:val="74F47DEE"/>
    <w:rsid w:val="74F5C14B"/>
    <w:rsid w:val="74F86833"/>
    <w:rsid w:val="74FEB3E8"/>
    <w:rsid w:val="75111351"/>
    <w:rsid w:val="75114972"/>
    <w:rsid w:val="753D2178"/>
    <w:rsid w:val="75410573"/>
    <w:rsid w:val="7547C49A"/>
    <w:rsid w:val="754825D6"/>
    <w:rsid w:val="75647B92"/>
    <w:rsid w:val="7568637B"/>
    <w:rsid w:val="75736ACE"/>
    <w:rsid w:val="757714F1"/>
    <w:rsid w:val="757DCD54"/>
    <w:rsid w:val="7595577C"/>
    <w:rsid w:val="759727BC"/>
    <w:rsid w:val="75AF2645"/>
    <w:rsid w:val="75B42149"/>
    <w:rsid w:val="75BC1506"/>
    <w:rsid w:val="75CE55D0"/>
    <w:rsid w:val="75D35E9F"/>
    <w:rsid w:val="75D5BA81"/>
    <w:rsid w:val="75D7793E"/>
    <w:rsid w:val="75DD8D53"/>
    <w:rsid w:val="75DFD6E5"/>
    <w:rsid w:val="75E832AF"/>
    <w:rsid w:val="75F6664F"/>
    <w:rsid w:val="75F92A3D"/>
    <w:rsid w:val="75FAD7E6"/>
    <w:rsid w:val="75FB350E"/>
    <w:rsid w:val="75FDE7F7"/>
    <w:rsid w:val="75FE4AB7"/>
    <w:rsid w:val="75FEF3EB"/>
    <w:rsid w:val="75FFDF2A"/>
    <w:rsid w:val="760E5962"/>
    <w:rsid w:val="761F0FF0"/>
    <w:rsid w:val="76307741"/>
    <w:rsid w:val="763F09E6"/>
    <w:rsid w:val="76426BCC"/>
    <w:rsid w:val="76467477"/>
    <w:rsid w:val="764EF18B"/>
    <w:rsid w:val="76511BC9"/>
    <w:rsid w:val="76524935"/>
    <w:rsid w:val="765479F2"/>
    <w:rsid w:val="765D039E"/>
    <w:rsid w:val="766043C2"/>
    <w:rsid w:val="76726D86"/>
    <w:rsid w:val="767B6EA0"/>
    <w:rsid w:val="769C2536"/>
    <w:rsid w:val="769D90EE"/>
    <w:rsid w:val="76A10A5E"/>
    <w:rsid w:val="76A814A3"/>
    <w:rsid w:val="76AF14CB"/>
    <w:rsid w:val="76B723A2"/>
    <w:rsid w:val="76BF7E23"/>
    <w:rsid w:val="76C43A85"/>
    <w:rsid w:val="76C683C6"/>
    <w:rsid w:val="76CE66B2"/>
    <w:rsid w:val="76D9BB09"/>
    <w:rsid w:val="76DC25E8"/>
    <w:rsid w:val="76DC277B"/>
    <w:rsid w:val="76DD5674"/>
    <w:rsid w:val="76E36454"/>
    <w:rsid w:val="76E47C83"/>
    <w:rsid w:val="76E71522"/>
    <w:rsid w:val="76EA6BA6"/>
    <w:rsid w:val="76EC4D8A"/>
    <w:rsid w:val="76EE7915"/>
    <w:rsid w:val="76EFA56C"/>
    <w:rsid w:val="76EFC91A"/>
    <w:rsid w:val="76F307BA"/>
    <w:rsid w:val="76F91BE4"/>
    <w:rsid w:val="76FB1051"/>
    <w:rsid w:val="76FBD80D"/>
    <w:rsid w:val="76FDC55B"/>
    <w:rsid w:val="76FFBF68"/>
    <w:rsid w:val="76FFD2FF"/>
    <w:rsid w:val="77251601"/>
    <w:rsid w:val="7739B7C5"/>
    <w:rsid w:val="773F6EF8"/>
    <w:rsid w:val="77493C16"/>
    <w:rsid w:val="77666DBF"/>
    <w:rsid w:val="77676631"/>
    <w:rsid w:val="7767B5C4"/>
    <w:rsid w:val="776A134A"/>
    <w:rsid w:val="7771C35A"/>
    <w:rsid w:val="77720A93"/>
    <w:rsid w:val="77723841"/>
    <w:rsid w:val="7775A055"/>
    <w:rsid w:val="7775A623"/>
    <w:rsid w:val="7777D945"/>
    <w:rsid w:val="777B7FDD"/>
    <w:rsid w:val="777F0D3C"/>
    <w:rsid w:val="777FC6F6"/>
    <w:rsid w:val="77811976"/>
    <w:rsid w:val="7785437F"/>
    <w:rsid w:val="77B6E115"/>
    <w:rsid w:val="77B7699E"/>
    <w:rsid w:val="77BA0C63"/>
    <w:rsid w:val="77BD2CDF"/>
    <w:rsid w:val="77C27899"/>
    <w:rsid w:val="77CF3FAF"/>
    <w:rsid w:val="77CF650E"/>
    <w:rsid w:val="77DADF59"/>
    <w:rsid w:val="77DAECB3"/>
    <w:rsid w:val="77DB72D8"/>
    <w:rsid w:val="77DD704B"/>
    <w:rsid w:val="77DD91C6"/>
    <w:rsid w:val="77E43CB3"/>
    <w:rsid w:val="77E676C8"/>
    <w:rsid w:val="77EEA410"/>
    <w:rsid w:val="77EED393"/>
    <w:rsid w:val="77EF4444"/>
    <w:rsid w:val="77EFA147"/>
    <w:rsid w:val="77F11C83"/>
    <w:rsid w:val="77F70953"/>
    <w:rsid w:val="77F9666C"/>
    <w:rsid w:val="77F9B7DD"/>
    <w:rsid w:val="77FC208A"/>
    <w:rsid w:val="77FD5ADD"/>
    <w:rsid w:val="77FF4FE5"/>
    <w:rsid w:val="77FF71B4"/>
    <w:rsid w:val="77FF99DC"/>
    <w:rsid w:val="77FFC03D"/>
    <w:rsid w:val="78153E6C"/>
    <w:rsid w:val="78222A51"/>
    <w:rsid w:val="78244A5D"/>
    <w:rsid w:val="782C0014"/>
    <w:rsid w:val="782E3942"/>
    <w:rsid w:val="78306EF8"/>
    <w:rsid w:val="784062AB"/>
    <w:rsid w:val="78552663"/>
    <w:rsid w:val="78642CBF"/>
    <w:rsid w:val="78700B0A"/>
    <w:rsid w:val="78713799"/>
    <w:rsid w:val="78763ED1"/>
    <w:rsid w:val="7877314B"/>
    <w:rsid w:val="78793D6A"/>
    <w:rsid w:val="787A6483"/>
    <w:rsid w:val="787D2E84"/>
    <w:rsid w:val="787E6FB9"/>
    <w:rsid w:val="789016B8"/>
    <w:rsid w:val="78B8D4DE"/>
    <w:rsid w:val="78BD2AAF"/>
    <w:rsid w:val="78EDD339"/>
    <w:rsid w:val="78EF290F"/>
    <w:rsid w:val="78F574E1"/>
    <w:rsid w:val="790F19B1"/>
    <w:rsid w:val="79387CB6"/>
    <w:rsid w:val="79422EA0"/>
    <w:rsid w:val="79497C31"/>
    <w:rsid w:val="794B9212"/>
    <w:rsid w:val="794C7FE7"/>
    <w:rsid w:val="7957C3BF"/>
    <w:rsid w:val="795F5DC1"/>
    <w:rsid w:val="79611281"/>
    <w:rsid w:val="7961380D"/>
    <w:rsid w:val="7967B07B"/>
    <w:rsid w:val="798217B4"/>
    <w:rsid w:val="79842E07"/>
    <w:rsid w:val="798474E4"/>
    <w:rsid w:val="79905EA0"/>
    <w:rsid w:val="79911803"/>
    <w:rsid w:val="799F4050"/>
    <w:rsid w:val="79B3632C"/>
    <w:rsid w:val="79BCA8A7"/>
    <w:rsid w:val="79CB3682"/>
    <w:rsid w:val="79CF0DC2"/>
    <w:rsid w:val="79D42231"/>
    <w:rsid w:val="79D86DDC"/>
    <w:rsid w:val="79D93EEF"/>
    <w:rsid w:val="79DFE588"/>
    <w:rsid w:val="79E157E7"/>
    <w:rsid w:val="79E71D6B"/>
    <w:rsid w:val="79E78AA8"/>
    <w:rsid w:val="79EBF087"/>
    <w:rsid w:val="79EC2CE6"/>
    <w:rsid w:val="79F07B4A"/>
    <w:rsid w:val="79F63C3E"/>
    <w:rsid w:val="79F99AC6"/>
    <w:rsid w:val="79FDFC74"/>
    <w:rsid w:val="79FFBB99"/>
    <w:rsid w:val="79FFC7B5"/>
    <w:rsid w:val="7A1A144A"/>
    <w:rsid w:val="7A331962"/>
    <w:rsid w:val="7A33417F"/>
    <w:rsid w:val="7A4F1717"/>
    <w:rsid w:val="7A572665"/>
    <w:rsid w:val="7A680B70"/>
    <w:rsid w:val="7A6D7F90"/>
    <w:rsid w:val="7A6F359A"/>
    <w:rsid w:val="7A785F8A"/>
    <w:rsid w:val="7A94551C"/>
    <w:rsid w:val="7A9562EF"/>
    <w:rsid w:val="7A9B68AB"/>
    <w:rsid w:val="7AB855CE"/>
    <w:rsid w:val="7AC74078"/>
    <w:rsid w:val="7AD46261"/>
    <w:rsid w:val="7AD55A85"/>
    <w:rsid w:val="7AD718AD"/>
    <w:rsid w:val="7ADF524D"/>
    <w:rsid w:val="7AE34709"/>
    <w:rsid w:val="7AED10D1"/>
    <w:rsid w:val="7AEDCFE7"/>
    <w:rsid w:val="7AEFBA71"/>
    <w:rsid w:val="7AEFD802"/>
    <w:rsid w:val="7AF374B5"/>
    <w:rsid w:val="7AF558FD"/>
    <w:rsid w:val="7AF763CB"/>
    <w:rsid w:val="7AF96C22"/>
    <w:rsid w:val="7AF9F50A"/>
    <w:rsid w:val="7AFCF35C"/>
    <w:rsid w:val="7AFE373D"/>
    <w:rsid w:val="7B0542A9"/>
    <w:rsid w:val="7B1A5989"/>
    <w:rsid w:val="7B1DD32A"/>
    <w:rsid w:val="7B2A4524"/>
    <w:rsid w:val="7B2C1BF9"/>
    <w:rsid w:val="7B374CBB"/>
    <w:rsid w:val="7B37AEDA"/>
    <w:rsid w:val="7B3B27E1"/>
    <w:rsid w:val="7B424271"/>
    <w:rsid w:val="7B506B30"/>
    <w:rsid w:val="7B590ED7"/>
    <w:rsid w:val="7B6C46EB"/>
    <w:rsid w:val="7B7B2E46"/>
    <w:rsid w:val="7B7CA017"/>
    <w:rsid w:val="7B7F2C8B"/>
    <w:rsid w:val="7B8D6C56"/>
    <w:rsid w:val="7B8E5988"/>
    <w:rsid w:val="7B907B64"/>
    <w:rsid w:val="7B9461DD"/>
    <w:rsid w:val="7B967FA2"/>
    <w:rsid w:val="7B9C10D8"/>
    <w:rsid w:val="7BAD9F12"/>
    <w:rsid w:val="7BAF1FD2"/>
    <w:rsid w:val="7BB11580"/>
    <w:rsid w:val="7BB11697"/>
    <w:rsid w:val="7BB4FBD9"/>
    <w:rsid w:val="7BBD7D65"/>
    <w:rsid w:val="7BBE3C27"/>
    <w:rsid w:val="7BBFC333"/>
    <w:rsid w:val="7BBFC387"/>
    <w:rsid w:val="7BBFCEEC"/>
    <w:rsid w:val="7BC8F17D"/>
    <w:rsid w:val="7BCE76B2"/>
    <w:rsid w:val="7BD66276"/>
    <w:rsid w:val="7BD754CD"/>
    <w:rsid w:val="7BD7816E"/>
    <w:rsid w:val="7BDA1655"/>
    <w:rsid w:val="7BDF2F35"/>
    <w:rsid w:val="7BE7897F"/>
    <w:rsid w:val="7BED75DA"/>
    <w:rsid w:val="7BEF4CBC"/>
    <w:rsid w:val="7BF74AAC"/>
    <w:rsid w:val="7BF80D1B"/>
    <w:rsid w:val="7BFA9449"/>
    <w:rsid w:val="7BFACBC5"/>
    <w:rsid w:val="7BFAD85B"/>
    <w:rsid w:val="7BFBE0BC"/>
    <w:rsid w:val="7BFBE5D1"/>
    <w:rsid w:val="7BFD6257"/>
    <w:rsid w:val="7BFD8548"/>
    <w:rsid w:val="7BFE34F6"/>
    <w:rsid w:val="7BFE4EA6"/>
    <w:rsid w:val="7BFF0EBF"/>
    <w:rsid w:val="7BFF1F10"/>
    <w:rsid w:val="7BFFBE48"/>
    <w:rsid w:val="7BFFEF4B"/>
    <w:rsid w:val="7C0039BB"/>
    <w:rsid w:val="7C02295A"/>
    <w:rsid w:val="7C1B578F"/>
    <w:rsid w:val="7C200B96"/>
    <w:rsid w:val="7C275833"/>
    <w:rsid w:val="7C340576"/>
    <w:rsid w:val="7C3D3992"/>
    <w:rsid w:val="7C4411C4"/>
    <w:rsid w:val="7C561B33"/>
    <w:rsid w:val="7C647170"/>
    <w:rsid w:val="7C65584D"/>
    <w:rsid w:val="7C6706D1"/>
    <w:rsid w:val="7C6E6EF5"/>
    <w:rsid w:val="7C72188D"/>
    <w:rsid w:val="7C7E7E01"/>
    <w:rsid w:val="7C8021FC"/>
    <w:rsid w:val="7C8D2B6B"/>
    <w:rsid w:val="7C9E32B9"/>
    <w:rsid w:val="7CA030B4"/>
    <w:rsid w:val="7CA17496"/>
    <w:rsid w:val="7CA86BD5"/>
    <w:rsid w:val="7CAFEB55"/>
    <w:rsid w:val="7CB19973"/>
    <w:rsid w:val="7CB901C3"/>
    <w:rsid w:val="7CC33573"/>
    <w:rsid w:val="7CCBEF18"/>
    <w:rsid w:val="7CD2057E"/>
    <w:rsid w:val="7CDAC5AB"/>
    <w:rsid w:val="7CDF6334"/>
    <w:rsid w:val="7CDFD1CA"/>
    <w:rsid w:val="7CE9753D"/>
    <w:rsid w:val="7CECD853"/>
    <w:rsid w:val="7CF65414"/>
    <w:rsid w:val="7CFD9520"/>
    <w:rsid w:val="7CFE5CAF"/>
    <w:rsid w:val="7CFF60D8"/>
    <w:rsid w:val="7CFFBEEF"/>
    <w:rsid w:val="7CFFD058"/>
    <w:rsid w:val="7D07578C"/>
    <w:rsid w:val="7D0A5F6A"/>
    <w:rsid w:val="7D0C7F34"/>
    <w:rsid w:val="7D0E6E9F"/>
    <w:rsid w:val="7D1C7A4B"/>
    <w:rsid w:val="7D23702C"/>
    <w:rsid w:val="7D374D33"/>
    <w:rsid w:val="7D377823"/>
    <w:rsid w:val="7D392F2B"/>
    <w:rsid w:val="7D3B0636"/>
    <w:rsid w:val="7D403DC1"/>
    <w:rsid w:val="7D521A0C"/>
    <w:rsid w:val="7D5DA7D0"/>
    <w:rsid w:val="7D6D3664"/>
    <w:rsid w:val="7D7D9E46"/>
    <w:rsid w:val="7D7E7D02"/>
    <w:rsid w:val="7D7E9300"/>
    <w:rsid w:val="7D7F28DB"/>
    <w:rsid w:val="7D8E1F59"/>
    <w:rsid w:val="7D90280C"/>
    <w:rsid w:val="7D9677FD"/>
    <w:rsid w:val="7D9F4EFB"/>
    <w:rsid w:val="7DAB4741"/>
    <w:rsid w:val="7DB130FE"/>
    <w:rsid w:val="7DB70F31"/>
    <w:rsid w:val="7DB91335"/>
    <w:rsid w:val="7DB94A13"/>
    <w:rsid w:val="7DBC492A"/>
    <w:rsid w:val="7DBCFC5A"/>
    <w:rsid w:val="7DBF7739"/>
    <w:rsid w:val="7DBFC7B8"/>
    <w:rsid w:val="7DCB1DED"/>
    <w:rsid w:val="7DCDE715"/>
    <w:rsid w:val="7DCF1098"/>
    <w:rsid w:val="7DCF21DA"/>
    <w:rsid w:val="7DD3F30B"/>
    <w:rsid w:val="7DD7E7CD"/>
    <w:rsid w:val="7DD81BC4"/>
    <w:rsid w:val="7DDBC140"/>
    <w:rsid w:val="7DDD5124"/>
    <w:rsid w:val="7DDF443E"/>
    <w:rsid w:val="7DEB50D6"/>
    <w:rsid w:val="7DEF2C2F"/>
    <w:rsid w:val="7DEF5758"/>
    <w:rsid w:val="7DEFAEA2"/>
    <w:rsid w:val="7DF3CB16"/>
    <w:rsid w:val="7DF6DED8"/>
    <w:rsid w:val="7DF6F688"/>
    <w:rsid w:val="7DF73300"/>
    <w:rsid w:val="7DF7B518"/>
    <w:rsid w:val="7DFA4E99"/>
    <w:rsid w:val="7DFB0C11"/>
    <w:rsid w:val="7DFB938C"/>
    <w:rsid w:val="7DFBD012"/>
    <w:rsid w:val="7DFD1FA3"/>
    <w:rsid w:val="7DFD39E1"/>
    <w:rsid w:val="7DFD7131"/>
    <w:rsid w:val="7DFD7C9E"/>
    <w:rsid w:val="7DFE01BA"/>
    <w:rsid w:val="7DFE8D43"/>
    <w:rsid w:val="7DFF4F40"/>
    <w:rsid w:val="7DFF8193"/>
    <w:rsid w:val="7DFFAF0C"/>
    <w:rsid w:val="7DFFF72B"/>
    <w:rsid w:val="7E0EEC9D"/>
    <w:rsid w:val="7E2474AF"/>
    <w:rsid w:val="7E254D05"/>
    <w:rsid w:val="7E298FC5"/>
    <w:rsid w:val="7E2F7522"/>
    <w:rsid w:val="7E3861DE"/>
    <w:rsid w:val="7E3B0F30"/>
    <w:rsid w:val="7E3BF8EC"/>
    <w:rsid w:val="7E4603A6"/>
    <w:rsid w:val="7E52501A"/>
    <w:rsid w:val="7E624705"/>
    <w:rsid w:val="7E6D6954"/>
    <w:rsid w:val="7E785749"/>
    <w:rsid w:val="7E7EFF04"/>
    <w:rsid w:val="7E7FC91B"/>
    <w:rsid w:val="7E8169F8"/>
    <w:rsid w:val="7E926980"/>
    <w:rsid w:val="7E951C6A"/>
    <w:rsid w:val="7E97A8A7"/>
    <w:rsid w:val="7E9A9745"/>
    <w:rsid w:val="7EAC0D86"/>
    <w:rsid w:val="7EB18D0D"/>
    <w:rsid w:val="7EB70CC9"/>
    <w:rsid w:val="7EB70CDE"/>
    <w:rsid w:val="7EBB7375"/>
    <w:rsid w:val="7EBC424F"/>
    <w:rsid w:val="7EBE8BCD"/>
    <w:rsid w:val="7EBEDCED"/>
    <w:rsid w:val="7EBF1987"/>
    <w:rsid w:val="7EBF57AD"/>
    <w:rsid w:val="7ECCF22C"/>
    <w:rsid w:val="7ECF746B"/>
    <w:rsid w:val="7ECF8A8A"/>
    <w:rsid w:val="7ECFBEEB"/>
    <w:rsid w:val="7EDA54A4"/>
    <w:rsid w:val="7EDD5193"/>
    <w:rsid w:val="7EDE3ADF"/>
    <w:rsid w:val="7EDFF65C"/>
    <w:rsid w:val="7EE21F25"/>
    <w:rsid w:val="7EE76077"/>
    <w:rsid w:val="7EEB9507"/>
    <w:rsid w:val="7EED2AF2"/>
    <w:rsid w:val="7EEFB10E"/>
    <w:rsid w:val="7EEFF2A1"/>
    <w:rsid w:val="7EF59524"/>
    <w:rsid w:val="7EF7E7E9"/>
    <w:rsid w:val="7EF9328A"/>
    <w:rsid w:val="7EFA5242"/>
    <w:rsid w:val="7EFB0676"/>
    <w:rsid w:val="7EFB1DC1"/>
    <w:rsid w:val="7EFBB1D4"/>
    <w:rsid w:val="7EFBC792"/>
    <w:rsid w:val="7EFD77AB"/>
    <w:rsid w:val="7EFE9F53"/>
    <w:rsid w:val="7EFF260D"/>
    <w:rsid w:val="7EFF4B8E"/>
    <w:rsid w:val="7EFF59C2"/>
    <w:rsid w:val="7EFFC4B5"/>
    <w:rsid w:val="7EFFED1C"/>
    <w:rsid w:val="7EFFF2B4"/>
    <w:rsid w:val="7F198709"/>
    <w:rsid w:val="7F1FE5DE"/>
    <w:rsid w:val="7F2552DD"/>
    <w:rsid w:val="7F2991B2"/>
    <w:rsid w:val="7F2BBCF1"/>
    <w:rsid w:val="7F2FA19C"/>
    <w:rsid w:val="7F3271D9"/>
    <w:rsid w:val="7F3723CC"/>
    <w:rsid w:val="7F37314B"/>
    <w:rsid w:val="7F376DBE"/>
    <w:rsid w:val="7F3D1F78"/>
    <w:rsid w:val="7F3E0DF5"/>
    <w:rsid w:val="7F3F86EC"/>
    <w:rsid w:val="7F3FB650"/>
    <w:rsid w:val="7F3FD706"/>
    <w:rsid w:val="7F435763"/>
    <w:rsid w:val="7F447AE2"/>
    <w:rsid w:val="7F4B520E"/>
    <w:rsid w:val="7F5E343C"/>
    <w:rsid w:val="7F5EE93C"/>
    <w:rsid w:val="7F5FD87D"/>
    <w:rsid w:val="7F67CDC1"/>
    <w:rsid w:val="7F6A6C04"/>
    <w:rsid w:val="7F6C6B50"/>
    <w:rsid w:val="7F706A17"/>
    <w:rsid w:val="7F72DDD6"/>
    <w:rsid w:val="7F7607C4"/>
    <w:rsid w:val="7F7629C4"/>
    <w:rsid w:val="7F764621"/>
    <w:rsid w:val="7F77DE75"/>
    <w:rsid w:val="7F7859A8"/>
    <w:rsid w:val="7F7911FE"/>
    <w:rsid w:val="7F792076"/>
    <w:rsid w:val="7F7B81C6"/>
    <w:rsid w:val="7F7BAED9"/>
    <w:rsid w:val="7F7D01B2"/>
    <w:rsid w:val="7F7D1AEB"/>
    <w:rsid w:val="7F7DE39C"/>
    <w:rsid w:val="7F7E7F76"/>
    <w:rsid w:val="7F7F0CA4"/>
    <w:rsid w:val="7F7F1600"/>
    <w:rsid w:val="7F7F899C"/>
    <w:rsid w:val="7F8A2DBE"/>
    <w:rsid w:val="7F8E98EE"/>
    <w:rsid w:val="7F8F8114"/>
    <w:rsid w:val="7F904E08"/>
    <w:rsid w:val="7F944BC1"/>
    <w:rsid w:val="7F97109A"/>
    <w:rsid w:val="7F9A3AE4"/>
    <w:rsid w:val="7F9E1538"/>
    <w:rsid w:val="7F9E28F9"/>
    <w:rsid w:val="7F9F8E25"/>
    <w:rsid w:val="7F9FD28D"/>
    <w:rsid w:val="7F9FD9EC"/>
    <w:rsid w:val="7F9FF007"/>
    <w:rsid w:val="7FA288B2"/>
    <w:rsid w:val="7FA56CBA"/>
    <w:rsid w:val="7FAB1B6C"/>
    <w:rsid w:val="7FAB5503"/>
    <w:rsid w:val="7FAE1F83"/>
    <w:rsid w:val="7FAF004A"/>
    <w:rsid w:val="7FAF3B77"/>
    <w:rsid w:val="7FAF67D1"/>
    <w:rsid w:val="7FAFA22C"/>
    <w:rsid w:val="7FB1B426"/>
    <w:rsid w:val="7FB31036"/>
    <w:rsid w:val="7FB71B95"/>
    <w:rsid w:val="7FB7359B"/>
    <w:rsid w:val="7FB796A0"/>
    <w:rsid w:val="7FB9453E"/>
    <w:rsid w:val="7FB96E7E"/>
    <w:rsid w:val="7FBA2458"/>
    <w:rsid w:val="7FBB28C8"/>
    <w:rsid w:val="7FBBE37D"/>
    <w:rsid w:val="7FBC51B1"/>
    <w:rsid w:val="7FBC6330"/>
    <w:rsid w:val="7FBC6DFA"/>
    <w:rsid w:val="7FBD0F25"/>
    <w:rsid w:val="7FBDBCF1"/>
    <w:rsid w:val="7FBDFDA8"/>
    <w:rsid w:val="7FBF085D"/>
    <w:rsid w:val="7FBF85D0"/>
    <w:rsid w:val="7FBFF27E"/>
    <w:rsid w:val="7FC31497"/>
    <w:rsid w:val="7FCB4EC8"/>
    <w:rsid w:val="7FCB5E84"/>
    <w:rsid w:val="7FCD4F21"/>
    <w:rsid w:val="7FD3B142"/>
    <w:rsid w:val="7FD5CD06"/>
    <w:rsid w:val="7FD689B3"/>
    <w:rsid w:val="7FD8B945"/>
    <w:rsid w:val="7FDA041E"/>
    <w:rsid w:val="7FDAA694"/>
    <w:rsid w:val="7FDB2ABD"/>
    <w:rsid w:val="7FDD4682"/>
    <w:rsid w:val="7FDD4BEF"/>
    <w:rsid w:val="7FDD5BB8"/>
    <w:rsid w:val="7FDD74FE"/>
    <w:rsid w:val="7FDD7F75"/>
    <w:rsid w:val="7FDDD057"/>
    <w:rsid w:val="7FDE19C9"/>
    <w:rsid w:val="7FDEF334"/>
    <w:rsid w:val="7FDF1270"/>
    <w:rsid w:val="7FDF36DE"/>
    <w:rsid w:val="7FDF69D8"/>
    <w:rsid w:val="7FDF9E69"/>
    <w:rsid w:val="7FDFBB0C"/>
    <w:rsid w:val="7FDFFCAB"/>
    <w:rsid w:val="7FE3ACA4"/>
    <w:rsid w:val="7FE3F29A"/>
    <w:rsid w:val="7FE82D70"/>
    <w:rsid w:val="7FE906FE"/>
    <w:rsid w:val="7FE9415B"/>
    <w:rsid w:val="7FEA2A9A"/>
    <w:rsid w:val="7FEA51EE"/>
    <w:rsid w:val="7FEA6D55"/>
    <w:rsid w:val="7FEB641C"/>
    <w:rsid w:val="7FEBA4C4"/>
    <w:rsid w:val="7FEECB1B"/>
    <w:rsid w:val="7FEEEBF4"/>
    <w:rsid w:val="7FEEF070"/>
    <w:rsid w:val="7FEFF883"/>
    <w:rsid w:val="7FF07158"/>
    <w:rsid w:val="7FF1DFCC"/>
    <w:rsid w:val="7FF33C62"/>
    <w:rsid w:val="7FF37B6D"/>
    <w:rsid w:val="7FF3B4DA"/>
    <w:rsid w:val="7FF51C4E"/>
    <w:rsid w:val="7FF56A5D"/>
    <w:rsid w:val="7FF58C17"/>
    <w:rsid w:val="7FF5B5BB"/>
    <w:rsid w:val="7FF5EAE8"/>
    <w:rsid w:val="7FF6901D"/>
    <w:rsid w:val="7FF7673A"/>
    <w:rsid w:val="7FF77DAF"/>
    <w:rsid w:val="7FF79FD0"/>
    <w:rsid w:val="7FF7B325"/>
    <w:rsid w:val="7FF7ED9F"/>
    <w:rsid w:val="7FF83E70"/>
    <w:rsid w:val="7FF92038"/>
    <w:rsid w:val="7FFB143B"/>
    <w:rsid w:val="7FFB1F71"/>
    <w:rsid w:val="7FFB6B58"/>
    <w:rsid w:val="7FFBD4DB"/>
    <w:rsid w:val="7FFD0B14"/>
    <w:rsid w:val="7FFD8067"/>
    <w:rsid w:val="7FFE2451"/>
    <w:rsid w:val="7FFE9888"/>
    <w:rsid w:val="7FFE9DCE"/>
    <w:rsid w:val="7FFEA480"/>
    <w:rsid w:val="7FFECF79"/>
    <w:rsid w:val="7FFF0E65"/>
    <w:rsid w:val="7FFF2141"/>
    <w:rsid w:val="7FFF2A3A"/>
    <w:rsid w:val="7FFF4144"/>
    <w:rsid w:val="7FFF77FF"/>
    <w:rsid w:val="7FFF79EC"/>
    <w:rsid w:val="7FFF8F5A"/>
    <w:rsid w:val="7FFF9B82"/>
    <w:rsid w:val="7FFFE3FD"/>
    <w:rsid w:val="7FFFE541"/>
    <w:rsid w:val="7FFFF5D4"/>
    <w:rsid w:val="7FFFF703"/>
    <w:rsid w:val="83DF4BA6"/>
    <w:rsid w:val="85EF88A3"/>
    <w:rsid w:val="864B19B8"/>
    <w:rsid w:val="8677DBB2"/>
    <w:rsid w:val="87352C0B"/>
    <w:rsid w:val="87BE58AC"/>
    <w:rsid w:val="8AF7A7D1"/>
    <w:rsid w:val="8CF61D35"/>
    <w:rsid w:val="8EEEDA0D"/>
    <w:rsid w:val="8EFC1318"/>
    <w:rsid w:val="8F5B8CB4"/>
    <w:rsid w:val="8FAF319E"/>
    <w:rsid w:val="8FFFB737"/>
    <w:rsid w:val="92FD2B40"/>
    <w:rsid w:val="93FFE889"/>
    <w:rsid w:val="954E26E9"/>
    <w:rsid w:val="95BF23FC"/>
    <w:rsid w:val="95E57FE1"/>
    <w:rsid w:val="95FB80A8"/>
    <w:rsid w:val="96543735"/>
    <w:rsid w:val="97BDA284"/>
    <w:rsid w:val="97FF6FFA"/>
    <w:rsid w:val="99B956E0"/>
    <w:rsid w:val="99BE62AE"/>
    <w:rsid w:val="99DFAA60"/>
    <w:rsid w:val="99E7E6E4"/>
    <w:rsid w:val="9A613FB9"/>
    <w:rsid w:val="9AFF5B89"/>
    <w:rsid w:val="9BF76C37"/>
    <w:rsid w:val="9BFF72CF"/>
    <w:rsid w:val="9C2EE788"/>
    <w:rsid w:val="9CB29165"/>
    <w:rsid w:val="9DB91A5C"/>
    <w:rsid w:val="9DD61F99"/>
    <w:rsid w:val="9DEF2475"/>
    <w:rsid w:val="9DFFDE74"/>
    <w:rsid w:val="9E415D7C"/>
    <w:rsid w:val="9E7BA729"/>
    <w:rsid w:val="9E7DEB6E"/>
    <w:rsid w:val="9E7E7ECC"/>
    <w:rsid w:val="9E7EE10B"/>
    <w:rsid w:val="9EE34120"/>
    <w:rsid w:val="9F3B99DD"/>
    <w:rsid w:val="9F3E7576"/>
    <w:rsid w:val="9F5C5AA7"/>
    <w:rsid w:val="9F5FD5F0"/>
    <w:rsid w:val="9F7FE49F"/>
    <w:rsid w:val="9F8636AD"/>
    <w:rsid w:val="9FAF1624"/>
    <w:rsid w:val="9FB74971"/>
    <w:rsid w:val="9FBE818E"/>
    <w:rsid w:val="9FD40F55"/>
    <w:rsid w:val="9FD7214E"/>
    <w:rsid w:val="9FD7A23A"/>
    <w:rsid w:val="9FED48A6"/>
    <w:rsid w:val="9FFB9CA7"/>
    <w:rsid w:val="9FFBDE45"/>
    <w:rsid w:val="9FFE16FE"/>
    <w:rsid w:val="9FFF2B06"/>
    <w:rsid w:val="9FFFCF06"/>
    <w:rsid w:val="9FFFD77E"/>
    <w:rsid w:val="A1EF8BFD"/>
    <w:rsid w:val="A1FF023B"/>
    <w:rsid w:val="A31FF8B2"/>
    <w:rsid w:val="A35F3774"/>
    <w:rsid w:val="A37507D6"/>
    <w:rsid w:val="A3FF0D18"/>
    <w:rsid w:val="A53BD0FD"/>
    <w:rsid w:val="A5DD98D8"/>
    <w:rsid w:val="A6E5703C"/>
    <w:rsid w:val="A706A2E2"/>
    <w:rsid w:val="A7C71483"/>
    <w:rsid w:val="A7DD766F"/>
    <w:rsid w:val="A7E7280D"/>
    <w:rsid w:val="A7F4A0DF"/>
    <w:rsid w:val="A7F7D502"/>
    <w:rsid w:val="A7FD7CDD"/>
    <w:rsid w:val="A7FD8E59"/>
    <w:rsid w:val="A7FE37C2"/>
    <w:rsid w:val="A9BF061A"/>
    <w:rsid w:val="AA1981C1"/>
    <w:rsid w:val="AAE71513"/>
    <w:rsid w:val="AAFF1E8C"/>
    <w:rsid w:val="AB5F190D"/>
    <w:rsid w:val="AB871F5F"/>
    <w:rsid w:val="ABBF3EB0"/>
    <w:rsid w:val="ABEC013E"/>
    <w:rsid w:val="ABF75373"/>
    <w:rsid w:val="ABFE3D74"/>
    <w:rsid w:val="ABFF866A"/>
    <w:rsid w:val="AD3FA41A"/>
    <w:rsid w:val="AD7BC590"/>
    <w:rsid w:val="AD7F226B"/>
    <w:rsid w:val="ADF745DC"/>
    <w:rsid w:val="ADFC41A4"/>
    <w:rsid w:val="ADFF923C"/>
    <w:rsid w:val="ADFFFEBB"/>
    <w:rsid w:val="AE0FDDDC"/>
    <w:rsid w:val="AE765B5A"/>
    <w:rsid w:val="AE9F20C9"/>
    <w:rsid w:val="AEF92EBD"/>
    <w:rsid w:val="AFADC5D7"/>
    <w:rsid w:val="AFB7A3A1"/>
    <w:rsid w:val="AFCF7AEA"/>
    <w:rsid w:val="AFD8F9BF"/>
    <w:rsid w:val="AFEF364B"/>
    <w:rsid w:val="AFF73477"/>
    <w:rsid w:val="AFFB3066"/>
    <w:rsid w:val="AFFF00AA"/>
    <w:rsid w:val="AFFFE4BE"/>
    <w:rsid w:val="B27F31B9"/>
    <w:rsid w:val="B33DA34F"/>
    <w:rsid w:val="B33E9E0D"/>
    <w:rsid w:val="B36674EA"/>
    <w:rsid w:val="B3DD8486"/>
    <w:rsid w:val="B47ED904"/>
    <w:rsid w:val="B4FEABDE"/>
    <w:rsid w:val="B539F80B"/>
    <w:rsid w:val="B57DD40D"/>
    <w:rsid w:val="B5B2F46B"/>
    <w:rsid w:val="B5D740B7"/>
    <w:rsid w:val="B5F75A07"/>
    <w:rsid w:val="B5FCFC7A"/>
    <w:rsid w:val="B65F3C21"/>
    <w:rsid w:val="B66FDEB6"/>
    <w:rsid w:val="B6BAA500"/>
    <w:rsid w:val="B6D49B6B"/>
    <w:rsid w:val="B6DB3081"/>
    <w:rsid w:val="B6FDDE2A"/>
    <w:rsid w:val="B6FF5DFD"/>
    <w:rsid w:val="B74FC73A"/>
    <w:rsid w:val="B7675A2E"/>
    <w:rsid w:val="B779298F"/>
    <w:rsid w:val="B7990E8E"/>
    <w:rsid w:val="B7E13619"/>
    <w:rsid w:val="B7EF3722"/>
    <w:rsid w:val="B7F24806"/>
    <w:rsid w:val="B7F68B75"/>
    <w:rsid w:val="B7FF5178"/>
    <w:rsid w:val="B7FFA440"/>
    <w:rsid w:val="B8BF4B60"/>
    <w:rsid w:val="B8CD834A"/>
    <w:rsid w:val="B8FEDBD9"/>
    <w:rsid w:val="B9BE3431"/>
    <w:rsid w:val="B9C1F6BB"/>
    <w:rsid w:val="B9D7A35E"/>
    <w:rsid w:val="B9FFDAE3"/>
    <w:rsid w:val="BAB7CD6D"/>
    <w:rsid w:val="BAED0299"/>
    <w:rsid w:val="BB2F0ADA"/>
    <w:rsid w:val="BB5E735C"/>
    <w:rsid w:val="BB5F76FC"/>
    <w:rsid w:val="BB6B1C3F"/>
    <w:rsid w:val="BB6F9EDC"/>
    <w:rsid w:val="BB7DCFF0"/>
    <w:rsid w:val="BB7F4AEF"/>
    <w:rsid w:val="BB7FC72E"/>
    <w:rsid w:val="BB7FF1FF"/>
    <w:rsid w:val="BB7FF29B"/>
    <w:rsid w:val="BB97AC7A"/>
    <w:rsid w:val="BB97B2D4"/>
    <w:rsid w:val="BBCEB600"/>
    <w:rsid w:val="BBE26893"/>
    <w:rsid w:val="BBE6D652"/>
    <w:rsid w:val="BBF4B979"/>
    <w:rsid w:val="BBF8D9AC"/>
    <w:rsid w:val="BBFD5654"/>
    <w:rsid w:val="BBFEA33B"/>
    <w:rsid w:val="BBFEE1F9"/>
    <w:rsid w:val="BBFFD803"/>
    <w:rsid w:val="BC7FF366"/>
    <w:rsid w:val="BCD69DB0"/>
    <w:rsid w:val="BCFE7BD8"/>
    <w:rsid w:val="BCFE9520"/>
    <w:rsid w:val="BD2D7060"/>
    <w:rsid w:val="BD5CBE49"/>
    <w:rsid w:val="BD7BA976"/>
    <w:rsid w:val="BD7F5A98"/>
    <w:rsid w:val="BD8FDC33"/>
    <w:rsid w:val="BDBDA77F"/>
    <w:rsid w:val="BDBEF394"/>
    <w:rsid w:val="BDBF222C"/>
    <w:rsid w:val="BDD99D72"/>
    <w:rsid w:val="BDDDA1AE"/>
    <w:rsid w:val="BDEF40B3"/>
    <w:rsid w:val="BDEFF32F"/>
    <w:rsid w:val="BDF3FA2D"/>
    <w:rsid w:val="BDF6E7D6"/>
    <w:rsid w:val="BDFCCA70"/>
    <w:rsid w:val="BDFDA1F4"/>
    <w:rsid w:val="BDFFB355"/>
    <w:rsid w:val="BDFFE040"/>
    <w:rsid w:val="BE3F4502"/>
    <w:rsid w:val="BE562830"/>
    <w:rsid w:val="BE77B7C8"/>
    <w:rsid w:val="BE7EAF9A"/>
    <w:rsid w:val="BE7F6071"/>
    <w:rsid w:val="BE9AAB2F"/>
    <w:rsid w:val="BEAF04EA"/>
    <w:rsid w:val="BECC7886"/>
    <w:rsid w:val="BEDF709E"/>
    <w:rsid w:val="BEE79F75"/>
    <w:rsid w:val="BEFB2525"/>
    <w:rsid w:val="BEFBA0B0"/>
    <w:rsid w:val="BEFBA662"/>
    <w:rsid w:val="BEFF108D"/>
    <w:rsid w:val="BF1BE272"/>
    <w:rsid w:val="BF1F8E7C"/>
    <w:rsid w:val="BF2328A9"/>
    <w:rsid w:val="BF374F23"/>
    <w:rsid w:val="BF3B1846"/>
    <w:rsid w:val="BF5E226B"/>
    <w:rsid w:val="BF5F176C"/>
    <w:rsid w:val="BF742370"/>
    <w:rsid w:val="BF752E25"/>
    <w:rsid w:val="BF7E31BA"/>
    <w:rsid w:val="BF7F2F13"/>
    <w:rsid w:val="BF7F7B8E"/>
    <w:rsid w:val="BF7FDC75"/>
    <w:rsid w:val="BF9180D3"/>
    <w:rsid w:val="BFA3D2E0"/>
    <w:rsid w:val="BFAFCC7F"/>
    <w:rsid w:val="BFB3D9AB"/>
    <w:rsid w:val="BFB62494"/>
    <w:rsid w:val="BFBB1744"/>
    <w:rsid w:val="BFBFCAD6"/>
    <w:rsid w:val="BFCB7DBF"/>
    <w:rsid w:val="BFCCFA0E"/>
    <w:rsid w:val="BFD7034D"/>
    <w:rsid w:val="BFD7058E"/>
    <w:rsid w:val="BFDAC37A"/>
    <w:rsid w:val="BFDD8CF7"/>
    <w:rsid w:val="BFDFF689"/>
    <w:rsid w:val="BFE7D93A"/>
    <w:rsid w:val="BFE7EFF4"/>
    <w:rsid w:val="BFEEB82D"/>
    <w:rsid w:val="BFEF396F"/>
    <w:rsid w:val="BFEF4767"/>
    <w:rsid w:val="BFEFC948"/>
    <w:rsid w:val="BFF71C24"/>
    <w:rsid w:val="BFF7BFCA"/>
    <w:rsid w:val="BFF81552"/>
    <w:rsid w:val="BFF88CA8"/>
    <w:rsid w:val="BFFA5025"/>
    <w:rsid w:val="BFFADF3F"/>
    <w:rsid w:val="BFFBB7C4"/>
    <w:rsid w:val="BFFD322B"/>
    <w:rsid w:val="BFFD4CCB"/>
    <w:rsid w:val="BFFDBD8A"/>
    <w:rsid w:val="BFFE2535"/>
    <w:rsid w:val="BFFEEF0B"/>
    <w:rsid w:val="BFFF16C7"/>
    <w:rsid w:val="BFFF5AA0"/>
    <w:rsid w:val="BFFF66B7"/>
    <w:rsid w:val="BFFFF99D"/>
    <w:rsid w:val="C14FF5A3"/>
    <w:rsid w:val="C34FC6BD"/>
    <w:rsid w:val="C5B95A90"/>
    <w:rsid w:val="C6BFBB9F"/>
    <w:rsid w:val="C7590D8D"/>
    <w:rsid w:val="C76E042B"/>
    <w:rsid w:val="C77FDBC5"/>
    <w:rsid w:val="C7E7C281"/>
    <w:rsid w:val="C7F90DB4"/>
    <w:rsid w:val="C96A5BD4"/>
    <w:rsid w:val="C9BB1F29"/>
    <w:rsid w:val="CA6E569D"/>
    <w:rsid w:val="CAEB6440"/>
    <w:rsid w:val="CB578579"/>
    <w:rsid w:val="CBB72CDA"/>
    <w:rsid w:val="CBE7BA56"/>
    <w:rsid w:val="CBFFF11C"/>
    <w:rsid w:val="CC7F8705"/>
    <w:rsid w:val="CCCC1E5A"/>
    <w:rsid w:val="CCDF8B5A"/>
    <w:rsid w:val="CCEDA08E"/>
    <w:rsid w:val="CD4C13FF"/>
    <w:rsid w:val="CDEF32C6"/>
    <w:rsid w:val="CDFF14FB"/>
    <w:rsid w:val="CDFF19F3"/>
    <w:rsid w:val="CE7F1F29"/>
    <w:rsid w:val="CE7FE161"/>
    <w:rsid w:val="CEEF5871"/>
    <w:rsid w:val="CEF7BAD0"/>
    <w:rsid w:val="CF76A02B"/>
    <w:rsid w:val="CFBF3595"/>
    <w:rsid w:val="CFBF99C9"/>
    <w:rsid w:val="CFCF0C23"/>
    <w:rsid w:val="CFDF8F38"/>
    <w:rsid w:val="CFEFAF95"/>
    <w:rsid w:val="CFEFD094"/>
    <w:rsid w:val="CFEFEF26"/>
    <w:rsid w:val="CFF550E4"/>
    <w:rsid w:val="CFF70162"/>
    <w:rsid w:val="CFF7EDDB"/>
    <w:rsid w:val="CFFB1712"/>
    <w:rsid w:val="CFFD73E9"/>
    <w:rsid w:val="CFFF6720"/>
    <w:rsid w:val="D17FD074"/>
    <w:rsid w:val="D1DF3EBB"/>
    <w:rsid w:val="D2EFAFE7"/>
    <w:rsid w:val="D2FFC16C"/>
    <w:rsid w:val="D3CF2BB6"/>
    <w:rsid w:val="D3D93B6D"/>
    <w:rsid w:val="D45F7CC6"/>
    <w:rsid w:val="D4D914AE"/>
    <w:rsid w:val="D4F779E5"/>
    <w:rsid w:val="D4FE91B0"/>
    <w:rsid w:val="D5771460"/>
    <w:rsid w:val="D57E3F58"/>
    <w:rsid w:val="D5FD7086"/>
    <w:rsid w:val="D5FF24DB"/>
    <w:rsid w:val="D5FFD60F"/>
    <w:rsid w:val="D5FFEA9F"/>
    <w:rsid w:val="D6578D0F"/>
    <w:rsid w:val="D66F74DB"/>
    <w:rsid w:val="D6D54104"/>
    <w:rsid w:val="D6EE9724"/>
    <w:rsid w:val="D6EFC3BC"/>
    <w:rsid w:val="D6EFCD2F"/>
    <w:rsid w:val="D6F73717"/>
    <w:rsid w:val="D73B0F75"/>
    <w:rsid w:val="D77DD8AF"/>
    <w:rsid w:val="D77DEC88"/>
    <w:rsid w:val="D78C0DD3"/>
    <w:rsid w:val="D7B58CC7"/>
    <w:rsid w:val="D7BFA78E"/>
    <w:rsid w:val="D7CD59A1"/>
    <w:rsid w:val="D7CEBD8A"/>
    <w:rsid w:val="D7DD57EE"/>
    <w:rsid w:val="D7DEB9B0"/>
    <w:rsid w:val="D7ED6F28"/>
    <w:rsid w:val="D7F618ED"/>
    <w:rsid w:val="D7FE2499"/>
    <w:rsid w:val="D7FF3D83"/>
    <w:rsid w:val="D8E3FC98"/>
    <w:rsid w:val="D8FDA9DF"/>
    <w:rsid w:val="D97BDB17"/>
    <w:rsid w:val="D9BFB7EF"/>
    <w:rsid w:val="D9DEA4BD"/>
    <w:rsid w:val="D9F3EC02"/>
    <w:rsid w:val="D9FE85B3"/>
    <w:rsid w:val="DA811A63"/>
    <w:rsid w:val="DAFE8FF7"/>
    <w:rsid w:val="DB3D5741"/>
    <w:rsid w:val="DB6B7C3A"/>
    <w:rsid w:val="DB76C395"/>
    <w:rsid w:val="DBAB4EF9"/>
    <w:rsid w:val="DBBDCFE1"/>
    <w:rsid w:val="DBDEE984"/>
    <w:rsid w:val="DBDF4CAB"/>
    <w:rsid w:val="DBFC0F7C"/>
    <w:rsid w:val="DBFDB6CF"/>
    <w:rsid w:val="DBFDE603"/>
    <w:rsid w:val="DBFF193B"/>
    <w:rsid w:val="DBFF5201"/>
    <w:rsid w:val="DBFF607C"/>
    <w:rsid w:val="DC3F3259"/>
    <w:rsid w:val="DCEFF81E"/>
    <w:rsid w:val="DCFC48C2"/>
    <w:rsid w:val="DCFEFB71"/>
    <w:rsid w:val="DD4FD296"/>
    <w:rsid w:val="DD5B0AB3"/>
    <w:rsid w:val="DD6D63A0"/>
    <w:rsid w:val="DD774738"/>
    <w:rsid w:val="DD7B60EA"/>
    <w:rsid w:val="DD7DA98D"/>
    <w:rsid w:val="DD7F233A"/>
    <w:rsid w:val="DD7F2ECA"/>
    <w:rsid w:val="DDB5C1CE"/>
    <w:rsid w:val="DDCDD5FD"/>
    <w:rsid w:val="DDDBA910"/>
    <w:rsid w:val="DDDF072B"/>
    <w:rsid w:val="DDDFE445"/>
    <w:rsid w:val="DDDFF85C"/>
    <w:rsid w:val="DDE33814"/>
    <w:rsid w:val="DDE645F5"/>
    <w:rsid w:val="DDEF4F6A"/>
    <w:rsid w:val="DDEFF129"/>
    <w:rsid w:val="DDF499DE"/>
    <w:rsid w:val="DDFBC95C"/>
    <w:rsid w:val="DDFF6FA4"/>
    <w:rsid w:val="DE7BC3EB"/>
    <w:rsid w:val="DE7E7AC3"/>
    <w:rsid w:val="DE87338E"/>
    <w:rsid w:val="DEBB8BC2"/>
    <w:rsid w:val="DECAFBAB"/>
    <w:rsid w:val="DEEE6BEE"/>
    <w:rsid w:val="DEF3B456"/>
    <w:rsid w:val="DEFB81C0"/>
    <w:rsid w:val="DEFF1DC2"/>
    <w:rsid w:val="DEFF5D3B"/>
    <w:rsid w:val="DF1F592D"/>
    <w:rsid w:val="DF2A6CE2"/>
    <w:rsid w:val="DF37E43A"/>
    <w:rsid w:val="DF539E86"/>
    <w:rsid w:val="DF66E939"/>
    <w:rsid w:val="DF6772A9"/>
    <w:rsid w:val="DF6FCC12"/>
    <w:rsid w:val="DF7B256C"/>
    <w:rsid w:val="DF7C1030"/>
    <w:rsid w:val="DF8F5AD9"/>
    <w:rsid w:val="DF9F4472"/>
    <w:rsid w:val="DF9F8365"/>
    <w:rsid w:val="DF9FA0DC"/>
    <w:rsid w:val="DFB74867"/>
    <w:rsid w:val="DFBBB8DD"/>
    <w:rsid w:val="DFBC2BA3"/>
    <w:rsid w:val="DFBD744E"/>
    <w:rsid w:val="DFCD318B"/>
    <w:rsid w:val="DFCF5E34"/>
    <w:rsid w:val="DFD676CA"/>
    <w:rsid w:val="DFDDBDCC"/>
    <w:rsid w:val="DFDF40CB"/>
    <w:rsid w:val="DFED4BEC"/>
    <w:rsid w:val="DFF5E9FC"/>
    <w:rsid w:val="DFF73543"/>
    <w:rsid w:val="DFFBCAEE"/>
    <w:rsid w:val="DFFBF079"/>
    <w:rsid w:val="DFFC43DE"/>
    <w:rsid w:val="DFFD0973"/>
    <w:rsid w:val="DFFD3EEF"/>
    <w:rsid w:val="DFFD7474"/>
    <w:rsid w:val="DFFD7C84"/>
    <w:rsid w:val="DFFE571F"/>
    <w:rsid w:val="DFFE7417"/>
    <w:rsid w:val="DFFEB679"/>
    <w:rsid w:val="DFFF6FBB"/>
    <w:rsid w:val="DFFF95F8"/>
    <w:rsid w:val="DFFFAD9F"/>
    <w:rsid w:val="E0EFCE42"/>
    <w:rsid w:val="E1779CE6"/>
    <w:rsid w:val="E19B01B4"/>
    <w:rsid w:val="E1EEFBFE"/>
    <w:rsid w:val="E2DB1BD6"/>
    <w:rsid w:val="E2F50E39"/>
    <w:rsid w:val="E33FF013"/>
    <w:rsid w:val="E35E7DFE"/>
    <w:rsid w:val="E362D9AF"/>
    <w:rsid w:val="E39EC31A"/>
    <w:rsid w:val="E3AB3696"/>
    <w:rsid w:val="E3AFF40D"/>
    <w:rsid w:val="E3BB40F2"/>
    <w:rsid w:val="E3DDD110"/>
    <w:rsid w:val="E3F3DC56"/>
    <w:rsid w:val="E3FDBBA5"/>
    <w:rsid w:val="E3FF8A06"/>
    <w:rsid w:val="E4B54700"/>
    <w:rsid w:val="E4FE588D"/>
    <w:rsid w:val="E5BF6554"/>
    <w:rsid w:val="E5CF9198"/>
    <w:rsid w:val="E5DA5C19"/>
    <w:rsid w:val="E5EA5C26"/>
    <w:rsid w:val="E5EF2EB9"/>
    <w:rsid w:val="E6677ECC"/>
    <w:rsid w:val="E6DE5D18"/>
    <w:rsid w:val="E6FB5E73"/>
    <w:rsid w:val="E6FBEB6F"/>
    <w:rsid w:val="E6FD5501"/>
    <w:rsid w:val="E73F48ED"/>
    <w:rsid w:val="E75FA105"/>
    <w:rsid w:val="E777CA41"/>
    <w:rsid w:val="E7B77793"/>
    <w:rsid w:val="E7DF9DD6"/>
    <w:rsid w:val="E7E2DED6"/>
    <w:rsid w:val="E7E609AF"/>
    <w:rsid w:val="E7EA30B1"/>
    <w:rsid w:val="E7F1B6BE"/>
    <w:rsid w:val="E7F62BEC"/>
    <w:rsid w:val="E7FB1682"/>
    <w:rsid w:val="E7FF4C6A"/>
    <w:rsid w:val="E8B77ABB"/>
    <w:rsid w:val="E8E6F03F"/>
    <w:rsid w:val="E8FD2E92"/>
    <w:rsid w:val="E9BDFD97"/>
    <w:rsid w:val="E9BFB8B5"/>
    <w:rsid w:val="E9FF4E7F"/>
    <w:rsid w:val="E9FF6643"/>
    <w:rsid w:val="EAF6C43E"/>
    <w:rsid w:val="EB4F018F"/>
    <w:rsid w:val="EB7BA9C8"/>
    <w:rsid w:val="EB9FB9C6"/>
    <w:rsid w:val="EBBC3187"/>
    <w:rsid w:val="EBD54A6B"/>
    <w:rsid w:val="EBDE2B25"/>
    <w:rsid w:val="EBEDCF1A"/>
    <w:rsid w:val="EBEF7733"/>
    <w:rsid w:val="EBF7114F"/>
    <w:rsid w:val="EBFD3F93"/>
    <w:rsid w:val="EBFF2342"/>
    <w:rsid w:val="EBFF9926"/>
    <w:rsid w:val="EC2FDCD0"/>
    <w:rsid w:val="EC3B4D1A"/>
    <w:rsid w:val="EC3F85E1"/>
    <w:rsid w:val="ECD8E8D3"/>
    <w:rsid w:val="ECFBE4CD"/>
    <w:rsid w:val="ED5FC1AE"/>
    <w:rsid w:val="ED75487F"/>
    <w:rsid w:val="ED77DA7F"/>
    <w:rsid w:val="ED7AE755"/>
    <w:rsid w:val="ED8FDAFE"/>
    <w:rsid w:val="EDF62F74"/>
    <w:rsid w:val="EDFDA358"/>
    <w:rsid w:val="EDFFEBCD"/>
    <w:rsid w:val="EE2E2900"/>
    <w:rsid w:val="EE35A594"/>
    <w:rsid w:val="EE4D2711"/>
    <w:rsid w:val="EE7FBCFA"/>
    <w:rsid w:val="EE8D4C37"/>
    <w:rsid w:val="EE9D96A7"/>
    <w:rsid w:val="EEBD1579"/>
    <w:rsid w:val="EEC70727"/>
    <w:rsid w:val="EEEF3D61"/>
    <w:rsid w:val="EEF579E9"/>
    <w:rsid w:val="EEFAFDDC"/>
    <w:rsid w:val="EF0DF19E"/>
    <w:rsid w:val="EF3727C7"/>
    <w:rsid w:val="EF3EC350"/>
    <w:rsid w:val="EF479EC6"/>
    <w:rsid w:val="EF5A6565"/>
    <w:rsid w:val="EF5E8911"/>
    <w:rsid w:val="EF6F7631"/>
    <w:rsid w:val="EF7B00EC"/>
    <w:rsid w:val="EF7D7F98"/>
    <w:rsid w:val="EF7F46C4"/>
    <w:rsid w:val="EF7F69EF"/>
    <w:rsid w:val="EF7FC0D1"/>
    <w:rsid w:val="EF8CC11B"/>
    <w:rsid w:val="EF8D5295"/>
    <w:rsid w:val="EF97244B"/>
    <w:rsid w:val="EF9ECB43"/>
    <w:rsid w:val="EFAC6CEF"/>
    <w:rsid w:val="EFAD9B20"/>
    <w:rsid w:val="EFAFC84F"/>
    <w:rsid w:val="EFBA3D3D"/>
    <w:rsid w:val="EFBB1E18"/>
    <w:rsid w:val="EFBB8883"/>
    <w:rsid w:val="EFBBD3AF"/>
    <w:rsid w:val="EFBBD5E8"/>
    <w:rsid w:val="EFBC32DE"/>
    <w:rsid w:val="EFBF2F55"/>
    <w:rsid w:val="EFC69317"/>
    <w:rsid w:val="EFCC3E2C"/>
    <w:rsid w:val="EFD9ED5D"/>
    <w:rsid w:val="EFDDB7B1"/>
    <w:rsid w:val="EFDF28E1"/>
    <w:rsid w:val="EFDF4297"/>
    <w:rsid w:val="EFE726A6"/>
    <w:rsid w:val="EFED05B5"/>
    <w:rsid w:val="EFED51D6"/>
    <w:rsid w:val="EFEDEC5D"/>
    <w:rsid w:val="EFEE1584"/>
    <w:rsid w:val="EFF21AB3"/>
    <w:rsid w:val="EFF5BFA4"/>
    <w:rsid w:val="EFF5F833"/>
    <w:rsid w:val="EFFB9829"/>
    <w:rsid w:val="EFFBF0FD"/>
    <w:rsid w:val="EFFC738B"/>
    <w:rsid w:val="EFFDAC72"/>
    <w:rsid w:val="EFFDF7A6"/>
    <w:rsid w:val="EFFE815F"/>
    <w:rsid w:val="EFFEB706"/>
    <w:rsid w:val="EFFF2BDC"/>
    <w:rsid w:val="EFFFA5B3"/>
    <w:rsid w:val="EFFFAAED"/>
    <w:rsid w:val="EFFFE98E"/>
    <w:rsid w:val="F1650175"/>
    <w:rsid w:val="F195064C"/>
    <w:rsid w:val="F1A54590"/>
    <w:rsid w:val="F1BFF92C"/>
    <w:rsid w:val="F1CB3DBB"/>
    <w:rsid w:val="F21E727A"/>
    <w:rsid w:val="F2799502"/>
    <w:rsid w:val="F27B90E4"/>
    <w:rsid w:val="F2EDB910"/>
    <w:rsid w:val="F2FBFAA6"/>
    <w:rsid w:val="F39F26CA"/>
    <w:rsid w:val="F39F6079"/>
    <w:rsid w:val="F3B5F21A"/>
    <w:rsid w:val="F3BE2AAF"/>
    <w:rsid w:val="F3DCF0ED"/>
    <w:rsid w:val="F3DF811A"/>
    <w:rsid w:val="F3E3E4BE"/>
    <w:rsid w:val="F3EB4E2B"/>
    <w:rsid w:val="F3FB46CB"/>
    <w:rsid w:val="F3FF548F"/>
    <w:rsid w:val="F3FF89BD"/>
    <w:rsid w:val="F45F6A09"/>
    <w:rsid w:val="F477B282"/>
    <w:rsid w:val="F4788011"/>
    <w:rsid w:val="F4F6BC6D"/>
    <w:rsid w:val="F4FF32D3"/>
    <w:rsid w:val="F4FF621F"/>
    <w:rsid w:val="F4FFA9DB"/>
    <w:rsid w:val="F54D80F9"/>
    <w:rsid w:val="F577423E"/>
    <w:rsid w:val="F58D7E4F"/>
    <w:rsid w:val="F593B0BD"/>
    <w:rsid w:val="F5BDE211"/>
    <w:rsid w:val="F5D75789"/>
    <w:rsid w:val="F5DEBC14"/>
    <w:rsid w:val="F5DFEF11"/>
    <w:rsid w:val="F5EB0C16"/>
    <w:rsid w:val="F5EB676B"/>
    <w:rsid w:val="F5EFEFCE"/>
    <w:rsid w:val="F5F4DCBC"/>
    <w:rsid w:val="F5F9D500"/>
    <w:rsid w:val="F5FB4308"/>
    <w:rsid w:val="F5FF5E2D"/>
    <w:rsid w:val="F5FFA53E"/>
    <w:rsid w:val="F5FFEE1E"/>
    <w:rsid w:val="F61F4729"/>
    <w:rsid w:val="F6453589"/>
    <w:rsid w:val="F6676EEE"/>
    <w:rsid w:val="F66B55F3"/>
    <w:rsid w:val="F67B6137"/>
    <w:rsid w:val="F67F4304"/>
    <w:rsid w:val="F69739FA"/>
    <w:rsid w:val="F69F2007"/>
    <w:rsid w:val="F6AE0AB7"/>
    <w:rsid w:val="F6B2123A"/>
    <w:rsid w:val="F6DCCC83"/>
    <w:rsid w:val="F6DF25AA"/>
    <w:rsid w:val="F6EE3938"/>
    <w:rsid w:val="F6EF0854"/>
    <w:rsid w:val="F6EFF97E"/>
    <w:rsid w:val="F6FBE325"/>
    <w:rsid w:val="F6FC4391"/>
    <w:rsid w:val="F6FCA0B1"/>
    <w:rsid w:val="F6FFB327"/>
    <w:rsid w:val="F739FAD9"/>
    <w:rsid w:val="F73F789E"/>
    <w:rsid w:val="F73F94B5"/>
    <w:rsid w:val="F73FB268"/>
    <w:rsid w:val="F75150C8"/>
    <w:rsid w:val="F76FE2F7"/>
    <w:rsid w:val="F7712BFD"/>
    <w:rsid w:val="F7768ECE"/>
    <w:rsid w:val="F77B989E"/>
    <w:rsid w:val="F77F1348"/>
    <w:rsid w:val="F77FF9B3"/>
    <w:rsid w:val="F78FDD92"/>
    <w:rsid w:val="F79EC383"/>
    <w:rsid w:val="F79FA3F2"/>
    <w:rsid w:val="F7ADBA6B"/>
    <w:rsid w:val="F7AEA0C8"/>
    <w:rsid w:val="F7B695CC"/>
    <w:rsid w:val="F7B91025"/>
    <w:rsid w:val="F7B93460"/>
    <w:rsid w:val="F7BCE39F"/>
    <w:rsid w:val="F7BDFDC5"/>
    <w:rsid w:val="F7C70161"/>
    <w:rsid w:val="F7CBB2EB"/>
    <w:rsid w:val="F7D72379"/>
    <w:rsid w:val="F7D7786B"/>
    <w:rsid w:val="F7DDFCFA"/>
    <w:rsid w:val="F7DF1DC9"/>
    <w:rsid w:val="F7E17A94"/>
    <w:rsid w:val="F7E53FAE"/>
    <w:rsid w:val="F7E6CDC7"/>
    <w:rsid w:val="F7E7B358"/>
    <w:rsid w:val="F7E92486"/>
    <w:rsid w:val="F7EB77FE"/>
    <w:rsid w:val="F7ED06B3"/>
    <w:rsid w:val="F7EDB92F"/>
    <w:rsid w:val="F7EEDBAB"/>
    <w:rsid w:val="F7EF47F3"/>
    <w:rsid w:val="F7F6403D"/>
    <w:rsid w:val="F7F7C19A"/>
    <w:rsid w:val="F7F7C8BF"/>
    <w:rsid w:val="F7FAA49B"/>
    <w:rsid w:val="F7FC8F63"/>
    <w:rsid w:val="F7FD23AE"/>
    <w:rsid w:val="F7FE4E74"/>
    <w:rsid w:val="F7FF243C"/>
    <w:rsid w:val="F7FF7B64"/>
    <w:rsid w:val="F7FFF52B"/>
    <w:rsid w:val="F87F605E"/>
    <w:rsid w:val="F8A7747D"/>
    <w:rsid w:val="F8F70D46"/>
    <w:rsid w:val="F8F8C04F"/>
    <w:rsid w:val="F8FF327C"/>
    <w:rsid w:val="F97602BD"/>
    <w:rsid w:val="F97D0745"/>
    <w:rsid w:val="F97FEBC0"/>
    <w:rsid w:val="F9BF51BA"/>
    <w:rsid w:val="F9C484D4"/>
    <w:rsid w:val="F9D7208C"/>
    <w:rsid w:val="F9D8E52B"/>
    <w:rsid w:val="F9F51F40"/>
    <w:rsid w:val="F9F6A0F2"/>
    <w:rsid w:val="F9F78102"/>
    <w:rsid w:val="FA3B8418"/>
    <w:rsid w:val="FA577E57"/>
    <w:rsid w:val="FABC5A2B"/>
    <w:rsid w:val="FACB9C27"/>
    <w:rsid w:val="FAD413D3"/>
    <w:rsid w:val="FAD68294"/>
    <w:rsid w:val="FAD70F65"/>
    <w:rsid w:val="FAEBC80F"/>
    <w:rsid w:val="FAFCD0E2"/>
    <w:rsid w:val="FAFE678F"/>
    <w:rsid w:val="FAFEA11A"/>
    <w:rsid w:val="FAFFC179"/>
    <w:rsid w:val="FB1BD6B4"/>
    <w:rsid w:val="FB2E0913"/>
    <w:rsid w:val="FB4537F8"/>
    <w:rsid w:val="FB5E947A"/>
    <w:rsid w:val="FB6FDB88"/>
    <w:rsid w:val="FB729E2A"/>
    <w:rsid w:val="FB7D4B94"/>
    <w:rsid w:val="FB9F81E0"/>
    <w:rsid w:val="FB9FED65"/>
    <w:rsid w:val="FBAFAB6E"/>
    <w:rsid w:val="FBB0619E"/>
    <w:rsid w:val="FBB26FA9"/>
    <w:rsid w:val="FBB9AB0D"/>
    <w:rsid w:val="FBB9F3C4"/>
    <w:rsid w:val="FBBB10BF"/>
    <w:rsid w:val="FBBD9A1D"/>
    <w:rsid w:val="FBBDEF7C"/>
    <w:rsid w:val="FBBFA0B0"/>
    <w:rsid w:val="FBBFF976"/>
    <w:rsid w:val="FBCFDF79"/>
    <w:rsid w:val="FBDF03DC"/>
    <w:rsid w:val="FBDF20F5"/>
    <w:rsid w:val="FBDF4DFE"/>
    <w:rsid w:val="FBDFBF55"/>
    <w:rsid w:val="FBED8833"/>
    <w:rsid w:val="FBEEBFCF"/>
    <w:rsid w:val="FBEFB744"/>
    <w:rsid w:val="FBF18C96"/>
    <w:rsid w:val="FBF21445"/>
    <w:rsid w:val="FBF32689"/>
    <w:rsid w:val="FBF51ACE"/>
    <w:rsid w:val="FBF5829B"/>
    <w:rsid w:val="FBF77645"/>
    <w:rsid w:val="FBF7D68D"/>
    <w:rsid w:val="FBF7DCFE"/>
    <w:rsid w:val="FBFAD953"/>
    <w:rsid w:val="FBFAD9B0"/>
    <w:rsid w:val="FBFBFA1A"/>
    <w:rsid w:val="FBFD1556"/>
    <w:rsid w:val="FBFD4995"/>
    <w:rsid w:val="FBFE294D"/>
    <w:rsid w:val="FBFE9538"/>
    <w:rsid w:val="FBFE99C9"/>
    <w:rsid w:val="FBFEEB44"/>
    <w:rsid w:val="FC2ECEFF"/>
    <w:rsid w:val="FC3F1155"/>
    <w:rsid w:val="FC3FC475"/>
    <w:rsid w:val="FC4455C8"/>
    <w:rsid w:val="FC4DBEE6"/>
    <w:rsid w:val="FC53B003"/>
    <w:rsid w:val="FC5F3C9E"/>
    <w:rsid w:val="FC7E3DFA"/>
    <w:rsid w:val="FC7FDA7B"/>
    <w:rsid w:val="FCBF7540"/>
    <w:rsid w:val="FCD3EDBB"/>
    <w:rsid w:val="FCDA9516"/>
    <w:rsid w:val="FCDD120C"/>
    <w:rsid w:val="FCDD36B1"/>
    <w:rsid w:val="FCDF5403"/>
    <w:rsid w:val="FCEAA8C7"/>
    <w:rsid w:val="FCED4E79"/>
    <w:rsid w:val="FCEF5364"/>
    <w:rsid w:val="FCEFD976"/>
    <w:rsid w:val="FCF66698"/>
    <w:rsid w:val="FCFD8AA7"/>
    <w:rsid w:val="FCFF2AB0"/>
    <w:rsid w:val="FCFF57F2"/>
    <w:rsid w:val="FD1F621F"/>
    <w:rsid w:val="FD26D8F5"/>
    <w:rsid w:val="FD2B7B76"/>
    <w:rsid w:val="FD5D66D7"/>
    <w:rsid w:val="FD67647F"/>
    <w:rsid w:val="FD6FF7D9"/>
    <w:rsid w:val="FD77825E"/>
    <w:rsid w:val="FD7F3B00"/>
    <w:rsid w:val="FD7F63CE"/>
    <w:rsid w:val="FD7F7CD1"/>
    <w:rsid w:val="FD7F95B5"/>
    <w:rsid w:val="FD857CF4"/>
    <w:rsid w:val="FD9AC060"/>
    <w:rsid w:val="FD9F2762"/>
    <w:rsid w:val="FD9FFA39"/>
    <w:rsid w:val="FDAE3423"/>
    <w:rsid w:val="FDB773A3"/>
    <w:rsid w:val="FDB77A08"/>
    <w:rsid w:val="FDB7A512"/>
    <w:rsid w:val="FDB7B633"/>
    <w:rsid w:val="FDBC12F5"/>
    <w:rsid w:val="FDBD3629"/>
    <w:rsid w:val="FDBD86A0"/>
    <w:rsid w:val="FDBF70E4"/>
    <w:rsid w:val="FDCE3F09"/>
    <w:rsid w:val="FDD5E156"/>
    <w:rsid w:val="FDDBA897"/>
    <w:rsid w:val="FDDC1FC9"/>
    <w:rsid w:val="FDDC3E47"/>
    <w:rsid w:val="FDDD5383"/>
    <w:rsid w:val="FDDDC615"/>
    <w:rsid w:val="FDE707DF"/>
    <w:rsid w:val="FDEBEC7F"/>
    <w:rsid w:val="FDEE7417"/>
    <w:rsid w:val="FDF47E18"/>
    <w:rsid w:val="FDF6EAEB"/>
    <w:rsid w:val="FDF70055"/>
    <w:rsid w:val="FDF7291B"/>
    <w:rsid w:val="FDF771AF"/>
    <w:rsid w:val="FDF78FC0"/>
    <w:rsid w:val="FDF962F9"/>
    <w:rsid w:val="FDFB1A55"/>
    <w:rsid w:val="FDFD308D"/>
    <w:rsid w:val="FDFF2205"/>
    <w:rsid w:val="FDFFE00F"/>
    <w:rsid w:val="FDFFE097"/>
    <w:rsid w:val="FE1D31B6"/>
    <w:rsid w:val="FE3F448C"/>
    <w:rsid w:val="FE560BCD"/>
    <w:rsid w:val="FE5635F3"/>
    <w:rsid w:val="FE5F0C68"/>
    <w:rsid w:val="FE5F5187"/>
    <w:rsid w:val="FE7703C6"/>
    <w:rsid w:val="FE771796"/>
    <w:rsid w:val="FE7D3ED4"/>
    <w:rsid w:val="FE7E02CD"/>
    <w:rsid w:val="FE7E3823"/>
    <w:rsid w:val="FE7FFD49"/>
    <w:rsid w:val="FE9F7EB8"/>
    <w:rsid w:val="FEB5A76D"/>
    <w:rsid w:val="FEC39F8D"/>
    <w:rsid w:val="FECD0DF6"/>
    <w:rsid w:val="FEDE0DA5"/>
    <w:rsid w:val="FEDE4421"/>
    <w:rsid w:val="FEDFFBB0"/>
    <w:rsid w:val="FEE3B27A"/>
    <w:rsid w:val="FEE58EA5"/>
    <w:rsid w:val="FEED25F1"/>
    <w:rsid w:val="FEED2F9C"/>
    <w:rsid w:val="FEEF824D"/>
    <w:rsid w:val="FEF7B854"/>
    <w:rsid w:val="FEF7FCC4"/>
    <w:rsid w:val="FEFC7E03"/>
    <w:rsid w:val="FEFDB842"/>
    <w:rsid w:val="FEFE7EF4"/>
    <w:rsid w:val="FEFF31FC"/>
    <w:rsid w:val="FEFF49C7"/>
    <w:rsid w:val="FEFF52AC"/>
    <w:rsid w:val="FEFFBAB9"/>
    <w:rsid w:val="FEFFC2B8"/>
    <w:rsid w:val="FF130693"/>
    <w:rsid w:val="FF1BEEBD"/>
    <w:rsid w:val="FF1EDC80"/>
    <w:rsid w:val="FF26B918"/>
    <w:rsid w:val="FF2D6ED3"/>
    <w:rsid w:val="FF32D183"/>
    <w:rsid w:val="FF3C3ADE"/>
    <w:rsid w:val="FF3D6A39"/>
    <w:rsid w:val="FF3EF80B"/>
    <w:rsid w:val="FF3F1129"/>
    <w:rsid w:val="FF3FF55E"/>
    <w:rsid w:val="FF438CFE"/>
    <w:rsid w:val="FF49330C"/>
    <w:rsid w:val="FF521FF8"/>
    <w:rsid w:val="FF5AB476"/>
    <w:rsid w:val="FF5F1805"/>
    <w:rsid w:val="FF5F3F6F"/>
    <w:rsid w:val="FF5F48EC"/>
    <w:rsid w:val="FF619C13"/>
    <w:rsid w:val="FF62D1EC"/>
    <w:rsid w:val="FF67DE3E"/>
    <w:rsid w:val="FF6913B7"/>
    <w:rsid w:val="FF6AAB01"/>
    <w:rsid w:val="FF6BEAE9"/>
    <w:rsid w:val="FF6FDCFB"/>
    <w:rsid w:val="FF73B3AC"/>
    <w:rsid w:val="FF758D94"/>
    <w:rsid w:val="FF76A315"/>
    <w:rsid w:val="FF7700AB"/>
    <w:rsid w:val="FF7721C0"/>
    <w:rsid w:val="FF778958"/>
    <w:rsid w:val="FF7B0831"/>
    <w:rsid w:val="FF7BC78C"/>
    <w:rsid w:val="FF7E06C6"/>
    <w:rsid w:val="FF7F5349"/>
    <w:rsid w:val="FF7F9F04"/>
    <w:rsid w:val="FF867EE5"/>
    <w:rsid w:val="FF8FC6EC"/>
    <w:rsid w:val="FF9798D0"/>
    <w:rsid w:val="FF9FCAD3"/>
    <w:rsid w:val="FFA629A6"/>
    <w:rsid w:val="FFA76D41"/>
    <w:rsid w:val="FFAAFD0F"/>
    <w:rsid w:val="FFAF3C83"/>
    <w:rsid w:val="FFB28458"/>
    <w:rsid w:val="FFB42E63"/>
    <w:rsid w:val="FFB6CB4A"/>
    <w:rsid w:val="FFB7F637"/>
    <w:rsid w:val="FFB9D6ED"/>
    <w:rsid w:val="FFBC5357"/>
    <w:rsid w:val="FFBC6ED7"/>
    <w:rsid w:val="FFBD0779"/>
    <w:rsid w:val="FFBD40E6"/>
    <w:rsid w:val="FFBEA2F9"/>
    <w:rsid w:val="FFBF1461"/>
    <w:rsid w:val="FFBF3862"/>
    <w:rsid w:val="FFBFB1B1"/>
    <w:rsid w:val="FFBFD564"/>
    <w:rsid w:val="FFBFDCF6"/>
    <w:rsid w:val="FFC7EB2D"/>
    <w:rsid w:val="FFCB053B"/>
    <w:rsid w:val="FFCD3C8B"/>
    <w:rsid w:val="FFCDD062"/>
    <w:rsid w:val="FFCE6B0B"/>
    <w:rsid w:val="FFCF22B0"/>
    <w:rsid w:val="FFCF4ABC"/>
    <w:rsid w:val="FFCF6118"/>
    <w:rsid w:val="FFCFEEC8"/>
    <w:rsid w:val="FFD32D3C"/>
    <w:rsid w:val="FFD3D6B6"/>
    <w:rsid w:val="FFD77A81"/>
    <w:rsid w:val="FFDBD627"/>
    <w:rsid w:val="FFDD4043"/>
    <w:rsid w:val="FFDDC1DD"/>
    <w:rsid w:val="FFDE7AA0"/>
    <w:rsid w:val="FFDF6E0E"/>
    <w:rsid w:val="FFDFB31B"/>
    <w:rsid w:val="FFDFC932"/>
    <w:rsid w:val="FFE1A067"/>
    <w:rsid w:val="FFE2F0F3"/>
    <w:rsid w:val="FFE30D38"/>
    <w:rsid w:val="FFE6180F"/>
    <w:rsid w:val="FFE6A8D9"/>
    <w:rsid w:val="FFE75944"/>
    <w:rsid w:val="FFE769FE"/>
    <w:rsid w:val="FFEADCA9"/>
    <w:rsid w:val="FFEB5E4B"/>
    <w:rsid w:val="FFEBAA1F"/>
    <w:rsid w:val="FFED06A3"/>
    <w:rsid w:val="FFED82B7"/>
    <w:rsid w:val="FFEDD1AD"/>
    <w:rsid w:val="FFEE0CA8"/>
    <w:rsid w:val="FFEEB36D"/>
    <w:rsid w:val="FFEEEC70"/>
    <w:rsid w:val="FFEEF9F2"/>
    <w:rsid w:val="FFEF264A"/>
    <w:rsid w:val="FFEF2B7F"/>
    <w:rsid w:val="FFEF48BD"/>
    <w:rsid w:val="FFEFB043"/>
    <w:rsid w:val="FFEFD1FB"/>
    <w:rsid w:val="FFEFF522"/>
    <w:rsid w:val="FFF154BB"/>
    <w:rsid w:val="FFF28D77"/>
    <w:rsid w:val="FFF51B3B"/>
    <w:rsid w:val="FFF54094"/>
    <w:rsid w:val="FFF5EA56"/>
    <w:rsid w:val="FFF7109D"/>
    <w:rsid w:val="FFF71F1E"/>
    <w:rsid w:val="FFF753A2"/>
    <w:rsid w:val="FFF76152"/>
    <w:rsid w:val="FFF78508"/>
    <w:rsid w:val="FFF7F1C8"/>
    <w:rsid w:val="FFF94F6D"/>
    <w:rsid w:val="FFF97638"/>
    <w:rsid w:val="FFF987A9"/>
    <w:rsid w:val="FFFA0558"/>
    <w:rsid w:val="FFFB0279"/>
    <w:rsid w:val="FFFBD5D2"/>
    <w:rsid w:val="FFFBE0E0"/>
    <w:rsid w:val="FFFD909F"/>
    <w:rsid w:val="FFFDEC00"/>
    <w:rsid w:val="FFFE48C9"/>
    <w:rsid w:val="FFFEA232"/>
    <w:rsid w:val="FFFEABA9"/>
    <w:rsid w:val="FFFF1183"/>
    <w:rsid w:val="FFFF1857"/>
    <w:rsid w:val="FFFF1DE2"/>
    <w:rsid w:val="FFFF2EE2"/>
    <w:rsid w:val="FFFF4735"/>
    <w:rsid w:val="FFFF47F4"/>
    <w:rsid w:val="FFFF6A82"/>
    <w:rsid w:val="FFFF8C3C"/>
    <w:rsid w:val="FFFFA574"/>
    <w:rsid w:val="FFFFB13F"/>
    <w:rsid w:val="FFFFB21E"/>
    <w:rsid w:val="FFFFB49A"/>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lang w:val="en-US" w:eastAsia="zh-CN" w:bidi="ar-SA"/>
    </w:rPr>
  </w:style>
  <w:style w:type="paragraph" w:styleId="2">
    <w:name w:val="heading 1"/>
    <w:basedOn w:val="1"/>
    <w:next w:val="1"/>
    <w:qFormat/>
    <w:uiPriority w:val="0"/>
    <w:pPr>
      <w:keepNext/>
      <w:keepLines/>
      <w:numPr>
        <w:ilvl w:val="0"/>
        <w:numId w:val="1"/>
      </w:numPr>
      <w:spacing w:before="50" w:beforeLines="50" w:after="50" w:afterLines="50" w:line="360" w:lineRule="auto"/>
      <w:outlineLvl w:val="0"/>
    </w:pPr>
    <w:rPr>
      <w:rFonts w:eastAsia="黑体"/>
      <w:b/>
      <w:kern w:val="44"/>
      <w:sz w:val="32"/>
    </w:rPr>
  </w:style>
  <w:style w:type="paragraph" w:styleId="3">
    <w:name w:val="heading 2"/>
    <w:basedOn w:val="1"/>
    <w:next w:val="1"/>
    <w:link w:val="81"/>
    <w:qFormat/>
    <w:uiPriority w:val="99"/>
    <w:pPr>
      <w:keepNext/>
      <w:keepLines/>
      <w:numPr>
        <w:ilvl w:val="1"/>
        <w:numId w:val="1"/>
      </w:numPr>
      <w:spacing w:before="50" w:beforeLines="50" w:after="50" w:afterLines="50" w:line="360" w:lineRule="auto"/>
      <w:ind w:left="181" w:firstLine="170"/>
      <w:outlineLvl w:val="1"/>
    </w:pPr>
    <w:rPr>
      <w:rFonts w:eastAsia="黑体"/>
      <w:b/>
      <w:sz w:val="30"/>
    </w:rPr>
  </w:style>
  <w:style w:type="paragraph" w:styleId="4">
    <w:name w:val="heading 3"/>
    <w:basedOn w:val="1"/>
    <w:next w:val="5"/>
    <w:link w:val="80"/>
    <w:qFormat/>
    <w:uiPriority w:val="0"/>
    <w:pPr>
      <w:keepNext/>
      <w:keepLines/>
      <w:numPr>
        <w:ilvl w:val="2"/>
        <w:numId w:val="1"/>
      </w:numPr>
      <w:spacing w:before="50" w:beforeLines="50" w:after="50" w:afterLines="50" w:line="360" w:lineRule="auto"/>
      <w:ind w:left="238" w:firstLine="79"/>
      <w:outlineLvl w:val="2"/>
    </w:pPr>
    <w:rPr>
      <w:rFonts w:ascii="Times New Roman" w:hAnsi="Times New Roman" w:eastAsia="黑体"/>
      <w:b/>
      <w:sz w:val="28"/>
    </w:rPr>
  </w:style>
  <w:style w:type="paragraph" w:styleId="6">
    <w:name w:val="heading 4"/>
    <w:basedOn w:val="1"/>
    <w:next w:val="1"/>
    <w:qFormat/>
    <w:uiPriority w:val="0"/>
    <w:pPr>
      <w:keepNext/>
      <w:keepLines/>
      <w:numPr>
        <w:ilvl w:val="3"/>
        <w:numId w:val="1"/>
      </w:numPr>
      <w:spacing w:before="156" w:beforeLines="50" w:after="156" w:afterLines="50" w:line="360" w:lineRule="auto"/>
      <w:ind w:left="311" w:firstLine="97"/>
      <w:outlineLvl w:val="3"/>
    </w:pPr>
    <w:rPr>
      <w:rFonts w:ascii="Arial" w:hAnsi="Arial" w:eastAsia="黑体"/>
      <w:sz w:val="24"/>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8"/>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39"/>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qFormat/>
    <w:uiPriority w:val="0"/>
  </w:style>
  <w:style w:type="table" w:default="1" w:styleId="3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2"/>
    <w:unhideWhenUsed/>
    <w:qFormat/>
    <w:uiPriority w:val="99"/>
    <w:pPr>
      <w:spacing w:after="120"/>
    </w:pPr>
    <w:rPr>
      <w:rFonts w:eastAsia="宋体"/>
      <w:sz w:val="18"/>
    </w:r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40"/>
    <w:unhideWhenUsed/>
    <w:qFormat/>
    <w:uiPriority w:val="0"/>
    <w:pPr>
      <w:spacing w:line="360" w:lineRule="auto"/>
      <w:jc w:val="left"/>
    </w:pPr>
  </w:style>
  <w:style w:type="paragraph" w:styleId="16">
    <w:name w:val="Body Text 3"/>
    <w:basedOn w:val="1"/>
    <w:link w:val="41"/>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ind w:left="840" w:leftChars="400"/>
    </w:pPr>
  </w:style>
  <w:style w:type="paragraph" w:styleId="20">
    <w:name w:val="Plain Text"/>
    <w:basedOn w:val="1"/>
    <w:link w:val="43"/>
    <w:qFormat/>
    <w:uiPriority w:val="0"/>
    <w:rPr>
      <w:rFonts w:ascii="宋体" w:hAnsi="Courier New"/>
      <w:kern w:val="2"/>
      <w:sz w:val="21"/>
      <w:szCs w:val="21"/>
    </w:rPr>
  </w:style>
  <w:style w:type="paragraph" w:styleId="21">
    <w:name w:val="Balloon Text"/>
    <w:basedOn w:val="1"/>
    <w:link w:val="44"/>
    <w:unhideWhenUsed/>
    <w:qFormat/>
    <w:uiPriority w:val="99"/>
    <w:rPr>
      <w:sz w:val="18"/>
      <w:szCs w:val="18"/>
    </w:rPr>
  </w:style>
  <w:style w:type="paragraph" w:styleId="22">
    <w:name w:val="footer"/>
    <w:basedOn w:val="1"/>
    <w:link w:val="45"/>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4"/>
    <w:qFormat/>
    <w:uiPriority w:val="39"/>
  </w:style>
  <w:style w:type="paragraph" w:styleId="25">
    <w:name w:val="List"/>
    <w:basedOn w:val="1"/>
    <w:link w:val="73"/>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29">
    <w:name w:val="Title"/>
    <w:basedOn w:val="1"/>
    <w:next w:val="1"/>
    <w:link w:val="46"/>
    <w:qFormat/>
    <w:uiPriority w:val="0"/>
    <w:pPr>
      <w:keepNext/>
      <w:wordWrap w:val="0"/>
      <w:jc w:val="center"/>
    </w:pPr>
    <w:rPr>
      <w:b/>
      <w:kern w:val="0"/>
      <w:sz w:val="36"/>
    </w:rPr>
  </w:style>
  <w:style w:type="paragraph" w:styleId="30">
    <w:name w:val="Body Text First Indent"/>
    <w:basedOn w:val="5"/>
    <w:link w:val="47"/>
    <w:unhideWhenUsed/>
    <w:qFormat/>
    <w:uiPriority w:val="99"/>
    <w:pPr>
      <w:ind w:firstLine="420" w:firstLineChars="100"/>
    </w:pPr>
  </w:style>
  <w:style w:type="table" w:styleId="32">
    <w:name w:val="Table Grid"/>
    <w:basedOn w:val="31"/>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FollowedHyperlink"/>
    <w:basedOn w:val="33"/>
    <w:semiHidden/>
    <w:unhideWhenUsed/>
    <w:qFormat/>
    <w:uiPriority w:val="99"/>
    <w:rPr>
      <w:color w:val="800080"/>
      <w:u w:val="single"/>
    </w:rPr>
  </w:style>
  <w:style w:type="character" w:styleId="37">
    <w:name w:val="Hyperlink"/>
    <w:qFormat/>
    <w:uiPriority w:val="99"/>
    <w:rPr>
      <w:color w:val="0000FF"/>
      <w:u w:val="single"/>
    </w:rPr>
  </w:style>
  <w:style w:type="character" w:customStyle="1" w:styleId="38">
    <w:name w:val="标题 6 Char"/>
    <w:link w:val="8"/>
    <w:qFormat/>
    <w:uiPriority w:val="0"/>
    <w:rPr>
      <w:rFonts w:ascii="Arial" w:hAnsi="Arial" w:eastAsia="黑体"/>
      <w:b/>
      <w:kern w:val="2"/>
      <w:sz w:val="24"/>
    </w:rPr>
  </w:style>
  <w:style w:type="character" w:customStyle="1" w:styleId="39">
    <w:name w:val="标题 8 Char"/>
    <w:link w:val="10"/>
    <w:qFormat/>
    <w:uiPriority w:val="0"/>
    <w:rPr>
      <w:rFonts w:ascii="Cambria" w:hAnsi="Cambria" w:eastAsia="宋体" w:cs="Times New Roman"/>
      <w:kern w:val="2"/>
      <w:sz w:val="24"/>
      <w:szCs w:val="24"/>
    </w:rPr>
  </w:style>
  <w:style w:type="character" w:customStyle="1" w:styleId="40">
    <w:name w:val="批注文字 Char"/>
    <w:link w:val="15"/>
    <w:semiHidden/>
    <w:qFormat/>
    <w:uiPriority w:val="0"/>
    <w:rPr>
      <w:kern w:val="2"/>
      <w:sz w:val="21"/>
    </w:rPr>
  </w:style>
  <w:style w:type="character" w:customStyle="1" w:styleId="41">
    <w:name w:val="正文文本 3 Char"/>
    <w:link w:val="16"/>
    <w:qFormat/>
    <w:uiPriority w:val="0"/>
    <w:rPr>
      <w:rFonts w:ascii="黑体" w:eastAsia="黑体"/>
      <w:kern w:val="2"/>
      <w:sz w:val="24"/>
      <w:szCs w:val="24"/>
    </w:rPr>
  </w:style>
  <w:style w:type="character" w:customStyle="1" w:styleId="42">
    <w:name w:val="正文文本 Char"/>
    <w:link w:val="5"/>
    <w:semiHidden/>
    <w:qFormat/>
    <w:uiPriority w:val="99"/>
    <w:rPr>
      <w:rFonts w:eastAsia="宋体"/>
      <w:kern w:val="2"/>
      <w:sz w:val="18"/>
    </w:rPr>
  </w:style>
  <w:style w:type="character" w:customStyle="1" w:styleId="43">
    <w:name w:val="纯文本 Char"/>
    <w:link w:val="20"/>
    <w:qFormat/>
    <w:uiPriority w:val="0"/>
    <w:rPr>
      <w:rFonts w:ascii="宋体" w:hAnsi="Courier New"/>
      <w:kern w:val="2"/>
      <w:sz w:val="21"/>
      <w:szCs w:val="21"/>
    </w:rPr>
  </w:style>
  <w:style w:type="character" w:customStyle="1" w:styleId="44">
    <w:name w:val="批注框文本 Char"/>
    <w:link w:val="21"/>
    <w:semiHidden/>
    <w:qFormat/>
    <w:uiPriority w:val="99"/>
    <w:rPr>
      <w:kern w:val="2"/>
      <w:sz w:val="18"/>
      <w:szCs w:val="18"/>
    </w:rPr>
  </w:style>
  <w:style w:type="character" w:customStyle="1" w:styleId="45">
    <w:name w:val="页脚 Char"/>
    <w:link w:val="22"/>
    <w:qFormat/>
    <w:uiPriority w:val="99"/>
    <w:rPr>
      <w:kern w:val="2"/>
      <w:sz w:val="18"/>
    </w:rPr>
  </w:style>
  <w:style w:type="character" w:customStyle="1" w:styleId="46">
    <w:name w:val="标题 Char"/>
    <w:link w:val="29"/>
    <w:qFormat/>
    <w:uiPriority w:val="0"/>
    <w:rPr>
      <w:b/>
      <w:sz w:val="36"/>
    </w:rPr>
  </w:style>
  <w:style w:type="character" w:customStyle="1" w:styleId="47">
    <w:name w:val="正文首行缩进 Char"/>
    <w:basedOn w:val="42"/>
    <w:link w:val="30"/>
    <w:semiHidden/>
    <w:qFormat/>
    <w:uiPriority w:val="99"/>
  </w:style>
  <w:style w:type="paragraph" w:customStyle="1" w:styleId="48">
    <w:name w:val="正文（首行缩进）"/>
    <w:basedOn w:val="1"/>
    <w:qFormat/>
    <w:uiPriority w:val="0"/>
    <w:pPr>
      <w:widowControl/>
      <w:ind w:firstLine="480" w:firstLineChars="200"/>
    </w:pPr>
    <w:rPr>
      <w:rFonts w:ascii="Calibri" w:hAnsi="Calibri"/>
      <w:szCs w:val="21"/>
    </w:rPr>
  </w:style>
  <w:style w:type="character" w:customStyle="1" w:styleId="49">
    <w:name w:val="bluewrite"/>
    <w:qFormat/>
    <w:uiPriority w:val="0"/>
    <w:rPr>
      <w:rFonts w:eastAsia="宋体"/>
      <w:i/>
      <w:color w:val="3366FF"/>
      <w:sz w:val="21"/>
    </w:rPr>
  </w:style>
  <w:style w:type="character" w:customStyle="1" w:styleId="50">
    <w:name w:val="纯文本 Char Char"/>
    <w:qFormat/>
    <w:uiPriority w:val="0"/>
    <w:rPr>
      <w:rFonts w:ascii="宋体" w:hAnsi="Courier New" w:cs="Courier New"/>
      <w:kern w:val="2"/>
      <w:sz w:val="21"/>
      <w:szCs w:val="21"/>
    </w:rPr>
  </w:style>
  <w:style w:type="paragraph" w:customStyle="1" w:styleId="51">
    <w:name w:val="Tabletext"/>
    <w:basedOn w:val="1"/>
    <w:qFormat/>
    <w:uiPriority w:val="0"/>
    <w:pPr>
      <w:keepLines/>
      <w:wordWrap w:val="0"/>
      <w:spacing w:after="120" w:line="400" w:lineRule="atLeast"/>
      <w:ind w:left="1701"/>
      <w:jc w:val="left"/>
    </w:pPr>
    <w:rPr>
      <w:kern w:val="0"/>
      <w:sz w:val="24"/>
    </w:rPr>
  </w:style>
  <w:style w:type="paragraph" w:customStyle="1" w:styleId="52">
    <w:name w:val="正文2"/>
    <w:basedOn w:val="1"/>
    <w:qFormat/>
    <w:uiPriority w:val="0"/>
    <w:pPr>
      <w:spacing w:line="360" w:lineRule="auto"/>
      <w:ind w:firstLine="480"/>
    </w:pPr>
    <w:rPr>
      <w:rFonts w:ascii="宋体" w:hAnsi="宋体"/>
      <w:sz w:val="24"/>
      <w:szCs w:val="24"/>
    </w:rPr>
  </w:style>
  <w:style w:type="paragraph" w:customStyle="1" w:styleId="53">
    <w:name w:val="List Paragraph1"/>
    <w:basedOn w:val="1"/>
    <w:qFormat/>
    <w:uiPriority w:val="0"/>
    <w:pPr>
      <w:ind w:firstLine="420" w:firstLineChars="200"/>
    </w:pPr>
    <w:rPr>
      <w:rFonts w:ascii="Calibri" w:hAnsi="Calibri"/>
      <w:szCs w:val="22"/>
    </w:rPr>
  </w:style>
  <w:style w:type="paragraph" w:customStyle="1" w:styleId="54">
    <w:name w:val="样式2"/>
    <w:basedOn w:val="3"/>
    <w:qFormat/>
    <w:uiPriority w:val="0"/>
    <w:pPr>
      <w:spacing w:before="240"/>
      <w:ind w:left="0" w:firstLine="0"/>
      <w:jc w:val="left"/>
    </w:pPr>
    <w:rPr>
      <w:color w:val="auto"/>
    </w:rPr>
  </w:style>
  <w:style w:type="paragraph" w:customStyle="1" w:styleId="55">
    <w:name w:val="页眉_现状分析报告"/>
    <w:basedOn w:val="23"/>
    <w:qFormat/>
    <w:uiPriority w:val="0"/>
    <w:pPr>
      <w:ind w:firstLine="0"/>
      <w:jc w:val="center"/>
    </w:pPr>
    <w:rPr>
      <w:rFonts w:hAnsi="宋体"/>
    </w:rPr>
  </w:style>
  <w:style w:type="paragraph" w:customStyle="1" w:styleId="56">
    <w:name w:val="表中序列_现状分析报告"/>
    <w:basedOn w:val="12"/>
    <w:qFormat/>
    <w:uiPriority w:val="0"/>
    <w:pPr>
      <w:numPr>
        <w:ilvl w:val="0"/>
        <w:numId w:val="2"/>
      </w:numPr>
    </w:pPr>
  </w:style>
  <w:style w:type="paragraph" w:customStyle="1" w:styleId="57">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8">
    <w:name w:val="List Paragraph"/>
    <w:basedOn w:val="1"/>
    <w:qFormat/>
    <w:uiPriority w:val="0"/>
    <w:pPr>
      <w:ind w:firstLine="420" w:firstLineChars="200"/>
    </w:pPr>
  </w:style>
  <w:style w:type="paragraph" w:customStyle="1" w:styleId="59">
    <w:name w:val="正文_现状分析报告"/>
    <w:basedOn w:val="1"/>
    <w:qFormat/>
    <w:uiPriority w:val="0"/>
    <w:pPr>
      <w:ind w:firstLine="567"/>
    </w:pPr>
    <w:rPr>
      <w:rFonts w:eastAsia="宋体"/>
      <w:kern w:val="2"/>
      <w:sz w:val="28"/>
      <w:lang w:val="en-US" w:eastAsia="zh-CN"/>
    </w:rPr>
  </w:style>
  <w:style w:type="paragraph" w:customStyle="1" w:styleId="60">
    <w:name w:val="手册正文"/>
    <w:qFormat/>
    <w:uiPriority w:val="0"/>
    <w:pPr>
      <w:spacing w:line="500" w:lineRule="exact"/>
      <w:ind w:firstLine="200" w:firstLineChars="200"/>
    </w:pPr>
    <w:rPr>
      <w:rFonts w:ascii="Arial" w:hAnsi="Arial" w:eastAsia="宋体" w:cs="Times New Roman"/>
      <w:sz w:val="24"/>
    </w:rPr>
  </w:style>
  <w:style w:type="paragraph" w:customStyle="1" w:styleId="61">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2">
    <w:name w:val="样式3"/>
    <w:basedOn w:val="54"/>
    <w:qFormat/>
    <w:uiPriority w:val="0"/>
    <w:pPr>
      <w:numPr>
        <w:ilvl w:val="2"/>
        <w:numId w:val="3"/>
      </w:numPr>
      <w:pBdr>
        <w:bottom w:val="none" w:color="auto" w:sz="0" w:space="0"/>
      </w:pBdr>
      <w:ind w:left="803" w:hanging="803"/>
      <w:outlineLvl w:val="2"/>
    </w:pPr>
    <w:rPr>
      <w:color w:val="632423"/>
      <w:sz w:val="28"/>
    </w:rPr>
  </w:style>
  <w:style w:type="paragraph" w:customStyle="1" w:styleId="63">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4">
    <w:name w:val="zw"/>
    <w:basedOn w:val="1"/>
    <w:qFormat/>
    <w:uiPriority w:val="0"/>
    <w:pPr>
      <w:spacing w:line="360" w:lineRule="auto"/>
      <w:ind w:firstLine="420"/>
      <w:jc w:val="left"/>
    </w:pPr>
    <w:rPr>
      <w:sz w:val="24"/>
      <w:szCs w:val="24"/>
    </w:rPr>
  </w:style>
  <w:style w:type="paragraph" w:customStyle="1" w:styleId="65">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6">
    <w:name w:val=" Char Char Char Char Char Char"/>
    <w:basedOn w:val="1"/>
    <w:qFormat/>
    <w:uiPriority w:val="0"/>
    <w:rPr>
      <w:rFonts w:ascii="Tahoma" w:hAnsi="Tahoma"/>
      <w:sz w:val="24"/>
    </w:rPr>
  </w:style>
  <w:style w:type="paragraph" w:customStyle="1" w:styleId="67">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8">
    <w:name w:val="列出段落1"/>
    <w:basedOn w:val="1"/>
    <w:qFormat/>
    <w:uiPriority w:val="0"/>
    <w:pPr>
      <w:spacing w:line="360" w:lineRule="auto"/>
      <w:ind w:left="720"/>
    </w:pPr>
  </w:style>
  <w:style w:type="paragraph" w:customStyle="1" w:styleId="69">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70">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1">
    <w:name w:val="正文缩进1"/>
    <w:basedOn w:val="1"/>
    <w:qFormat/>
    <w:uiPriority w:val="0"/>
    <w:pPr>
      <w:ind w:firstLine="420"/>
    </w:pPr>
    <w:rPr>
      <w:rFonts w:ascii="宋体" w:hAnsi="宋体" w:eastAsia="宋体"/>
    </w:rPr>
  </w:style>
  <w:style w:type="paragraph" w:customStyle="1" w:styleId="72">
    <w:name w:val="表格"/>
    <w:basedOn w:val="20"/>
    <w:next w:val="1"/>
    <w:qFormat/>
    <w:uiPriority w:val="0"/>
    <w:pPr>
      <w:spacing w:line="240" w:lineRule="auto"/>
      <w:ind w:firstLine="0" w:firstLineChars="0"/>
    </w:pPr>
    <w:rPr>
      <w:rFonts w:hint="eastAsia" w:hAnsi="宋体"/>
      <w:sz w:val="24"/>
    </w:rPr>
  </w:style>
  <w:style w:type="character" w:customStyle="1" w:styleId="73">
    <w:name w:val="列表 Char"/>
    <w:link w:val="25"/>
    <w:qFormat/>
    <w:uiPriority w:val="0"/>
  </w:style>
  <w:style w:type="character" w:customStyle="1" w:styleId="74">
    <w:name w:val="目录 1 Char"/>
    <w:link w:val="24"/>
    <w:qFormat/>
    <w:uiPriority w:val="39"/>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rPr>
      <w:rFonts w:ascii="Arial" w:hAnsi="Arial" w:eastAsia="Arial" w:cs="Arial"/>
      <w:sz w:val="21"/>
      <w:szCs w:val="21"/>
      <w:lang w:val="en-US" w:eastAsia="en-US" w:bidi="ar-SA"/>
    </w:rPr>
  </w:style>
  <w:style w:type="paragraph" w:customStyle="1" w:styleId="77">
    <w:name w:val="First Paragraph"/>
    <w:basedOn w:val="5"/>
    <w:next w:val="5"/>
    <w:qFormat/>
    <w:uiPriority w:val="0"/>
  </w:style>
  <w:style w:type="paragraph" w:customStyle="1" w:styleId="78">
    <w:name w:val="Compact"/>
    <w:basedOn w:val="5"/>
    <w:qFormat/>
    <w:uiPriority w:val="0"/>
    <w:pPr>
      <w:spacing w:before="36" w:after="36"/>
    </w:pPr>
  </w:style>
  <w:style w:type="table" w:customStyle="1" w:styleId="7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0">
    <w:name w:val="标题 3 Char"/>
    <w:link w:val="4"/>
    <w:qFormat/>
    <w:uiPriority w:val="0"/>
    <w:rPr>
      <w:rFonts w:ascii="Times New Roman" w:hAnsi="Times New Roman" w:eastAsia="黑体"/>
      <w:b/>
      <w:sz w:val="28"/>
    </w:rPr>
  </w:style>
  <w:style w:type="character" w:customStyle="1" w:styleId="81">
    <w:name w:val="标题 2 Char"/>
    <w:link w:val="3"/>
    <w:qFormat/>
    <w:uiPriority w:val="99"/>
    <w:rPr>
      <w:rFonts w:eastAsia="黑体"/>
      <w:b/>
      <w:sz w:val="30"/>
    </w:rPr>
  </w:style>
  <w:style w:type="character" w:customStyle="1" w:styleId="82">
    <w:name w:val="font01"/>
    <w:basedOn w:val="33"/>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8" Type="http://schemas.openxmlformats.org/officeDocument/2006/relationships/fontTable" Target="fontTable.xml"/><Relationship Id="rId77" Type="http://schemas.openxmlformats.org/officeDocument/2006/relationships/customXml" Target="../customXml/item2.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footer" Target="footer3.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svg"/><Relationship Id="rId64" Type="http://schemas.openxmlformats.org/officeDocument/2006/relationships/image" Target="media/image57.png"/><Relationship Id="rId63" Type="http://schemas.openxmlformats.org/officeDocument/2006/relationships/image" Target="media/image56.svg"/><Relationship Id="rId62" Type="http://schemas.openxmlformats.org/officeDocument/2006/relationships/image" Target="media/image55.png"/><Relationship Id="rId61" Type="http://schemas.openxmlformats.org/officeDocument/2006/relationships/image" Target="media/image54.sv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svg"/><Relationship Id="rId58" Type="http://schemas.openxmlformats.org/officeDocument/2006/relationships/image" Target="media/image51.png"/><Relationship Id="rId57" Type="http://schemas.openxmlformats.org/officeDocument/2006/relationships/image" Target="media/image50.svg"/><Relationship Id="rId56" Type="http://schemas.openxmlformats.org/officeDocument/2006/relationships/image" Target="media/image49.png"/><Relationship Id="rId55" Type="http://schemas.openxmlformats.org/officeDocument/2006/relationships/image" Target="media/image48.svg"/><Relationship Id="rId54" Type="http://schemas.openxmlformats.org/officeDocument/2006/relationships/image" Target="media/image47.png"/><Relationship Id="rId53" Type="http://schemas.openxmlformats.org/officeDocument/2006/relationships/image" Target="media/image46.svg"/><Relationship Id="rId52" Type="http://schemas.openxmlformats.org/officeDocument/2006/relationships/image" Target="media/image45.png"/><Relationship Id="rId51" Type="http://schemas.openxmlformats.org/officeDocument/2006/relationships/image" Target="media/image44.sv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svg"/><Relationship Id="rId48" Type="http://schemas.openxmlformats.org/officeDocument/2006/relationships/image" Target="media/image41.png"/><Relationship Id="rId47" Type="http://schemas.openxmlformats.org/officeDocument/2006/relationships/image" Target="media/image40.svg"/><Relationship Id="rId46" Type="http://schemas.openxmlformats.org/officeDocument/2006/relationships/image" Target="media/image39.png"/><Relationship Id="rId45" Type="http://schemas.openxmlformats.org/officeDocument/2006/relationships/image" Target="media/image38.svg"/><Relationship Id="rId44" Type="http://schemas.openxmlformats.org/officeDocument/2006/relationships/image" Target="media/image37.png"/><Relationship Id="rId43" Type="http://schemas.openxmlformats.org/officeDocument/2006/relationships/image" Target="media/image36.svg"/><Relationship Id="rId42" Type="http://schemas.openxmlformats.org/officeDocument/2006/relationships/image" Target="media/image35.png"/><Relationship Id="rId41" Type="http://schemas.openxmlformats.org/officeDocument/2006/relationships/image" Target="media/image34.svg"/><Relationship Id="rId40" Type="http://schemas.openxmlformats.org/officeDocument/2006/relationships/image" Target="media/image33.png"/><Relationship Id="rId4" Type="http://schemas.openxmlformats.org/officeDocument/2006/relationships/header" Target="header2.xml"/><Relationship Id="rId39" Type="http://schemas.openxmlformats.org/officeDocument/2006/relationships/image" Target="media/image32.svg"/><Relationship Id="rId38" Type="http://schemas.openxmlformats.org/officeDocument/2006/relationships/image" Target="media/image31.png"/><Relationship Id="rId37" Type="http://schemas.openxmlformats.org/officeDocument/2006/relationships/image" Target="media/image30.svg"/><Relationship Id="rId36" Type="http://schemas.openxmlformats.org/officeDocument/2006/relationships/image" Target="media/image29.png"/><Relationship Id="rId35" Type="http://schemas.openxmlformats.org/officeDocument/2006/relationships/image" Target="media/image28.svg"/><Relationship Id="rId34" Type="http://schemas.openxmlformats.org/officeDocument/2006/relationships/image" Target="media/image27.png"/><Relationship Id="rId33" Type="http://schemas.openxmlformats.org/officeDocument/2006/relationships/image" Target="media/image26.svg"/><Relationship Id="rId32" Type="http://schemas.openxmlformats.org/officeDocument/2006/relationships/image" Target="media/image25.png"/><Relationship Id="rId31" Type="http://schemas.openxmlformats.org/officeDocument/2006/relationships/image" Target="media/image24.sv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svg"/><Relationship Id="rId28" Type="http://schemas.openxmlformats.org/officeDocument/2006/relationships/image" Target="media/image21.png"/><Relationship Id="rId27" Type="http://schemas.openxmlformats.org/officeDocument/2006/relationships/image" Target="media/image20.svg"/><Relationship Id="rId26" Type="http://schemas.openxmlformats.org/officeDocument/2006/relationships/image" Target="media/image19.png"/><Relationship Id="rId25" Type="http://schemas.openxmlformats.org/officeDocument/2006/relationships/image" Target="media/image18.svg"/><Relationship Id="rId24" Type="http://schemas.openxmlformats.org/officeDocument/2006/relationships/image" Target="media/image17.png"/><Relationship Id="rId23" Type="http://schemas.openxmlformats.org/officeDocument/2006/relationships/image" Target="media/image16.svg"/><Relationship Id="rId22" Type="http://schemas.openxmlformats.org/officeDocument/2006/relationships/image" Target="media/image15.png"/><Relationship Id="rId21" Type="http://schemas.openxmlformats.org/officeDocument/2006/relationships/image" Target="media/image14.sv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188</Pages>
  <Words>636</Words>
  <Characters>965</Characters>
  <Lines>345</Lines>
  <Paragraphs>97</Paragraphs>
  <TotalTime>1</TotalTime>
  <ScaleCrop>false</ScaleCrop>
  <LinksUpToDate>false</LinksUpToDate>
  <CharactersWithSpaces>1077</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2011-06-20T14:57:00Z</dcterms:created>
  <dc:creator>fancl</dc:creator>
  <cp:lastModifiedBy>郭子豪</cp:lastModifiedBy>
  <dcterms:modified xsi:type="dcterms:W3CDTF">2026-09-21T17:32:46Z</dcterms:modified>
  <dc:subject>SCOS智能化应用场景与技术蓝图</dc:subject>
  <dc:title>SCOS中粮太仓项目蓝图方案v0.2-业务蓝图初稿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7C9514D1B85F2A7C5147A26AB07C8B55_43</vt:lpwstr>
  </property>
  <property fmtid="{D5CDD505-2E9C-101B-9397-08002B2CF9AE}" pid="4" name="KSOTemplateDocerSaveRecord">
    <vt:lpwstr>eyJoZGlkIjoiNzcxOGEyODQxMjJkNGJmODkyMWU4ZTM0MmY3MmE1ZmYiLCJ1c2VySWQiOiIyNjE0OTkxMzkifQ==</vt:lpwstr>
  </property>
</Properties>
</file>