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16B49F3A">
      <w:pPr>
        <w:pStyle w:val="24"/>
        <w:tabs>
          <w:tab w:val="right" w:leader="dot" w:pos="8312"/>
        </w:tabs>
      </w:pPr>
      <w:bookmarkStart w:id="63" w:name="_GoBack"/>
      <w:bookmarkEnd w:id="63"/>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_Toc539698484 </w:instrText>
      </w:r>
      <w:r>
        <w:rPr>
          <w:rFonts w:hint="eastAsia" w:ascii="宋体" w:hAnsi="宋体"/>
        </w:rPr>
        <w:fldChar w:fldCharType="separate"/>
      </w:r>
      <w:r>
        <w:rPr>
          <w:rFonts w:hint="eastAsia" w:ascii="黑体" w:hAnsi="黑体" w:eastAsia="黑体" w:cs="黑体"/>
          <w:bCs w:val="0"/>
          <w:lang w:val="en-US" w:eastAsia="zh-CN"/>
        </w:rPr>
        <w:t xml:space="preserve">一、 </w:t>
      </w:r>
      <w:r>
        <w:rPr>
          <w:rFonts w:hint="eastAsia" w:ascii="黑体" w:hAnsi="黑体" w:eastAsia="黑体" w:cs="黑体"/>
          <w:bCs w:val="0"/>
          <w:kern w:val="2"/>
          <w:lang w:val="en-US" w:eastAsia="zh-CN" w:bidi="ar-SA"/>
        </w:rPr>
        <w:t>前言</w:t>
      </w:r>
      <w:r>
        <w:tab/>
      </w:r>
      <w:r>
        <w:fldChar w:fldCharType="begin"/>
      </w:r>
      <w:r>
        <w:instrText xml:space="preserve"> PAGEREF _Toc539698484 \h </w:instrText>
      </w:r>
      <w:r>
        <w:fldChar w:fldCharType="separate"/>
      </w:r>
      <w:r>
        <w:t>4</w:t>
      </w:r>
      <w:r>
        <w:fldChar w:fldCharType="end"/>
      </w:r>
      <w:r>
        <w:rPr>
          <w:rFonts w:hint="eastAsia" w:ascii="宋体" w:hAnsi="宋体"/>
        </w:rPr>
        <w:fldChar w:fldCharType="end"/>
      </w:r>
    </w:p>
    <w:p w14:paraId="73ED8968">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_Toc1888979307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二、 SCOS业务蓝图交付物</w:t>
      </w:r>
      <w:r>
        <w:tab/>
      </w:r>
      <w:r>
        <w:fldChar w:fldCharType="begin"/>
      </w:r>
      <w:r>
        <w:instrText xml:space="preserve"> PAGEREF _Toc1888979307 \h </w:instrText>
      </w:r>
      <w:r>
        <w:fldChar w:fldCharType="separate"/>
      </w:r>
      <w:r>
        <w:t>5</w:t>
      </w:r>
      <w:r>
        <w:fldChar w:fldCharType="end"/>
      </w:r>
      <w:r>
        <w:rPr>
          <w:rFonts w:hint="eastAsia" w:ascii="宋体" w:hAnsi="宋体" w:eastAsia="宋体"/>
          <w:kern w:val="2"/>
          <w:lang w:val="en-US" w:eastAsia="zh-CN" w:bidi="ar-SA"/>
        </w:rPr>
        <w:fldChar w:fldCharType="end"/>
      </w:r>
    </w:p>
    <w:p w14:paraId="46D80D9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_Toc1824459148 </w:instrText>
      </w:r>
      <w:r>
        <w:rPr>
          <w:rFonts w:hint="eastAsia" w:ascii="宋体" w:hAnsi="宋体" w:eastAsia="宋体"/>
          <w:kern w:val="2"/>
          <w:lang w:val="en-US" w:eastAsia="zh-CN" w:bidi="ar-SA"/>
        </w:rPr>
        <w:fldChar w:fldCharType="separate"/>
      </w:r>
      <w:r>
        <w:rPr>
          <w:rFonts w:hint="eastAsia" w:ascii="黑体" w:hAnsi="黑体" w:eastAsia="黑体" w:cs="黑体"/>
          <w:bCs w:val="0"/>
          <w:szCs w:val="30"/>
        </w:rPr>
        <w:t xml:space="preserve">2.1 </w:t>
      </w:r>
      <w:r>
        <w:rPr>
          <w:rFonts w:hint="eastAsia" w:ascii="黑体" w:hAnsi="黑体" w:eastAsia="黑体" w:cs="黑体"/>
          <w:bCs w:val="0"/>
          <w:szCs w:val="30"/>
          <w:lang w:val="en-US" w:eastAsia="zh-CN"/>
        </w:rPr>
        <w:t>SCOS业务流程总览</w:t>
      </w:r>
      <w:r>
        <w:tab/>
      </w:r>
      <w:r>
        <w:fldChar w:fldCharType="begin"/>
      </w:r>
      <w:r>
        <w:instrText xml:space="preserve"> PAGEREF _Toc1824459148 \h </w:instrText>
      </w:r>
      <w:r>
        <w:fldChar w:fldCharType="separate"/>
      </w:r>
      <w:r>
        <w:t>5</w:t>
      </w:r>
      <w:r>
        <w:fldChar w:fldCharType="end"/>
      </w:r>
      <w:r>
        <w:rPr>
          <w:rFonts w:hint="eastAsia" w:ascii="宋体" w:hAnsi="宋体" w:eastAsia="宋体"/>
          <w:kern w:val="2"/>
          <w:lang w:val="en-US" w:eastAsia="zh-CN" w:bidi="ar-SA"/>
        </w:rPr>
        <w:fldChar w:fldCharType="end"/>
      </w:r>
    </w:p>
    <w:p w14:paraId="7348572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_Toc1913388570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2.2 </w:t>
      </w:r>
      <w:r>
        <w:rPr>
          <w:rFonts w:hint="eastAsia" w:ascii="黑体" w:hAnsi="黑体" w:eastAsia="黑体" w:cs="黑体"/>
          <w:bCs w:val="0"/>
          <w:lang w:val="en-US" w:eastAsia="zh-CN"/>
        </w:rPr>
        <w:t>关键业务流程说明</w:t>
      </w:r>
      <w:r>
        <w:tab/>
      </w:r>
      <w:r>
        <w:fldChar w:fldCharType="begin"/>
      </w:r>
      <w:r>
        <w:instrText xml:space="preserve"> PAGEREF _Toc1913388570 \h </w:instrText>
      </w:r>
      <w:r>
        <w:fldChar w:fldCharType="separate"/>
      </w:r>
      <w:r>
        <w:t>7</w:t>
      </w:r>
      <w:r>
        <w:fldChar w:fldCharType="end"/>
      </w:r>
      <w:r>
        <w:rPr>
          <w:rFonts w:hint="eastAsia" w:ascii="宋体" w:hAnsi="宋体" w:eastAsia="宋体"/>
          <w:kern w:val="2"/>
          <w:lang w:val="en-US" w:eastAsia="zh-CN" w:bidi="ar-SA"/>
        </w:rPr>
        <w:fldChar w:fldCharType="end"/>
      </w:r>
    </w:p>
    <w:p w14:paraId="16B04ED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_Toc1901565812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rPr>
        <w:t xml:space="preserve">2.2.1 </w:t>
      </w:r>
      <w:r>
        <w:rPr>
          <w:rFonts w:hint="eastAsia" w:ascii="黑体" w:hAnsi="黑体" w:eastAsia="黑体" w:cs="黑体"/>
          <w:bCs w:val="0"/>
          <w:lang w:val="en-US" w:eastAsia="zh-CN"/>
        </w:rPr>
        <w:t>库存优化</w:t>
      </w:r>
      <w:r>
        <w:tab/>
      </w:r>
      <w:r>
        <w:fldChar w:fldCharType="begin"/>
      </w:r>
      <w:r>
        <w:instrText xml:space="preserve"> PAGEREF _Toc1901565812 \h </w:instrText>
      </w:r>
      <w:r>
        <w:fldChar w:fldCharType="separate"/>
      </w:r>
      <w:r>
        <w:t>7</w:t>
      </w:r>
      <w:r>
        <w:fldChar w:fldCharType="end"/>
      </w:r>
      <w:r>
        <w:rPr>
          <w:rFonts w:hint="eastAsia" w:ascii="宋体" w:hAnsi="宋体" w:eastAsia="宋体"/>
          <w:kern w:val="2"/>
          <w:lang w:val="en-US" w:eastAsia="zh-CN" w:bidi="ar-SA"/>
        </w:rPr>
        <w:fldChar w:fldCharType="end"/>
      </w:r>
    </w:p>
    <w:p w14:paraId="31961D8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_Toc764967630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2.2.2 采购优化</w:t>
      </w:r>
      <w:r>
        <w:tab/>
      </w:r>
      <w:r>
        <w:fldChar w:fldCharType="begin"/>
      </w:r>
      <w:r>
        <w:instrText xml:space="preserve"> PAGEREF _Toc764967630 \h </w:instrText>
      </w:r>
      <w:r>
        <w:fldChar w:fldCharType="separate"/>
      </w:r>
      <w:r>
        <w:t>17</w:t>
      </w:r>
      <w:r>
        <w:fldChar w:fldCharType="end"/>
      </w:r>
      <w:r>
        <w:rPr>
          <w:rFonts w:hint="eastAsia" w:ascii="宋体" w:hAnsi="宋体" w:eastAsia="宋体"/>
          <w:kern w:val="2"/>
          <w:lang w:val="en-US" w:eastAsia="zh-CN" w:bidi="ar-SA"/>
        </w:rPr>
        <w:fldChar w:fldCharType="end"/>
      </w:r>
    </w:p>
    <w:p w14:paraId="116F810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_Toc1973846468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2.2.3 要货计划</w:t>
      </w:r>
      <w:r>
        <w:tab/>
      </w:r>
      <w:r>
        <w:fldChar w:fldCharType="begin"/>
      </w:r>
      <w:r>
        <w:instrText xml:space="preserve"> PAGEREF _Toc1973846468 \h </w:instrText>
      </w:r>
      <w:r>
        <w:fldChar w:fldCharType="separate"/>
      </w:r>
      <w:r>
        <w:t>24</w:t>
      </w:r>
      <w:r>
        <w:fldChar w:fldCharType="end"/>
      </w:r>
      <w:r>
        <w:rPr>
          <w:rFonts w:hint="eastAsia" w:ascii="宋体" w:hAnsi="宋体" w:eastAsia="宋体"/>
          <w:kern w:val="2"/>
          <w:lang w:val="en-US" w:eastAsia="zh-CN" w:bidi="ar-SA"/>
        </w:rPr>
        <w:fldChar w:fldCharType="end"/>
      </w:r>
    </w:p>
    <w:p w14:paraId="09EFE14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_Toc110208820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2.2.4 驾驶舱</w:t>
      </w:r>
      <w:r>
        <w:tab/>
      </w:r>
      <w:r>
        <w:fldChar w:fldCharType="begin"/>
      </w:r>
      <w:r>
        <w:instrText xml:space="preserve"> PAGEREF _Toc110208820 \h </w:instrText>
      </w:r>
      <w:r>
        <w:fldChar w:fldCharType="separate"/>
      </w:r>
      <w:r>
        <w:t>34</w:t>
      </w:r>
      <w:r>
        <w:fldChar w:fldCharType="end"/>
      </w:r>
      <w:r>
        <w:rPr>
          <w:rFonts w:hint="eastAsia" w:ascii="宋体" w:hAnsi="宋体" w:eastAsia="宋体"/>
          <w:kern w:val="2"/>
          <w:lang w:val="en-US" w:eastAsia="zh-CN" w:bidi="ar-SA"/>
        </w:rPr>
        <w:fldChar w:fldCharType="end"/>
      </w:r>
    </w:p>
    <w:p w14:paraId="38CFBCC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_Toc1148734026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2.2.5 成本分摊</w:t>
      </w:r>
      <w:r>
        <w:tab/>
      </w:r>
      <w:r>
        <w:fldChar w:fldCharType="begin"/>
      </w:r>
      <w:r>
        <w:instrText xml:space="preserve"> PAGEREF _Toc1148734026 \h </w:instrText>
      </w:r>
      <w:r>
        <w:fldChar w:fldCharType="separate"/>
      </w:r>
      <w:r>
        <w:t>47</w:t>
      </w:r>
      <w:r>
        <w:fldChar w:fldCharType="end"/>
      </w:r>
      <w:r>
        <w:rPr>
          <w:rFonts w:hint="eastAsia" w:ascii="宋体" w:hAnsi="宋体" w:eastAsia="宋体"/>
          <w:kern w:val="2"/>
          <w:lang w:val="en-US" w:eastAsia="zh-CN" w:bidi="ar-SA"/>
        </w:rPr>
        <w:fldChar w:fldCharType="end"/>
      </w:r>
    </w:p>
    <w:p w14:paraId="6F77A3D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_Toc894788452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2.2.6 </w:t>
      </w:r>
      <w:r>
        <w:rPr>
          <w:rFonts w:hint="eastAsia" w:ascii="黑体" w:hAnsi="黑体" w:eastAsia="黑体" w:cs="黑体"/>
          <w:bCs w:val="0"/>
          <w:highlight w:val="none"/>
        </w:rPr>
        <w:t>系统边界与分工</w:t>
      </w:r>
      <w:r>
        <w:tab/>
      </w:r>
      <w:r>
        <w:fldChar w:fldCharType="begin"/>
      </w:r>
      <w:r>
        <w:instrText xml:space="preserve"> PAGEREF _Toc894788452 \h </w:instrText>
      </w:r>
      <w:r>
        <w:fldChar w:fldCharType="separate"/>
      </w:r>
      <w:r>
        <w:t>61</w:t>
      </w:r>
      <w:r>
        <w:fldChar w:fldCharType="end"/>
      </w:r>
      <w:r>
        <w:rPr>
          <w:rFonts w:hint="eastAsia" w:ascii="宋体" w:hAnsi="宋体" w:eastAsia="宋体"/>
          <w:kern w:val="2"/>
          <w:lang w:val="en-US" w:eastAsia="zh-CN" w:bidi="ar-SA"/>
        </w:rPr>
        <w:fldChar w:fldCharType="end"/>
      </w:r>
    </w:p>
    <w:p w14:paraId="7AA1781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_Toc2029016470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2.3 功能架构</w:t>
      </w:r>
      <w:r>
        <w:tab/>
      </w:r>
      <w:r>
        <w:fldChar w:fldCharType="begin"/>
      </w:r>
      <w:r>
        <w:instrText xml:space="preserve"> PAGEREF _Toc2029016470 \h </w:instrText>
      </w:r>
      <w:r>
        <w:fldChar w:fldCharType="separate"/>
      </w:r>
      <w:r>
        <w:t>63</w:t>
      </w:r>
      <w:r>
        <w:fldChar w:fldCharType="end"/>
      </w:r>
      <w:r>
        <w:rPr>
          <w:rFonts w:hint="eastAsia" w:ascii="宋体" w:hAnsi="宋体" w:eastAsia="宋体"/>
          <w:kern w:val="2"/>
          <w:lang w:val="en-US" w:eastAsia="zh-CN" w:bidi="ar-SA"/>
        </w:rPr>
        <w:fldChar w:fldCharType="end"/>
      </w:r>
    </w:p>
    <w:p w14:paraId="144C556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_Toc1786980577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 SCOS角色权限矩阵</w:t>
      </w:r>
      <w:r>
        <w:tab/>
      </w:r>
      <w:r>
        <w:fldChar w:fldCharType="begin"/>
      </w:r>
      <w:r>
        <w:instrText xml:space="preserve"> PAGEREF _Toc1786980577 \h </w:instrText>
      </w:r>
      <w:r>
        <w:fldChar w:fldCharType="separate"/>
      </w:r>
      <w:r>
        <w:t>64</w:t>
      </w:r>
      <w:r>
        <w:fldChar w:fldCharType="end"/>
      </w:r>
      <w:r>
        <w:rPr>
          <w:rFonts w:hint="eastAsia" w:ascii="宋体" w:hAnsi="宋体" w:eastAsia="宋体"/>
          <w:kern w:val="2"/>
          <w:lang w:val="en-US" w:eastAsia="zh-CN" w:bidi="ar-SA"/>
        </w:rPr>
        <w:fldChar w:fldCharType="end"/>
      </w:r>
    </w:p>
    <w:p w14:paraId="61B737D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_Toc1223754344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2.4.1 角色定义</w:t>
      </w:r>
      <w:r>
        <w:tab/>
      </w:r>
      <w:r>
        <w:fldChar w:fldCharType="begin"/>
      </w:r>
      <w:r>
        <w:instrText xml:space="preserve"> PAGEREF _Toc1223754344 \h </w:instrText>
      </w:r>
      <w:r>
        <w:fldChar w:fldCharType="separate"/>
      </w:r>
      <w:r>
        <w:t>64</w:t>
      </w:r>
      <w:r>
        <w:fldChar w:fldCharType="end"/>
      </w:r>
      <w:r>
        <w:rPr>
          <w:rFonts w:hint="eastAsia" w:ascii="宋体" w:hAnsi="宋体" w:eastAsia="宋体"/>
          <w:kern w:val="2"/>
          <w:lang w:val="en-US" w:eastAsia="zh-CN" w:bidi="ar-SA"/>
        </w:rPr>
        <w:fldChar w:fldCharType="end"/>
      </w:r>
    </w:p>
    <w:p w14:paraId="25249CE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_Toc1188372289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2.4.2 权限矩阵</w:t>
      </w:r>
      <w:r>
        <w:tab/>
      </w:r>
      <w:r>
        <w:fldChar w:fldCharType="begin"/>
      </w:r>
      <w:r>
        <w:instrText xml:space="preserve"> PAGEREF _Toc1188372289 \h </w:instrText>
      </w:r>
      <w:r>
        <w:fldChar w:fldCharType="separate"/>
      </w:r>
      <w:r>
        <w:t>65</w:t>
      </w:r>
      <w:r>
        <w:fldChar w:fldCharType="end"/>
      </w:r>
      <w:r>
        <w:rPr>
          <w:rFonts w:hint="eastAsia" w:ascii="宋体" w:hAnsi="宋体" w:eastAsia="宋体"/>
          <w:kern w:val="2"/>
          <w:lang w:val="en-US" w:eastAsia="zh-CN" w:bidi="ar-SA"/>
        </w:rPr>
        <w:fldChar w:fldCharType="end"/>
      </w:r>
    </w:p>
    <w:p w14:paraId="21FA305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_Toc1375144123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2.5 </w:t>
      </w:r>
      <w:r>
        <w:rPr>
          <w:rFonts w:hint="eastAsia" w:ascii="黑体" w:hAnsi="黑体" w:eastAsia="黑体" w:cs="黑体"/>
          <w:lang w:val="en-US" w:eastAsia="zh-CN"/>
        </w:rPr>
        <w:t>SCOS业务规则清单</w:t>
      </w:r>
      <w:r>
        <w:tab/>
      </w:r>
      <w:r>
        <w:fldChar w:fldCharType="begin"/>
      </w:r>
      <w:r>
        <w:instrText xml:space="preserve"> PAGEREF _Toc1375144123 \h </w:instrText>
      </w:r>
      <w:r>
        <w:fldChar w:fldCharType="separate"/>
      </w:r>
      <w:r>
        <w:t>68</w:t>
      </w:r>
      <w:r>
        <w:fldChar w:fldCharType="end"/>
      </w:r>
      <w:r>
        <w:rPr>
          <w:rFonts w:hint="eastAsia" w:ascii="宋体" w:hAnsi="宋体" w:eastAsia="宋体"/>
          <w:kern w:val="2"/>
          <w:lang w:val="en-US" w:eastAsia="zh-CN" w:bidi="ar-SA"/>
        </w:rPr>
        <w:fldChar w:fldCharType="end"/>
      </w:r>
    </w:p>
    <w:p w14:paraId="4689E44B">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_Toc828266247 </w:instrText>
      </w:r>
      <w:r>
        <w:rPr>
          <w:rFonts w:hint="eastAsia" w:ascii="宋体" w:hAnsi="宋体" w:eastAsia="宋体"/>
          <w:kern w:val="2"/>
          <w:lang w:val="en-US" w:eastAsia="zh-CN" w:bidi="ar-SA"/>
        </w:rPr>
        <w:fldChar w:fldCharType="separate"/>
      </w:r>
      <w:r>
        <w:rPr>
          <w:rFonts w:hint="eastAsia" w:ascii="黑体" w:hAnsi="黑体" w:eastAsia="黑体" w:cs="黑体"/>
        </w:rPr>
        <w:t>三、 SCOS智能化应用场景说明书</w:t>
      </w:r>
      <w:r>
        <w:tab/>
      </w:r>
      <w:r>
        <w:fldChar w:fldCharType="begin"/>
      </w:r>
      <w:r>
        <w:instrText xml:space="preserve"> PAGEREF _Toc828266247 \h </w:instrText>
      </w:r>
      <w:r>
        <w:fldChar w:fldCharType="separate"/>
      </w:r>
      <w:r>
        <w:t>112</w:t>
      </w:r>
      <w:r>
        <w:fldChar w:fldCharType="end"/>
      </w:r>
      <w:r>
        <w:rPr>
          <w:rFonts w:hint="eastAsia" w:ascii="宋体" w:hAnsi="宋体" w:eastAsia="宋体"/>
          <w:kern w:val="2"/>
          <w:lang w:val="en-US" w:eastAsia="zh-CN" w:bidi="ar-SA"/>
        </w:rPr>
        <w:fldChar w:fldCharType="end"/>
      </w:r>
    </w:p>
    <w:p w14:paraId="03B182B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_Toc681813475 </w:instrText>
      </w:r>
      <w:r>
        <w:rPr>
          <w:rFonts w:hint="eastAsia" w:ascii="宋体" w:hAnsi="宋体" w:eastAsia="宋体"/>
          <w:kern w:val="2"/>
          <w:lang w:val="en-US" w:eastAsia="zh-CN" w:bidi="ar-SA"/>
        </w:rPr>
        <w:fldChar w:fldCharType="separate"/>
      </w:r>
      <w:r>
        <w:rPr>
          <w:rFonts w:hint="eastAsia" w:ascii="黑体" w:hAnsi="黑体" w:eastAsia="黑体" w:cs="黑体"/>
        </w:rPr>
        <w:t>3.1 智能化场景总体说明</w:t>
      </w:r>
      <w:r>
        <w:tab/>
      </w:r>
      <w:r>
        <w:fldChar w:fldCharType="begin"/>
      </w:r>
      <w:r>
        <w:instrText xml:space="preserve"> PAGEREF _Toc681813475 \h </w:instrText>
      </w:r>
      <w:r>
        <w:fldChar w:fldCharType="separate"/>
      </w:r>
      <w:r>
        <w:t>112</w:t>
      </w:r>
      <w:r>
        <w:fldChar w:fldCharType="end"/>
      </w:r>
      <w:r>
        <w:rPr>
          <w:rFonts w:hint="eastAsia" w:ascii="宋体" w:hAnsi="宋体" w:eastAsia="宋体"/>
          <w:kern w:val="2"/>
          <w:lang w:val="en-US" w:eastAsia="zh-CN" w:bidi="ar-SA"/>
        </w:rPr>
        <w:fldChar w:fldCharType="end"/>
      </w:r>
    </w:p>
    <w:p w14:paraId="02DA296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_Toc266333933 </w:instrText>
      </w:r>
      <w:r>
        <w:rPr>
          <w:rFonts w:hint="eastAsia" w:ascii="宋体" w:hAnsi="宋体" w:eastAsia="宋体"/>
          <w:kern w:val="2"/>
          <w:lang w:val="en-US" w:eastAsia="zh-CN" w:bidi="ar-SA"/>
        </w:rPr>
        <w:fldChar w:fldCharType="separate"/>
      </w:r>
      <w:r>
        <w:rPr>
          <w:rFonts w:hint="eastAsia" w:ascii="黑体" w:hAnsi="黑体" w:eastAsia="黑体" w:cs="黑体"/>
        </w:rPr>
        <w:t>3.2 供应链驾驶舱态势监测与预警联动</w:t>
      </w:r>
      <w:r>
        <w:rPr>
          <w:rFonts w:hint="eastAsia" w:ascii="黑体" w:hAnsi="黑体" w:eastAsia="黑体" w:cs="黑体"/>
          <w:lang w:val="en-US" w:eastAsia="zh-CN"/>
        </w:rPr>
        <w:t>（F-ZLTC-SCOS-AIZNT-001）</w:t>
      </w:r>
      <w:r>
        <w:tab/>
      </w:r>
      <w:r>
        <w:fldChar w:fldCharType="begin"/>
      </w:r>
      <w:r>
        <w:instrText xml:space="preserve"> PAGEREF _Toc266333933 \h </w:instrText>
      </w:r>
      <w:r>
        <w:fldChar w:fldCharType="separate"/>
      </w:r>
      <w:r>
        <w:t>113</w:t>
      </w:r>
      <w:r>
        <w:fldChar w:fldCharType="end"/>
      </w:r>
      <w:r>
        <w:rPr>
          <w:rFonts w:hint="eastAsia" w:ascii="宋体" w:hAnsi="宋体" w:eastAsia="宋体"/>
          <w:kern w:val="2"/>
          <w:lang w:val="en-US" w:eastAsia="zh-CN" w:bidi="ar-SA"/>
        </w:rPr>
        <w:fldChar w:fldCharType="end"/>
      </w:r>
    </w:p>
    <w:p w14:paraId="44F68F6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_Toc918491583 </w:instrText>
      </w:r>
      <w:r>
        <w:rPr>
          <w:rFonts w:hint="eastAsia" w:ascii="宋体" w:hAnsi="宋体" w:eastAsia="宋体"/>
          <w:kern w:val="2"/>
          <w:lang w:val="en-US" w:eastAsia="zh-CN" w:bidi="ar-SA"/>
        </w:rPr>
        <w:fldChar w:fldCharType="separate"/>
      </w:r>
      <w:r>
        <w:rPr>
          <w:rFonts w:hint="eastAsia" w:ascii="黑体" w:hAnsi="黑体" w:eastAsia="黑体" w:cs="黑体"/>
        </w:rPr>
        <w:t>3.3 供应链沙盘推演</w:t>
      </w:r>
      <w:r>
        <w:rPr>
          <w:rFonts w:hint="eastAsia" w:ascii="黑体" w:hAnsi="黑体" w:eastAsia="黑体" w:cs="黑体"/>
          <w:lang w:val="en-US" w:eastAsia="zh-CN"/>
        </w:rPr>
        <w:t>（F-ZLTC-SCOS-AIZNT-002）</w:t>
      </w:r>
      <w:r>
        <w:tab/>
      </w:r>
      <w:r>
        <w:fldChar w:fldCharType="begin"/>
      </w:r>
      <w:r>
        <w:instrText xml:space="preserve"> PAGEREF _Toc918491583 \h </w:instrText>
      </w:r>
      <w:r>
        <w:fldChar w:fldCharType="separate"/>
      </w:r>
      <w:r>
        <w:t>114</w:t>
      </w:r>
      <w:r>
        <w:fldChar w:fldCharType="end"/>
      </w:r>
      <w:r>
        <w:rPr>
          <w:rFonts w:hint="eastAsia" w:ascii="宋体" w:hAnsi="宋体" w:eastAsia="宋体"/>
          <w:kern w:val="2"/>
          <w:lang w:val="en-US" w:eastAsia="zh-CN" w:bidi="ar-SA"/>
        </w:rPr>
        <w:fldChar w:fldCharType="end"/>
      </w:r>
    </w:p>
    <w:p w14:paraId="07BDD12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_Toc975580845 </w:instrText>
      </w:r>
      <w:r>
        <w:rPr>
          <w:rFonts w:hint="eastAsia" w:ascii="宋体" w:hAnsi="宋体" w:eastAsia="宋体"/>
          <w:kern w:val="2"/>
          <w:lang w:val="en-US" w:eastAsia="zh-CN" w:bidi="ar-SA"/>
        </w:rPr>
        <w:fldChar w:fldCharType="separate"/>
      </w:r>
      <w:r>
        <w:rPr>
          <w:rFonts w:hint="eastAsia" w:ascii="黑体" w:hAnsi="黑体" w:eastAsia="黑体" w:cs="黑体"/>
        </w:rPr>
        <w:t>3.4 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r>
        <w:tab/>
      </w:r>
      <w:r>
        <w:fldChar w:fldCharType="begin"/>
      </w:r>
      <w:r>
        <w:instrText xml:space="preserve"> PAGEREF _Toc975580845 \h </w:instrText>
      </w:r>
      <w:r>
        <w:fldChar w:fldCharType="separate"/>
      </w:r>
      <w:r>
        <w:t>115</w:t>
      </w:r>
      <w:r>
        <w:fldChar w:fldCharType="end"/>
      </w:r>
      <w:r>
        <w:rPr>
          <w:rFonts w:hint="eastAsia" w:ascii="宋体" w:hAnsi="宋体" w:eastAsia="宋体"/>
          <w:kern w:val="2"/>
          <w:lang w:val="en-US" w:eastAsia="zh-CN" w:bidi="ar-SA"/>
        </w:rPr>
        <w:fldChar w:fldCharType="end"/>
      </w:r>
    </w:p>
    <w:p w14:paraId="6417313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_Toc549617070 </w:instrText>
      </w:r>
      <w:r>
        <w:rPr>
          <w:rFonts w:hint="eastAsia" w:ascii="宋体" w:hAnsi="宋体" w:eastAsia="宋体"/>
          <w:kern w:val="2"/>
          <w:lang w:val="en-US" w:eastAsia="zh-CN" w:bidi="ar-SA"/>
        </w:rPr>
        <w:fldChar w:fldCharType="separate"/>
      </w:r>
      <w:r>
        <w:rPr>
          <w:rFonts w:hint="eastAsia" w:ascii="黑体" w:hAnsi="黑体" w:eastAsia="黑体" w:cs="黑体"/>
        </w:rPr>
        <w:t>3.5 精益生产排程与异常重排</w:t>
      </w:r>
      <w:r>
        <w:rPr>
          <w:rFonts w:hint="eastAsia" w:ascii="黑体" w:hAnsi="黑体" w:eastAsia="黑体" w:cs="黑体"/>
          <w:lang w:eastAsia="zh-CN"/>
        </w:rPr>
        <w:t>（</w:t>
      </w:r>
      <w:r>
        <w:rPr>
          <w:rFonts w:hint="eastAsia" w:ascii="黑体" w:hAnsi="黑体" w:eastAsia="黑体" w:cs="黑体"/>
          <w:lang w:val="en-US" w:eastAsia="zh-CN"/>
        </w:rPr>
        <w:t>参考精益排程部分</w:t>
      </w:r>
      <w:r>
        <w:rPr>
          <w:rFonts w:hint="eastAsia" w:ascii="黑体" w:hAnsi="黑体" w:eastAsia="黑体" w:cs="黑体"/>
          <w:lang w:eastAsia="zh-CN"/>
        </w:rPr>
        <w:t>）</w:t>
      </w:r>
      <w:r>
        <w:tab/>
      </w:r>
      <w:r>
        <w:fldChar w:fldCharType="begin"/>
      </w:r>
      <w:r>
        <w:instrText xml:space="preserve"> PAGEREF _Toc549617070 \h </w:instrText>
      </w:r>
      <w:r>
        <w:fldChar w:fldCharType="separate"/>
      </w:r>
      <w:r>
        <w:t>116</w:t>
      </w:r>
      <w:r>
        <w:fldChar w:fldCharType="end"/>
      </w:r>
      <w:r>
        <w:rPr>
          <w:rFonts w:hint="eastAsia" w:ascii="宋体" w:hAnsi="宋体" w:eastAsia="宋体"/>
          <w:kern w:val="2"/>
          <w:lang w:val="en-US" w:eastAsia="zh-CN" w:bidi="ar-SA"/>
        </w:rPr>
        <w:fldChar w:fldCharType="end"/>
      </w:r>
    </w:p>
    <w:p w14:paraId="4691F9B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_Toc1086929743 </w:instrText>
      </w:r>
      <w:r>
        <w:rPr>
          <w:rFonts w:hint="eastAsia" w:ascii="宋体" w:hAnsi="宋体" w:eastAsia="宋体"/>
          <w:kern w:val="2"/>
          <w:lang w:val="en-US" w:eastAsia="zh-CN" w:bidi="ar-SA"/>
        </w:rPr>
        <w:fldChar w:fldCharType="separate"/>
      </w:r>
      <w:r>
        <w:rPr>
          <w:rFonts w:hint="eastAsia" w:ascii="黑体" w:hAnsi="黑体" w:eastAsia="黑体" w:cs="黑体"/>
        </w:rPr>
        <w:t>3.6 原料采购决策优化</w:t>
      </w:r>
      <w:r>
        <w:rPr>
          <w:rFonts w:hint="eastAsia" w:ascii="黑体" w:hAnsi="黑体" w:eastAsia="黑体" w:cs="黑体"/>
          <w:lang w:val="en-US" w:eastAsia="zh-CN"/>
        </w:rPr>
        <w:t>（F-ZLTC-SCOS-AIZNT-005）</w:t>
      </w:r>
      <w:r>
        <w:tab/>
      </w:r>
      <w:r>
        <w:fldChar w:fldCharType="begin"/>
      </w:r>
      <w:r>
        <w:instrText xml:space="preserve"> PAGEREF _Toc1086929743 \h </w:instrText>
      </w:r>
      <w:r>
        <w:fldChar w:fldCharType="separate"/>
      </w:r>
      <w:r>
        <w:t>116</w:t>
      </w:r>
      <w:r>
        <w:fldChar w:fldCharType="end"/>
      </w:r>
      <w:r>
        <w:rPr>
          <w:rFonts w:hint="eastAsia" w:ascii="宋体" w:hAnsi="宋体" w:eastAsia="宋体"/>
          <w:kern w:val="2"/>
          <w:lang w:val="en-US" w:eastAsia="zh-CN" w:bidi="ar-SA"/>
        </w:rPr>
        <w:fldChar w:fldCharType="end"/>
      </w:r>
    </w:p>
    <w:p w14:paraId="630DFFA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_Toc1532289219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 xml:space="preserve">3.7 </w:t>
      </w:r>
      <w:r>
        <w:rPr>
          <w:rFonts w:hint="eastAsia" w:ascii="黑体" w:hAnsi="黑体" w:eastAsia="黑体" w:cs="黑体"/>
        </w:rPr>
        <w:t>原辅包要货决策优化（F-ZLTC-SCOS-AIZNT-00</w:t>
      </w:r>
      <w:r>
        <w:rPr>
          <w:rFonts w:hint="eastAsia" w:ascii="黑体" w:hAnsi="黑体" w:eastAsia="黑体" w:cs="黑体"/>
          <w:lang w:val="en-US" w:eastAsia="zh-CN"/>
        </w:rPr>
        <w:t>6</w:t>
      </w:r>
      <w:r>
        <w:rPr>
          <w:rFonts w:hint="eastAsia" w:ascii="黑体" w:hAnsi="黑体" w:eastAsia="黑体" w:cs="黑体"/>
        </w:rPr>
        <w:t>）</w:t>
      </w:r>
      <w:r>
        <w:tab/>
      </w:r>
      <w:r>
        <w:fldChar w:fldCharType="begin"/>
      </w:r>
      <w:r>
        <w:instrText xml:space="preserve"> PAGEREF _Toc1532289219 \h </w:instrText>
      </w:r>
      <w:r>
        <w:fldChar w:fldCharType="separate"/>
      </w:r>
      <w:r>
        <w:t>117</w:t>
      </w:r>
      <w:r>
        <w:fldChar w:fldCharType="end"/>
      </w:r>
      <w:r>
        <w:rPr>
          <w:rFonts w:hint="eastAsia" w:ascii="宋体" w:hAnsi="宋体" w:eastAsia="宋体"/>
          <w:kern w:val="2"/>
          <w:lang w:val="en-US" w:eastAsia="zh-CN" w:bidi="ar-SA"/>
        </w:rPr>
        <w:fldChar w:fldCharType="end"/>
      </w:r>
    </w:p>
    <w:p w14:paraId="2B733E8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_Toc561008909 </w:instrText>
      </w:r>
      <w:r>
        <w:rPr>
          <w:rFonts w:hint="eastAsia" w:ascii="宋体" w:hAnsi="宋体" w:eastAsia="宋体"/>
          <w:kern w:val="2"/>
          <w:lang w:val="en-US" w:eastAsia="zh-CN" w:bidi="ar-SA"/>
        </w:rPr>
        <w:fldChar w:fldCharType="separate"/>
      </w:r>
      <w:r>
        <w:rPr>
          <w:rFonts w:hint="eastAsia" w:ascii="黑体" w:hAnsi="黑体" w:eastAsia="黑体" w:cs="黑体"/>
        </w:rPr>
        <w:t>3.8 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r>
        <w:tab/>
      </w:r>
      <w:r>
        <w:fldChar w:fldCharType="begin"/>
      </w:r>
      <w:r>
        <w:instrText xml:space="preserve"> PAGEREF _Toc561008909 \h </w:instrText>
      </w:r>
      <w:r>
        <w:fldChar w:fldCharType="separate"/>
      </w:r>
      <w:r>
        <w:t>118</w:t>
      </w:r>
      <w:r>
        <w:fldChar w:fldCharType="end"/>
      </w:r>
      <w:r>
        <w:rPr>
          <w:rFonts w:hint="eastAsia" w:ascii="宋体" w:hAnsi="宋体" w:eastAsia="宋体"/>
          <w:kern w:val="2"/>
          <w:lang w:val="en-US" w:eastAsia="zh-CN" w:bidi="ar-SA"/>
        </w:rPr>
        <w:fldChar w:fldCharType="end"/>
      </w:r>
    </w:p>
    <w:p w14:paraId="109DD3B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_Toc1423523233 </w:instrText>
      </w:r>
      <w:r>
        <w:rPr>
          <w:rFonts w:hint="eastAsia" w:ascii="宋体" w:hAnsi="宋体" w:eastAsia="宋体"/>
          <w:kern w:val="2"/>
          <w:lang w:val="en-US" w:eastAsia="zh-CN" w:bidi="ar-SA"/>
        </w:rPr>
        <w:fldChar w:fldCharType="separate"/>
      </w:r>
      <w:r>
        <w:rPr>
          <w:rFonts w:hint="eastAsia" w:ascii="黑体" w:hAnsi="黑体" w:eastAsia="黑体" w:cs="黑体"/>
        </w:rPr>
        <w:t>3.9 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r>
        <w:tab/>
      </w:r>
      <w:r>
        <w:fldChar w:fldCharType="begin"/>
      </w:r>
      <w:r>
        <w:instrText xml:space="preserve"> PAGEREF _Toc1423523233 \h </w:instrText>
      </w:r>
      <w:r>
        <w:fldChar w:fldCharType="separate"/>
      </w:r>
      <w:r>
        <w:t>119</w:t>
      </w:r>
      <w:r>
        <w:fldChar w:fldCharType="end"/>
      </w:r>
      <w:r>
        <w:rPr>
          <w:rFonts w:hint="eastAsia" w:ascii="宋体" w:hAnsi="宋体" w:eastAsia="宋体"/>
          <w:kern w:val="2"/>
          <w:lang w:val="en-US" w:eastAsia="zh-CN" w:bidi="ar-SA"/>
        </w:rPr>
        <w:fldChar w:fldCharType="end"/>
      </w:r>
    </w:p>
    <w:p w14:paraId="17B06C24">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_Toc39665804 </w:instrText>
      </w:r>
      <w:r>
        <w:rPr>
          <w:rFonts w:hint="eastAsia" w:ascii="宋体" w:hAnsi="宋体" w:eastAsia="宋体"/>
          <w:kern w:val="2"/>
          <w:lang w:val="en-US" w:eastAsia="zh-CN" w:bidi="ar-SA"/>
        </w:rPr>
        <w:fldChar w:fldCharType="separate"/>
      </w:r>
      <w:r>
        <w:rPr>
          <w:rFonts w:hint="eastAsia" w:ascii="黑体" w:hAnsi="黑体" w:eastAsia="黑体" w:cs="黑体"/>
        </w:rPr>
        <w:t>四、 SCOS技术蓝图交付物</w:t>
      </w:r>
      <w:r>
        <w:tab/>
      </w:r>
      <w:r>
        <w:fldChar w:fldCharType="begin"/>
      </w:r>
      <w:r>
        <w:instrText xml:space="preserve"> PAGEREF _Toc39665804 \h </w:instrText>
      </w:r>
      <w:r>
        <w:fldChar w:fldCharType="separate"/>
      </w:r>
      <w:r>
        <w:t>119</w:t>
      </w:r>
      <w:r>
        <w:fldChar w:fldCharType="end"/>
      </w:r>
      <w:r>
        <w:rPr>
          <w:rFonts w:hint="eastAsia" w:ascii="宋体" w:hAnsi="宋体" w:eastAsia="宋体"/>
          <w:kern w:val="2"/>
          <w:lang w:val="en-US" w:eastAsia="zh-CN" w:bidi="ar-SA"/>
        </w:rPr>
        <w:fldChar w:fldCharType="end"/>
      </w:r>
    </w:p>
    <w:p w14:paraId="0291A78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_Toc943237258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4.1 </w:t>
      </w:r>
      <w:r>
        <w:rPr>
          <w:rFonts w:hint="eastAsia" w:ascii="黑体" w:hAnsi="黑体" w:eastAsia="黑体" w:cs="黑体"/>
          <w:bCs w:val="0"/>
          <w:lang w:val="en-US" w:eastAsia="zh-CN"/>
        </w:rPr>
        <w:t>SCOS</w:t>
      </w:r>
      <w:r>
        <w:rPr>
          <w:rFonts w:hint="eastAsia" w:ascii="黑体" w:hAnsi="黑体" w:eastAsia="黑体" w:cs="黑体"/>
          <w:bCs w:val="0"/>
        </w:rPr>
        <w:t>数据流架构图</w:t>
      </w:r>
      <w:r>
        <w:tab/>
      </w:r>
      <w:r>
        <w:fldChar w:fldCharType="begin"/>
      </w:r>
      <w:r>
        <w:instrText xml:space="preserve"> PAGEREF _Toc943237258 \h </w:instrText>
      </w:r>
      <w:r>
        <w:fldChar w:fldCharType="separate"/>
      </w:r>
      <w:r>
        <w:t>119</w:t>
      </w:r>
      <w:r>
        <w:fldChar w:fldCharType="end"/>
      </w:r>
      <w:r>
        <w:rPr>
          <w:rFonts w:hint="eastAsia" w:ascii="宋体" w:hAnsi="宋体" w:eastAsia="宋体"/>
          <w:kern w:val="2"/>
          <w:lang w:val="en-US" w:eastAsia="zh-CN" w:bidi="ar-SA"/>
        </w:rPr>
        <w:fldChar w:fldCharType="end"/>
      </w:r>
    </w:p>
    <w:p w14:paraId="0D22C56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_Toc264313052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4.2 </w:t>
      </w:r>
      <w:r>
        <w:rPr>
          <w:rFonts w:hint="eastAsia" w:ascii="黑体" w:hAnsi="黑体" w:eastAsia="黑体" w:cs="黑体"/>
          <w:lang w:val="en-US" w:eastAsia="zh-CN"/>
        </w:rPr>
        <w:t>SCOS</w:t>
      </w:r>
      <w:r>
        <w:rPr>
          <w:rFonts w:hint="eastAsia" w:ascii="黑体" w:hAnsi="黑体" w:eastAsia="黑体" w:cs="黑体"/>
        </w:rPr>
        <w:t>数据实体与字段映射表</w:t>
      </w:r>
      <w:r>
        <w:tab/>
      </w:r>
      <w:r>
        <w:fldChar w:fldCharType="begin"/>
      </w:r>
      <w:r>
        <w:instrText xml:space="preserve"> PAGEREF _Toc264313052 \h </w:instrText>
      </w:r>
      <w:r>
        <w:fldChar w:fldCharType="separate"/>
      </w:r>
      <w:r>
        <w:t>122</w:t>
      </w:r>
      <w:r>
        <w:fldChar w:fldCharType="end"/>
      </w:r>
      <w:r>
        <w:rPr>
          <w:rFonts w:hint="eastAsia" w:ascii="宋体" w:hAnsi="宋体" w:eastAsia="宋体"/>
          <w:kern w:val="2"/>
          <w:lang w:val="en-US" w:eastAsia="zh-CN" w:bidi="ar-SA"/>
        </w:rPr>
        <w:fldChar w:fldCharType="end"/>
      </w:r>
    </w:p>
    <w:p w14:paraId="57032F8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_Toc1313282968 </w:instrText>
      </w:r>
      <w:r>
        <w:rPr>
          <w:rFonts w:hint="eastAsia" w:ascii="宋体" w:hAnsi="宋体" w:eastAsia="宋体"/>
          <w:kern w:val="2"/>
          <w:lang w:val="en-US" w:eastAsia="zh-CN" w:bidi="ar-SA"/>
        </w:rPr>
        <w:fldChar w:fldCharType="separate"/>
      </w:r>
      <w:r>
        <w:rPr>
          <w:rFonts w:hint="eastAsia" w:ascii="黑体" w:hAnsi="黑体" w:eastAsia="黑体" w:cs="黑体"/>
        </w:rPr>
        <w:t>4.2.1 库存优化</w:t>
      </w:r>
      <w:r>
        <w:tab/>
      </w:r>
      <w:r>
        <w:fldChar w:fldCharType="begin"/>
      </w:r>
      <w:r>
        <w:instrText xml:space="preserve"> PAGEREF _Toc1313282968 \h </w:instrText>
      </w:r>
      <w:r>
        <w:fldChar w:fldCharType="separate"/>
      </w:r>
      <w:r>
        <w:t>122</w:t>
      </w:r>
      <w:r>
        <w:fldChar w:fldCharType="end"/>
      </w:r>
      <w:r>
        <w:rPr>
          <w:rFonts w:hint="eastAsia" w:ascii="宋体" w:hAnsi="宋体" w:eastAsia="宋体"/>
          <w:kern w:val="2"/>
          <w:lang w:val="en-US" w:eastAsia="zh-CN" w:bidi="ar-SA"/>
        </w:rPr>
        <w:fldChar w:fldCharType="end"/>
      </w:r>
    </w:p>
    <w:p w14:paraId="380FB76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_Toc509919310 </w:instrText>
      </w:r>
      <w:r>
        <w:rPr>
          <w:rFonts w:hint="eastAsia" w:ascii="宋体" w:hAnsi="宋体" w:eastAsia="宋体"/>
          <w:kern w:val="2"/>
          <w:lang w:val="en-US" w:eastAsia="zh-CN" w:bidi="ar-SA"/>
        </w:rPr>
        <w:fldChar w:fldCharType="separate"/>
      </w:r>
      <w:r>
        <w:rPr>
          <w:rFonts w:hint="eastAsia" w:ascii="黑体" w:hAnsi="黑体" w:eastAsia="黑体" w:cs="黑体"/>
        </w:rPr>
        <w:t>4.2.2 采购优化</w:t>
      </w:r>
      <w:r>
        <w:tab/>
      </w:r>
      <w:r>
        <w:fldChar w:fldCharType="begin"/>
      </w:r>
      <w:r>
        <w:instrText xml:space="preserve"> PAGEREF _Toc509919310 \h </w:instrText>
      </w:r>
      <w:r>
        <w:fldChar w:fldCharType="separate"/>
      </w:r>
      <w:r>
        <w:t>130</w:t>
      </w:r>
      <w:r>
        <w:fldChar w:fldCharType="end"/>
      </w:r>
      <w:r>
        <w:rPr>
          <w:rFonts w:hint="eastAsia" w:ascii="宋体" w:hAnsi="宋体" w:eastAsia="宋体"/>
          <w:kern w:val="2"/>
          <w:lang w:val="en-US" w:eastAsia="zh-CN" w:bidi="ar-SA"/>
        </w:rPr>
        <w:fldChar w:fldCharType="end"/>
      </w:r>
    </w:p>
    <w:p w14:paraId="2D99F00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_Toc1754091640 </w:instrText>
      </w:r>
      <w:r>
        <w:rPr>
          <w:rFonts w:hint="eastAsia" w:ascii="宋体" w:hAnsi="宋体" w:eastAsia="宋体"/>
          <w:kern w:val="2"/>
          <w:lang w:val="en-US" w:eastAsia="zh-CN" w:bidi="ar-SA"/>
        </w:rPr>
        <w:fldChar w:fldCharType="separate"/>
      </w:r>
      <w:r>
        <w:rPr>
          <w:rFonts w:hint="eastAsia" w:ascii="黑体" w:hAnsi="黑体" w:eastAsia="黑体" w:cs="黑体"/>
        </w:rPr>
        <w:t>4.2.3 要货计划</w:t>
      </w:r>
      <w:r>
        <w:tab/>
      </w:r>
      <w:r>
        <w:fldChar w:fldCharType="begin"/>
      </w:r>
      <w:r>
        <w:instrText xml:space="preserve"> PAGEREF _Toc1754091640 \h </w:instrText>
      </w:r>
      <w:r>
        <w:fldChar w:fldCharType="separate"/>
      </w:r>
      <w:r>
        <w:t>139</w:t>
      </w:r>
      <w:r>
        <w:fldChar w:fldCharType="end"/>
      </w:r>
      <w:r>
        <w:rPr>
          <w:rFonts w:hint="eastAsia" w:ascii="宋体" w:hAnsi="宋体" w:eastAsia="宋体"/>
          <w:kern w:val="2"/>
          <w:lang w:val="en-US" w:eastAsia="zh-CN" w:bidi="ar-SA"/>
        </w:rPr>
        <w:fldChar w:fldCharType="end"/>
      </w:r>
    </w:p>
    <w:p w14:paraId="53095A8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_Toc362687464 </w:instrText>
      </w:r>
      <w:r>
        <w:rPr>
          <w:rFonts w:hint="eastAsia" w:ascii="宋体" w:hAnsi="宋体" w:eastAsia="宋体"/>
          <w:kern w:val="2"/>
          <w:lang w:val="en-US" w:eastAsia="zh-CN" w:bidi="ar-SA"/>
        </w:rPr>
        <w:fldChar w:fldCharType="separate"/>
      </w:r>
      <w:r>
        <w:rPr>
          <w:rFonts w:hint="eastAsia" w:ascii="黑体" w:hAnsi="黑体" w:eastAsia="黑体" w:cs="黑体"/>
        </w:rPr>
        <w:t>4.2.4 成本分摊</w:t>
      </w:r>
      <w:r>
        <w:tab/>
      </w:r>
      <w:r>
        <w:fldChar w:fldCharType="begin"/>
      </w:r>
      <w:r>
        <w:instrText xml:space="preserve"> PAGEREF _Toc362687464 \h </w:instrText>
      </w:r>
      <w:r>
        <w:fldChar w:fldCharType="separate"/>
      </w:r>
      <w:r>
        <w:t>149</w:t>
      </w:r>
      <w:r>
        <w:fldChar w:fldCharType="end"/>
      </w:r>
      <w:r>
        <w:rPr>
          <w:rFonts w:hint="eastAsia" w:ascii="宋体" w:hAnsi="宋体" w:eastAsia="宋体"/>
          <w:kern w:val="2"/>
          <w:lang w:val="en-US" w:eastAsia="zh-CN" w:bidi="ar-SA"/>
        </w:rPr>
        <w:fldChar w:fldCharType="end"/>
      </w:r>
    </w:p>
    <w:p w14:paraId="5EE74D6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_Toc1129617262 </w:instrText>
      </w:r>
      <w:r>
        <w:rPr>
          <w:rFonts w:hint="eastAsia" w:ascii="宋体" w:hAnsi="宋体" w:eastAsia="宋体"/>
          <w:kern w:val="2"/>
          <w:lang w:val="en-US" w:eastAsia="zh-CN" w:bidi="ar-SA"/>
        </w:rPr>
        <w:fldChar w:fldCharType="separate"/>
      </w:r>
      <w:r>
        <w:rPr>
          <w:rFonts w:hint="eastAsia" w:ascii="黑体" w:hAnsi="黑体" w:eastAsia="黑体" w:cs="黑体"/>
        </w:rPr>
        <w:t>4.2.5 供应链驾驶舱</w:t>
      </w:r>
      <w:r>
        <w:tab/>
      </w:r>
      <w:r>
        <w:fldChar w:fldCharType="begin"/>
      </w:r>
      <w:r>
        <w:instrText xml:space="preserve"> PAGEREF _Toc1129617262 \h </w:instrText>
      </w:r>
      <w:r>
        <w:fldChar w:fldCharType="separate"/>
      </w:r>
      <w:r>
        <w:t>163</w:t>
      </w:r>
      <w:r>
        <w:fldChar w:fldCharType="end"/>
      </w:r>
      <w:r>
        <w:rPr>
          <w:rFonts w:hint="eastAsia" w:ascii="宋体" w:hAnsi="宋体" w:eastAsia="宋体"/>
          <w:kern w:val="2"/>
          <w:lang w:val="en-US" w:eastAsia="zh-CN" w:bidi="ar-SA"/>
        </w:rPr>
        <w:fldChar w:fldCharType="end"/>
      </w:r>
    </w:p>
    <w:p w14:paraId="44C8A1C3">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_Toc1721882954 </w:instrText>
      </w:r>
      <w:r>
        <w:rPr>
          <w:rFonts w:hint="eastAsia" w:ascii="宋体" w:hAnsi="宋体" w:eastAsia="宋体"/>
          <w:kern w:val="2"/>
          <w:lang w:val="en-US" w:eastAsia="zh-CN" w:bidi="ar-SA"/>
        </w:rPr>
        <w:fldChar w:fldCharType="separate"/>
      </w:r>
      <w:r>
        <w:rPr>
          <w:rFonts w:hint="eastAsia" w:ascii="黑体" w:hAnsi="黑体" w:eastAsia="黑体" w:cs="黑体"/>
        </w:rPr>
        <w:t>五、 SCOS集成接口规范</w:t>
      </w:r>
      <w:r>
        <w:tab/>
      </w:r>
      <w:r>
        <w:fldChar w:fldCharType="begin"/>
      </w:r>
      <w:r>
        <w:instrText xml:space="preserve"> PAGEREF _Toc1721882954 \h </w:instrText>
      </w:r>
      <w:r>
        <w:fldChar w:fldCharType="separate"/>
      </w:r>
      <w:r>
        <w:t>176</w:t>
      </w:r>
      <w:r>
        <w:fldChar w:fldCharType="end"/>
      </w:r>
      <w:r>
        <w:rPr>
          <w:rFonts w:hint="eastAsia" w:ascii="宋体" w:hAnsi="宋体" w:eastAsia="宋体"/>
          <w:kern w:val="2"/>
          <w:lang w:val="en-US" w:eastAsia="zh-CN" w:bidi="ar-SA"/>
        </w:rPr>
        <w:fldChar w:fldCharType="end"/>
      </w:r>
    </w:p>
    <w:p w14:paraId="1F3C665E">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_Toc197180906 </w:instrText>
      </w:r>
      <w:r>
        <w:rPr>
          <w:rFonts w:hint="eastAsia" w:ascii="宋体" w:hAnsi="宋体" w:eastAsia="宋体"/>
          <w:kern w:val="2"/>
          <w:lang w:val="en-US" w:eastAsia="zh-CN" w:bidi="ar-SA"/>
        </w:rPr>
        <w:fldChar w:fldCharType="separate"/>
      </w:r>
      <w:r>
        <w:rPr>
          <w:rFonts w:hint="eastAsia" w:ascii="黑体" w:hAnsi="黑体" w:eastAsia="黑体" w:cs="黑体"/>
        </w:rPr>
        <w:t>六、 SCOS业务场景-智能化覆盖率映射表</w:t>
      </w:r>
      <w:r>
        <w:tab/>
      </w:r>
      <w:r>
        <w:fldChar w:fldCharType="begin"/>
      </w:r>
      <w:r>
        <w:instrText xml:space="preserve"> PAGEREF _Toc197180906 \h </w:instrText>
      </w:r>
      <w:r>
        <w:fldChar w:fldCharType="separate"/>
      </w:r>
      <w:r>
        <w:t>179</w:t>
      </w:r>
      <w:r>
        <w:fldChar w:fldCharType="end"/>
      </w:r>
      <w:r>
        <w:rPr>
          <w:rFonts w:hint="eastAsia" w:ascii="宋体" w:hAnsi="宋体" w:eastAsia="宋体"/>
          <w:kern w:val="2"/>
          <w:lang w:val="en-US" w:eastAsia="zh-CN" w:bidi="ar-SA"/>
        </w:rPr>
        <w:fldChar w:fldCharType="end"/>
      </w:r>
    </w:p>
    <w:p w14:paraId="6C9BD34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_Toc452219821 </w:instrText>
      </w:r>
      <w:r>
        <w:rPr>
          <w:rFonts w:hint="eastAsia" w:ascii="宋体" w:hAnsi="宋体" w:eastAsia="宋体"/>
          <w:kern w:val="2"/>
          <w:lang w:val="en-US" w:eastAsia="zh-CN" w:bidi="ar-SA"/>
        </w:rPr>
        <w:fldChar w:fldCharType="separate"/>
      </w:r>
      <w:r>
        <w:rPr>
          <w:rFonts w:hint="eastAsia" w:ascii="黑体" w:hAnsi="黑体" w:eastAsia="黑体" w:cs="黑体"/>
        </w:rPr>
        <w:t>6.1 智能化场景清单</w:t>
      </w:r>
      <w:r>
        <w:tab/>
      </w:r>
      <w:r>
        <w:fldChar w:fldCharType="begin"/>
      </w:r>
      <w:r>
        <w:instrText xml:space="preserve"> PAGEREF _Toc452219821 \h </w:instrText>
      </w:r>
      <w:r>
        <w:fldChar w:fldCharType="separate"/>
      </w:r>
      <w:r>
        <w:t>179</w:t>
      </w:r>
      <w:r>
        <w:fldChar w:fldCharType="end"/>
      </w:r>
      <w:r>
        <w:rPr>
          <w:rFonts w:hint="eastAsia" w:ascii="宋体" w:hAnsi="宋体" w:eastAsia="宋体"/>
          <w:kern w:val="2"/>
          <w:lang w:val="en-US" w:eastAsia="zh-CN" w:bidi="ar-SA"/>
        </w:rPr>
        <w:fldChar w:fldCharType="end"/>
      </w:r>
    </w:p>
    <w:p w14:paraId="080F030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_Toc513904814 </w:instrText>
      </w:r>
      <w:r>
        <w:rPr>
          <w:rFonts w:hint="eastAsia" w:ascii="宋体" w:hAnsi="宋体" w:eastAsia="宋体"/>
          <w:kern w:val="2"/>
          <w:lang w:val="en-US" w:eastAsia="zh-CN" w:bidi="ar-SA"/>
        </w:rPr>
        <w:fldChar w:fldCharType="separate"/>
      </w:r>
      <w:r>
        <w:rPr>
          <w:rFonts w:hint="eastAsia" w:ascii="黑体" w:hAnsi="黑体" w:eastAsia="黑体" w:cs="黑体"/>
        </w:rPr>
        <w:t>6.2 场景验收指标</w:t>
      </w:r>
      <w:r>
        <w:tab/>
      </w:r>
      <w:r>
        <w:fldChar w:fldCharType="begin"/>
      </w:r>
      <w:r>
        <w:instrText xml:space="preserve"> PAGEREF _Toc513904814 \h </w:instrText>
      </w:r>
      <w:r>
        <w:fldChar w:fldCharType="separate"/>
      </w:r>
      <w:r>
        <w:t>179</w:t>
      </w:r>
      <w:r>
        <w:fldChar w:fldCharType="end"/>
      </w:r>
      <w:r>
        <w:rPr>
          <w:rFonts w:hint="eastAsia" w:ascii="宋体" w:hAnsi="宋体" w:eastAsia="宋体"/>
          <w:kern w:val="2"/>
          <w:lang w:val="en-US" w:eastAsia="zh-CN" w:bidi="ar-SA"/>
        </w:rPr>
        <w:fldChar w:fldCharType="end"/>
      </w:r>
    </w:p>
    <w:p w14:paraId="09C566D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_Toc18980664 </w:instrText>
      </w:r>
      <w:r>
        <w:rPr>
          <w:rFonts w:hint="eastAsia" w:ascii="宋体" w:hAnsi="宋体" w:eastAsia="宋体"/>
          <w:kern w:val="2"/>
          <w:lang w:val="en-US" w:eastAsia="zh-CN" w:bidi="ar-SA"/>
        </w:rPr>
        <w:fldChar w:fldCharType="separate"/>
      </w:r>
      <w:r>
        <w:rPr>
          <w:rFonts w:hint="eastAsia" w:ascii="黑体" w:hAnsi="黑体" w:eastAsia="黑体" w:cs="黑体"/>
        </w:rPr>
        <w:t>6.3 智能化场景覆盖率</w:t>
      </w:r>
      <w:r>
        <w:tab/>
      </w:r>
      <w:r>
        <w:fldChar w:fldCharType="begin"/>
      </w:r>
      <w:r>
        <w:instrText xml:space="preserve"> PAGEREF _Toc18980664 \h </w:instrText>
      </w:r>
      <w:r>
        <w:fldChar w:fldCharType="separate"/>
      </w:r>
      <w:r>
        <w:t>181</w:t>
      </w:r>
      <w:r>
        <w:fldChar w:fldCharType="end"/>
      </w:r>
      <w:r>
        <w:rPr>
          <w:rFonts w:hint="eastAsia" w:ascii="宋体" w:hAnsi="宋体" w:eastAsia="宋体"/>
          <w:kern w:val="2"/>
          <w:lang w:val="en-US" w:eastAsia="zh-CN" w:bidi="ar-SA"/>
        </w:rPr>
        <w:fldChar w:fldCharType="end"/>
      </w:r>
    </w:p>
    <w:p w14:paraId="31F2F29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_Toc1180440092 </w:instrText>
      </w:r>
      <w:r>
        <w:rPr>
          <w:rFonts w:hint="eastAsia" w:ascii="宋体" w:hAnsi="宋体" w:eastAsia="宋体"/>
          <w:kern w:val="2"/>
          <w:lang w:val="en-US" w:eastAsia="zh-CN" w:bidi="ar-SA"/>
        </w:rPr>
        <w:fldChar w:fldCharType="separate"/>
      </w:r>
      <w:r>
        <w:rPr>
          <w:rFonts w:hint="eastAsia" w:ascii="黑体" w:hAnsi="黑体" w:eastAsia="黑体" w:cs="黑体"/>
        </w:rPr>
        <w:t>七、 SCOS非功能性需求响应表</w:t>
      </w:r>
      <w:r>
        <w:tab/>
      </w:r>
      <w:r>
        <w:fldChar w:fldCharType="begin"/>
      </w:r>
      <w:r>
        <w:instrText xml:space="preserve"> PAGEREF _Toc1180440092 \h </w:instrText>
      </w:r>
      <w:r>
        <w:fldChar w:fldCharType="separate"/>
      </w:r>
      <w:r>
        <w:t>182</w:t>
      </w:r>
      <w:r>
        <w:fldChar w:fldCharType="end"/>
      </w:r>
      <w:r>
        <w:rPr>
          <w:rFonts w:hint="eastAsia" w:ascii="宋体" w:hAnsi="宋体" w:eastAsia="宋体"/>
          <w:kern w:val="2"/>
          <w:lang w:val="en-US" w:eastAsia="zh-CN" w:bidi="ar-SA"/>
        </w:rPr>
        <w:fldChar w:fldCharType="end"/>
      </w:r>
    </w:p>
    <w:p w14:paraId="1C8381C9">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_Toc1202695258 </w:instrText>
      </w:r>
      <w:r>
        <w:rPr>
          <w:rFonts w:hint="eastAsia" w:ascii="宋体" w:hAnsi="宋体" w:eastAsia="宋体"/>
          <w:kern w:val="2"/>
          <w:lang w:val="en-US" w:eastAsia="zh-CN" w:bidi="ar-SA"/>
        </w:rPr>
        <w:fldChar w:fldCharType="separate"/>
      </w:r>
      <w:r>
        <w:rPr>
          <w:rFonts w:hint="eastAsia" w:ascii="黑体" w:hAnsi="黑体" w:eastAsia="黑体" w:cs="黑体"/>
        </w:rPr>
        <w:t>八、 SCOS蓝图交付物清单</w:t>
      </w:r>
      <w:r>
        <w:tab/>
      </w:r>
      <w:r>
        <w:fldChar w:fldCharType="begin"/>
      </w:r>
      <w:r>
        <w:instrText xml:space="preserve"> PAGEREF _Toc1202695258 \h </w:instrText>
      </w:r>
      <w:r>
        <w:fldChar w:fldCharType="separate"/>
      </w:r>
      <w:r>
        <w:t>183</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ascii="黑体" w:hAnsi="黑体" w:eastAsia="黑体" w:cs="黑体"/>
          <w:b/>
          <w:bCs w:val="0"/>
          <w:lang w:val="en-US" w:eastAsia="zh-CN"/>
        </w:rPr>
      </w:pPr>
      <w:r>
        <w:rPr>
          <w:rFonts w:hint="eastAsia" w:ascii="宋体" w:hAnsi="宋体" w:eastAsia="宋体"/>
          <w:kern w:val="2"/>
          <w:lang w:val="en-US" w:eastAsia="zh-CN" w:bidi="ar-SA"/>
        </w:rPr>
        <w:br w:type="page"/>
      </w:r>
      <w:bookmarkStart w:id="1" w:name="_Toc539698484"/>
      <w:r>
        <w:rPr>
          <w:rFonts w:hint="eastAsia" w:ascii="黑体" w:hAnsi="黑体" w:eastAsia="黑体" w:cs="黑体"/>
          <w:b/>
          <w:bCs w:val="0"/>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hint="eastAsia" w:asciiTheme="minorEastAsia" w:hAnsiTheme="minorEastAsia" w:eastAsiaTheme="minorEastAsia" w:cstheme="minorEastAsia"/>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仓管员、物流调度员等5-6个核心岗位的日常运营操作，同步支撑销售、品控、仓储、质量、生产、财务、采购、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eastAsia" w:ascii="黑体" w:hAnsi="黑体" w:eastAsia="黑体" w:cs="黑体"/>
          <w:b/>
          <w:bCs w:val="0"/>
          <w:lang w:val="en-US" w:eastAsia="zh-CN"/>
        </w:rPr>
      </w:pPr>
      <w:bookmarkStart w:id="2" w:name="_Toc924792419"/>
      <w:bookmarkStart w:id="3" w:name="_Toc1888979307"/>
      <w:r>
        <w:rPr>
          <w:rFonts w:hint="eastAsia" w:ascii="黑体" w:hAnsi="黑体" w:eastAsia="黑体" w:cs="黑体"/>
          <w:b/>
          <w:bCs w:val="0"/>
          <w:lang w:val="en-US" w:eastAsia="zh-CN"/>
        </w:rPr>
        <w:t>SCOS业务蓝图交付物</w:t>
      </w:r>
      <w:bookmarkEnd w:id="2"/>
      <w:bookmarkEnd w:id="3"/>
    </w:p>
    <w:p w14:paraId="027BC767">
      <w:pPr>
        <w:pStyle w:val="3"/>
        <w:bidi w:val="0"/>
        <w:rPr>
          <w:rFonts w:hint="eastAsia" w:ascii="黑体" w:hAnsi="黑体" w:eastAsia="黑体" w:cs="黑体"/>
          <w:b/>
          <w:bCs w:val="0"/>
          <w:sz w:val="30"/>
          <w:szCs w:val="30"/>
        </w:rPr>
      </w:pPr>
      <w:bookmarkStart w:id="4" w:name="_Toc1647032794"/>
      <w:bookmarkStart w:id="5" w:name="_Toc1824459148"/>
      <w:bookmarkStart w:id="6" w:name="_PLM业务流程总览"/>
      <w:bookmarkStart w:id="7" w:name="_SCOS业务流程总览"/>
      <w:r>
        <w:rPr>
          <w:rFonts w:hint="eastAsia" w:ascii="黑体" w:hAnsi="黑体" w:eastAsia="黑体" w:cs="黑体"/>
          <w:b/>
          <w:bCs w:val="0"/>
          <w:sz w:val="30"/>
          <w:szCs w:val="30"/>
          <w:lang w:val="en-US" w:eastAsia="zh-CN"/>
        </w:rPr>
        <w:t>SCOS业务流程总览</w:t>
      </w:r>
      <w:bookmarkEnd w:id="4"/>
      <w:bookmarkEnd w:id="5"/>
    </w:p>
    <w:bookmarkEnd w:id="6"/>
    <w:bookmarkEnd w:id="7"/>
    <w:p w14:paraId="685C6D9F">
      <w:pPr>
        <w:pStyle w:val="5"/>
        <w:jc w:val="both"/>
        <w:rPr>
          <w:rFonts w:hint="eastAsia" w:eastAsia="宋体"/>
          <w:lang w:eastAsia="zh-CN"/>
        </w:rPr>
      </w:pPr>
      <w:r>
        <w:rPr>
          <w:rFonts w:hint="eastAsia" w:eastAsia="宋体"/>
          <w:lang w:eastAsia="zh-CN"/>
        </w:rPr>
        <w:drawing>
          <wp:inline distT="0" distB="0" distL="114300" distR="114300">
            <wp:extent cx="2654300" cy="9217660"/>
            <wp:effectExtent l="0" t="0" r="12700" b="2540"/>
            <wp:docPr id="8" name="图片 8" descr="业务总图_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业务总图_v1.0"/>
                    <pic:cNvPicPr>
                      <a:picLocks noChangeAspect="1"/>
                    </pic:cNvPicPr>
                  </pic:nvPicPr>
                  <pic:blipFill>
                    <a:blip r:embed="rId10"/>
                    <a:stretch>
                      <a:fillRect/>
                    </a:stretch>
                  </pic:blipFill>
                  <pic:spPr>
                    <a:xfrm>
                      <a:off x="0" y="0"/>
                      <a:ext cx="2654300" cy="9217660"/>
                    </a:xfrm>
                    <a:prstGeom prst="rect">
                      <a:avLst/>
                    </a:prstGeom>
                  </pic:spPr>
                </pic:pic>
              </a:graphicData>
            </a:graphic>
          </wp:inline>
        </w:drawing>
      </w:r>
    </w:p>
    <w:p w14:paraId="5D768F47">
      <w:pPr>
        <w:pStyle w:val="3"/>
        <w:bidi w:val="0"/>
        <w:rPr>
          <w:rFonts w:hint="eastAsia" w:ascii="黑体" w:hAnsi="黑体" w:eastAsia="黑体" w:cs="黑体"/>
          <w:b/>
          <w:bCs w:val="0"/>
        </w:rPr>
      </w:pPr>
      <w:bookmarkStart w:id="8" w:name="_Toc1913388570"/>
      <w:bookmarkStart w:id="9" w:name="_【核心部分-待后续优化】关键业务流程说明"/>
      <w:bookmarkStart w:id="10" w:name="_关键业务流程说明"/>
      <w:r>
        <w:rPr>
          <w:rFonts w:hint="eastAsia" w:ascii="黑体" w:hAnsi="黑体" w:eastAsia="黑体" w:cs="黑体"/>
          <w:b/>
          <w:bCs w:val="0"/>
          <w:lang w:val="en-US" w:eastAsia="zh-CN"/>
        </w:rPr>
        <w:t>关键业务流程说明</w:t>
      </w:r>
      <w:bookmarkEnd w:id="8"/>
    </w:p>
    <w:bookmarkEnd w:id="9"/>
    <w:p w14:paraId="399DBE68">
      <w:pPr>
        <w:pStyle w:val="4"/>
        <w:bidi w:val="0"/>
        <w:ind w:left="161" w:leftChars="0" w:firstLineChars="0"/>
        <w:rPr>
          <w:rFonts w:hint="eastAsia" w:ascii="黑体" w:hAnsi="黑体" w:eastAsia="黑体" w:cs="黑体"/>
          <w:b/>
          <w:bCs w:val="0"/>
          <w:lang w:val="en-US"/>
        </w:rPr>
      </w:pPr>
      <w:bookmarkStart w:id="11" w:name="_Toc1901565812"/>
      <w:r>
        <w:rPr>
          <w:rFonts w:hint="eastAsia" w:ascii="黑体" w:hAnsi="黑体" w:eastAsia="黑体" w:cs="黑体"/>
          <w:b/>
          <w:bCs w:val="0"/>
          <w:lang w:val="en-US" w:eastAsia="zh-CN"/>
        </w:rPr>
        <w:t>库存优化</w:t>
      </w:r>
      <w:bookmarkEnd w:id="11"/>
    </w:p>
    <w:bookmarkEnd w:id="10"/>
    <w:p w14:paraId="2F67130D">
      <w:pPr>
        <w:pStyle w:val="6"/>
        <w:bidi w:val="0"/>
        <w:rPr>
          <w:rFonts w:hint="eastAsia" w:ascii="黑体" w:hAnsi="黑体" w:eastAsia="黑体" w:cs="黑体"/>
          <w:b/>
          <w:bCs w:val="0"/>
          <w:lang w:eastAsia="zh-CN"/>
        </w:rPr>
      </w:pPr>
      <w:r>
        <w:rPr>
          <w:rFonts w:hint="eastAsia" w:ascii="黑体" w:hAnsi="黑体" w:eastAsia="黑体" w:cs="黑体"/>
          <w:b/>
          <w:bCs w:val="0"/>
          <w:lang w:val="en-US" w:eastAsia="zh-CN"/>
        </w:rPr>
        <w:t>月度成品库存策略制定流程</w:t>
      </w:r>
    </w:p>
    <w:p w14:paraId="508AB8C6">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1"/>
                    <a:stretch>
                      <a:fillRect/>
                    </a:stretch>
                  </pic:blipFill>
                  <pic:spPr>
                    <a:xfrm>
                      <a:off x="0" y="0"/>
                      <a:ext cx="5260975" cy="2154555"/>
                    </a:xfrm>
                    <a:prstGeom prst="rect">
                      <a:avLst/>
                    </a:prstGeom>
                  </pic:spPr>
                </pic:pic>
              </a:graphicData>
            </a:graphic>
          </wp:inline>
        </w:drawing>
      </w: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每月25日进入下月成品库存策略和月度总生产补充计划制定周期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输入：下月不同成品出货计划、已明确销售订单、当前库存、计划生产入库和待发运信息；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输出：不同成品日度计划需求和策略计算范围（覆盖哪些成品以及计划展望期）</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对月度预计出货总量进行日度分解；已有明确出货计划或销售订单的日期优先使用出货或订单量，其余数量分摊至未有明确订单或出货的日期，生成日度需求计划</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输入：日度需求计划、历史出库波动、生产补充周期、服务水平、成品—储罐映射及有效容量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模型，计算“存多少、何时补、补多少”。目标库存和总补充量需经有效储罐容量、最大库存天数等约束校验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输入：月度库存策略、总生产补充计划、计算依据及风险提示；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系统校验必要参数和生产补充量，由库存计划员确认提交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输入：拟定库存策略和总生产补充计划；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发布月度库存策略与总生产补充计划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输出：已发布的安全库存、再订货点、目标库存、月度总生产补充计划及版本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策略发布后在月内作为周度库存计划和日度库存监控基准，并保存数据快照、模型参数、人工调整和审批轨迹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输入：已发布的月度总生产补充量及建议入库节奏；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输出：已发布月度成品库存策略及总生产补充计划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1CABE0CE">
      <w:pPr>
        <w:pStyle w:val="6"/>
        <w:bidi w:val="0"/>
        <w:outlineLvl w:val="3"/>
        <w:rPr>
          <w:rFonts w:hint="eastAsia" w:ascii="黑体" w:hAnsi="黑体" w:eastAsia="黑体" w:cs="黑体"/>
          <w:b/>
          <w:bCs/>
          <w:lang w:val="en-US" w:eastAsia="zh-CN"/>
        </w:rPr>
      </w:pPr>
      <w:r>
        <w:rPr>
          <w:rFonts w:hint="eastAsia" w:ascii="黑体" w:hAnsi="黑体" w:eastAsia="黑体" w:cs="黑体"/>
          <w:b/>
          <w:bCs/>
          <w:lang w:val="en-US" w:eastAsia="zh-CN"/>
        </w:rPr>
        <w:t>周度生产补充计划制定流程</w:t>
      </w: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2"/>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327"/>
        <w:gridCol w:w="884"/>
        <w:gridCol w:w="1552"/>
        <w:gridCol w:w="2146"/>
        <w:gridCol w:w="1635"/>
        <w:gridCol w:w="1880"/>
      </w:tblGrid>
      <w:tr w14:paraId="6234CA63">
        <w:trPr>
          <w:tblHeader/>
        </w:trPr>
        <w:tc>
          <w:tcPr>
            <w:tcW w:w="3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输入：已发布月度总补充计划、月度剩余待生产量、未来4周日度需求计划、当前可用库存、已有生产排程、计划入库及储罐容量；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每周五一次性向后计算4周，按日结合日度需求计划、可用库存、已有计划入库和月度库存策略生成日度生产补充量；周界严格采用周六至下周五。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系统校验4周汇总结果与日度明细一致性，由库存计划员确认提交生产计划员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输出：锁定第1周的周度生产补充量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输入：锁定第1周的周度生产补充量、排程确认结论；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输出：已发布的锁定第1周的周度生产补充计划及版本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发布锁定第1周的周度生产补货计划，作为生产排程执行与日度滚动校验的正式基准，同时保留评审、排程确认轨迹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输出：已发布且第1周生产补充量已锁定的周度生产补充计划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29758A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日度库存监控</w:t>
      </w:r>
      <w:r>
        <w:rPr>
          <w:rFonts w:hint="eastAsia" w:ascii="黑体" w:hAnsi="黑体" w:cs="黑体"/>
          <w:b/>
          <w:bCs/>
          <w:lang w:val="en-US" w:eastAsia="zh-CN"/>
        </w:rPr>
        <w:t>、</w:t>
      </w:r>
      <w:r>
        <w:rPr>
          <w:rFonts w:hint="eastAsia" w:ascii="黑体" w:hAnsi="黑体" w:eastAsia="黑体" w:cs="黑体"/>
          <w:b/>
          <w:bCs/>
          <w:lang w:val="en-US" w:eastAsia="zh-CN"/>
        </w:rPr>
        <w:t>滚动校验</w:t>
      </w:r>
      <w:r>
        <w:rPr>
          <w:rFonts w:hint="eastAsia" w:ascii="黑体" w:hAnsi="黑体" w:cs="黑体"/>
          <w:b/>
          <w:bCs/>
          <w:lang w:val="en-US" w:eastAsia="zh-CN"/>
        </w:rPr>
        <w:t>与滚动锁定</w:t>
      </w:r>
      <w:r>
        <w:rPr>
          <w:rFonts w:hint="eastAsia" w:ascii="黑体" w:hAnsi="黑体" w:eastAsia="黑体" w:cs="黑体"/>
          <w:b/>
          <w:bCs/>
          <w:lang w:val="en-US" w:eastAsia="zh-CN"/>
        </w:rPr>
        <w:t>流程</w:t>
      </w: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输入：已发布且第1周已锁定的周度生产补货计划、第2至第4周生产补货建议、SAP/WMS成品库存及出库状态、日度需求计划、生产排程及计划入库量、QMS/LIMS质检状态和储罐可用状态；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C43D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按日更新实际可用库存、需求计划和预计可用的计划生产入库，形成覆盖第1周锁定期及第2至第4周非锁定期的库存轨迹。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判断未来4周内是否存在击穿安全库存的风险以及是否有计划生产入库超过成品对应储罐的有效剩余容量的风险</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预警状态不解除锁定；如需处置，由相关业务人员在线下进行协调，本流程中不改变锁定计划；完成后结束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调整后可能存在仍无法消除的风险，会给出预警</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将确认采纳的调整建议交给生产排程处理，并将排程反馈用于下一轮日度库存水位测算。第1周锁定生产补充量仍保持不变；同时每天向后额外锁定1天，确保每天都是T+7天锁定</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输出：日度库存监控结果、库存预警、第1周锁定状态（T+7天锁定）、第2至第4周补货建议调整及生产协同记录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F48D6F">
      <w:pPr>
        <w:jc w:val="both"/>
        <w:rPr>
          <w:rFonts w:hint="default"/>
          <w:lang w:val="en-US" w:eastAsia="zh-CN"/>
        </w:rPr>
      </w:pPr>
    </w:p>
    <w:p w14:paraId="090F7A77">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库存策略异常调整流程</w:t>
      </w: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4"/>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库存健康度评价与策略改进流程</w:t>
      </w:r>
    </w:p>
    <w:p w14:paraId="5233AC86">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6D3664">
      <w:pPr>
        <w:jc w:val="both"/>
        <w:rPr>
          <w:rFonts w:hint="default"/>
          <w:lang w:val="en-US" w:eastAsia="zh-CN"/>
        </w:rPr>
      </w:pPr>
    </w:p>
    <w:p w14:paraId="7EF7630B">
      <w:pPr>
        <w:pStyle w:val="4"/>
        <w:bidi w:val="0"/>
        <w:ind w:left="161" w:leftChars="0" w:firstLineChars="0"/>
        <w:rPr>
          <w:rFonts w:hint="eastAsia" w:ascii="黑体" w:hAnsi="黑体" w:eastAsia="黑体" w:cs="黑体"/>
          <w:b/>
          <w:bCs w:val="0"/>
          <w:lang w:val="en-US" w:eastAsia="zh-CN"/>
        </w:rPr>
      </w:pPr>
      <w:bookmarkStart w:id="12" w:name="_Toc764967630"/>
      <w:r>
        <w:rPr>
          <w:rFonts w:hint="eastAsia" w:ascii="黑体" w:hAnsi="黑体" w:eastAsia="黑体" w:cs="黑体"/>
          <w:b/>
          <w:bCs w:val="0"/>
          <w:lang w:val="en-US" w:eastAsia="zh-CN"/>
        </w:rPr>
        <w:t>采购优化</w:t>
      </w:r>
      <w:bookmarkEnd w:id="12"/>
    </w:p>
    <w:p w14:paraId="143EDFA0">
      <w:pPr>
        <w:pStyle w:val="6"/>
        <w:bidi w:val="0"/>
        <w:rPr>
          <w:rFonts w:hint="eastAsia" w:ascii="黑体" w:hAnsi="黑体" w:eastAsia="黑体" w:cs="黑体"/>
          <w:b/>
          <w:bCs w:val="0"/>
          <w:lang w:val="en-US" w:eastAsia="zh-CN"/>
        </w:rPr>
      </w:pPr>
      <w:r>
        <w:rPr>
          <w:rFonts w:hint="eastAsia" w:ascii="黑体" w:hAnsi="黑体" w:eastAsia="黑体" w:cs="黑体"/>
          <w:b/>
          <w:bCs w:val="0"/>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6"/>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44DDC0">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供应商评价与准入预警流程</w:t>
      </w: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7"/>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E59E5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采购计划滚动调整流程</w:t>
      </w: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8"/>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6F9035D">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采购执行跟踪流程</w:t>
      </w: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19"/>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ascii="黑体" w:hAnsi="黑体" w:eastAsia="黑体" w:cs="黑体"/>
          <w:b/>
          <w:bCs w:val="0"/>
          <w:lang w:val="en-US" w:eastAsia="zh-CN"/>
        </w:rPr>
      </w:pPr>
      <w:bookmarkStart w:id="13" w:name="_Toc1973846468"/>
      <w:r>
        <w:rPr>
          <w:rFonts w:hint="eastAsia" w:ascii="黑体" w:hAnsi="黑体" w:eastAsia="黑体" w:cs="黑体"/>
          <w:b/>
          <w:bCs w:val="0"/>
          <w:lang w:val="en-US" w:eastAsia="zh-CN"/>
        </w:rPr>
        <w:t>要货计划</w:t>
      </w:r>
      <w:bookmarkEnd w:id="13"/>
    </w:p>
    <w:p w14:paraId="572CD3AD">
      <w:pPr>
        <w:pStyle w:val="6"/>
        <w:bidi w:val="0"/>
        <w:rPr>
          <w:rFonts w:hint="eastAsia" w:ascii="黑体" w:hAnsi="黑体" w:eastAsia="黑体" w:cs="黑体"/>
          <w:b/>
          <w:bCs w:val="0"/>
          <w:lang w:val="en-US" w:eastAsia="zh-CN"/>
        </w:rPr>
      </w:pPr>
      <w:r>
        <w:rPr>
          <w:rFonts w:hint="eastAsia" w:ascii="黑体" w:hAnsi="黑体" w:eastAsia="黑体" w:cs="黑体"/>
          <w:b/>
          <w:bCs w:val="0"/>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6"/>
        <w:bidi w:val="0"/>
        <w:rPr>
          <w:rFonts w:hint="default"/>
          <w:b/>
          <w:bCs/>
        </w:rPr>
      </w:pPr>
      <w:r>
        <w:rPr>
          <w:rFonts w:hint="default"/>
          <w:b/>
          <w:bCs/>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6"/>
        <w:bidi w:val="0"/>
        <w:rPr>
          <w:rFonts w:hint="default"/>
          <w:b/>
          <w:bCs/>
        </w:rPr>
      </w:pPr>
      <w:r>
        <w:rPr>
          <w:rFonts w:hint="default"/>
          <w:b/>
          <w:bCs/>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6"/>
        <w:bidi w:val="0"/>
        <w:rPr>
          <w:rFonts w:hint="default"/>
          <w:b/>
          <w:bCs/>
        </w:rPr>
      </w:pPr>
      <w:r>
        <w:rPr>
          <w:rFonts w:hint="default"/>
          <w:b/>
          <w:bCs/>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6"/>
        <w:bidi w:val="0"/>
        <w:rPr>
          <w:rFonts w:hint="default"/>
          <w:b/>
          <w:bCs/>
        </w:rPr>
      </w:pPr>
      <w:r>
        <w:rPr>
          <w:rFonts w:hint="default"/>
          <w:b/>
          <w:bCs/>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6858EAF1">
      <w:pPr>
        <w:pStyle w:val="6"/>
        <w:bidi w:val="0"/>
        <w:rPr>
          <w:rFonts w:hint="default"/>
          <w:b/>
          <w:bCs/>
          <w:lang w:val="en-US" w:eastAsia="zh-CN"/>
        </w:rPr>
      </w:pPr>
      <w:r>
        <w:rPr>
          <w:rFonts w:hint="default"/>
          <w:b/>
          <w:bCs/>
        </w:rPr>
        <w:t>供应商禁运与解除流程</w:t>
      </w: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eastAsia" w:ascii="黑体" w:hAnsi="黑体" w:eastAsia="黑体" w:cs="黑体"/>
          <w:b/>
          <w:bCs w:val="0"/>
          <w:lang w:val="en-US" w:eastAsia="zh-CN"/>
        </w:rPr>
      </w:pPr>
      <w:bookmarkStart w:id="14" w:name="_Toc110208820"/>
      <w:r>
        <w:rPr>
          <w:rFonts w:hint="eastAsia" w:ascii="黑体" w:hAnsi="黑体" w:eastAsia="黑体" w:cs="黑体"/>
          <w:b/>
          <w:bCs w:val="0"/>
          <w:lang w:val="en-US" w:eastAsia="zh-CN"/>
        </w:rPr>
        <w:t>驾驶舱</w:t>
      </w:r>
      <w:bookmarkEnd w:id="14"/>
    </w:p>
    <w:p w14:paraId="77224C66">
      <w:pPr>
        <w:pStyle w:val="6"/>
        <w:bidi w:val="0"/>
        <w:rPr>
          <w:rFonts w:hint="eastAsia" w:ascii="黑体" w:hAnsi="黑体" w:eastAsia="黑体" w:cs="黑体"/>
          <w:b/>
          <w:bCs w:val="0"/>
          <w:lang w:val="en-US" w:eastAsia="zh-CN"/>
        </w:rPr>
      </w:pPr>
      <w:r>
        <w:rPr>
          <w:rFonts w:hint="eastAsia" w:ascii="黑体" w:hAnsi="黑体" w:eastAsia="黑体" w:cs="黑体"/>
          <w:b/>
          <w:bCs w:val="0"/>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b/>
          <w:bCs/>
          <w:lang w:val="en-US" w:eastAsia="zh-CN"/>
        </w:rPr>
      </w:pPr>
      <w:r>
        <w:rPr>
          <w:rFonts w:hint="default"/>
          <w:b/>
          <w:bCs/>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rPr>
          <w:b/>
          <w:bCs/>
        </w:rPr>
      </w:pPr>
      <w:r>
        <w:rPr>
          <w:rFonts w:hint="default"/>
          <w:b/>
          <w:bCs/>
        </w:rPr>
        <w:t>全局供应链态势监测流程</w:t>
      </w:r>
    </w:p>
    <w:p w14:paraId="0B5FC197">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253990" cy="1801495"/>
                    </a:xfrm>
                    <a:prstGeom prst="rect">
                      <a:avLst/>
                    </a:prstGeom>
                  </pic:spPr>
                </pic:pic>
              </a:graphicData>
            </a:graphic>
          </wp:inline>
        </w:drawing>
      </w: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b/>
          <w:bCs/>
          <w:lang w:val="en-US" w:eastAsia="zh-CN"/>
        </w:rPr>
      </w:pPr>
      <w:r>
        <w:rPr>
          <w:rFonts w:hint="default"/>
          <w:b/>
          <w:bCs/>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pStyle w:val="6"/>
        <w:bidi w:val="0"/>
        <w:rPr>
          <w:rFonts w:hint="default"/>
          <w:b/>
          <w:bCs/>
          <w:lang w:val="en-US" w:eastAsia="zh-CN"/>
        </w:rPr>
      </w:pPr>
      <w:r>
        <w:rPr>
          <w:rFonts w:hint="default"/>
          <w:b/>
          <w:bCs/>
        </w:rPr>
        <w:t>预警事件接入与分级派发流程</w:t>
      </w: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rPr>
          <w:b/>
          <w:bCs/>
        </w:rPr>
      </w:pPr>
      <w:r>
        <w:rPr>
          <w:rFonts w:hint="default"/>
          <w:b/>
          <w:bCs/>
        </w:rPr>
        <w:t>预警处置跟踪与闭环验证流程</w:t>
      </w:r>
    </w:p>
    <w:p w14:paraId="270B9787">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253990" cy="1801495"/>
                    </a:xfrm>
                    <a:prstGeom prst="rect">
                      <a:avLst/>
                    </a:prstGeom>
                  </pic:spPr>
                </pic:pic>
              </a:graphicData>
            </a:graphic>
          </wp:inline>
        </w:drawing>
      </w: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rPr>
          <w:b/>
          <w:bCs/>
        </w:rPr>
      </w:pPr>
      <w:r>
        <w:rPr>
          <w:rFonts w:hint="default"/>
          <w:b/>
          <w:bCs/>
        </w:rPr>
        <w:t>供应链情景模拟与影响评估流程</w:t>
      </w: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253990" cy="1801495"/>
                    </a:xfrm>
                    <a:prstGeom prst="rect">
                      <a:avLst/>
                    </a:prstGeom>
                  </pic:spPr>
                </pic:pic>
              </a:graphicData>
            </a:graphic>
          </wp:inline>
        </w:drawing>
      </w: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BD8B53E">
      <w:pPr>
        <w:pStyle w:val="6"/>
        <w:bidi w:val="0"/>
        <w:rPr>
          <w:rFonts w:hint="default"/>
          <w:b/>
          <w:bCs/>
          <w:lang w:val="en-US" w:eastAsia="zh-CN"/>
        </w:rPr>
      </w:pPr>
      <w:r>
        <w:rPr>
          <w:rFonts w:hint="default"/>
          <w:b/>
          <w:bCs/>
        </w:rPr>
        <w:t>模拟方案采纳与业务协同流程</w:t>
      </w: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253990" cy="1801495"/>
                    </a:xfrm>
                    <a:prstGeom prst="rect">
                      <a:avLst/>
                    </a:prstGeom>
                  </pic:spPr>
                </pic:pic>
              </a:graphicData>
            </a:graphic>
          </wp:inline>
        </w:drawing>
      </w: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eastAsia" w:ascii="黑体" w:hAnsi="黑体" w:eastAsia="黑体" w:cs="黑体"/>
          <w:b/>
          <w:bCs w:val="0"/>
          <w:lang w:val="en-US" w:eastAsia="zh-CN"/>
        </w:rPr>
      </w:pPr>
      <w:bookmarkStart w:id="15" w:name="_Toc1148734026"/>
      <w:r>
        <w:rPr>
          <w:rFonts w:hint="eastAsia" w:ascii="黑体" w:hAnsi="黑体" w:eastAsia="黑体" w:cs="黑体"/>
          <w:b/>
          <w:bCs w:val="0"/>
          <w:lang w:val="en-US" w:eastAsia="zh-CN"/>
        </w:rPr>
        <w:t>成本分摊</w:t>
      </w:r>
      <w:bookmarkEnd w:id="15"/>
    </w:p>
    <w:p w14:paraId="1D5E2376">
      <w:pPr>
        <w:pStyle w:val="6"/>
        <w:bidi w:val="0"/>
        <w:rPr>
          <w:rFonts w:hint="default"/>
          <w:b/>
          <w:bCs w:val="0"/>
          <w:lang w:val="en-US" w:eastAsia="zh-CN"/>
        </w:rPr>
      </w:pPr>
      <w:r>
        <w:rPr>
          <w:rFonts w:hint="default"/>
          <w:b/>
          <w:bCs w:val="0"/>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b/>
          <w:bCs/>
          <w:lang w:val="en-US" w:eastAsia="zh-CN"/>
        </w:rPr>
      </w:pPr>
      <w:r>
        <w:rPr>
          <w:rFonts w:hint="default"/>
          <w:b/>
          <w:bCs/>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b/>
          <w:bCs/>
          <w:lang w:val="en-US" w:eastAsia="zh-CN"/>
        </w:rPr>
      </w:pPr>
      <w:r>
        <w:rPr>
          <w:rFonts w:hint="default"/>
          <w:b/>
          <w:bCs/>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b/>
          <w:bCs/>
          <w:lang w:val="en-US" w:eastAsia="zh-CN"/>
        </w:rPr>
      </w:pPr>
      <w:r>
        <w:rPr>
          <w:rFonts w:hint="default"/>
          <w:b/>
          <w:bCs/>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b/>
          <w:bCs/>
          <w:lang w:val="en-US" w:eastAsia="zh-CN"/>
        </w:rPr>
      </w:pPr>
      <w:r>
        <w:rPr>
          <w:rFonts w:hint="default"/>
          <w:b/>
          <w:bCs/>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b/>
          <w:bCs/>
          <w:lang w:val="en-US" w:eastAsia="zh-CN"/>
        </w:rPr>
      </w:pPr>
      <w:r>
        <w:rPr>
          <w:rFonts w:hint="default"/>
          <w:b/>
          <w:bCs/>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b/>
          <w:bCs/>
          <w:lang w:val="en-US" w:eastAsia="zh-CN"/>
        </w:rPr>
      </w:pPr>
      <w:r>
        <w:rPr>
          <w:rFonts w:hint="default"/>
          <w:b/>
          <w:bCs/>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b/>
          <w:bCs/>
          <w:lang w:val="en-US" w:eastAsia="zh-CN"/>
        </w:rPr>
      </w:pPr>
      <w:r>
        <w:rPr>
          <w:rFonts w:hint="default"/>
          <w:b/>
          <w:bCs/>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b/>
          <w:bCs/>
          <w:lang w:val="en-US" w:eastAsia="zh-CN"/>
        </w:rPr>
      </w:pPr>
      <w:r>
        <w:rPr>
          <w:rFonts w:hint="default"/>
          <w:b/>
          <w:bCs/>
          <w:lang w:val="en-US" w:eastAsia="zh-CN"/>
        </w:rPr>
        <w:t>成本异常识别和预警流程</w:t>
      </w:r>
    </w:p>
    <w:p w14:paraId="4D9F934A">
      <w:pPr>
        <w:rPr>
          <w:rFonts w:hint="default"/>
          <w:lang w:val="en-US" w:eastAsia="zh-CN"/>
        </w:rPr>
      </w:pPr>
    </w:p>
    <w:p w14:paraId="7485C74A">
      <w:pPr>
        <w:rPr>
          <w:rFonts w:hint="default"/>
          <w:lang w:val="en-US" w:eastAsia="zh-CN"/>
        </w:rPr>
      </w:pPr>
    </w:p>
    <w:p w14:paraId="4D95ECC4">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253990" cy="1017270"/>
                    </a:xfrm>
                    <a:prstGeom prst="rect">
                      <a:avLst/>
                    </a:prstGeom>
                  </pic:spPr>
                </pic:pic>
              </a:graphicData>
            </a:graphic>
          </wp:inline>
        </w:drawing>
      </w: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eastAsia" w:ascii="黑体" w:hAnsi="黑体" w:eastAsia="黑体" w:cs="黑体"/>
          <w:b/>
          <w:bCs w:val="0"/>
          <w:highlight w:val="none"/>
          <w:lang w:val="en-US" w:eastAsia="zh-CN"/>
        </w:rPr>
      </w:pPr>
      <w:bookmarkStart w:id="16" w:name="_Toc894788452"/>
      <w:bookmarkStart w:id="17" w:name="_系统边界与分工"/>
      <w:r>
        <w:rPr>
          <w:rFonts w:hint="eastAsia" w:ascii="黑体" w:hAnsi="黑体" w:eastAsia="黑体" w:cs="黑体"/>
          <w:b/>
          <w:bCs w:val="0"/>
          <w:highlight w:val="none"/>
        </w:rPr>
        <w:t>系统边界与分工</w:t>
      </w:r>
      <w:bookmarkEnd w:id="16"/>
    </w:p>
    <w:bookmarkEnd w:id="17"/>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eastAsia" w:ascii="黑体" w:hAnsi="黑体" w:eastAsia="黑体" w:cs="黑体"/>
          <w:lang w:val="en-US" w:eastAsia="zh-CN"/>
        </w:rPr>
      </w:pPr>
      <w:bookmarkStart w:id="18" w:name="_Toc2029016470"/>
      <w:bookmarkStart w:id="19" w:name="_功能架构"/>
      <w:r>
        <w:rPr>
          <w:rFonts w:hint="eastAsia" w:ascii="黑体" w:hAnsi="黑体" w:eastAsia="黑体" w:cs="黑体"/>
          <w:lang w:val="en-US" w:eastAsia="zh-CN"/>
        </w:rPr>
        <w:t>功能架构</w:t>
      </w:r>
      <w:bookmarkEnd w:id="18"/>
    </w:p>
    <w:bookmarkEnd w:id="19"/>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5436870" cy="3896360"/>
                    </a:xfrm>
                    <a:prstGeom prst="rect">
                      <a:avLst/>
                    </a:prstGeom>
                    <a:noFill/>
                    <a:ln>
                      <a:noFill/>
                    </a:ln>
                  </pic:spPr>
                </pic:pic>
              </a:graphicData>
            </a:graphic>
          </wp:inline>
        </w:drawing>
      </w: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eastAsia" w:ascii="黑体" w:hAnsi="黑体" w:eastAsia="黑体" w:cs="黑体"/>
          <w:lang w:val="en-US" w:eastAsia="zh-CN"/>
        </w:rPr>
      </w:pPr>
      <w:bookmarkStart w:id="20" w:name="_Toc298913976"/>
      <w:bookmarkStart w:id="21" w:name="_Toc1786980577"/>
      <w:bookmarkStart w:id="22" w:name="_SCOS角色权限矩阵"/>
      <w:bookmarkStart w:id="23" w:name="_PLM角色权限矩阵"/>
      <w:r>
        <w:rPr>
          <w:rFonts w:hint="eastAsia" w:ascii="黑体" w:hAnsi="黑体" w:eastAsia="黑体" w:cs="黑体"/>
          <w:lang w:val="en-US" w:eastAsia="zh-CN"/>
        </w:rPr>
        <w:t>SCOS角色权限矩阵</w:t>
      </w:r>
      <w:bookmarkEnd w:id="20"/>
      <w:bookmarkEnd w:id="21"/>
    </w:p>
    <w:bookmarkEnd w:id="22"/>
    <w:bookmarkEnd w:id="23"/>
    <w:p w14:paraId="3FA09038">
      <w:pPr>
        <w:pStyle w:val="4"/>
        <w:bidi w:val="0"/>
        <w:ind w:left="161" w:leftChars="0" w:firstLineChars="0"/>
        <w:rPr>
          <w:rFonts w:hint="eastAsia" w:ascii="黑体" w:hAnsi="黑体" w:eastAsia="黑体" w:cs="黑体"/>
          <w:lang w:val="en-US" w:eastAsia="zh-CN"/>
        </w:rPr>
      </w:pPr>
      <w:bookmarkStart w:id="24" w:name="_Toc1223754344"/>
      <w:r>
        <w:rPr>
          <w:rFonts w:hint="eastAsia" w:ascii="黑体" w:hAnsi="黑体" w:eastAsia="黑体" w:cs="黑体"/>
          <w:lang w:val="en-US" w:eastAsia="zh-CN"/>
        </w:rPr>
        <w:t>角色定义</w:t>
      </w:r>
      <w:bookmarkEnd w:id="24"/>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SCOS职责概述</w:t>
            </w:r>
          </w:p>
        </w:tc>
      </w:tr>
      <w:tr w14:paraId="2961BF50">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次年经营方案制定、跨部门资源统筹</w:t>
            </w:r>
          </w:p>
        </w:tc>
      </w:tr>
      <w:tr w14:paraId="5CE3F5FF">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销售计划维护、投标及零售合同签订与维护、销售订单创建与更新、客户需求采集、客户反馈收集</w:t>
            </w:r>
          </w:p>
        </w:tc>
      </w:tr>
      <w:tr w14:paraId="143A4C58">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年度销售计划复核、统筹全渠道市场拓展与业绩目标达成</w:t>
            </w:r>
          </w:p>
        </w:tc>
      </w:tr>
      <w:tr w14:paraId="6FBD532C">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21E8E7CD">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4EFC76ED">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年度生产计划复核，生产订单复核与订单发行、量产转化跟进、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349E3823">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B050"/>
                <w:kern w:val="0"/>
                <w:sz w:val="18"/>
                <w:szCs w:val="18"/>
                <w:u w:val="none"/>
                <w:lang w:val="en-US" w:eastAsia="zh-CN" w:bidi="ar"/>
              </w:rPr>
              <w:t>采购员</w:t>
            </w:r>
            <w:r>
              <w:rPr>
                <w:rFonts w:hint="eastAsia" w:ascii="宋体" w:hAnsi="宋体" w:eastAsia="宋体" w:cs="宋体"/>
                <w:i w:val="0"/>
                <w:iCs w:val="0"/>
                <w:color w:val="00B050"/>
                <w:kern w:val="0"/>
                <w:sz w:val="18"/>
                <w:szCs w:val="18"/>
                <w:u w:val="none"/>
                <w:lang w:val="en-US" w:eastAsia="zh-CN" w:bidi="ar"/>
              </w:rPr>
              <w:tab/>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要货计划</w:t>
            </w:r>
          </w:p>
        </w:tc>
      </w:tr>
      <w:tr w14:paraId="1C5782A5">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R09</w:t>
            </w:r>
          </w:p>
        </w:tc>
        <w:tc>
          <w:tcPr>
            <w:tcW w:w="1540" w:type="dxa"/>
            <w:shd w:val="clear" w:color="auto" w:fill="auto"/>
            <w:vAlign w:val="center"/>
          </w:tcPr>
          <w:p w14:paraId="6F2CCD7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采购负责人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0B3BDF33">
        <w:trPr>
          <w:trHeight w:val="659" w:hRule="atLeast"/>
          <w:jc w:val="center"/>
        </w:trPr>
        <w:tc>
          <w:tcPr>
            <w:tcW w:w="1322" w:type="dxa"/>
            <w:vAlign w:val="center"/>
          </w:tcPr>
          <w:p w14:paraId="3810EDA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系统配置、权限管理、流程建模</w:t>
            </w:r>
          </w:p>
        </w:tc>
      </w:tr>
    </w:tbl>
    <w:p w14:paraId="77EF6618">
      <w:pPr>
        <w:pStyle w:val="5"/>
        <w:rPr>
          <w:rFonts w:hint="eastAsia"/>
          <w:lang w:val="en-US" w:eastAsia="zh-CN"/>
        </w:rPr>
      </w:pPr>
    </w:p>
    <w:p w14:paraId="1BBF8784">
      <w:pPr>
        <w:pStyle w:val="4"/>
        <w:bidi w:val="0"/>
        <w:ind w:left="161" w:leftChars="0" w:firstLineChars="0"/>
        <w:rPr>
          <w:rFonts w:hint="eastAsia" w:ascii="黑体" w:hAnsi="黑体" w:eastAsia="黑体" w:cs="黑体"/>
          <w:lang w:val="en-US" w:eastAsia="zh-CN"/>
        </w:rPr>
      </w:pPr>
      <w:bookmarkStart w:id="25" w:name="_Toc26518"/>
      <w:bookmarkStart w:id="26" w:name="_Toc1188372289"/>
      <w:r>
        <w:rPr>
          <w:rFonts w:hint="eastAsia" w:ascii="黑体" w:hAnsi="黑体" w:eastAsia="黑体" w:cs="黑体"/>
          <w:lang w:val="en-US" w:eastAsia="zh-CN"/>
        </w:rPr>
        <w:t>权限矩阵</w:t>
      </w:r>
      <w:bookmarkEnd w:id="25"/>
      <w:bookmarkEnd w:id="26"/>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sz w:val="18"/>
                <w:szCs w:val="18"/>
              </w:rPr>
              <w:t>角色</w:t>
            </w:r>
            <w:r>
              <w:rPr>
                <w:rFonts w:hint="eastAsia" w:ascii="宋体" w:hAnsi="宋体" w:eastAsia="宋体" w:cs="宋体"/>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数据权限隔离规则</w:t>
            </w:r>
          </w:p>
        </w:tc>
      </w:tr>
      <w:tr w14:paraId="0682107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21C575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012A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C801C0">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61F76F3">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F062EF">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698F29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23EEF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11838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3431F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CE5491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86D78C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rPr>
            </w:pPr>
            <w:r>
              <w:rPr>
                <w:rFonts w:hint="eastAsia" w:ascii="宋体" w:hAnsi="宋体" w:eastAsia="宋体" w:cs="宋体"/>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A62FA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F7D7F2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562D2D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E3A05B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FABA48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6F39E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04A94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0FEFD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EF3985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0E75EE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24259E3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F1B2C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1C914BA">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A0792A4">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D5CD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8B481F2">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7765B4E">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84585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DA919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7745FBB">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80A4019">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E935752">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F752E6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8E2A2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E9021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2D1925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4AEC5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82D447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3B157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59D9EE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78D2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2D225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484F5D9B">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val="en-US" w:eastAsia="zh-CN"/>
              </w:rPr>
              <w:t>采购</w:t>
            </w:r>
            <w:r>
              <w:rPr>
                <w:rFonts w:hint="eastAsia" w:ascii="宋体" w:hAnsi="宋体" w:eastAsia="宋体" w:cs="宋体"/>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D385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27813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ED72E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CBFBDF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3A14FD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75DB18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DC5C03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A1B7E5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1CB591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9E4FD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3646BDE">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1A73F3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6D1467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A5606C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43EFBC4">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47F57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E1F91C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A46CC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B4EEE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DFA6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55C4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C6B8598">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AF57A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E3E08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F00EA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E67DF8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DA6FC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4E86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27D4F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8DAC9E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92D10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4B36105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4F9B7A">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2DEE13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0B9D6E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90339C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7F0067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09FD1D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918003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851F94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017555D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085AF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552BBA7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F89E8AD">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color w:val="FF0000"/>
                <w:sz w:val="18"/>
                <w:szCs w:val="18"/>
              </w:rPr>
              <w:t>生产报工</w:t>
            </w:r>
            <w:r>
              <w:rPr>
                <w:rFonts w:hint="eastAsia" w:ascii="宋体" w:hAnsi="宋体" w:eastAsia="宋体" w:cs="宋体"/>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9BC57B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6B9B3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3CC6B0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B21DF3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D64F0A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由MES自动报工生成，SCOS仅做状态同步</w:t>
            </w:r>
          </w:p>
        </w:tc>
      </w:tr>
      <w:tr w14:paraId="58D08F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0C36CA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CB9EBF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3B711BA0">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9CF922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04C248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58C418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AB61F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A6F5F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E04C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DD096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2FA51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A14C5A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DC712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F7788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28E774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F87887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3EC32F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24D19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5BC74B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A221C2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EED9F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88714B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5D200C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540E3F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rPr>
          <w:rFonts w:hint="eastAsia" w:ascii="黑体" w:hAnsi="黑体" w:eastAsia="黑体" w:cs="黑体"/>
        </w:rPr>
      </w:pPr>
      <w:bookmarkStart w:id="27" w:name="_Toc14744"/>
      <w:bookmarkStart w:id="28" w:name="_Toc1375144123"/>
      <w:bookmarkStart w:id="29" w:name="_SCOS业务规则清单"/>
      <w:r>
        <w:rPr>
          <w:rFonts w:hint="eastAsia" w:ascii="黑体" w:hAnsi="黑体" w:eastAsia="黑体" w:cs="黑体"/>
          <w:lang w:val="en-US" w:eastAsia="zh-CN"/>
        </w:rPr>
        <w:t>SCOS业务规则清单</w:t>
      </w:r>
      <w:bookmarkEnd w:id="27"/>
      <w:bookmarkEnd w:id="28"/>
    </w:p>
    <w:bookmarkEnd w:id="29"/>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44"/>
        <w:gridCol w:w="945"/>
        <w:gridCol w:w="966"/>
        <w:gridCol w:w="955"/>
        <w:gridCol w:w="1098"/>
        <w:gridCol w:w="1406"/>
        <w:gridCol w:w="1088"/>
        <w:gridCol w:w="1460"/>
      </w:tblGrid>
      <w:tr w14:paraId="00117B41">
        <w:trPr>
          <w:trHeight w:val="586" w:hRule="atLeast"/>
          <w:tblHeader/>
          <w:jc w:val="center"/>
        </w:trPr>
        <w:tc>
          <w:tcPr>
            <w:tcW w:w="2944" w:type="dxa"/>
            <w:tcBorders>
              <w:top w:val="nil"/>
              <w:left w:val="nil"/>
              <w:bottom w:val="nil"/>
              <w:right w:val="nil"/>
            </w:tcBorders>
            <w:shd w:val="clear" w:color="auto" w:fill="auto"/>
            <w:vAlign w:val="center"/>
          </w:tcPr>
          <w:p w14:paraId="4E6CA6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规则编号</w:t>
            </w:r>
          </w:p>
        </w:tc>
        <w:tc>
          <w:tcPr>
            <w:tcW w:w="945" w:type="dxa"/>
            <w:tcBorders>
              <w:top w:val="nil"/>
              <w:left w:val="nil"/>
              <w:bottom w:val="nil"/>
              <w:right w:val="nil"/>
            </w:tcBorders>
            <w:shd w:val="clear" w:color="auto" w:fill="auto"/>
            <w:vAlign w:val="center"/>
          </w:tcPr>
          <w:p w14:paraId="7E2E1751">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23EDE628">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8"/>
                <w:szCs w:val="18"/>
                <w:u w:val="none"/>
              </w:rPr>
            </w:pPr>
            <w:r>
              <w:rPr>
                <w:rFonts w:hint="eastAsia" w:ascii="宋体" w:hAnsi="宋体" w:eastAsia="宋体" w:cs="宋体"/>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0E9C966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6B77B72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71C3055C">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E50B21F">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4598F9FB">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关联系统</w:t>
            </w:r>
          </w:p>
        </w:tc>
      </w:tr>
      <w:tr w14:paraId="0810D4B7">
        <w:trPr>
          <w:cantSplit/>
          <w:trHeight w:val="0" w:hRule="atLeast"/>
          <w:jc w:val="center"/>
        </w:trPr>
        <w:tc>
          <w:tcPr>
            <w:tcW w:w="2944" w:type="dxa"/>
            <w:tcBorders>
              <w:top w:val="nil"/>
              <w:left w:val="nil"/>
              <w:bottom w:val="nil"/>
              <w:right w:val="nil"/>
            </w:tcBorders>
            <w:shd w:val="clear" w:color="auto" w:fill="auto"/>
            <w:vAlign w:val="center"/>
          </w:tcPr>
          <w:p w14:paraId="75F700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P-ZLTC-SCOS-KCYH-001-10-001</w:t>
            </w:r>
          </w:p>
        </w:tc>
        <w:tc>
          <w:tcPr>
            <w:tcW w:w="945" w:type="dxa"/>
            <w:tcBorders>
              <w:top w:val="nil"/>
              <w:left w:val="nil"/>
              <w:bottom w:val="nil"/>
              <w:right w:val="nil"/>
            </w:tcBorders>
            <w:shd w:val="clear" w:color="auto" w:fill="auto"/>
            <w:vAlign w:val="center"/>
          </w:tcPr>
          <w:p w14:paraId="34A108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形成下月需求与库存策略计算范围规则</w:t>
            </w:r>
          </w:p>
        </w:tc>
        <w:tc>
          <w:tcPr>
            <w:tcW w:w="966" w:type="dxa"/>
            <w:tcBorders>
              <w:top w:val="nil"/>
              <w:left w:val="nil"/>
              <w:bottom w:val="nil"/>
              <w:right w:val="nil"/>
            </w:tcBorders>
            <w:shd w:val="clear" w:color="auto" w:fill="auto"/>
            <w:vAlign w:val="center"/>
          </w:tcPr>
          <w:p w14:paraId="76B393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3DD43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08F79B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每月25日开始制定下月成品库存策略和总补充计划时</w:t>
            </w:r>
          </w:p>
        </w:tc>
        <w:tc>
          <w:tcPr>
            <w:tcW w:w="1406" w:type="dxa"/>
            <w:tcBorders>
              <w:top w:val="nil"/>
              <w:left w:val="nil"/>
              <w:bottom w:val="nil"/>
              <w:right w:val="nil"/>
            </w:tcBorders>
            <w:shd w:val="clear" w:color="auto" w:fill="auto"/>
            <w:vAlign w:val="center"/>
          </w:tcPr>
          <w:p w14:paraId="20FC8D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对月度出货总量进行日度分解；数据缺失或状态异常时，暂不进入正式计算并提示库存计划员处理。</w:t>
            </w:r>
          </w:p>
        </w:tc>
        <w:tc>
          <w:tcPr>
            <w:tcW w:w="1088" w:type="dxa"/>
            <w:tcBorders>
              <w:top w:val="nil"/>
              <w:left w:val="nil"/>
              <w:bottom w:val="nil"/>
              <w:right w:val="nil"/>
            </w:tcBorders>
            <w:shd w:val="clear" w:color="auto" w:fill="auto"/>
            <w:vAlign w:val="center"/>
          </w:tcPr>
          <w:p w14:paraId="2B3006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各成品的日度计划需求和策略计算范围</w:t>
            </w:r>
          </w:p>
        </w:tc>
        <w:tc>
          <w:tcPr>
            <w:tcW w:w="1460" w:type="dxa"/>
            <w:tcBorders>
              <w:top w:val="nil"/>
              <w:left w:val="nil"/>
              <w:bottom w:val="nil"/>
              <w:right w:val="nil"/>
            </w:tcBorders>
            <w:shd w:val="clear" w:color="auto" w:fill="auto"/>
            <w:vAlign w:val="center"/>
          </w:tcPr>
          <w:p w14:paraId="7AFE97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3B8E461">
        <w:trPr>
          <w:cantSplit/>
          <w:trHeight w:val="0" w:hRule="atLeast"/>
          <w:jc w:val="center"/>
        </w:trPr>
        <w:tc>
          <w:tcPr>
            <w:tcW w:w="2944" w:type="dxa"/>
            <w:tcBorders>
              <w:top w:val="nil"/>
              <w:left w:val="nil"/>
              <w:bottom w:val="nil"/>
              <w:right w:val="nil"/>
            </w:tcBorders>
            <w:shd w:val="clear" w:color="auto" w:fill="auto"/>
            <w:vAlign w:val="center"/>
          </w:tcPr>
          <w:p w14:paraId="45A4BA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P-ZLTC-SCOS-KCYH-001-20-001</w:t>
            </w:r>
          </w:p>
        </w:tc>
        <w:tc>
          <w:tcPr>
            <w:tcW w:w="945" w:type="dxa"/>
            <w:tcBorders>
              <w:top w:val="nil"/>
              <w:left w:val="nil"/>
              <w:bottom w:val="nil"/>
              <w:right w:val="nil"/>
            </w:tcBorders>
            <w:shd w:val="clear" w:color="auto" w:fill="auto"/>
            <w:vAlign w:val="center"/>
          </w:tcPr>
          <w:p w14:paraId="7771C9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生成月度库存策略规则</w:t>
            </w:r>
          </w:p>
        </w:tc>
        <w:tc>
          <w:tcPr>
            <w:tcW w:w="966" w:type="dxa"/>
            <w:tcBorders>
              <w:top w:val="nil"/>
              <w:left w:val="nil"/>
              <w:bottom w:val="nil"/>
              <w:right w:val="nil"/>
            </w:tcBorders>
            <w:shd w:val="clear" w:color="auto" w:fill="auto"/>
            <w:vAlign w:val="center"/>
          </w:tcPr>
          <w:p w14:paraId="4422C8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F9F8C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544782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各成品的日度计划需求和策略计算范围形成后</w:t>
            </w:r>
          </w:p>
        </w:tc>
        <w:tc>
          <w:tcPr>
            <w:tcW w:w="1406" w:type="dxa"/>
            <w:tcBorders>
              <w:top w:val="nil"/>
              <w:left w:val="nil"/>
              <w:bottom w:val="nil"/>
              <w:right w:val="nil"/>
            </w:tcBorders>
            <w:shd w:val="clear" w:color="auto" w:fill="auto"/>
            <w:vAlign w:val="center"/>
          </w:tcPr>
          <w:p w14:paraId="0411BB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结合各成品的需求、库存和补货周期，测算安全库存、补货触发点及目标库存；容量不足时给出可执行建议，并提示供货风险。</w:t>
            </w:r>
          </w:p>
        </w:tc>
        <w:tc>
          <w:tcPr>
            <w:tcW w:w="1088" w:type="dxa"/>
            <w:tcBorders>
              <w:top w:val="nil"/>
              <w:left w:val="nil"/>
              <w:bottom w:val="nil"/>
              <w:right w:val="nil"/>
            </w:tcBorders>
            <w:shd w:val="clear" w:color="auto" w:fill="auto"/>
            <w:vAlign w:val="center"/>
          </w:tcPr>
          <w:p w14:paraId="77250B8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安全库存、再订货点、目标库存、下月总补充量及建议入库节奏</w:t>
            </w:r>
          </w:p>
        </w:tc>
        <w:tc>
          <w:tcPr>
            <w:tcW w:w="1460" w:type="dxa"/>
            <w:tcBorders>
              <w:top w:val="nil"/>
              <w:left w:val="nil"/>
              <w:bottom w:val="nil"/>
              <w:right w:val="nil"/>
            </w:tcBorders>
            <w:shd w:val="clear" w:color="auto" w:fill="auto"/>
            <w:vAlign w:val="center"/>
          </w:tcPr>
          <w:p w14:paraId="300D1A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0A017A">
        <w:trPr>
          <w:cantSplit/>
          <w:trHeight w:val="0" w:hRule="atLeast"/>
          <w:jc w:val="center"/>
        </w:trPr>
        <w:tc>
          <w:tcPr>
            <w:tcW w:w="2944" w:type="dxa"/>
            <w:tcBorders>
              <w:top w:val="nil"/>
              <w:left w:val="nil"/>
              <w:bottom w:val="nil"/>
              <w:right w:val="nil"/>
            </w:tcBorders>
            <w:shd w:val="clear" w:color="auto" w:fill="auto"/>
            <w:vAlign w:val="center"/>
          </w:tcPr>
          <w:p w14:paraId="2065A4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P-ZLTC-SCOS-KCYH-001-30-001</w:t>
            </w:r>
          </w:p>
        </w:tc>
        <w:tc>
          <w:tcPr>
            <w:tcW w:w="945" w:type="dxa"/>
            <w:tcBorders>
              <w:top w:val="nil"/>
              <w:left w:val="nil"/>
              <w:bottom w:val="nil"/>
              <w:right w:val="nil"/>
            </w:tcBorders>
            <w:shd w:val="clear" w:color="auto" w:fill="auto"/>
            <w:vAlign w:val="center"/>
          </w:tcPr>
          <w:p w14:paraId="46407C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评审库存策略规则</w:t>
            </w:r>
          </w:p>
        </w:tc>
        <w:tc>
          <w:tcPr>
            <w:tcW w:w="966" w:type="dxa"/>
            <w:tcBorders>
              <w:top w:val="nil"/>
              <w:left w:val="nil"/>
              <w:bottom w:val="nil"/>
              <w:right w:val="nil"/>
            </w:tcBorders>
            <w:shd w:val="clear" w:color="auto" w:fill="auto"/>
            <w:vAlign w:val="center"/>
          </w:tcPr>
          <w:p w14:paraId="7954E6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EAEFC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16B5D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安全库存、再订货点、目标库存、下月总补充量及建议入库节奏形成并具备评审条件后</w:t>
            </w:r>
          </w:p>
        </w:tc>
        <w:tc>
          <w:tcPr>
            <w:tcW w:w="1406" w:type="dxa"/>
            <w:tcBorders>
              <w:top w:val="nil"/>
              <w:left w:val="nil"/>
              <w:bottom w:val="nil"/>
              <w:right w:val="nil"/>
            </w:tcBorders>
            <w:shd w:val="clear" w:color="auto" w:fill="auto"/>
            <w:vAlign w:val="center"/>
          </w:tcPr>
          <w:p w14:paraId="28B0DF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复核服务水平、生产补充周期、容量约束和月度补充总量；参数或业务条件需要修改时，可重新计算。</w:t>
            </w:r>
          </w:p>
        </w:tc>
        <w:tc>
          <w:tcPr>
            <w:tcW w:w="1088" w:type="dxa"/>
            <w:tcBorders>
              <w:top w:val="nil"/>
              <w:left w:val="nil"/>
              <w:bottom w:val="nil"/>
              <w:right w:val="nil"/>
            </w:tcBorders>
            <w:shd w:val="clear" w:color="auto" w:fill="auto"/>
            <w:vAlign w:val="center"/>
          </w:tcPr>
          <w:p w14:paraId="405269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拟定成品库存策略</w:t>
            </w:r>
          </w:p>
        </w:tc>
        <w:tc>
          <w:tcPr>
            <w:tcW w:w="1460" w:type="dxa"/>
            <w:tcBorders>
              <w:top w:val="nil"/>
              <w:left w:val="nil"/>
              <w:bottom w:val="nil"/>
              <w:right w:val="nil"/>
            </w:tcBorders>
            <w:shd w:val="clear" w:color="auto" w:fill="auto"/>
            <w:vAlign w:val="center"/>
          </w:tcPr>
          <w:p w14:paraId="647F5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5DFE1F">
        <w:trPr>
          <w:cantSplit/>
          <w:trHeight w:val="0" w:hRule="atLeast"/>
          <w:jc w:val="center"/>
        </w:trPr>
        <w:tc>
          <w:tcPr>
            <w:tcW w:w="2944" w:type="dxa"/>
            <w:tcBorders>
              <w:top w:val="nil"/>
              <w:left w:val="nil"/>
              <w:bottom w:val="nil"/>
              <w:right w:val="nil"/>
            </w:tcBorders>
            <w:shd w:val="clear" w:color="auto" w:fill="auto"/>
            <w:vAlign w:val="center"/>
          </w:tcPr>
          <w:p w14:paraId="1FD436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P-ZLTC-SCOS-KCYH-001-40-001</w:t>
            </w:r>
          </w:p>
        </w:tc>
        <w:tc>
          <w:tcPr>
            <w:tcW w:w="945" w:type="dxa"/>
            <w:tcBorders>
              <w:top w:val="nil"/>
              <w:left w:val="nil"/>
              <w:bottom w:val="nil"/>
              <w:right w:val="nil"/>
            </w:tcBorders>
            <w:shd w:val="clear" w:color="auto" w:fill="auto"/>
            <w:vAlign w:val="center"/>
          </w:tcPr>
          <w:p w14:paraId="105035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确认月度库存策略规则</w:t>
            </w:r>
          </w:p>
        </w:tc>
        <w:tc>
          <w:tcPr>
            <w:tcW w:w="966" w:type="dxa"/>
            <w:tcBorders>
              <w:top w:val="nil"/>
              <w:left w:val="nil"/>
              <w:bottom w:val="nil"/>
              <w:right w:val="nil"/>
            </w:tcBorders>
            <w:shd w:val="clear" w:color="auto" w:fill="auto"/>
            <w:vAlign w:val="center"/>
          </w:tcPr>
          <w:p w14:paraId="5B8931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9A64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C076D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成品库存策略形成并具备评审条件后</w:t>
            </w:r>
          </w:p>
        </w:tc>
        <w:tc>
          <w:tcPr>
            <w:tcW w:w="1406" w:type="dxa"/>
            <w:tcBorders>
              <w:top w:val="nil"/>
              <w:left w:val="nil"/>
              <w:bottom w:val="nil"/>
              <w:right w:val="nil"/>
            </w:tcBorders>
            <w:shd w:val="clear" w:color="auto" w:fill="auto"/>
            <w:vAlign w:val="center"/>
          </w:tcPr>
          <w:p w14:paraId="06F05C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系统校验必要参数、容量和补充量范围；未确认时退回调整；确认通过后继续处理。</w:t>
            </w:r>
          </w:p>
        </w:tc>
        <w:tc>
          <w:tcPr>
            <w:tcW w:w="1088" w:type="dxa"/>
            <w:tcBorders>
              <w:top w:val="nil"/>
              <w:left w:val="nil"/>
              <w:bottom w:val="nil"/>
              <w:right w:val="nil"/>
            </w:tcBorders>
            <w:shd w:val="clear" w:color="auto" w:fill="auto"/>
            <w:vAlign w:val="center"/>
          </w:tcPr>
          <w:p w14:paraId="40D005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6157B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0A0D87">
        <w:trPr>
          <w:cantSplit/>
          <w:trHeight w:val="0" w:hRule="atLeast"/>
          <w:jc w:val="center"/>
        </w:trPr>
        <w:tc>
          <w:tcPr>
            <w:tcW w:w="2944" w:type="dxa"/>
            <w:tcBorders>
              <w:top w:val="nil"/>
              <w:left w:val="nil"/>
              <w:bottom w:val="nil"/>
              <w:right w:val="nil"/>
            </w:tcBorders>
            <w:shd w:val="clear" w:color="auto" w:fill="auto"/>
            <w:vAlign w:val="center"/>
          </w:tcPr>
          <w:p w14:paraId="42D229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P-ZLTC-SCOS-KCYH-001-50-001</w:t>
            </w:r>
          </w:p>
        </w:tc>
        <w:tc>
          <w:tcPr>
            <w:tcW w:w="945" w:type="dxa"/>
            <w:tcBorders>
              <w:top w:val="nil"/>
              <w:left w:val="nil"/>
              <w:bottom w:val="nil"/>
              <w:right w:val="nil"/>
            </w:tcBorders>
            <w:shd w:val="clear" w:color="auto" w:fill="auto"/>
            <w:vAlign w:val="center"/>
          </w:tcPr>
          <w:p w14:paraId="5154D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审批月度库存策略规则</w:t>
            </w:r>
          </w:p>
        </w:tc>
        <w:tc>
          <w:tcPr>
            <w:tcW w:w="966" w:type="dxa"/>
            <w:tcBorders>
              <w:top w:val="nil"/>
              <w:left w:val="nil"/>
              <w:bottom w:val="nil"/>
              <w:right w:val="nil"/>
            </w:tcBorders>
            <w:shd w:val="clear" w:color="auto" w:fill="auto"/>
            <w:vAlign w:val="center"/>
          </w:tcPr>
          <w:p w14:paraId="0836D9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8F6DE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4425CF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确认月度库存策略通过时</w:t>
            </w:r>
          </w:p>
        </w:tc>
        <w:tc>
          <w:tcPr>
            <w:tcW w:w="1406" w:type="dxa"/>
            <w:tcBorders>
              <w:top w:val="nil"/>
              <w:left w:val="nil"/>
              <w:bottom w:val="nil"/>
              <w:right w:val="nil"/>
            </w:tcBorders>
            <w:shd w:val="clear" w:color="auto" w:fill="auto"/>
            <w:vAlign w:val="center"/>
          </w:tcPr>
          <w:p w14:paraId="62B30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审核策略合理性及关键约束；审批未通过时退回补充或修改；审批通过后继续处理。</w:t>
            </w:r>
          </w:p>
        </w:tc>
        <w:tc>
          <w:tcPr>
            <w:tcW w:w="1088" w:type="dxa"/>
            <w:tcBorders>
              <w:top w:val="nil"/>
              <w:left w:val="nil"/>
              <w:bottom w:val="nil"/>
              <w:right w:val="nil"/>
            </w:tcBorders>
            <w:shd w:val="clear" w:color="auto" w:fill="auto"/>
            <w:vAlign w:val="center"/>
          </w:tcPr>
          <w:p w14:paraId="613E6F5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E5C9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41546E">
        <w:trPr>
          <w:cantSplit/>
          <w:trHeight w:val="0" w:hRule="atLeast"/>
          <w:jc w:val="center"/>
        </w:trPr>
        <w:tc>
          <w:tcPr>
            <w:tcW w:w="2944" w:type="dxa"/>
            <w:tcBorders>
              <w:top w:val="nil"/>
              <w:left w:val="nil"/>
              <w:bottom w:val="nil"/>
              <w:right w:val="nil"/>
            </w:tcBorders>
            <w:shd w:val="clear" w:color="auto" w:fill="auto"/>
            <w:vAlign w:val="center"/>
          </w:tcPr>
          <w:p w14:paraId="6EB7A01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P-ZLTC-SCOS-KCYH-001-60-001</w:t>
            </w:r>
          </w:p>
        </w:tc>
        <w:tc>
          <w:tcPr>
            <w:tcW w:w="945" w:type="dxa"/>
            <w:tcBorders>
              <w:top w:val="nil"/>
              <w:left w:val="nil"/>
              <w:bottom w:val="nil"/>
              <w:right w:val="nil"/>
            </w:tcBorders>
            <w:shd w:val="clear" w:color="auto" w:fill="auto"/>
            <w:vAlign w:val="center"/>
          </w:tcPr>
          <w:p w14:paraId="356CFD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发布月度库存策略与总补充计划规则</w:t>
            </w:r>
          </w:p>
        </w:tc>
        <w:tc>
          <w:tcPr>
            <w:tcW w:w="966" w:type="dxa"/>
            <w:tcBorders>
              <w:top w:val="nil"/>
              <w:left w:val="nil"/>
              <w:bottom w:val="nil"/>
              <w:right w:val="nil"/>
            </w:tcBorders>
            <w:shd w:val="clear" w:color="auto" w:fill="auto"/>
            <w:vAlign w:val="center"/>
          </w:tcPr>
          <w:p w14:paraId="2892BE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59835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687886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审批月度库存策略通过时</w:t>
            </w:r>
          </w:p>
        </w:tc>
        <w:tc>
          <w:tcPr>
            <w:tcW w:w="1406" w:type="dxa"/>
            <w:tcBorders>
              <w:top w:val="nil"/>
              <w:left w:val="nil"/>
              <w:bottom w:val="nil"/>
              <w:right w:val="nil"/>
            </w:tcBorders>
            <w:shd w:val="clear" w:color="auto" w:fill="auto"/>
            <w:vAlign w:val="center"/>
          </w:tcPr>
          <w:p w14:paraId="419D54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策略发布后在月内作为日度库存监控基准；发布失败时保留待发布状态并支持重试。</w:t>
            </w:r>
          </w:p>
        </w:tc>
        <w:tc>
          <w:tcPr>
            <w:tcW w:w="1088" w:type="dxa"/>
            <w:tcBorders>
              <w:top w:val="nil"/>
              <w:left w:val="nil"/>
              <w:bottom w:val="nil"/>
              <w:right w:val="nil"/>
            </w:tcBorders>
            <w:shd w:val="clear" w:color="auto" w:fill="auto"/>
            <w:vAlign w:val="center"/>
          </w:tcPr>
          <w:p w14:paraId="2ECAB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已发布的安全库存、再订货点、目标库存、月度总补充计划及版本</w:t>
            </w:r>
          </w:p>
        </w:tc>
        <w:tc>
          <w:tcPr>
            <w:tcW w:w="1460" w:type="dxa"/>
            <w:tcBorders>
              <w:top w:val="nil"/>
              <w:left w:val="nil"/>
              <w:bottom w:val="nil"/>
              <w:right w:val="nil"/>
            </w:tcBorders>
            <w:shd w:val="clear" w:color="auto" w:fill="auto"/>
            <w:vAlign w:val="center"/>
          </w:tcPr>
          <w:p w14:paraId="6989FB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65DF43C">
        <w:trPr>
          <w:cantSplit/>
          <w:trHeight w:val="0" w:hRule="atLeast"/>
          <w:jc w:val="center"/>
        </w:trPr>
        <w:tc>
          <w:tcPr>
            <w:tcW w:w="2944" w:type="dxa"/>
            <w:tcBorders>
              <w:top w:val="nil"/>
              <w:left w:val="nil"/>
              <w:bottom w:val="nil"/>
              <w:right w:val="nil"/>
            </w:tcBorders>
            <w:shd w:val="clear" w:color="auto" w:fill="auto"/>
            <w:vAlign w:val="center"/>
          </w:tcPr>
          <w:p w14:paraId="7DB45D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P-ZLTC-SCOS-KCYH-001-70-001</w:t>
            </w:r>
          </w:p>
        </w:tc>
        <w:tc>
          <w:tcPr>
            <w:tcW w:w="945" w:type="dxa"/>
            <w:tcBorders>
              <w:top w:val="nil"/>
              <w:left w:val="nil"/>
              <w:bottom w:val="nil"/>
              <w:right w:val="nil"/>
            </w:tcBorders>
            <w:shd w:val="clear" w:color="auto" w:fill="auto"/>
            <w:vAlign w:val="center"/>
          </w:tcPr>
          <w:p w14:paraId="4E105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进入周度计划分解规则</w:t>
            </w:r>
          </w:p>
        </w:tc>
        <w:tc>
          <w:tcPr>
            <w:tcW w:w="966" w:type="dxa"/>
            <w:tcBorders>
              <w:top w:val="nil"/>
              <w:left w:val="nil"/>
              <w:bottom w:val="nil"/>
              <w:right w:val="nil"/>
            </w:tcBorders>
            <w:shd w:val="clear" w:color="auto" w:fill="auto"/>
            <w:vAlign w:val="center"/>
          </w:tcPr>
          <w:p w14:paraId="6EF129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3F5DB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12C228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安全库存、再订货点、目标库存、月度总补充计划及版本形成后</w:t>
            </w:r>
          </w:p>
        </w:tc>
        <w:tc>
          <w:tcPr>
            <w:tcW w:w="1406" w:type="dxa"/>
            <w:tcBorders>
              <w:top w:val="nil"/>
              <w:left w:val="nil"/>
              <w:bottom w:val="nil"/>
              <w:right w:val="nil"/>
            </w:tcBorders>
            <w:shd w:val="clear" w:color="auto" w:fill="auto"/>
            <w:vAlign w:val="center"/>
          </w:tcPr>
          <w:p w14:paraId="1AFAABF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将月度总补充量作为总量控制口径；月度策略或总量未发布时，不得作为正式周计划基准。</w:t>
            </w:r>
          </w:p>
        </w:tc>
        <w:tc>
          <w:tcPr>
            <w:tcW w:w="1088" w:type="dxa"/>
            <w:tcBorders>
              <w:top w:val="nil"/>
              <w:left w:val="nil"/>
              <w:bottom w:val="nil"/>
              <w:right w:val="nil"/>
            </w:tcBorders>
            <w:shd w:val="clear" w:color="auto" w:fill="auto"/>
            <w:vAlign w:val="center"/>
          </w:tcPr>
          <w:p w14:paraId="30822F5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周度计划分解基准</w:t>
            </w:r>
          </w:p>
        </w:tc>
        <w:tc>
          <w:tcPr>
            <w:tcW w:w="1460" w:type="dxa"/>
            <w:tcBorders>
              <w:top w:val="nil"/>
              <w:left w:val="nil"/>
              <w:bottom w:val="nil"/>
              <w:right w:val="nil"/>
            </w:tcBorders>
            <w:shd w:val="clear" w:color="auto" w:fill="auto"/>
            <w:vAlign w:val="center"/>
          </w:tcPr>
          <w:p w14:paraId="4A40426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152739F">
        <w:trPr>
          <w:cantSplit/>
          <w:trHeight w:val="0" w:hRule="atLeast"/>
          <w:jc w:val="center"/>
        </w:trPr>
        <w:tc>
          <w:tcPr>
            <w:tcW w:w="2944" w:type="dxa"/>
            <w:tcBorders>
              <w:top w:val="nil"/>
              <w:left w:val="nil"/>
              <w:bottom w:val="nil"/>
              <w:right w:val="nil"/>
            </w:tcBorders>
            <w:shd w:val="clear" w:color="auto" w:fill="auto"/>
            <w:vAlign w:val="center"/>
          </w:tcPr>
          <w:p w14:paraId="608226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P-ZLTC-SCOS-KCYH-002-10-001</w:t>
            </w:r>
          </w:p>
        </w:tc>
        <w:tc>
          <w:tcPr>
            <w:tcW w:w="945" w:type="dxa"/>
            <w:tcBorders>
              <w:top w:val="nil"/>
              <w:left w:val="nil"/>
              <w:bottom w:val="nil"/>
              <w:right w:val="nil"/>
            </w:tcBorders>
            <w:shd w:val="clear" w:color="auto" w:fill="auto"/>
            <w:vAlign w:val="center"/>
          </w:tcPr>
          <w:p w14:paraId="0ECC9B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汇集周计划输入数据规则</w:t>
            </w:r>
          </w:p>
        </w:tc>
        <w:tc>
          <w:tcPr>
            <w:tcW w:w="966" w:type="dxa"/>
            <w:tcBorders>
              <w:top w:val="nil"/>
              <w:left w:val="nil"/>
              <w:bottom w:val="nil"/>
              <w:right w:val="nil"/>
            </w:tcBorders>
            <w:shd w:val="clear" w:color="auto" w:fill="auto"/>
            <w:vAlign w:val="center"/>
          </w:tcPr>
          <w:p w14:paraId="3CA087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F4ADC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45844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每周五开始制定周度生产补充计划，一次性面向未来4周进行计算时</w:t>
            </w:r>
          </w:p>
        </w:tc>
        <w:tc>
          <w:tcPr>
            <w:tcW w:w="1406" w:type="dxa"/>
            <w:tcBorders>
              <w:top w:val="nil"/>
              <w:left w:val="nil"/>
              <w:bottom w:val="nil"/>
              <w:right w:val="nil"/>
            </w:tcBorders>
            <w:shd w:val="clear" w:color="auto" w:fill="auto"/>
            <w:vAlign w:val="center"/>
          </w:tcPr>
          <w:p w14:paraId="04EC07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通过统一数据服务层提供本次计算所需的最新业务数据；数据缺失、过期或状态冲突时，暂不生成正式建议并提示人工核实。</w:t>
            </w:r>
          </w:p>
        </w:tc>
        <w:tc>
          <w:tcPr>
            <w:tcW w:w="1088" w:type="dxa"/>
            <w:tcBorders>
              <w:top w:val="nil"/>
              <w:left w:val="nil"/>
              <w:bottom w:val="nil"/>
              <w:right w:val="nil"/>
            </w:tcBorders>
            <w:shd w:val="clear" w:color="auto" w:fill="auto"/>
            <w:vAlign w:val="center"/>
          </w:tcPr>
          <w:p w14:paraId="3DAFB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未来4周生产补充计算数据集</w:t>
            </w:r>
          </w:p>
        </w:tc>
        <w:tc>
          <w:tcPr>
            <w:tcW w:w="1460" w:type="dxa"/>
            <w:tcBorders>
              <w:top w:val="nil"/>
              <w:left w:val="nil"/>
              <w:bottom w:val="nil"/>
              <w:right w:val="nil"/>
            </w:tcBorders>
            <w:shd w:val="clear" w:color="auto" w:fill="auto"/>
            <w:vAlign w:val="center"/>
          </w:tcPr>
          <w:p w14:paraId="06A043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171F0C">
        <w:trPr>
          <w:cantSplit/>
          <w:trHeight w:val="0" w:hRule="atLeast"/>
          <w:jc w:val="center"/>
        </w:trPr>
        <w:tc>
          <w:tcPr>
            <w:tcW w:w="2944" w:type="dxa"/>
            <w:tcBorders>
              <w:top w:val="nil"/>
              <w:left w:val="nil"/>
              <w:bottom w:val="nil"/>
              <w:right w:val="nil"/>
            </w:tcBorders>
            <w:shd w:val="clear" w:color="auto" w:fill="auto"/>
            <w:vAlign w:val="center"/>
          </w:tcPr>
          <w:p w14:paraId="60FADD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P-ZLTC-SCOS-KCYH-002-20-001</w:t>
            </w:r>
          </w:p>
        </w:tc>
        <w:tc>
          <w:tcPr>
            <w:tcW w:w="945" w:type="dxa"/>
            <w:tcBorders>
              <w:top w:val="nil"/>
              <w:left w:val="nil"/>
              <w:bottom w:val="nil"/>
              <w:right w:val="nil"/>
            </w:tcBorders>
            <w:shd w:val="clear" w:color="auto" w:fill="auto"/>
            <w:vAlign w:val="center"/>
          </w:tcPr>
          <w:p w14:paraId="30FE55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生成未来4周日度生产补充量规则</w:t>
            </w:r>
          </w:p>
        </w:tc>
        <w:tc>
          <w:tcPr>
            <w:tcW w:w="966" w:type="dxa"/>
            <w:tcBorders>
              <w:top w:val="nil"/>
              <w:left w:val="nil"/>
              <w:bottom w:val="nil"/>
              <w:right w:val="nil"/>
            </w:tcBorders>
            <w:shd w:val="clear" w:color="auto" w:fill="auto"/>
            <w:vAlign w:val="center"/>
          </w:tcPr>
          <w:p w14:paraId="5E1DF9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50B4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4BE82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未来4周生产补充计算数据集形成后</w:t>
            </w:r>
          </w:p>
        </w:tc>
        <w:tc>
          <w:tcPr>
            <w:tcW w:w="1406" w:type="dxa"/>
            <w:tcBorders>
              <w:top w:val="nil"/>
              <w:left w:val="nil"/>
              <w:bottom w:val="nil"/>
              <w:right w:val="nil"/>
            </w:tcBorders>
            <w:shd w:val="clear" w:color="auto" w:fill="auto"/>
            <w:vAlign w:val="center"/>
          </w:tcPr>
          <w:p w14:paraId="53D34D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每周五一次性向后计算4周；周界严格采用周六至下周五；某日无需新增补充时，日度生产补充量可为0。</w:t>
            </w:r>
          </w:p>
        </w:tc>
        <w:tc>
          <w:tcPr>
            <w:tcW w:w="1088" w:type="dxa"/>
            <w:tcBorders>
              <w:top w:val="nil"/>
              <w:left w:val="nil"/>
              <w:bottom w:val="nil"/>
              <w:right w:val="nil"/>
            </w:tcBorders>
            <w:shd w:val="clear" w:color="auto" w:fill="auto"/>
            <w:vAlign w:val="center"/>
          </w:tcPr>
          <w:p w14:paraId="4D5AA1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各成品未来4周的日度生产补充量</w:t>
            </w:r>
          </w:p>
        </w:tc>
        <w:tc>
          <w:tcPr>
            <w:tcW w:w="1460" w:type="dxa"/>
            <w:tcBorders>
              <w:top w:val="nil"/>
              <w:left w:val="nil"/>
              <w:bottom w:val="nil"/>
              <w:right w:val="nil"/>
            </w:tcBorders>
            <w:shd w:val="clear" w:color="auto" w:fill="auto"/>
            <w:vAlign w:val="center"/>
          </w:tcPr>
          <w:p w14:paraId="04BE9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DCCB8A0">
        <w:trPr>
          <w:cantSplit/>
          <w:trHeight w:val="0" w:hRule="atLeast"/>
          <w:jc w:val="center"/>
        </w:trPr>
        <w:tc>
          <w:tcPr>
            <w:tcW w:w="2944" w:type="dxa"/>
            <w:tcBorders>
              <w:top w:val="nil"/>
              <w:left w:val="nil"/>
              <w:bottom w:val="nil"/>
              <w:right w:val="nil"/>
            </w:tcBorders>
            <w:shd w:val="clear" w:color="auto" w:fill="auto"/>
            <w:vAlign w:val="center"/>
          </w:tcPr>
          <w:p w14:paraId="6B7AF0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P-ZLTC-SCOS-KCYH-002-30-001</w:t>
            </w:r>
          </w:p>
        </w:tc>
        <w:tc>
          <w:tcPr>
            <w:tcW w:w="945" w:type="dxa"/>
            <w:tcBorders>
              <w:top w:val="nil"/>
              <w:left w:val="nil"/>
              <w:bottom w:val="nil"/>
              <w:right w:val="nil"/>
            </w:tcBorders>
            <w:shd w:val="clear" w:color="auto" w:fill="auto"/>
            <w:vAlign w:val="center"/>
          </w:tcPr>
          <w:p w14:paraId="72A0DB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汇总4周周度生产补充建议规则</w:t>
            </w:r>
          </w:p>
        </w:tc>
        <w:tc>
          <w:tcPr>
            <w:tcW w:w="966" w:type="dxa"/>
            <w:tcBorders>
              <w:top w:val="nil"/>
              <w:left w:val="nil"/>
              <w:bottom w:val="nil"/>
              <w:right w:val="nil"/>
            </w:tcBorders>
            <w:shd w:val="clear" w:color="auto" w:fill="auto"/>
            <w:vAlign w:val="center"/>
          </w:tcPr>
          <w:p w14:paraId="32FB27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6D2A3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717AF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各成品未来4周的日度生产补充量形成后</w:t>
            </w:r>
          </w:p>
        </w:tc>
        <w:tc>
          <w:tcPr>
            <w:tcW w:w="1406" w:type="dxa"/>
            <w:tcBorders>
              <w:top w:val="nil"/>
              <w:left w:val="nil"/>
              <w:bottom w:val="nil"/>
              <w:right w:val="nil"/>
            </w:tcBorders>
            <w:shd w:val="clear" w:color="auto" w:fill="auto"/>
            <w:vAlign w:val="center"/>
          </w:tcPr>
          <w:p w14:paraId="26A5EF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对每个“周六至下周五”周期内的日度生产补充量进行加和；日度结果缺失或周期归属异常时，不生成对应周的正式汇总结果并提示校验。</w:t>
            </w:r>
          </w:p>
        </w:tc>
        <w:tc>
          <w:tcPr>
            <w:tcW w:w="1088" w:type="dxa"/>
            <w:tcBorders>
              <w:top w:val="nil"/>
              <w:left w:val="nil"/>
              <w:bottom w:val="nil"/>
              <w:right w:val="nil"/>
            </w:tcBorders>
            <w:shd w:val="clear" w:color="auto" w:fill="auto"/>
            <w:vAlign w:val="center"/>
          </w:tcPr>
          <w:p w14:paraId="40EE34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未来4周各成品的周度生产补充建议</w:t>
            </w:r>
          </w:p>
        </w:tc>
        <w:tc>
          <w:tcPr>
            <w:tcW w:w="1460" w:type="dxa"/>
            <w:tcBorders>
              <w:top w:val="nil"/>
              <w:left w:val="nil"/>
              <w:bottom w:val="nil"/>
              <w:right w:val="nil"/>
            </w:tcBorders>
            <w:shd w:val="clear" w:color="auto" w:fill="auto"/>
            <w:vAlign w:val="center"/>
          </w:tcPr>
          <w:p w14:paraId="0B2940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EA71BC">
        <w:trPr>
          <w:cantSplit/>
          <w:trHeight w:val="0" w:hRule="atLeast"/>
          <w:jc w:val="center"/>
        </w:trPr>
        <w:tc>
          <w:tcPr>
            <w:tcW w:w="2944" w:type="dxa"/>
            <w:tcBorders>
              <w:top w:val="nil"/>
              <w:left w:val="nil"/>
              <w:bottom w:val="nil"/>
              <w:right w:val="nil"/>
            </w:tcBorders>
            <w:shd w:val="clear" w:color="auto" w:fill="auto"/>
            <w:vAlign w:val="center"/>
          </w:tcPr>
          <w:p w14:paraId="09AB68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P-ZLTC-SCOS-KCYH-002-40-001</w:t>
            </w:r>
          </w:p>
        </w:tc>
        <w:tc>
          <w:tcPr>
            <w:tcW w:w="945" w:type="dxa"/>
            <w:tcBorders>
              <w:top w:val="nil"/>
              <w:left w:val="nil"/>
              <w:bottom w:val="nil"/>
              <w:right w:val="nil"/>
            </w:tcBorders>
            <w:shd w:val="clear" w:color="auto" w:fill="auto"/>
            <w:vAlign w:val="center"/>
          </w:tcPr>
          <w:p w14:paraId="54A1F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评审4周周度生产补充建议规则</w:t>
            </w:r>
          </w:p>
        </w:tc>
        <w:tc>
          <w:tcPr>
            <w:tcW w:w="966" w:type="dxa"/>
            <w:tcBorders>
              <w:top w:val="nil"/>
              <w:left w:val="nil"/>
              <w:bottom w:val="nil"/>
              <w:right w:val="nil"/>
            </w:tcBorders>
            <w:shd w:val="clear" w:color="auto" w:fill="auto"/>
            <w:vAlign w:val="center"/>
          </w:tcPr>
          <w:p w14:paraId="163274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9F3F1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FCE8C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未来4周各成品的周度生产补充建议形成并具备评审条件后</w:t>
            </w:r>
          </w:p>
        </w:tc>
        <w:tc>
          <w:tcPr>
            <w:tcW w:w="1406" w:type="dxa"/>
            <w:tcBorders>
              <w:top w:val="nil"/>
              <w:left w:val="nil"/>
              <w:bottom w:val="nil"/>
              <w:right w:val="nil"/>
            </w:tcBorders>
            <w:shd w:val="clear" w:color="auto" w:fill="auto"/>
            <w:vAlign w:val="center"/>
          </w:tcPr>
          <w:p w14:paraId="63703AE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复核未来4周补货总量、各周及每日分配、月度剩余可补充量和已排程安排；业务条件或建议数量需要修改时，可重新计算日度生产补充量。</w:t>
            </w:r>
          </w:p>
        </w:tc>
        <w:tc>
          <w:tcPr>
            <w:tcW w:w="1088" w:type="dxa"/>
            <w:tcBorders>
              <w:top w:val="nil"/>
              <w:left w:val="nil"/>
              <w:bottom w:val="nil"/>
              <w:right w:val="nil"/>
            </w:tcBorders>
            <w:shd w:val="clear" w:color="auto" w:fill="auto"/>
            <w:vAlign w:val="center"/>
          </w:tcPr>
          <w:p w14:paraId="2059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拟定4周周度生产补充建议</w:t>
            </w:r>
          </w:p>
        </w:tc>
        <w:tc>
          <w:tcPr>
            <w:tcW w:w="1460" w:type="dxa"/>
            <w:tcBorders>
              <w:top w:val="nil"/>
              <w:left w:val="nil"/>
              <w:bottom w:val="nil"/>
              <w:right w:val="nil"/>
            </w:tcBorders>
            <w:shd w:val="clear" w:color="auto" w:fill="auto"/>
            <w:vAlign w:val="center"/>
          </w:tcPr>
          <w:p w14:paraId="62D97C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4C1834">
        <w:trPr>
          <w:cantSplit/>
          <w:trHeight w:val="0" w:hRule="atLeast"/>
          <w:jc w:val="center"/>
        </w:trPr>
        <w:tc>
          <w:tcPr>
            <w:tcW w:w="2944" w:type="dxa"/>
            <w:tcBorders>
              <w:top w:val="nil"/>
              <w:left w:val="nil"/>
              <w:bottom w:val="nil"/>
              <w:right w:val="nil"/>
            </w:tcBorders>
            <w:shd w:val="clear" w:color="auto" w:fill="auto"/>
            <w:vAlign w:val="center"/>
          </w:tcPr>
          <w:p w14:paraId="4EEA51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P-ZLTC-SCOS-KCYH-002-50-001</w:t>
            </w:r>
          </w:p>
        </w:tc>
        <w:tc>
          <w:tcPr>
            <w:tcW w:w="945" w:type="dxa"/>
            <w:tcBorders>
              <w:top w:val="nil"/>
              <w:left w:val="nil"/>
              <w:bottom w:val="nil"/>
              <w:right w:val="nil"/>
            </w:tcBorders>
            <w:shd w:val="clear" w:color="auto" w:fill="auto"/>
            <w:vAlign w:val="center"/>
          </w:tcPr>
          <w:p w14:paraId="297CAC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确认周度生产补充建议规则</w:t>
            </w:r>
          </w:p>
        </w:tc>
        <w:tc>
          <w:tcPr>
            <w:tcW w:w="966" w:type="dxa"/>
            <w:tcBorders>
              <w:top w:val="nil"/>
              <w:left w:val="nil"/>
              <w:bottom w:val="nil"/>
              <w:right w:val="nil"/>
            </w:tcBorders>
            <w:shd w:val="clear" w:color="auto" w:fill="auto"/>
            <w:vAlign w:val="center"/>
          </w:tcPr>
          <w:p w14:paraId="26CC641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A8780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0C7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4周周度生产补充建议形成并具备评审条件后</w:t>
            </w:r>
          </w:p>
        </w:tc>
        <w:tc>
          <w:tcPr>
            <w:tcW w:w="1406" w:type="dxa"/>
            <w:tcBorders>
              <w:top w:val="nil"/>
              <w:left w:val="nil"/>
              <w:bottom w:val="nil"/>
              <w:right w:val="nil"/>
            </w:tcBorders>
            <w:shd w:val="clear" w:color="auto" w:fill="auto"/>
            <w:vAlign w:val="center"/>
          </w:tcPr>
          <w:p w14:paraId="4B3C7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校验4周汇总结果与日度明细一致，且已排程量未被重复计入；未确认时退回调整；确认通过后继续处理。</w:t>
            </w:r>
          </w:p>
        </w:tc>
        <w:tc>
          <w:tcPr>
            <w:tcW w:w="1088" w:type="dxa"/>
            <w:tcBorders>
              <w:top w:val="nil"/>
              <w:left w:val="nil"/>
              <w:bottom w:val="nil"/>
              <w:right w:val="nil"/>
            </w:tcBorders>
            <w:shd w:val="clear" w:color="auto" w:fill="auto"/>
            <w:vAlign w:val="center"/>
          </w:tcPr>
          <w:p w14:paraId="203B3B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库存侧确认结论</w:t>
            </w:r>
          </w:p>
        </w:tc>
        <w:tc>
          <w:tcPr>
            <w:tcW w:w="1460" w:type="dxa"/>
            <w:tcBorders>
              <w:top w:val="nil"/>
              <w:left w:val="nil"/>
              <w:bottom w:val="nil"/>
              <w:right w:val="nil"/>
            </w:tcBorders>
            <w:shd w:val="clear" w:color="auto" w:fill="auto"/>
            <w:vAlign w:val="center"/>
          </w:tcPr>
          <w:p w14:paraId="4078BC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31EEA6">
        <w:trPr>
          <w:cantSplit/>
          <w:trHeight w:val="0" w:hRule="atLeast"/>
          <w:jc w:val="center"/>
        </w:trPr>
        <w:tc>
          <w:tcPr>
            <w:tcW w:w="2944" w:type="dxa"/>
            <w:tcBorders>
              <w:top w:val="nil"/>
              <w:left w:val="nil"/>
              <w:bottom w:val="nil"/>
              <w:right w:val="nil"/>
            </w:tcBorders>
            <w:shd w:val="clear" w:color="auto" w:fill="auto"/>
            <w:vAlign w:val="center"/>
          </w:tcPr>
          <w:p w14:paraId="6DDE2B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P-ZLTC-SCOS-KCYH-002-60-001</w:t>
            </w:r>
          </w:p>
        </w:tc>
        <w:tc>
          <w:tcPr>
            <w:tcW w:w="945" w:type="dxa"/>
            <w:tcBorders>
              <w:top w:val="nil"/>
              <w:left w:val="nil"/>
              <w:bottom w:val="nil"/>
              <w:right w:val="nil"/>
            </w:tcBorders>
            <w:shd w:val="clear" w:color="auto" w:fill="auto"/>
            <w:vAlign w:val="center"/>
          </w:tcPr>
          <w:p w14:paraId="74C482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确认生产排程承接安排规则</w:t>
            </w:r>
          </w:p>
        </w:tc>
        <w:tc>
          <w:tcPr>
            <w:tcW w:w="966" w:type="dxa"/>
            <w:tcBorders>
              <w:top w:val="nil"/>
              <w:left w:val="nil"/>
              <w:bottom w:val="nil"/>
              <w:right w:val="nil"/>
            </w:tcBorders>
            <w:shd w:val="clear" w:color="auto" w:fill="auto"/>
            <w:vAlign w:val="center"/>
          </w:tcPr>
          <w:p w14:paraId="25289A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1A633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0FBF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确认周度生产补充建议通过时</w:t>
            </w:r>
          </w:p>
        </w:tc>
        <w:tc>
          <w:tcPr>
            <w:tcW w:w="1406" w:type="dxa"/>
            <w:tcBorders>
              <w:top w:val="nil"/>
              <w:left w:val="nil"/>
              <w:bottom w:val="nil"/>
              <w:right w:val="nil"/>
            </w:tcBorders>
            <w:shd w:val="clear" w:color="auto" w:fill="auto"/>
            <w:vAlign w:val="center"/>
          </w:tcPr>
          <w:p w14:paraId="71C185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核对产能、设备、原料、工艺及已确认任务，判断补货建议能否纳入生产排程；无法承接时，应明确受影响周次、可承接数量及约束原因。</w:t>
            </w:r>
          </w:p>
        </w:tc>
        <w:tc>
          <w:tcPr>
            <w:tcW w:w="1088" w:type="dxa"/>
            <w:tcBorders>
              <w:top w:val="nil"/>
              <w:left w:val="nil"/>
              <w:bottom w:val="nil"/>
              <w:right w:val="nil"/>
            </w:tcBorders>
            <w:shd w:val="clear" w:color="auto" w:fill="auto"/>
            <w:vAlign w:val="center"/>
          </w:tcPr>
          <w:p w14:paraId="7A5328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生产排程承接意见</w:t>
            </w:r>
          </w:p>
        </w:tc>
        <w:tc>
          <w:tcPr>
            <w:tcW w:w="1460" w:type="dxa"/>
            <w:tcBorders>
              <w:top w:val="nil"/>
              <w:left w:val="nil"/>
              <w:bottom w:val="nil"/>
              <w:right w:val="nil"/>
            </w:tcBorders>
            <w:shd w:val="clear" w:color="auto" w:fill="auto"/>
            <w:vAlign w:val="center"/>
          </w:tcPr>
          <w:p w14:paraId="0F669A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B4DF3E">
        <w:trPr>
          <w:cantSplit/>
          <w:trHeight w:val="0" w:hRule="atLeast"/>
          <w:jc w:val="center"/>
        </w:trPr>
        <w:tc>
          <w:tcPr>
            <w:tcW w:w="2944" w:type="dxa"/>
            <w:tcBorders>
              <w:top w:val="nil"/>
              <w:left w:val="nil"/>
              <w:bottom w:val="nil"/>
              <w:right w:val="nil"/>
            </w:tcBorders>
            <w:shd w:val="clear" w:color="auto" w:fill="auto"/>
            <w:vAlign w:val="center"/>
          </w:tcPr>
          <w:p w14:paraId="2B7886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P-ZLTC-SCOS-KCYH-002-70-001</w:t>
            </w:r>
          </w:p>
        </w:tc>
        <w:tc>
          <w:tcPr>
            <w:tcW w:w="945" w:type="dxa"/>
            <w:tcBorders>
              <w:top w:val="nil"/>
              <w:left w:val="nil"/>
              <w:bottom w:val="nil"/>
              <w:right w:val="nil"/>
            </w:tcBorders>
            <w:shd w:val="clear" w:color="auto" w:fill="auto"/>
            <w:vAlign w:val="center"/>
          </w:tcPr>
          <w:p w14:paraId="43CD5B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确认纳入生产排程规则</w:t>
            </w:r>
          </w:p>
        </w:tc>
        <w:tc>
          <w:tcPr>
            <w:tcW w:w="966" w:type="dxa"/>
            <w:tcBorders>
              <w:top w:val="nil"/>
              <w:left w:val="nil"/>
              <w:bottom w:val="nil"/>
              <w:right w:val="nil"/>
            </w:tcBorders>
            <w:shd w:val="clear" w:color="auto" w:fill="auto"/>
            <w:vAlign w:val="center"/>
          </w:tcPr>
          <w:p w14:paraId="4F9DA5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34BFC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6BA32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生产排程承接意见形成并具备评审条件后</w:t>
            </w:r>
          </w:p>
        </w:tc>
        <w:tc>
          <w:tcPr>
            <w:tcW w:w="1406" w:type="dxa"/>
            <w:tcBorders>
              <w:top w:val="nil"/>
              <w:left w:val="nil"/>
              <w:bottom w:val="nil"/>
              <w:right w:val="nil"/>
            </w:tcBorders>
            <w:shd w:val="clear" w:color="auto" w:fill="auto"/>
            <w:vAlign w:val="center"/>
          </w:tcPr>
          <w:p w14:paraId="1E32F6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判断并确认周度生产补充建议是否纳入生产排程；未确认时退回协调承接安排；确认通过后继续处理。</w:t>
            </w:r>
          </w:p>
        </w:tc>
        <w:tc>
          <w:tcPr>
            <w:tcW w:w="1088" w:type="dxa"/>
            <w:tcBorders>
              <w:top w:val="nil"/>
              <w:left w:val="nil"/>
              <w:bottom w:val="nil"/>
              <w:right w:val="nil"/>
            </w:tcBorders>
            <w:shd w:val="clear" w:color="auto" w:fill="auto"/>
            <w:vAlign w:val="center"/>
          </w:tcPr>
          <w:p w14:paraId="4FC54E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纳入生产排程的确认结论</w:t>
            </w:r>
          </w:p>
        </w:tc>
        <w:tc>
          <w:tcPr>
            <w:tcW w:w="1460" w:type="dxa"/>
            <w:tcBorders>
              <w:top w:val="nil"/>
              <w:left w:val="nil"/>
              <w:bottom w:val="nil"/>
              <w:right w:val="nil"/>
            </w:tcBorders>
            <w:shd w:val="clear" w:color="auto" w:fill="auto"/>
            <w:vAlign w:val="center"/>
          </w:tcPr>
          <w:p w14:paraId="7CE7F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A38815">
        <w:trPr>
          <w:cantSplit/>
          <w:trHeight w:val="0" w:hRule="atLeast"/>
          <w:jc w:val="center"/>
        </w:trPr>
        <w:tc>
          <w:tcPr>
            <w:tcW w:w="2944" w:type="dxa"/>
            <w:tcBorders>
              <w:top w:val="nil"/>
              <w:left w:val="nil"/>
              <w:bottom w:val="nil"/>
              <w:right w:val="nil"/>
            </w:tcBorders>
            <w:shd w:val="clear" w:color="auto" w:fill="auto"/>
            <w:vAlign w:val="center"/>
          </w:tcPr>
          <w:p w14:paraId="249CF9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P-ZLTC-SCOS-KCYH-002-80-001</w:t>
            </w:r>
          </w:p>
        </w:tc>
        <w:tc>
          <w:tcPr>
            <w:tcW w:w="945" w:type="dxa"/>
            <w:tcBorders>
              <w:top w:val="nil"/>
              <w:left w:val="nil"/>
              <w:bottom w:val="nil"/>
              <w:right w:val="nil"/>
            </w:tcBorders>
            <w:shd w:val="clear" w:color="auto" w:fill="auto"/>
            <w:vAlign w:val="center"/>
          </w:tcPr>
          <w:p w14:paraId="494FF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锁定第1周生产补充量规则</w:t>
            </w:r>
          </w:p>
        </w:tc>
        <w:tc>
          <w:tcPr>
            <w:tcW w:w="966" w:type="dxa"/>
            <w:tcBorders>
              <w:top w:val="nil"/>
              <w:left w:val="nil"/>
              <w:bottom w:val="nil"/>
              <w:right w:val="nil"/>
            </w:tcBorders>
            <w:shd w:val="clear" w:color="auto" w:fill="auto"/>
            <w:vAlign w:val="center"/>
          </w:tcPr>
          <w:p w14:paraId="19707E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7ACA8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0CA1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确认纳入生产排程通过时</w:t>
            </w:r>
          </w:p>
        </w:tc>
        <w:tc>
          <w:tcPr>
            <w:tcW w:w="1406" w:type="dxa"/>
            <w:tcBorders>
              <w:top w:val="nil"/>
              <w:left w:val="nil"/>
              <w:bottom w:val="nil"/>
              <w:right w:val="nil"/>
            </w:tcBorders>
            <w:shd w:val="clear" w:color="auto" w:fill="auto"/>
            <w:vAlign w:val="center"/>
          </w:tcPr>
          <w:p w14:paraId="290EA7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锁定第1周（周六至下周五）的生产补充量；锁定失败时不进入发布，并保留待锁定状态及失败原因。</w:t>
            </w:r>
          </w:p>
        </w:tc>
        <w:tc>
          <w:tcPr>
            <w:tcW w:w="1088" w:type="dxa"/>
            <w:tcBorders>
              <w:top w:val="nil"/>
              <w:left w:val="nil"/>
              <w:bottom w:val="nil"/>
              <w:right w:val="nil"/>
            </w:tcBorders>
            <w:shd w:val="clear" w:color="auto" w:fill="auto"/>
            <w:vAlign w:val="center"/>
          </w:tcPr>
          <w:p w14:paraId="746723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锁定的第1周生产补充量及锁定状态</w:t>
            </w:r>
          </w:p>
        </w:tc>
        <w:tc>
          <w:tcPr>
            <w:tcW w:w="1460" w:type="dxa"/>
            <w:tcBorders>
              <w:top w:val="nil"/>
              <w:left w:val="nil"/>
              <w:bottom w:val="nil"/>
              <w:right w:val="nil"/>
            </w:tcBorders>
            <w:shd w:val="clear" w:color="auto" w:fill="auto"/>
            <w:vAlign w:val="center"/>
          </w:tcPr>
          <w:p w14:paraId="4D4492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FFB81F6">
        <w:trPr>
          <w:cantSplit/>
          <w:trHeight w:val="0" w:hRule="atLeast"/>
          <w:jc w:val="center"/>
        </w:trPr>
        <w:tc>
          <w:tcPr>
            <w:tcW w:w="2944" w:type="dxa"/>
            <w:tcBorders>
              <w:top w:val="nil"/>
              <w:left w:val="nil"/>
              <w:bottom w:val="nil"/>
              <w:right w:val="nil"/>
            </w:tcBorders>
            <w:shd w:val="clear" w:color="auto" w:fill="auto"/>
            <w:vAlign w:val="center"/>
          </w:tcPr>
          <w:p w14:paraId="3443B6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P-ZLTC-SCOS-KCYH-002-90-001</w:t>
            </w:r>
          </w:p>
        </w:tc>
        <w:tc>
          <w:tcPr>
            <w:tcW w:w="945" w:type="dxa"/>
            <w:tcBorders>
              <w:top w:val="nil"/>
              <w:left w:val="nil"/>
              <w:bottom w:val="nil"/>
              <w:right w:val="nil"/>
            </w:tcBorders>
            <w:shd w:val="clear" w:color="auto" w:fill="auto"/>
            <w:vAlign w:val="center"/>
          </w:tcPr>
          <w:p w14:paraId="347C36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发布周度生产补货计划规则</w:t>
            </w:r>
          </w:p>
        </w:tc>
        <w:tc>
          <w:tcPr>
            <w:tcW w:w="966" w:type="dxa"/>
            <w:tcBorders>
              <w:top w:val="nil"/>
              <w:left w:val="nil"/>
              <w:bottom w:val="nil"/>
              <w:right w:val="nil"/>
            </w:tcBorders>
            <w:shd w:val="clear" w:color="auto" w:fill="auto"/>
            <w:vAlign w:val="center"/>
          </w:tcPr>
          <w:p w14:paraId="192419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CC461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49720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锁定的第1周生产补充量及锁定状态完成确认后</w:t>
            </w:r>
          </w:p>
        </w:tc>
        <w:tc>
          <w:tcPr>
            <w:tcW w:w="1406" w:type="dxa"/>
            <w:tcBorders>
              <w:top w:val="nil"/>
              <w:left w:val="nil"/>
              <w:bottom w:val="nil"/>
              <w:right w:val="nil"/>
            </w:tcBorders>
            <w:shd w:val="clear" w:color="auto" w:fill="auto"/>
            <w:vAlign w:val="center"/>
          </w:tcPr>
          <w:p w14:paraId="1EC11A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发布第1周周度生产补货计划；发布或下发失败时保留待发布状态，已锁定的第1周生产补充量不得修改。</w:t>
            </w:r>
          </w:p>
        </w:tc>
        <w:tc>
          <w:tcPr>
            <w:tcW w:w="1088" w:type="dxa"/>
            <w:tcBorders>
              <w:top w:val="nil"/>
              <w:left w:val="nil"/>
              <w:bottom w:val="nil"/>
              <w:right w:val="nil"/>
            </w:tcBorders>
            <w:shd w:val="clear" w:color="auto" w:fill="auto"/>
            <w:vAlign w:val="center"/>
          </w:tcPr>
          <w:p w14:paraId="22E6B1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已发布的第1周周度生产补货计划、锁定状态及版本</w:t>
            </w:r>
          </w:p>
        </w:tc>
        <w:tc>
          <w:tcPr>
            <w:tcW w:w="1460" w:type="dxa"/>
            <w:tcBorders>
              <w:top w:val="nil"/>
              <w:left w:val="nil"/>
              <w:bottom w:val="nil"/>
              <w:right w:val="nil"/>
            </w:tcBorders>
            <w:shd w:val="clear" w:color="auto" w:fill="auto"/>
            <w:vAlign w:val="center"/>
          </w:tcPr>
          <w:p w14:paraId="5EE086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4597BC">
        <w:trPr>
          <w:cantSplit/>
          <w:trHeight w:val="0" w:hRule="atLeast"/>
          <w:jc w:val="center"/>
        </w:trPr>
        <w:tc>
          <w:tcPr>
            <w:tcW w:w="2944" w:type="dxa"/>
            <w:tcBorders>
              <w:top w:val="nil"/>
              <w:left w:val="nil"/>
              <w:bottom w:val="nil"/>
              <w:right w:val="nil"/>
            </w:tcBorders>
            <w:shd w:val="clear" w:color="auto" w:fill="auto"/>
            <w:vAlign w:val="center"/>
          </w:tcPr>
          <w:p w14:paraId="051B16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P-ZLTC-SCOS-KCYH-003-10-001</w:t>
            </w:r>
          </w:p>
        </w:tc>
        <w:tc>
          <w:tcPr>
            <w:tcW w:w="945" w:type="dxa"/>
            <w:tcBorders>
              <w:top w:val="nil"/>
              <w:left w:val="nil"/>
              <w:bottom w:val="nil"/>
              <w:right w:val="nil"/>
            </w:tcBorders>
            <w:shd w:val="clear" w:color="auto" w:fill="auto"/>
            <w:vAlign w:val="center"/>
          </w:tcPr>
          <w:p w14:paraId="3A30A8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汇集日度库存、需求、4周补充建议与排程状态规则</w:t>
            </w:r>
          </w:p>
        </w:tc>
        <w:tc>
          <w:tcPr>
            <w:tcW w:w="966" w:type="dxa"/>
            <w:tcBorders>
              <w:top w:val="nil"/>
              <w:left w:val="nil"/>
              <w:bottom w:val="nil"/>
              <w:right w:val="nil"/>
            </w:tcBorders>
            <w:shd w:val="clear" w:color="auto" w:fill="auto"/>
            <w:vAlign w:val="center"/>
          </w:tcPr>
          <w:p w14:paraId="4C6E2E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575E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B97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系统每日定时运行时</w:t>
            </w:r>
          </w:p>
        </w:tc>
        <w:tc>
          <w:tcPr>
            <w:tcW w:w="1406" w:type="dxa"/>
            <w:tcBorders>
              <w:top w:val="nil"/>
              <w:left w:val="nil"/>
              <w:bottom w:val="nil"/>
              <w:right w:val="nil"/>
            </w:tcBorders>
            <w:shd w:val="clear" w:color="auto" w:fill="auto"/>
            <w:vAlign w:val="center"/>
          </w:tcPr>
          <w:p w14:paraId="6FCC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汇集库存、需求、未来4周补货建议、排程状态及储罐可用状态；数据缺失、过期或状态冲突时标记数据风险，提示人工核实。</w:t>
            </w:r>
          </w:p>
        </w:tc>
        <w:tc>
          <w:tcPr>
            <w:tcW w:w="1088" w:type="dxa"/>
            <w:tcBorders>
              <w:top w:val="nil"/>
              <w:left w:val="nil"/>
              <w:bottom w:val="nil"/>
              <w:right w:val="nil"/>
            </w:tcBorders>
            <w:shd w:val="clear" w:color="auto" w:fill="auto"/>
            <w:vAlign w:val="center"/>
          </w:tcPr>
          <w:p w14:paraId="18BE6E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未来4周日度库存监控数据集</w:t>
            </w:r>
          </w:p>
        </w:tc>
        <w:tc>
          <w:tcPr>
            <w:tcW w:w="1460" w:type="dxa"/>
            <w:tcBorders>
              <w:top w:val="nil"/>
              <w:left w:val="nil"/>
              <w:bottom w:val="nil"/>
              <w:right w:val="nil"/>
            </w:tcBorders>
            <w:shd w:val="clear" w:color="auto" w:fill="auto"/>
            <w:vAlign w:val="center"/>
          </w:tcPr>
          <w:p w14:paraId="039A5E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SCOS/SAP/WMS/QMS/LIMS</w:t>
            </w:r>
          </w:p>
        </w:tc>
      </w:tr>
      <w:tr w14:paraId="5E4407F2">
        <w:trPr>
          <w:cantSplit/>
          <w:trHeight w:val="0" w:hRule="atLeast"/>
          <w:jc w:val="center"/>
        </w:trPr>
        <w:tc>
          <w:tcPr>
            <w:tcW w:w="2944" w:type="dxa"/>
            <w:tcBorders>
              <w:top w:val="nil"/>
              <w:left w:val="nil"/>
              <w:bottom w:val="nil"/>
              <w:right w:val="nil"/>
            </w:tcBorders>
            <w:shd w:val="clear" w:color="auto" w:fill="auto"/>
            <w:vAlign w:val="center"/>
          </w:tcPr>
          <w:p w14:paraId="38BB1F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P-ZLTC-SCOS-KCYH-003-20-001</w:t>
            </w:r>
          </w:p>
        </w:tc>
        <w:tc>
          <w:tcPr>
            <w:tcW w:w="945" w:type="dxa"/>
            <w:tcBorders>
              <w:top w:val="nil"/>
              <w:left w:val="nil"/>
              <w:bottom w:val="nil"/>
              <w:right w:val="nil"/>
            </w:tcBorders>
            <w:shd w:val="clear" w:color="auto" w:fill="auto"/>
            <w:vAlign w:val="center"/>
          </w:tcPr>
          <w:p w14:paraId="29A25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滚动测算未来4周日度库存水位规则</w:t>
            </w:r>
          </w:p>
        </w:tc>
        <w:tc>
          <w:tcPr>
            <w:tcW w:w="966" w:type="dxa"/>
            <w:tcBorders>
              <w:top w:val="nil"/>
              <w:left w:val="nil"/>
              <w:bottom w:val="nil"/>
              <w:right w:val="nil"/>
            </w:tcBorders>
            <w:shd w:val="clear" w:color="auto" w:fill="auto"/>
            <w:vAlign w:val="center"/>
          </w:tcPr>
          <w:p w14:paraId="5293B56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24D69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381270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未来4周日度库存监控数据集形成后</w:t>
            </w:r>
          </w:p>
        </w:tc>
        <w:tc>
          <w:tcPr>
            <w:tcW w:w="1406" w:type="dxa"/>
            <w:tcBorders>
              <w:top w:val="nil"/>
              <w:left w:val="nil"/>
              <w:bottom w:val="nil"/>
              <w:right w:val="nil"/>
            </w:tcBorders>
            <w:shd w:val="clear" w:color="auto" w:fill="auto"/>
            <w:vAlign w:val="center"/>
          </w:tcPr>
          <w:p w14:paraId="1F453B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按日测算未来4周预计库存，综合现有库存、需求和计划入库量；数据不足以形成可靠测算时，输出数据风险和受影响日期，不生成误导性的库存结论。</w:t>
            </w:r>
          </w:p>
        </w:tc>
        <w:tc>
          <w:tcPr>
            <w:tcW w:w="1088" w:type="dxa"/>
            <w:tcBorders>
              <w:top w:val="nil"/>
              <w:left w:val="nil"/>
              <w:bottom w:val="nil"/>
              <w:right w:val="nil"/>
            </w:tcBorders>
            <w:shd w:val="clear" w:color="auto" w:fill="auto"/>
            <w:vAlign w:val="center"/>
          </w:tcPr>
          <w:p w14:paraId="60B675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未来4周日度库存轨迹</w:t>
            </w:r>
          </w:p>
        </w:tc>
        <w:tc>
          <w:tcPr>
            <w:tcW w:w="1460" w:type="dxa"/>
            <w:tcBorders>
              <w:top w:val="nil"/>
              <w:left w:val="nil"/>
              <w:bottom w:val="nil"/>
              <w:right w:val="nil"/>
            </w:tcBorders>
            <w:shd w:val="clear" w:color="auto" w:fill="auto"/>
            <w:vAlign w:val="center"/>
          </w:tcPr>
          <w:p w14:paraId="644911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284387">
        <w:trPr>
          <w:cantSplit/>
          <w:trHeight w:val="0" w:hRule="atLeast"/>
          <w:jc w:val="center"/>
        </w:trPr>
        <w:tc>
          <w:tcPr>
            <w:tcW w:w="2944" w:type="dxa"/>
            <w:tcBorders>
              <w:top w:val="nil"/>
              <w:left w:val="nil"/>
              <w:bottom w:val="nil"/>
              <w:right w:val="nil"/>
            </w:tcBorders>
            <w:shd w:val="clear" w:color="auto" w:fill="auto"/>
            <w:vAlign w:val="center"/>
          </w:tcPr>
          <w:p w14:paraId="7486E6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P-ZLTC-SCOS-KCYH-003-30-001</w:t>
            </w:r>
          </w:p>
        </w:tc>
        <w:tc>
          <w:tcPr>
            <w:tcW w:w="945" w:type="dxa"/>
            <w:tcBorders>
              <w:top w:val="nil"/>
              <w:left w:val="nil"/>
              <w:bottom w:val="nil"/>
              <w:right w:val="nil"/>
            </w:tcBorders>
            <w:shd w:val="clear" w:color="auto" w:fill="auto"/>
            <w:vAlign w:val="center"/>
          </w:tcPr>
          <w:p w14:paraId="50A10F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判断是否存在库存风险规则</w:t>
            </w:r>
          </w:p>
        </w:tc>
        <w:tc>
          <w:tcPr>
            <w:tcW w:w="966" w:type="dxa"/>
            <w:tcBorders>
              <w:top w:val="nil"/>
              <w:left w:val="nil"/>
              <w:bottom w:val="nil"/>
              <w:right w:val="nil"/>
            </w:tcBorders>
            <w:shd w:val="clear" w:color="auto" w:fill="auto"/>
            <w:vAlign w:val="center"/>
          </w:tcPr>
          <w:p w14:paraId="6299DB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0946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76C88D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每日库存预测更新，或库存、需求、排程发生关键变化时</w:t>
            </w:r>
          </w:p>
        </w:tc>
        <w:tc>
          <w:tcPr>
            <w:tcW w:w="1406" w:type="dxa"/>
            <w:tcBorders>
              <w:top w:val="nil"/>
              <w:left w:val="nil"/>
              <w:bottom w:val="nil"/>
              <w:right w:val="nil"/>
            </w:tcBorders>
            <w:shd w:val="clear" w:color="auto" w:fill="auto"/>
            <w:vAlign w:val="center"/>
          </w:tcPr>
          <w:p w14:paraId="1F9334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逐日判断预计可用库存是否低于安全库存，以及计划生产入库是否会使成品库存超过对应储罐的有效容量；任一越界时记录风险类型、日期和缺口或超量，两项均未越界时记录正常状态。</w:t>
            </w:r>
          </w:p>
        </w:tc>
        <w:tc>
          <w:tcPr>
            <w:tcW w:w="1088" w:type="dxa"/>
            <w:tcBorders>
              <w:top w:val="nil"/>
              <w:left w:val="nil"/>
              <w:bottom w:val="nil"/>
              <w:right w:val="nil"/>
            </w:tcBorders>
            <w:shd w:val="clear" w:color="auto" w:fill="auto"/>
            <w:vAlign w:val="center"/>
          </w:tcPr>
          <w:p w14:paraId="63C94F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库存风险判断、风险类型、日期及缺口或超量</w:t>
            </w:r>
          </w:p>
        </w:tc>
        <w:tc>
          <w:tcPr>
            <w:tcW w:w="1460" w:type="dxa"/>
            <w:tcBorders>
              <w:top w:val="nil"/>
              <w:left w:val="nil"/>
              <w:bottom w:val="nil"/>
              <w:right w:val="nil"/>
            </w:tcBorders>
            <w:shd w:val="clear" w:color="auto" w:fill="auto"/>
            <w:vAlign w:val="center"/>
          </w:tcPr>
          <w:p w14:paraId="71F9FC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3BA932">
        <w:trPr>
          <w:cantSplit/>
          <w:trHeight w:val="0" w:hRule="atLeast"/>
          <w:jc w:val="center"/>
        </w:trPr>
        <w:tc>
          <w:tcPr>
            <w:tcW w:w="2944" w:type="dxa"/>
            <w:tcBorders>
              <w:top w:val="nil"/>
              <w:left w:val="nil"/>
              <w:bottom w:val="nil"/>
              <w:right w:val="nil"/>
            </w:tcBorders>
            <w:shd w:val="clear" w:color="auto" w:fill="auto"/>
            <w:vAlign w:val="center"/>
          </w:tcPr>
          <w:p w14:paraId="3BC10F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P-ZLTC-SCOS-KCYH-003-40-001</w:t>
            </w:r>
          </w:p>
        </w:tc>
        <w:tc>
          <w:tcPr>
            <w:tcW w:w="945" w:type="dxa"/>
            <w:tcBorders>
              <w:top w:val="nil"/>
              <w:left w:val="nil"/>
              <w:bottom w:val="nil"/>
              <w:right w:val="nil"/>
            </w:tcBorders>
            <w:shd w:val="clear" w:color="auto" w:fill="auto"/>
            <w:vAlign w:val="center"/>
          </w:tcPr>
          <w:p w14:paraId="08BB60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判断风险是否位于锁定期规则</w:t>
            </w:r>
          </w:p>
        </w:tc>
        <w:tc>
          <w:tcPr>
            <w:tcW w:w="966" w:type="dxa"/>
            <w:tcBorders>
              <w:top w:val="nil"/>
              <w:left w:val="nil"/>
              <w:bottom w:val="nil"/>
              <w:right w:val="nil"/>
            </w:tcBorders>
            <w:shd w:val="clear" w:color="auto" w:fill="auto"/>
            <w:vAlign w:val="center"/>
          </w:tcPr>
          <w:p w14:paraId="1812FD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0E599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A0BB9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存在库存风险时</w:t>
            </w:r>
          </w:p>
        </w:tc>
        <w:tc>
          <w:tcPr>
            <w:tcW w:w="1406" w:type="dxa"/>
            <w:tcBorders>
              <w:top w:val="nil"/>
              <w:left w:val="nil"/>
              <w:bottom w:val="nil"/>
              <w:right w:val="nil"/>
            </w:tcBorders>
            <w:shd w:val="clear" w:color="auto" w:fill="auto"/>
            <w:vAlign w:val="center"/>
          </w:tcPr>
          <w:p w14:paraId="760D0D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依据周度流程确定的期间判断风险是否发生在第1周锁定期；按风险所在周期采取相应措施。</w:t>
            </w:r>
          </w:p>
        </w:tc>
        <w:tc>
          <w:tcPr>
            <w:tcW w:w="1088" w:type="dxa"/>
            <w:tcBorders>
              <w:top w:val="nil"/>
              <w:left w:val="nil"/>
              <w:bottom w:val="nil"/>
              <w:right w:val="nil"/>
            </w:tcBorders>
            <w:shd w:val="clear" w:color="auto" w:fill="auto"/>
            <w:vAlign w:val="center"/>
          </w:tcPr>
          <w:p w14:paraId="56F8FD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风险所属期间</w:t>
            </w:r>
          </w:p>
        </w:tc>
        <w:tc>
          <w:tcPr>
            <w:tcW w:w="1460" w:type="dxa"/>
            <w:tcBorders>
              <w:top w:val="nil"/>
              <w:left w:val="nil"/>
              <w:bottom w:val="nil"/>
              <w:right w:val="nil"/>
            </w:tcBorders>
            <w:shd w:val="clear" w:color="auto" w:fill="auto"/>
            <w:vAlign w:val="center"/>
          </w:tcPr>
          <w:p w14:paraId="375D02B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88F7165">
        <w:trPr>
          <w:cantSplit/>
          <w:trHeight w:val="0" w:hRule="atLeast"/>
          <w:jc w:val="center"/>
        </w:trPr>
        <w:tc>
          <w:tcPr>
            <w:tcW w:w="2944" w:type="dxa"/>
            <w:tcBorders>
              <w:top w:val="nil"/>
              <w:left w:val="nil"/>
              <w:bottom w:val="nil"/>
              <w:right w:val="nil"/>
            </w:tcBorders>
            <w:shd w:val="clear" w:color="auto" w:fill="auto"/>
            <w:vAlign w:val="center"/>
          </w:tcPr>
          <w:p w14:paraId="46F15D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P-ZLTC-SCOS-KCYH-003-50-001</w:t>
            </w:r>
          </w:p>
        </w:tc>
        <w:tc>
          <w:tcPr>
            <w:tcW w:w="945" w:type="dxa"/>
            <w:tcBorders>
              <w:top w:val="nil"/>
              <w:left w:val="nil"/>
              <w:bottom w:val="nil"/>
              <w:right w:val="nil"/>
            </w:tcBorders>
            <w:shd w:val="clear" w:color="auto" w:fill="auto"/>
            <w:vAlign w:val="center"/>
          </w:tcPr>
          <w:p w14:paraId="7FD4D1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生成锁定期库存预警规则</w:t>
            </w:r>
          </w:p>
        </w:tc>
        <w:tc>
          <w:tcPr>
            <w:tcW w:w="966" w:type="dxa"/>
            <w:tcBorders>
              <w:top w:val="nil"/>
              <w:left w:val="nil"/>
              <w:bottom w:val="nil"/>
              <w:right w:val="nil"/>
            </w:tcBorders>
            <w:shd w:val="clear" w:color="auto" w:fill="auto"/>
            <w:vAlign w:val="center"/>
          </w:tcPr>
          <w:p w14:paraId="1DC7DD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0BED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55E911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库存风险发生在第1周锁定期内时</w:t>
            </w:r>
          </w:p>
        </w:tc>
        <w:tc>
          <w:tcPr>
            <w:tcW w:w="1406" w:type="dxa"/>
            <w:tcBorders>
              <w:top w:val="nil"/>
              <w:left w:val="nil"/>
              <w:bottom w:val="nil"/>
              <w:right w:val="nil"/>
            </w:tcBorders>
            <w:shd w:val="clear" w:color="auto" w:fill="auto"/>
            <w:vAlign w:val="center"/>
          </w:tcPr>
          <w:p w14:paraId="12AFC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对第1周锁定期内的安全库存不足或容量超限风险生成预警；即使风险持续或扩大，也不得直接修改第1周锁定的生产补充量。</w:t>
            </w:r>
          </w:p>
        </w:tc>
        <w:tc>
          <w:tcPr>
            <w:tcW w:w="1088" w:type="dxa"/>
            <w:tcBorders>
              <w:top w:val="nil"/>
              <w:left w:val="nil"/>
              <w:bottom w:val="nil"/>
              <w:right w:val="nil"/>
            </w:tcBorders>
            <w:shd w:val="clear" w:color="auto" w:fill="auto"/>
            <w:vAlign w:val="center"/>
          </w:tcPr>
          <w:p w14:paraId="25AC15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锁定期库存预警</w:t>
            </w:r>
          </w:p>
        </w:tc>
        <w:tc>
          <w:tcPr>
            <w:tcW w:w="1460" w:type="dxa"/>
            <w:tcBorders>
              <w:top w:val="nil"/>
              <w:left w:val="nil"/>
              <w:bottom w:val="nil"/>
              <w:right w:val="nil"/>
            </w:tcBorders>
            <w:shd w:val="clear" w:color="auto" w:fill="auto"/>
            <w:vAlign w:val="center"/>
          </w:tcPr>
          <w:p w14:paraId="26FC88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C3CC73">
        <w:trPr>
          <w:cantSplit/>
          <w:trHeight w:val="0" w:hRule="atLeast"/>
          <w:jc w:val="center"/>
        </w:trPr>
        <w:tc>
          <w:tcPr>
            <w:tcW w:w="2944" w:type="dxa"/>
            <w:tcBorders>
              <w:top w:val="nil"/>
              <w:left w:val="nil"/>
              <w:bottom w:val="nil"/>
              <w:right w:val="nil"/>
            </w:tcBorders>
            <w:shd w:val="clear" w:color="auto" w:fill="auto"/>
            <w:vAlign w:val="center"/>
          </w:tcPr>
          <w:p w14:paraId="3F98F2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P-ZLTC-SCOS-KCYH-003-60-001</w:t>
            </w:r>
          </w:p>
        </w:tc>
        <w:tc>
          <w:tcPr>
            <w:tcW w:w="945" w:type="dxa"/>
            <w:tcBorders>
              <w:top w:val="nil"/>
              <w:left w:val="nil"/>
              <w:bottom w:val="nil"/>
              <w:right w:val="nil"/>
            </w:tcBorders>
            <w:shd w:val="clear" w:color="auto" w:fill="auto"/>
            <w:vAlign w:val="center"/>
          </w:tcPr>
          <w:p w14:paraId="5D29C8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记录库存预警并保持第1周锁定量不变规则</w:t>
            </w:r>
          </w:p>
        </w:tc>
        <w:tc>
          <w:tcPr>
            <w:tcW w:w="966" w:type="dxa"/>
            <w:tcBorders>
              <w:top w:val="nil"/>
              <w:left w:val="nil"/>
              <w:bottom w:val="nil"/>
              <w:right w:val="nil"/>
            </w:tcBorders>
            <w:shd w:val="clear" w:color="auto" w:fill="auto"/>
            <w:vAlign w:val="center"/>
          </w:tcPr>
          <w:p w14:paraId="641BB7E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AF82D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2732E2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锁定期库存预警形成后</w:t>
            </w:r>
          </w:p>
        </w:tc>
        <w:tc>
          <w:tcPr>
            <w:tcW w:w="1406" w:type="dxa"/>
            <w:tcBorders>
              <w:top w:val="nil"/>
              <w:left w:val="nil"/>
              <w:bottom w:val="nil"/>
              <w:right w:val="nil"/>
            </w:tcBorders>
            <w:shd w:val="clear" w:color="auto" w:fill="auto"/>
            <w:vAlign w:val="center"/>
          </w:tcPr>
          <w:p w14:paraId="7B7D34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保存库存预警、风险依据和处理状态；预警处理不解除锁定。</w:t>
            </w:r>
          </w:p>
        </w:tc>
        <w:tc>
          <w:tcPr>
            <w:tcW w:w="1088" w:type="dxa"/>
            <w:tcBorders>
              <w:top w:val="nil"/>
              <w:left w:val="nil"/>
              <w:bottom w:val="nil"/>
              <w:right w:val="nil"/>
            </w:tcBorders>
            <w:shd w:val="clear" w:color="auto" w:fill="auto"/>
            <w:vAlign w:val="center"/>
          </w:tcPr>
          <w:p w14:paraId="56F094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库存预警记录、锁定状态确认</w:t>
            </w:r>
          </w:p>
        </w:tc>
        <w:tc>
          <w:tcPr>
            <w:tcW w:w="1460" w:type="dxa"/>
            <w:tcBorders>
              <w:top w:val="nil"/>
              <w:left w:val="nil"/>
              <w:bottom w:val="nil"/>
              <w:right w:val="nil"/>
            </w:tcBorders>
            <w:shd w:val="clear" w:color="auto" w:fill="auto"/>
            <w:vAlign w:val="center"/>
          </w:tcPr>
          <w:p w14:paraId="62130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FFDD72">
        <w:trPr>
          <w:cantSplit/>
          <w:trHeight w:val="0" w:hRule="atLeast"/>
          <w:jc w:val="center"/>
        </w:trPr>
        <w:tc>
          <w:tcPr>
            <w:tcW w:w="2944" w:type="dxa"/>
            <w:tcBorders>
              <w:top w:val="nil"/>
              <w:left w:val="nil"/>
              <w:bottom w:val="nil"/>
              <w:right w:val="nil"/>
            </w:tcBorders>
            <w:shd w:val="clear" w:color="auto" w:fill="auto"/>
            <w:vAlign w:val="center"/>
          </w:tcPr>
          <w:p w14:paraId="4E7DC4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P-ZLTC-SCOS-KCYH-003-70-001</w:t>
            </w:r>
          </w:p>
        </w:tc>
        <w:tc>
          <w:tcPr>
            <w:tcW w:w="945" w:type="dxa"/>
            <w:tcBorders>
              <w:top w:val="nil"/>
              <w:left w:val="nil"/>
              <w:bottom w:val="nil"/>
              <w:right w:val="nil"/>
            </w:tcBorders>
            <w:shd w:val="clear" w:color="auto" w:fill="auto"/>
            <w:vAlign w:val="center"/>
          </w:tcPr>
          <w:p w14:paraId="31261C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生成库存预警并调整第2至第4周生产补货建议规则</w:t>
            </w:r>
          </w:p>
        </w:tc>
        <w:tc>
          <w:tcPr>
            <w:tcW w:w="966" w:type="dxa"/>
            <w:tcBorders>
              <w:top w:val="nil"/>
              <w:left w:val="nil"/>
              <w:bottom w:val="nil"/>
              <w:right w:val="nil"/>
            </w:tcBorders>
            <w:shd w:val="clear" w:color="auto" w:fill="auto"/>
            <w:vAlign w:val="center"/>
          </w:tcPr>
          <w:p w14:paraId="623981B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D0BEF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非锁定期库存风险预警与补货调整</w:t>
            </w:r>
          </w:p>
        </w:tc>
        <w:tc>
          <w:tcPr>
            <w:tcW w:w="1098" w:type="dxa"/>
            <w:tcBorders>
              <w:top w:val="nil"/>
              <w:left w:val="nil"/>
              <w:bottom w:val="nil"/>
              <w:right w:val="nil"/>
            </w:tcBorders>
            <w:shd w:val="clear" w:color="auto" w:fill="auto"/>
            <w:vAlign w:val="center"/>
          </w:tcPr>
          <w:p w14:paraId="5AF425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库存风险发生在第2至第4周时</w:t>
            </w:r>
          </w:p>
        </w:tc>
        <w:tc>
          <w:tcPr>
            <w:tcW w:w="1406" w:type="dxa"/>
            <w:tcBorders>
              <w:top w:val="nil"/>
              <w:left w:val="nil"/>
              <w:bottom w:val="nil"/>
              <w:right w:val="nil"/>
            </w:tcBorders>
            <w:shd w:val="clear" w:color="auto" w:fill="auto"/>
            <w:vAlign w:val="center"/>
          </w:tcPr>
          <w:p w14:paraId="54943E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对第2至第4周的安全库存不足或容量超限风险生成预警，按风险类型调整未锁定补货建议的日期和数量；扣除已有计划入库，保持第1周锁定量不变；无法消除的风险继续预警。</w:t>
            </w:r>
          </w:p>
        </w:tc>
        <w:tc>
          <w:tcPr>
            <w:tcW w:w="1088" w:type="dxa"/>
            <w:tcBorders>
              <w:top w:val="nil"/>
              <w:left w:val="nil"/>
              <w:bottom w:val="nil"/>
              <w:right w:val="nil"/>
            </w:tcBorders>
            <w:shd w:val="clear" w:color="auto" w:fill="auto"/>
            <w:vAlign w:val="center"/>
          </w:tcPr>
          <w:p w14:paraId="20D06C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第2至第4周库存预警和调整后的生产补货建议</w:t>
            </w:r>
          </w:p>
        </w:tc>
        <w:tc>
          <w:tcPr>
            <w:tcW w:w="1460" w:type="dxa"/>
            <w:tcBorders>
              <w:top w:val="nil"/>
              <w:left w:val="nil"/>
              <w:bottom w:val="nil"/>
              <w:right w:val="nil"/>
            </w:tcBorders>
            <w:shd w:val="clear" w:color="auto" w:fill="auto"/>
            <w:vAlign w:val="center"/>
          </w:tcPr>
          <w:p w14:paraId="4BD46B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6DF711D">
        <w:trPr>
          <w:cantSplit/>
          <w:trHeight w:val="0" w:hRule="atLeast"/>
          <w:jc w:val="center"/>
        </w:trPr>
        <w:tc>
          <w:tcPr>
            <w:tcW w:w="2944" w:type="dxa"/>
            <w:tcBorders>
              <w:top w:val="nil"/>
              <w:left w:val="nil"/>
              <w:bottom w:val="nil"/>
              <w:right w:val="nil"/>
            </w:tcBorders>
            <w:shd w:val="clear" w:color="auto" w:fill="auto"/>
            <w:vAlign w:val="center"/>
          </w:tcPr>
          <w:p w14:paraId="4D1532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P-ZLTC-SCOS-KCYH-003-80-001</w:t>
            </w:r>
          </w:p>
        </w:tc>
        <w:tc>
          <w:tcPr>
            <w:tcW w:w="945" w:type="dxa"/>
            <w:tcBorders>
              <w:top w:val="nil"/>
              <w:left w:val="nil"/>
              <w:bottom w:val="nil"/>
              <w:right w:val="nil"/>
            </w:tcBorders>
            <w:shd w:val="clear" w:color="auto" w:fill="auto"/>
            <w:vAlign w:val="center"/>
          </w:tcPr>
          <w:p w14:paraId="042965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复核并提交生产补货调整建议规则</w:t>
            </w:r>
          </w:p>
        </w:tc>
        <w:tc>
          <w:tcPr>
            <w:tcW w:w="966" w:type="dxa"/>
            <w:tcBorders>
              <w:top w:val="nil"/>
              <w:left w:val="nil"/>
              <w:bottom w:val="nil"/>
              <w:right w:val="nil"/>
            </w:tcBorders>
            <w:shd w:val="clear" w:color="auto" w:fill="auto"/>
            <w:vAlign w:val="center"/>
          </w:tcPr>
          <w:p w14:paraId="723C41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B2313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445805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第2至第4周库存预警和调整后的生产补货建议形成并具备评审条件后</w:t>
            </w:r>
          </w:p>
        </w:tc>
        <w:tc>
          <w:tcPr>
            <w:tcW w:w="1406" w:type="dxa"/>
            <w:tcBorders>
              <w:top w:val="nil"/>
              <w:left w:val="nil"/>
              <w:bottom w:val="nil"/>
              <w:right w:val="nil"/>
            </w:tcBorders>
            <w:shd w:val="clear" w:color="auto" w:fill="auto"/>
            <w:vAlign w:val="center"/>
          </w:tcPr>
          <w:p w14:paraId="5AA842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库存计划员复核调整原因、受影响周次、建议数量及风险；数据或建议不合理时，返回源数据核实并重新测算；未通过库存侧复核时不提交生产端。</w:t>
            </w:r>
          </w:p>
        </w:tc>
        <w:tc>
          <w:tcPr>
            <w:tcW w:w="1088" w:type="dxa"/>
            <w:tcBorders>
              <w:top w:val="nil"/>
              <w:left w:val="nil"/>
              <w:bottom w:val="nil"/>
              <w:right w:val="nil"/>
            </w:tcBorders>
            <w:shd w:val="clear" w:color="auto" w:fill="auto"/>
            <w:vAlign w:val="center"/>
          </w:tcPr>
          <w:p w14:paraId="0C3844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库存侧复核意见和待生产端确认的调整建议</w:t>
            </w:r>
          </w:p>
        </w:tc>
        <w:tc>
          <w:tcPr>
            <w:tcW w:w="1460" w:type="dxa"/>
            <w:tcBorders>
              <w:top w:val="nil"/>
              <w:left w:val="nil"/>
              <w:bottom w:val="nil"/>
              <w:right w:val="nil"/>
            </w:tcBorders>
            <w:shd w:val="clear" w:color="auto" w:fill="auto"/>
            <w:vAlign w:val="center"/>
          </w:tcPr>
          <w:p w14:paraId="73CA4F7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CCDE27">
        <w:trPr>
          <w:cantSplit/>
          <w:trHeight w:val="0" w:hRule="atLeast"/>
          <w:jc w:val="center"/>
        </w:trPr>
        <w:tc>
          <w:tcPr>
            <w:tcW w:w="2944" w:type="dxa"/>
            <w:tcBorders>
              <w:top w:val="nil"/>
              <w:left w:val="nil"/>
              <w:bottom w:val="nil"/>
              <w:right w:val="nil"/>
            </w:tcBorders>
            <w:shd w:val="clear" w:color="auto" w:fill="auto"/>
            <w:vAlign w:val="center"/>
          </w:tcPr>
          <w:p w14:paraId="3B90ED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P-ZLTC-SCOS-KCYH-003-90-001</w:t>
            </w:r>
          </w:p>
        </w:tc>
        <w:tc>
          <w:tcPr>
            <w:tcW w:w="945" w:type="dxa"/>
            <w:tcBorders>
              <w:top w:val="nil"/>
              <w:left w:val="nil"/>
              <w:bottom w:val="nil"/>
              <w:right w:val="nil"/>
            </w:tcBorders>
            <w:shd w:val="clear" w:color="auto" w:fill="auto"/>
            <w:vAlign w:val="center"/>
          </w:tcPr>
          <w:p w14:paraId="4E0CD0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判断是否调整生产计划规则</w:t>
            </w:r>
          </w:p>
        </w:tc>
        <w:tc>
          <w:tcPr>
            <w:tcW w:w="966" w:type="dxa"/>
            <w:tcBorders>
              <w:top w:val="nil"/>
              <w:left w:val="nil"/>
              <w:bottom w:val="nil"/>
              <w:right w:val="nil"/>
            </w:tcBorders>
            <w:shd w:val="clear" w:color="auto" w:fill="auto"/>
            <w:vAlign w:val="center"/>
          </w:tcPr>
          <w:p w14:paraId="2987A3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4A157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44CC3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库存侧复核意见和待生产端确认的调整建议形成后</w:t>
            </w:r>
          </w:p>
        </w:tc>
        <w:tc>
          <w:tcPr>
            <w:tcW w:w="1406" w:type="dxa"/>
            <w:tcBorders>
              <w:top w:val="nil"/>
              <w:left w:val="nil"/>
              <w:bottom w:val="nil"/>
              <w:right w:val="nil"/>
            </w:tcBorders>
            <w:shd w:val="clear" w:color="auto" w:fill="auto"/>
            <w:vAlign w:val="center"/>
          </w:tcPr>
          <w:p w14:paraId="64D134B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结合产能、设备、原料、工艺和既有排程，判断是否调整生产计划；无需调整时记录原因，需要调整时协调生产排程。</w:t>
            </w:r>
            <w:r>
              <w:rPr>
                <w:rFonts w:hint="eastAsia" w:ascii="宋体" w:hAnsi="宋体" w:cs="宋体"/>
                <w:b w:val="0"/>
                <w:sz w:val="18"/>
                <w:szCs w:val="18"/>
                <w:lang w:val="en-US" w:eastAsia="zh-CN"/>
              </w:rPr>
              <w:t>确认后，每日额外向后锁定一天，确保每日锁定期为T+7天。</w:t>
            </w:r>
          </w:p>
        </w:tc>
        <w:tc>
          <w:tcPr>
            <w:tcW w:w="1088" w:type="dxa"/>
            <w:tcBorders>
              <w:top w:val="nil"/>
              <w:left w:val="nil"/>
              <w:bottom w:val="nil"/>
              <w:right w:val="nil"/>
            </w:tcBorders>
            <w:shd w:val="clear" w:color="auto" w:fill="auto"/>
            <w:vAlign w:val="center"/>
          </w:tcPr>
          <w:p w14:paraId="0F0042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生产计划调整结论</w:t>
            </w:r>
          </w:p>
        </w:tc>
        <w:tc>
          <w:tcPr>
            <w:tcW w:w="1460" w:type="dxa"/>
            <w:tcBorders>
              <w:top w:val="nil"/>
              <w:left w:val="nil"/>
              <w:bottom w:val="nil"/>
              <w:right w:val="nil"/>
            </w:tcBorders>
            <w:shd w:val="clear" w:color="auto" w:fill="auto"/>
            <w:vAlign w:val="center"/>
          </w:tcPr>
          <w:p w14:paraId="290F22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6FDC69">
        <w:trPr>
          <w:cantSplit/>
          <w:trHeight w:val="0" w:hRule="atLeast"/>
          <w:jc w:val="center"/>
        </w:trPr>
        <w:tc>
          <w:tcPr>
            <w:tcW w:w="2944" w:type="dxa"/>
            <w:tcBorders>
              <w:top w:val="nil"/>
              <w:left w:val="nil"/>
              <w:bottom w:val="nil"/>
              <w:right w:val="nil"/>
            </w:tcBorders>
            <w:shd w:val="clear" w:color="auto" w:fill="auto"/>
            <w:vAlign w:val="center"/>
          </w:tcPr>
          <w:p w14:paraId="18CA1C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P-ZLTC-SCOS-KCYH-003-100-001</w:t>
            </w:r>
          </w:p>
        </w:tc>
        <w:tc>
          <w:tcPr>
            <w:tcW w:w="945" w:type="dxa"/>
            <w:tcBorders>
              <w:top w:val="nil"/>
              <w:left w:val="nil"/>
              <w:bottom w:val="nil"/>
              <w:right w:val="nil"/>
            </w:tcBorders>
            <w:shd w:val="clear" w:color="auto" w:fill="auto"/>
            <w:vAlign w:val="center"/>
          </w:tcPr>
          <w:p w14:paraId="29AFEA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反馈补货调整建议并进入生产排程规则</w:t>
            </w:r>
          </w:p>
        </w:tc>
        <w:tc>
          <w:tcPr>
            <w:tcW w:w="966" w:type="dxa"/>
            <w:tcBorders>
              <w:top w:val="nil"/>
              <w:left w:val="nil"/>
              <w:bottom w:val="nil"/>
              <w:right w:val="nil"/>
            </w:tcBorders>
            <w:shd w:val="clear" w:color="auto" w:fill="auto"/>
            <w:vAlign w:val="center"/>
          </w:tcPr>
          <w:p w14:paraId="098992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6706B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62E7F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需要调整生产计划时</w:t>
            </w:r>
          </w:p>
        </w:tc>
        <w:tc>
          <w:tcPr>
            <w:tcW w:w="1406" w:type="dxa"/>
            <w:tcBorders>
              <w:top w:val="nil"/>
              <w:left w:val="nil"/>
              <w:bottom w:val="nil"/>
              <w:right w:val="nil"/>
            </w:tcBorders>
            <w:shd w:val="clear" w:color="auto" w:fill="auto"/>
            <w:vAlign w:val="center"/>
          </w:tcPr>
          <w:p w14:paraId="51A37EC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将采纳的补货调整建议交由生产排程处理；排程无法满足建议日期或数量时，更新未消除的库存风险并继续协调。</w:t>
            </w:r>
          </w:p>
        </w:tc>
        <w:tc>
          <w:tcPr>
            <w:tcW w:w="1088" w:type="dxa"/>
            <w:tcBorders>
              <w:top w:val="nil"/>
              <w:left w:val="nil"/>
              <w:bottom w:val="nil"/>
              <w:right w:val="nil"/>
            </w:tcBorders>
            <w:shd w:val="clear" w:color="auto" w:fill="auto"/>
            <w:vAlign w:val="center"/>
          </w:tcPr>
          <w:p w14:paraId="6DCF4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生产排程调整任务、计划生产数量和预计可用入库日期</w:t>
            </w:r>
          </w:p>
        </w:tc>
        <w:tc>
          <w:tcPr>
            <w:tcW w:w="1460" w:type="dxa"/>
            <w:tcBorders>
              <w:top w:val="nil"/>
              <w:left w:val="nil"/>
              <w:bottom w:val="nil"/>
              <w:right w:val="nil"/>
            </w:tcBorders>
            <w:shd w:val="clear" w:color="auto" w:fill="auto"/>
            <w:vAlign w:val="center"/>
          </w:tcPr>
          <w:p w14:paraId="435921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F7543B">
        <w:trPr>
          <w:cantSplit/>
          <w:trHeight w:val="0" w:hRule="atLeast"/>
          <w:jc w:val="center"/>
        </w:trPr>
        <w:tc>
          <w:tcPr>
            <w:tcW w:w="2944" w:type="dxa"/>
            <w:tcBorders>
              <w:top w:val="nil"/>
              <w:left w:val="nil"/>
              <w:bottom w:val="nil"/>
              <w:right w:val="nil"/>
            </w:tcBorders>
            <w:shd w:val="clear" w:color="auto" w:fill="auto"/>
            <w:vAlign w:val="center"/>
          </w:tcPr>
          <w:p w14:paraId="33ACDC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P-ZLTC-SCOS-KCYH-004-10-001</w:t>
            </w:r>
          </w:p>
        </w:tc>
        <w:tc>
          <w:tcPr>
            <w:tcW w:w="945" w:type="dxa"/>
            <w:tcBorders>
              <w:top w:val="nil"/>
              <w:left w:val="nil"/>
              <w:bottom w:val="nil"/>
              <w:right w:val="nil"/>
            </w:tcBorders>
            <w:shd w:val="clear" w:color="auto" w:fill="auto"/>
            <w:vAlign w:val="center"/>
          </w:tcPr>
          <w:p w14:paraId="7C814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提供重大变化信息规则</w:t>
            </w:r>
          </w:p>
        </w:tc>
        <w:tc>
          <w:tcPr>
            <w:tcW w:w="966" w:type="dxa"/>
            <w:tcBorders>
              <w:top w:val="nil"/>
              <w:left w:val="nil"/>
              <w:bottom w:val="nil"/>
              <w:right w:val="nil"/>
            </w:tcBorders>
            <w:shd w:val="clear" w:color="auto" w:fill="auto"/>
            <w:vAlign w:val="center"/>
          </w:tcPr>
          <w:p w14:paraId="053477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285CF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B2C64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需求计划重大变化、大客户订单变化、产线长期停机、储罐检修/不可用或生产补充周期明显延长时</w:t>
            </w:r>
          </w:p>
        </w:tc>
        <w:tc>
          <w:tcPr>
            <w:tcW w:w="1406" w:type="dxa"/>
            <w:tcBorders>
              <w:top w:val="nil"/>
              <w:left w:val="nil"/>
              <w:bottom w:val="nil"/>
              <w:right w:val="nil"/>
            </w:tcBorders>
            <w:shd w:val="clear" w:color="auto" w:fill="auto"/>
            <w:vAlign w:val="center"/>
          </w:tcPr>
          <w:p w14:paraId="29D63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上游系统通过标准服务或业务事件提供变化信息；事件数据不完整时标记待核实，不自动改变正式策略。</w:t>
            </w:r>
          </w:p>
        </w:tc>
        <w:tc>
          <w:tcPr>
            <w:tcW w:w="1088" w:type="dxa"/>
            <w:tcBorders>
              <w:top w:val="nil"/>
              <w:left w:val="nil"/>
              <w:bottom w:val="nil"/>
              <w:right w:val="nil"/>
            </w:tcBorders>
            <w:shd w:val="clear" w:color="auto" w:fill="auto"/>
            <w:vAlign w:val="center"/>
          </w:tcPr>
          <w:p w14:paraId="5B4DFE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重大变化事件</w:t>
            </w:r>
          </w:p>
        </w:tc>
        <w:tc>
          <w:tcPr>
            <w:tcW w:w="1460" w:type="dxa"/>
            <w:tcBorders>
              <w:top w:val="nil"/>
              <w:left w:val="nil"/>
              <w:bottom w:val="nil"/>
              <w:right w:val="nil"/>
            </w:tcBorders>
            <w:shd w:val="clear" w:color="auto" w:fill="auto"/>
            <w:vAlign w:val="center"/>
          </w:tcPr>
          <w:p w14:paraId="508318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7DC6AF">
        <w:trPr>
          <w:cantSplit/>
          <w:trHeight w:val="0" w:hRule="atLeast"/>
          <w:jc w:val="center"/>
        </w:trPr>
        <w:tc>
          <w:tcPr>
            <w:tcW w:w="2944" w:type="dxa"/>
            <w:tcBorders>
              <w:top w:val="nil"/>
              <w:left w:val="nil"/>
              <w:bottom w:val="nil"/>
              <w:right w:val="nil"/>
            </w:tcBorders>
            <w:shd w:val="clear" w:color="auto" w:fill="auto"/>
            <w:vAlign w:val="center"/>
          </w:tcPr>
          <w:p w14:paraId="446484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P-ZLTC-SCOS-KCYH-004-20-001</w:t>
            </w:r>
          </w:p>
        </w:tc>
        <w:tc>
          <w:tcPr>
            <w:tcW w:w="945" w:type="dxa"/>
            <w:tcBorders>
              <w:top w:val="nil"/>
              <w:left w:val="nil"/>
              <w:bottom w:val="nil"/>
              <w:right w:val="nil"/>
            </w:tcBorders>
            <w:shd w:val="clear" w:color="auto" w:fill="auto"/>
            <w:vAlign w:val="center"/>
          </w:tcPr>
          <w:p w14:paraId="388AD2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识别策略影响规则</w:t>
            </w:r>
          </w:p>
        </w:tc>
        <w:tc>
          <w:tcPr>
            <w:tcW w:w="966" w:type="dxa"/>
            <w:tcBorders>
              <w:top w:val="nil"/>
              <w:left w:val="nil"/>
              <w:bottom w:val="nil"/>
              <w:right w:val="nil"/>
            </w:tcBorders>
            <w:shd w:val="clear" w:color="auto" w:fill="auto"/>
            <w:vAlign w:val="center"/>
          </w:tcPr>
          <w:p w14:paraId="0FD6DE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F4336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74AF0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重大变化事件形成后</w:t>
            </w:r>
          </w:p>
        </w:tc>
        <w:tc>
          <w:tcPr>
            <w:tcW w:w="1406" w:type="dxa"/>
            <w:tcBorders>
              <w:top w:val="nil"/>
              <w:left w:val="nil"/>
              <w:bottom w:val="nil"/>
              <w:right w:val="nil"/>
            </w:tcBorders>
            <w:shd w:val="clear" w:color="auto" w:fill="auto"/>
            <w:vAlign w:val="center"/>
          </w:tcPr>
          <w:p w14:paraId="3B5B36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识别受影响的成品、时间范围、服务水平、库存和容量风险；无法量化影响时，输出定性风险并提示人工复核。</w:t>
            </w:r>
          </w:p>
        </w:tc>
        <w:tc>
          <w:tcPr>
            <w:tcW w:w="1088" w:type="dxa"/>
            <w:tcBorders>
              <w:top w:val="nil"/>
              <w:left w:val="nil"/>
              <w:bottom w:val="nil"/>
              <w:right w:val="nil"/>
            </w:tcBorders>
            <w:shd w:val="clear" w:color="auto" w:fill="auto"/>
            <w:vAlign w:val="center"/>
          </w:tcPr>
          <w:p w14:paraId="4EC2DD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影响范围、风险和异常调整提示</w:t>
            </w:r>
          </w:p>
        </w:tc>
        <w:tc>
          <w:tcPr>
            <w:tcW w:w="1460" w:type="dxa"/>
            <w:tcBorders>
              <w:top w:val="nil"/>
              <w:left w:val="nil"/>
              <w:bottom w:val="nil"/>
              <w:right w:val="nil"/>
            </w:tcBorders>
            <w:shd w:val="clear" w:color="auto" w:fill="auto"/>
            <w:vAlign w:val="center"/>
          </w:tcPr>
          <w:p w14:paraId="19EF9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B907928">
        <w:trPr>
          <w:cantSplit/>
          <w:trHeight w:val="0" w:hRule="atLeast"/>
          <w:jc w:val="center"/>
        </w:trPr>
        <w:tc>
          <w:tcPr>
            <w:tcW w:w="2944" w:type="dxa"/>
            <w:tcBorders>
              <w:top w:val="nil"/>
              <w:left w:val="nil"/>
              <w:bottom w:val="nil"/>
              <w:right w:val="nil"/>
            </w:tcBorders>
            <w:shd w:val="clear" w:color="auto" w:fill="auto"/>
            <w:vAlign w:val="center"/>
          </w:tcPr>
          <w:p w14:paraId="149397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P-ZLTC-SCOS-KCYH-004-30-001</w:t>
            </w:r>
          </w:p>
        </w:tc>
        <w:tc>
          <w:tcPr>
            <w:tcW w:w="945" w:type="dxa"/>
            <w:tcBorders>
              <w:top w:val="nil"/>
              <w:left w:val="nil"/>
              <w:bottom w:val="nil"/>
              <w:right w:val="nil"/>
            </w:tcBorders>
            <w:shd w:val="clear" w:color="auto" w:fill="auto"/>
            <w:vAlign w:val="center"/>
          </w:tcPr>
          <w:p w14:paraId="425C82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判断是否需要重新计算规则</w:t>
            </w:r>
          </w:p>
        </w:tc>
        <w:tc>
          <w:tcPr>
            <w:tcW w:w="966" w:type="dxa"/>
            <w:tcBorders>
              <w:top w:val="nil"/>
              <w:left w:val="nil"/>
              <w:bottom w:val="nil"/>
              <w:right w:val="nil"/>
            </w:tcBorders>
            <w:shd w:val="clear" w:color="auto" w:fill="auto"/>
            <w:vAlign w:val="center"/>
          </w:tcPr>
          <w:p w14:paraId="4BAA370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80ED9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63BEA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影响范围、风险和异常调整提示形成后</w:t>
            </w:r>
          </w:p>
        </w:tc>
        <w:tc>
          <w:tcPr>
            <w:tcW w:w="1406" w:type="dxa"/>
            <w:tcBorders>
              <w:top w:val="nil"/>
              <w:left w:val="nil"/>
              <w:bottom w:val="nil"/>
              <w:right w:val="nil"/>
            </w:tcBorders>
            <w:shd w:val="clear" w:color="auto" w:fill="auto"/>
            <w:vAlign w:val="center"/>
          </w:tcPr>
          <w:p w14:paraId="2A1D56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核实业务变化是否足以在月中改变已发布库存策略；不需要重新计算时保留当前策略并持续监控；需要重新计算时继续处理。</w:t>
            </w:r>
          </w:p>
        </w:tc>
        <w:tc>
          <w:tcPr>
            <w:tcW w:w="1088" w:type="dxa"/>
            <w:tcBorders>
              <w:top w:val="nil"/>
              <w:left w:val="nil"/>
              <w:bottom w:val="nil"/>
              <w:right w:val="nil"/>
            </w:tcBorders>
            <w:shd w:val="clear" w:color="auto" w:fill="auto"/>
            <w:vAlign w:val="center"/>
          </w:tcPr>
          <w:p w14:paraId="2EA944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重新计算结论</w:t>
            </w:r>
          </w:p>
        </w:tc>
        <w:tc>
          <w:tcPr>
            <w:tcW w:w="1460" w:type="dxa"/>
            <w:tcBorders>
              <w:top w:val="nil"/>
              <w:left w:val="nil"/>
              <w:bottom w:val="nil"/>
              <w:right w:val="nil"/>
            </w:tcBorders>
            <w:shd w:val="clear" w:color="auto" w:fill="auto"/>
            <w:vAlign w:val="center"/>
          </w:tcPr>
          <w:p w14:paraId="08DD88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474F30">
        <w:trPr>
          <w:cantSplit/>
          <w:trHeight w:val="0" w:hRule="atLeast"/>
          <w:jc w:val="center"/>
        </w:trPr>
        <w:tc>
          <w:tcPr>
            <w:tcW w:w="2944" w:type="dxa"/>
            <w:tcBorders>
              <w:top w:val="nil"/>
              <w:left w:val="nil"/>
              <w:bottom w:val="nil"/>
              <w:right w:val="nil"/>
            </w:tcBorders>
            <w:shd w:val="clear" w:color="auto" w:fill="auto"/>
            <w:vAlign w:val="center"/>
          </w:tcPr>
          <w:p w14:paraId="2890CC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P-ZLTC-SCOS-KCYH-004-40-001</w:t>
            </w:r>
          </w:p>
        </w:tc>
        <w:tc>
          <w:tcPr>
            <w:tcW w:w="945" w:type="dxa"/>
            <w:tcBorders>
              <w:top w:val="nil"/>
              <w:left w:val="nil"/>
              <w:bottom w:val="nil"/>
              <w:right w:val="nil"/>
            </w:tcBorders>
            <w:shd w:val="clear" w:color="auto" w:fill="auto"/>
            <w:vAlign w:val="center"/>
          </w:tcPr>
          <w:p w14:paraId="588124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生成调整后库存策略规则</w:t>
            </w:r>
          </w:p>
        </w:tc>
        <w:tc>
          <w:tcPr>
            <w:tcW w:w="966" w:type="dxa"/>
            <w:tcBorders>
              <w:top w:val="nil"/>
              <w:left w:val="nil"/>
              <w:bottom w:val="nil"/>
              <w:right w:val="nil"/>
            </w:tcBorders>
            <w:shd w:val="clear" w:color="auto" w:fill="auto"/>
            <w:vAlign w:val="center"/>
          </w:tcPr>
          <w:p w14:paraId="365ECB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CAD2A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C2D7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需要重新计算时</w:t>
            </w:r>
          </w:p>
        </w:tc>
        <w:tc>
          <w:tcPr>
            <w:tcW w:w="1406" w:type="dxa"/>
            <w:tcBorders>
              <w:top w:val="nil"/>
              <w:left w:val="nil"/>
              <w:bottom w:val="nil"/>
              <w:right w:val="nil"/>
            </w:tcBorders>
            <w:shd w:val="clear" w:color="auto" w:fill="auto"/>
            <w:vAlign w:val="center"/>
          </w:tcPr>
          <w:p w14:paraId="2E3CA0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仅对受影响成品和时间范围重新计算；新策略受容量限制或仍无法满足目标服务水平时，明确标记不可完全消除的风险。</w:t>
            </w:r>
          </w:p>
        </w:tc>
        <w:tc>
          <w:tcPr>
            <w:tcW w:w="1088" w:type="dxa"/>
            <w:tcBorders>
              <w:top w:val="nil"/>
              <w:left w:val="nil"/>
              <w:bottom w:val="nil"/>
              <w:right w:val="nil"/>
            </w:tcBorders>
            <w:shd w:val="clear" w:color="auto" w:fill="auto"/>
            <w:vAlign w:val="center"/>
          </w:tcPr>
          <w:p w14:paraId="647AF2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调整后的安全库存、再订货点、目标库存、补充建议及调整前后差异</w:t>
            </w:r>
          </w:p>
        </w:tc>
        <w:tc>
          <w:tcPr>
            <w:tcW w:w="1460" w:type="dxa"/>
            <w:tcBorders>
              <w:top w:val="nil"/>
              <w:left w:val="nil"/>
              <w:bottom w:val="nil"/>
              <w:right w:val="nil"/>
            </w:tcBorders>
            <w:shd w:val="clear" w:color="auto" w:fill="auto"/>
            <w:vAlign w:val="center"/>
          </w:tcPr>
          <w:p w14:paraId="41D4F2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7E7F6E">
        <w:trPr>
          <w:cantSplit/>
          <w:trHeight w:val="0" w:hRule="atLeast"/>
          <w:jc w:val="center"/>
        </w:trPr>
        <w:tc>
          <w:tcPr>
            <w:tcW w:w="2944" w:type="dxa"/>
            <w:tcBorders>
              <w:top w:val="nil"/>
              <w:left w:val="nil"/>
              <w:bottom w:val="nil"/>
              <w:right w:val="nil"/>
            </w:tcBorders>
            <w:shd w:val="clear" w:color="auto" w:fill="auto"/>
            <w:vAlign w:val="center"/>
          </w:tcPr>
          <w:p w14:paraId="493A77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P-ZLTC-SCOS-KCYH-004-50-001</w:t>
            </w:r>
          </w:p>
        </w:tc>
        <w:tc>
          <w:tcPr>
            <w:tcW w:w="945" w:type="dxa"/>
            <w:tcBorders>
              <w:top w:val="nil"/>
              <w:left w:val="nil"/>
              <w:bottom w:val="nil"/>
              <w:right w:val="nil"/>
            </w:tcBorders>
            <w:shd w:val="clear" w:color="auto" w:fill="auto"/>
            <w:vAlign w:val="center"/>
          </w:tcPr>
          <w:p w14:paraId="1649D7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评审库存策略异常调整方案规则</w:t>
            </w:r>
          </w:p>
        </w:tc>
        <w:tc>
          <w:tcPr>
            <w:tcW w:w="966" w:type="dxa"/>
            <w:tcBorders>
              <w:top w:val="nil"/>
              <w:left w:val="nil"/>
              <w:bottom w:val="nil"/>
              <w:right w:val="nil"/>
            </w:tcBorders>
            <w:shd w:val="clear" w:color="auto" w:fill="auto"/>
            <w:vAlign w:val="center"/>
          </w:tcPr>
          <w:p w14:paraId="10D7A5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2B1BB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EF27B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调整后的安全库存、再订货点、目标库存、补充建议及调整前后差异形成并具备评审条件后</w:t>
            </w:r>
          </w:p>
        </w:tc>
        <w:tc>
          <w:tcPr>
            <w:tcW w:w="1406" w:type="dxa"/>
            <w:tcBorders>
              <w:top w:val="nil"/>
              <w:left w:val="nil"/>
              <w:bottom w:val="nil"/>
              <w:right w:val="nil"/>
            </w:tcBorders>
            <w:shd w:val="clear" w:color="auto" w:fill="auto"/>
            <w:vAlign w:val="center"/>
          </w:tcPr>
          <w:p w14:paraId="4C3213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确认调整原因、生效时间、影响范围及生产补货影响；依据不足时补充或保留当前策略。</w:t>
            </w:r>
          </w:p>
        </w:tc>
        <w:tc>
          <w:tcPr>
            <w:tcW w:w="1088" w:type="dxa"/>
            <w:tcBorders>
              <w:top w:val="nil"/>
              <w:left w:val="nil"/>
              <w:bottom w:val="nil"/>
              <w:right w:val="nil"/>
            </w:tcBorders>
            <w:shd w:val="clear" w:color="auto" w:fill="auto"/>
            <w:vAlign w:val="center"/>
          </w:tcPr>
          <w:p w14:paraId="3DF36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拟定策略调整方案</w:t>
            </w:r>
          </w:p>
        </w:tc>
        <w:tc>
          <w:tcPr>
            <w:tcW w:w="1460" w:type="dxa"/>
            <w:tcBorders>
              <w:top w:val="nil"/>
              <w:left w:val="nil"/>
              <w:bottom w:val="nil"/>
              <w:right w:val="nil"/>
            </w:tcBorders>
            <w:shd w:val="clear" w:color="auto" w:fill="auto"/>
            <w:vAlign w:val="center"/>
          </w:tcPr>
          <w:p w14:paraId="6CF11D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DF5FCA">
        <w:trPr>
          <w:cantSplit/>
          <w:trHeight w:val="0" w:hRule="atLeast"/>
          <w:jc w:val="center"/>
        </w:trPr>
        <w:tc>
          <w:tcPr>
            <w:tcW w:w="2944" w:type="dxa"/>
            <w:tcBorders>
              <w:top w:val="nil"/>
              <w:left w:val="nil"/>
              <w:bottom w:val="nil"/>
              <w:right w:val="nil"/>
            </w:tcBorders>
            <w:shd w:val="clear" w:color="auto" w:fill="auto"/>
            <w:vAlign w:val="center"/>
          </w:tcPr>
          <w:p w14:paraId="288643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P-ZLTC-SCOS-KCYH-004-60-001</w:t>
            </w:r>
          </w:p>
        </w:tc>
        <w:tc>
          <w:tcPr>
            <w:tcW w:w="945" w:type="dxa"/>
            <w:tcBorders>
              <w:top w:val="nil"/>
              <w:left w:val="nil"/>
              <w:bottom w:val="nil"/>
              <w:right w:val="nil"/>
            </w:tcBorders>
            <w:shd w:val="clear" w:color="auto" w:fill="auto"/>
            <w:vAlign w:val="center"/>
          </w:tcPr>
          <w:p w14:paraId="46DCF2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审批策略异常调整规则</w:t>
            </w:r>
          </w:p>
        </w:tc>
        <w:tc>
          <w:tcPr>
            <w:tcW w:w="966" w:type="dxa"/>
            <w:tcBorders>
              <w:top w:val="nil"/>
              <w:left w:val="nil"/>
              <w:bottom w:val="nil"/>
              <w:right w:val="nil"/>
            </w:tcBorders>
            <w:shd w:val="clear" w:color="auto" w:fill="auto"/>
            <w:vAlign w:val="center"/>
          </w:tcPr>
          <w:p w14:paraId="1F2977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46B24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3257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相关方案完成业务确认并提交审批后</w:t>
            </w:r>
          </w:p>
        </w:tc>
        <w:tc>
          <w:tcPr>
            <w:tcW w:w="1406" w:type="dxa"/>
            <w:tcBorders>
              <w:top w:val="nil"/>
              <w:left w:val="nil"/>
              <w:bottom w:val="nil"/>
              <w:right w:val="nil"/>
            </w:tcBorders>
            <w:shd w:val="clear" w:color="auto" w:fill="auto"/>
            <w:vAlign w:val="center"/>
          </w:tcPr>
          <w:p w14:paraId="4203F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审批月中改变库存策略的必要性、影响和生效范围；审批未通过时退回补充说明；审批通过后继续处理。</w:t>
            </w:r>
          </w:p>
        </w:tc>
        <w:tc>
          <w:tcPr>
            <w:tcW w:w="1088" w:type="dxa"/>
            <w:tcBorders>
              <w:top w:val="nil"/>
              <w:left w:val="nil"/>
              <w:bottom w:val="nil"/>
              <w:right w:val="nil"/>
            </w:tcBorders>
            <w:shd w:val="clear" w:color="auto" w:fill="auto"/>
            <w:vAlign w:val="center"/>
          </w:tcPr>
          <w:p w14:paraId="3C8895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2A1CFD6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6CAC4E">
        <w:trPr>
          <w:cantSplit/>
          <w:trHeight w:val="0" w:hRule="atLeast"/>
          <w:jc w:val="center"/>
        </w:trPr>
        <w:tc>
          <w:tcPr>
            <w:tcW w:w="2944" w:type="dxa"/>
            <w:tcBorders>
              <w:top w:val="nil"/>
              <w:left w:val="nil"/>
              <w:bottom w:val="nil"/>
              <w:right w:val="nil"/>
            </w:tcBorders>
            <w:shd w:val="clear" w:color="auto" w:fill="auto"/>
            <w:vAlign w:val="center"/>
          </w:tcPr>
          <w:p w14:paraId="5849C6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P-ZLTC-SCOS-KCYH-004-70-001</w:t>
            </w:r>
          </w:p>
        </w:tc>
        <w:tc>
          <w:tcPr>
            <w:tcW w:w="945" w:type="dxa"/>
            <w:tcBorders>
              <w:top w:val="nil"/>
              <w:left w:val="nil"/>
              <w:bottom w:val="nil"/>
              <w:right w:val="nil"/>
            </w:tcBorders>
            <w:shd w:val="clear" w:color="auto" w:fill="auto"/>
            <w:vAlign w:val="center"/>
          </w:tcPr>
          <w:p w14:paraId="7297F1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发布库存策略新版本规则</w:t>
            </w:r>
          </w:p>
        </w:tc>
        <w:tc>
          <w:tcPr>
            <w:tcW w:w="966" w:type="dxa"/>
            <w:tcBorders>
              <w:top w:val="nil"/>
              <w:left w:val="nil"/>
              <w:bottom w:val="nil"/>
              <w:right w:val="nil"/>
            </w:tcBorders>
            <w:shd w:val="clear" w:color="auto" w:fill="auto"/>
            <w:vAlign w:val="center"/>
          </w:tcPr>
          <w:p w14:paraId="19FA89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7AF8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1E934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审批策略异常调整通过时</w:t>
            </w:r>
          </w:p>
        </w:tc>
        <w:tc>
          <w:tcPr>
            <w:tcW w:w="1406" w:type="dxa"/>
            <w:tcBorders>
              <w:top w:val="nil"/>
              <w:left w:val="nil"/>
              <w:bottom w:val="nil"/>
              <w:right w:val="nil"/>
            </w:tcBorders>
            <w:shd w:val="clear" w:color="auto" w:fill="auto"/>
            <w:vAlign w:val="center"/>
          </w:tcPr>
          <w:p w14:paraId="11D40A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发布新版本，并保留原策略、输入、参数、结果和审批记录；发布失败时保留待发布状态，原有效版本继续生效。</w:t>
            </w:r>
          </w:p>
        </w:tc>
        <w:tc>
          <w:tcPr>
            <w:tcW w:w="1088" w:type="dxa"/>
            <w:tcBorders>
              <w:top w:val="nil"/>
              <w:left w:val="nil"/>
              <w:bottom w:val="nil"/>
              <w:right w:val="nil"/>
            </w:tcBorders>
            <w:shd w:val="clear" w:color="auto" w:fill="auto"/>
            <w:vAlign w:val="center"/>
          </w:tcPr>
          <w:p w14:paraId="4DF58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库存策略新版本、调整记录及相关生产补充影响</w:t>
            </w:r>
          </w:p>
        </w:tc>
        <w:tc>
          <w:tcPr>
            <w:tcW w:w="1460" w:type="dxa"/>
            <w:tcBorders>
              <w:top w:val="nil"/>
              <w:left w:val="nil"/>
              <w:bottom w:val="nil"/>
              <w:right w:val="nil"/>
            </w:tcBorders>
            <w:shd w:val="clear" w:color="auto" w:fill="auto"/>
            <w:vAlign w:val="center"/>
          </w:tcPr>
          <w:p w14:paraId="27053C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312928">
        <w:trPr>
          <w:cantSplit/>
          <w:trHeight w:val="0" w:hRule="atLeast"/>
          <w:jc w:val="center"/>
        </w:trPr>
        <w:tc>
          <w:tcPr>
            <w:tcW w:w="2944" w:type="dxa"/>
            <w:tcBorders>
              <w:top w:val="nil"/>
              <w:left w:val="nil"/>
              <w:bottom w:val="nil"/>
              <w:right w:val="nil"/>
            </w:tcBorders>
            <w:shd w:val="clear" w:color="auto" w:fill="auto"/>
            <w:vAlign w:val="center"/>
          </w:tcPr>
          <w:p w14:paraId="56FEE11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P-ZLTC-SCOS-KCYH-005-10-001</w:t>
            </w:r>
          </w:p>
        </w:tc>
        <w:tc>
          <w:tcPr>
            <w:tcW w:w="945" w:type="dxa"/>
            <w:tcBorders>
              <w:top w:val="nil"/>
              <w:left w:val="nil"/>
              <w:bottom w:val="nil"/>
              <w:right w:val="nil"/>
            </w:tcBorders>
            <w:shd w:val="clear" w:color="auto" w:fill="auto"/>
            <w:vAlign w:val="center"/>
          </w:tcPr>
          <w:p w14:paraId="714696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提供策略与实际库存执行数据规则</w:t>
            </w:r>
          </w:p>
        </w:tc>
        <w:tc>
          <w:tcPr>
            <w:tcW w:w="966" w:type="dxa"/>
            <w:tcBorders>
              <w:top w:val="nil"/>
              <w:left w:val="nil"/>
              <w:bottom w:val="nil"/>
              <w:right w:val="nil"/>
            </w:tcBorders>
            <w:shd w:val="clear" w:color="auto" w:fill="auto"/>
            <w:vAlign w:val="center"/>
          </w:tcPr>
          <w:p w14:paraId="220154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26493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6EEB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系统按月或按管理周期发起库存健康度和策略有效性评价时</w:t>
            </w:r>
          </w:p>
        </w:tc>
        <w:tc>
          <w:tcPr>
            <w:tcW w:w="1406" w:type="dxa"/>
            <w:tcBorders>
              <w:top w:val="nil"/>
              <w:left w:val="nil"/>
              <w:bottom w:val="nil"/>
              <w:right w:val="nil"/>
            </w:tcBorders>
            <w:shd w:val="clear" w:color="auto" w:fill="auto"/>
            <w:vAlign w:val="center"/>
          </w:tcPr>
          <w:p w14:paraId="18C9CA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汇总已发布的策略目标和对应周期的实际库存数据；数据不完整时标记本期评价口径和不可评价指标。</w:t>
            </w:r>
          </w:p>
        </w:tc>
        <w:tc>
          <w:tcPr>
            <w:tcW w:w="1088" w:type="dxa"/>
            <w:tcBorders>
              <w:top w:val="nil"/>
              <w:left w:val="nil"/>
              <w:bottom w:val="nil"/>
              <w:right w:val="nil"/>
            </w:tcBorders>
            <w:shd w:val="clear" w:color="auto" w:fill="auto"/>
            <w:vAlign w:val="center"/>
          </w:tcPr>
          <w:p w14:paraId="6D1AEB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库存绩效分析数据集</w:t>
            </w:r>
          </w:p>
        </w:tc>
        <w:tc>
          <w:tcPr>
            <w:tcW w:w="1460" w:type="dxa"/>
            <w:tcBorders>
              <w:top w:val="nil"/>
              <w:left w:val="nil"/>
              <w:bottom w:val="nil"/>
              <w:right w:val="nil"/>
            </w:tcBorders>
            <w:shd w:val="clear" w:color="auto" w:fill="auto"/>
            <w:vAlign w:val="center"/>
          </w:tcPr>
          <w:p w14:paraId="145768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50F5B4">
        <w:trPr>
          <w:cantSplit/>
          <w:trHeight w:val="0" w:hRule="atLeast"/>
          <w:jc w:val="center"/>
        </w:trPr>
        <w:tc>
          <w:tcPr>
            <w:tcW w:w="2944" w:type="dxa"/>
            <w:tcBorders>
              <w:top w:val="nil"/>
              <w:left w:val="nil"/>
              <w:bottom w:val="nil"/>
              <w:right w:val="nil"/>
            </w:tcBorders>
            <w:shd w:val="clear" w:color="auto" w:fill="auto"/>
            <w:vAlign w:val="center"/>
          </w:tcPr>
          <w:p w14:paraId="64B58D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P-ZLTC-SCOS-KCYH-005-20-001</w:t>
            </w:r>
          </w:p>
        </w:tc>
        <w:tc>
          <w:tcPr>
            <w:tcW w:w="945" w:type="dxa"/>
            <w:tcBorders>
              <w:top w:val="nil"/>
              <w:left w:val="nil"/>
              <w:bottom w:val="nil"/>
              <w:right w:val="nil"/>
            </w:tcBorders>
            <w:shd w:val="clear" w:color="auto" w:fill="auto"/>
            <w:vAlign w:val="center"/>
          </w:tcPr>
          <w:p w14:paraId="7DD92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生成库存健康度评价规则</w:t>
            </w:r>
          </w:p>
        </w:tc>
        <w:tc>
          <w:tcPr>
            <w:tcW w:w="966" w:type="dxa"/>
            <w:tcBorders>
              <w:top w:val="nil"/>
              <w:left w:val="nil"/>
              <w:bottom w:val="nil"/>
              <w:right w:val="nil"/>
            </w:tcBorders>
            <w:shd w:val="clear" w:color="auto" w:fill="auto"/>
            <w:vAlign w:val="center"/>
          </w:tcPr>
          <w:p w14:paraId="53B79F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E1E3E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4E64B5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库存绩效分析数据集形成后</w:t>
            </w:r>
          </w:p>
        </w:tc>
        <w:tc>
          <w:tcPr>
            <w:tcW w:w="1406" w:type="dxa"/>
            <w:tcBorders>
              <w:top w:val="nil"/>
              <w:left w:val="nil"/>
              <w:bottom w:val="nil"/>
              <w:right w:val="nil"/>
            </w:tcBorders>
            <w:shd w:val="clear" w:color="auto" w:fill="auto"/>
            <w:vAlign w:val="center"/>
          </w:tcPr>
          <w:p w14:paraId="3A3CDC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统计库存周转、订单满足、服务水平及缺货等指标；口径或数据周期不可比时，不输出误导性趋势结论。</w:t>
            </w:r>
          </w:p>
        </w:tc>
        <w:tc>
          <w:tcPr>
            <w:tcW w:w="1088" w:type="dxa"/>
            <w:tcBorders>
              <w:top w:val="nil"/>
              <w:left w:val="nil"/>
              <w:bottom w:val="nil"/>
              <w:right w:val="nil"/>
            </w:tcBorders>
            <w:shd w:val="clear" w:color="auto" w:fill="auto"/>
            <w:vAlign w:val="center"/>
          </w:tcPr>
          <w:p w14:paraId="04E6A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库存健康度报告和策略有效性分析</w:t>
            </w:r>
          </w:p>
        </w:tc>
        <w:tc>
          <w:tcPr>
            <w:tcW w:w="1460" w:type="dxa"/>
            <w:tcBorders>
              <w:top w:val="nil"/>
              <w:left w:val="nil"/>
              <w:bottom w:val="nil"/>
              <w:right w:val="nil"/>
            </w:tcBorders>
            <w:shd w:val="clear" w:color="auto" w:fill="auto"/>
            <w:vAlign w:val="center"/>
          </w:tcPr>
          <w:p w14:paraId="38C3D7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3FB2F5">
        <w:trPr>
          <w:cantSplit/>
          <w:trHeight w:val="0" w:hRule="atLeast"/>
          <w:jc w:val="center"/>
        </w:trPr>
        <w:tc>
          <w:tcPr>
            <w:tcW w:w="2944" w:type="dxa"/>
            <w:tcBorders>
              <w:top w:val="nil"/>
              <w:left w:val="nil"/>
              <w:bottom w:val="nil"/>
              <w:right w:val="nil"/>
            </w:tcBorders>
            <w:shd w:val="clear" w:color="auto" w:fill="auto"/>
            <w:vAlign w:val="center"/>
          </w:tcPr>
          <w:p w14:paraId="01E982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P-ZLTC-SCOS-KCYH-005-30-001</w:t>
            </w:r>
          </w:p>
        </w:tc>
        <w:tc>
          <w:tcPr>
            <w:tcW w:w="945" w:type="dxa"/>
            <w:tcBorders>
              <w:top w:val="nil"/>
              <w:left w:val="nil"/>
              <w:bottom w:val="nil"/>
              <w:right w:val="nil"/>
            </w:tcBorders>
            <w:shd w:val="clear" w:color="auto" w:fill="auto"/>
            <w:vAlign w:val="center"/>
          </w:tcPr>
          <w:p w14:paraId="7687B8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复核库存健康度与策略有效性规则</w:t>
            </w:r>
          </w:p>
        </w:tc>
        <w:tc>
          <w:tcPr>
            <w:tcW w:w="966" w:type="dxa"/>
            <w:tcBorders>
              <w:top w:val="nil"/>
              <w:left w:val="nil"/>
              <w:bottom w:val="nil"/>
              <w:right w:val="nil"/>
            </w:tcBorders>
            <w:shd w:val="clear" w:color="auto" w:fill="auto"/>
            <w:vAlign w:val="center"/>
          </w:tcPr>
          <w:p w14:paraId="47CC633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90814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A650A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库存健康度报告和策略有效性分析形成并具备评审条件后</w:t>
            </w:r>
          </w:p>
        </w:tc>
        <w:tc>
          <w:tcPr>
            <w:tcW w:w="1406" w:type="dxa"/>
            <w:tcBorders>
              <w:top w:val="nil"/>
              <w:left w:val="nil"/>
              <w:bottom w:val="nil"/>
              <w:right w:val="nil"/>
            </w:tcBorders>
            <w:shd w:val="clear" w:color="auto" w:fill="auto"/>
            <w:vAlign w:val="center"/>
          </w:tcPr>
          <w:p w14:paraId="4E1E4D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分析库存参数、需求、生产补充执行和质量状态等差异原因；数据异常时返回源系统核实；执行问题转相应业务流程处理。</w:t>
            </w:r>
          </w:p>
        </w:tc>
        <w:tc>
          <w:tcPr>
            <w:tcW w:w="1088" w:type="dxa"/>
            <w:tcBorders>
              <w:top w:val="nil"/>
              <w:left w:val="nil"/>
              <w:bottom w:val="nil"/>
              <w:right w:val="nil"/>
            </w:tcBorders>
            <w:shd w:val="clear" w:color="auto" w:fill="auto"/>
            <w:vAlign w:val="center"/>
          </w:tcPr>
          <w:p w14:paraId="152FA3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复核结论</w:t>
            </w:r>
          </w:p>
        </w:tc>
        <w:tc>
          <w:tcPr>
            <w:tcW w:w="1460" w:type="dxa"/>
            <w:tcBorders>
              <w:top w:val="nil"/>
              <w:left w:val="nil"/>
              <w:bottom w:val="nil"/>
              <w:right w:val="nil"/>
            </w:tcBorders>
            <w:shd w:val="clear" w:color="auto" w:fill="auto"/>
            <w:vAlign w:val="center"/>
          </w:tcPr>
          <w:p w14:paraId="304F03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645DC8">
        <w:trPr>
          <w:cantSplit/>
          <w:trHeight w:val="0" w:hRule="atLeast"/>
          <w:jc w:val="center"/>
        </w:trPr>
        <w:tc>
          <w:tcPr>
            <w:tcW w:w="2944" w:type="dxa"/>
            <w:tcBorders>
              <w:top w:val="nil"/>
              <w:left w:val="nil"/>
              <w:bottom w:val="nil"/>
              <w:right w:val="nil"/>
            </w:tcBorders>
            <w:shd w:val="clear" w:color="auto" w:fill="auto"/>
            <w:vAlign w:val="center"/>
          </w:tcPr>
          <w:p w14:paraId="5AC0B9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P-ZLTC-SCOS-KCYH-005-40-001</w:t>
            </w:r>
          </w:p>
        </w:tc>
        <w:tc>
          <w:tcPr>
            <w:tcW w:w="945" w:type="dxa"/>
            <w:tcBorders>
              <w:top w:val="nil"/>
              <w:left w:val="nil"/>
              <w:bottom w:val="nil"/>
              <w:right w:val="nil"/>
            </w:tcBorders>
            <w:shd w:val="clear" w:color="auto" w:fill="auto"/>
            <w:vAlign w:val="center"/>
          </w:tcPr>
          <w:p w14:paraId="6429A0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判断是否需要改进策略规则</w:t>
            </w:r>
          </w:p>
        </w:tc>
        <w:tc>
          <w:tcPr>
            <w:tcW w:w="966" w:type="dxa"/>
            <w:tcBorders>
              <w:top w:val="nil"/>
              <w:left w:val="nil"/>
              <w:bottom w:val="nil"/>
              <w:right w:val="nil"/>
            </w:tcBorders>
            <w:shd w:val="clear" w:color="auto" w:fill="auto"/>
            <w:vAlign w:val="center"/>
          </w:tcPr>
          <w:p w14:paraId="182064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BC409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54CCC8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复核结论形成后</w:t>
            </w:r>
          </w:p>
        </w:tc>
        <w:tc>
          <w:tcPr>
            <w:tcW w:w="1406" w:type="dxa"/>
            <w:tcBorders>
              <w:top w:val="nil"/>
              <w:left w:val="nil"/>
              <w:bottom w:val="nil"/>
              <w:right w:val="nil"/>
            </w:tcBorders>
            <w:shd w:val="clear" w:color="auto" w:fill="auto"/>
            <w:vAlign w:val="center"/>
          </w:tcPr>
          <w:p w14:paraId="10AD9B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判断是否需要调整服务水平、安全系数或生产补充周期等参数；无参数改进建议时发布评价结论；需要改进策略时继续处理。</w:t>
            </w:r>
          </w:p>
        </w:tc>
        <w:tc>
          <w:tcPr>
            <w:tcW w:w="1088" w:type="dxa"/>
            <w:tcBorders>
              <w:top w:val="nil"/>
              <w:left w:val="nil"/>
              <w:bottom w:val="nil"/>
              <w:right w:val="nil"/>
            </w:tcBorders>
            <w:shd w:val="clear" w:color="auto" w:fill="auto"/>
            <w:vAlign w:val="center"/>
          </w:tcPr>
          <w:p w14:paraId="7C9E0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策略改进判断</w:t>
            </w:r>
          </w:p>
        </w:tc>
        <w:tc>
          <w:tcPr>
            <w:tcW w:w="1460" w:type="dxa"/>
            <w:tcBorders>
              <w:top w:val="nil"/>
              <w:left w:val="nil"/>
              <w:bottom w:val="nil"/>
              <w:right w:val="nil"/>
            </w:tcBorders>
            <w:shd w:val="clear" w:color="auto" w:fill="auto"/>
            <w:vAlign w:val="center"/>
          </w:tcPr>
          <w:p w14:paraId="78B807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2E5500">
        <w:trPr>
          <w:cantSplit/>
          <w:trHeight w:val="0" w:hRule="atLeast"/>
          <w:jc w:val="center"/>
        </w:trPr>
        <w:tc>
          <w:tcPr>
            <w:tcW w:w="2944" w:type="dxa"/>
            <w:tcBorders>
              <w:top w:val="nil"/>
              <w:left w:val="nil"/>
              <w:bottom w:val="nil"/>
              <w:right w:val="nil"/>
            </w:tcBorders>
            <w:shd w:val="clear" w:color="auto" w:fill="auto"/>
            <w:vAlign w:val="center"/>
          </w:tcPr>
          <w:p w14:paraId="7CA941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P-ZLTC-SCOS-KCYH-005-50-001</w:t>
            </w:r>
          </w:p>
        </w:tc>
        <w:tc>
          <w:tcPr>
            <w:tcW w:w="945" w:type="dxa"/>
            <w:tcBorders>
              <w:top w:val="nil"/>
              <w:left w:val="nil"/>
              <w:bottom w:val="nil"/>
              <w:right w:val="nil"/>
            </w:tcBorders>
            <w:shd w:val="clear" w:color="auto" w:fill="auto"/>
            <w:vAlign w:val="center"/>
          </w:tcPr>
          <w:p w14:paraId="0EE6F9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形成库存策略改进建议规则</w:t>
            </w:r>
          </w:p>
        </w:tc>
        <w:tc>
          <w:tcPr>
            <w:tcW w:w="966" w:type="dxa"/>
            <w:tcBorders>
              <w:top w:val="nil"/>
              <w:left w:val="nil"/>
              <w:bottom w:val="nil"/>
              <w:right w:val="nil"/>
            </w:tcBorders>
            <w:shd w:val="clear" w:color="auto" w:fill="auto"/>
            <w:vAlign w:val="center"/>
          </w:tcPr>
          <w:p w14:paraId="6327AE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E9FC2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BF16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需要改进策略时</w:t>
            </w:r>
          </w:p>
        </w:tc>
        <w:tc>
          <w:tcPr>
            <w:tcW w:w="1406" w:type="dxa"/>
            <w:tcBorders>
              <w:top w:val="nil"/>
              <w:left w:val="nil"/>
              <w:bottom w:val="nil"/>
              <w:right w:val="nil"/>
            </w:tcBorders>
            <w:shd w:val="clear" w:color="auto" w:fill="auto"/>
            <w:vAlign w:val="center"/>
          </w:tcPr>
          <w:p w14:paraId="3AF9F2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说明拟调整对象、参数、原因、预期影响及建议生效周期；无法确定建议参数时，只形成待进一步验证的问题清单。</w:t>
            </w:r>
          </w:p>
        </w:tc>
        <w:tc>
          <w:tcPr>
            <w:tcW w:w="1088" w:type="dxa"/>
            <w:tcBorders>
              <w:top w:val="nil"/>
              <w:left w:val="nil"/>
              <w:bottom w:val="nil"/>
              <w:right w:val="nil"/>
            </w:tcBorders>
            <w:shd w:val="clear" w:color="auto" w:fill="auto"/>
            <w:vAlign w:val="center"/>
          </w:tcPr>
          <w:p w14:paraId="1729854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参数或策略改进建议</w:t>
            </w:r>
          </w:p>
        </w:tc>
        <w:tc>
          <w:tcPr>
            <w:tcW w:w="1460" w:type="dxa"/>
            <w:tcBorders>
              <w:top w:val="nil"/>
              <w:left w:val="nil"/>
              <w:bottom w:val="nil"/>
              <w:right w:val="nil"/>
            </w:tcBorders>
            <w:shd w:val="clear" w:color="auto" w:fill="auto"/>
            <w:vAlign w:val="center"/>
          </w:tcPr>
          <w:p w14:paraId="0614BA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C42521">
        <w:trPr>
          <w:cantSplit/>
          <w:trHeight w:val="0" w:hRule="atLeast"/>
          <w:jc w:val="center"/>
        </w:trPr>
        <w:tc>
          <w:tcPr>
            <w:tcW w:w="2944" w:type="dxa"/>
            <w:tcBorders>
              <w:top w:val="nil"/>
              <w:left w:val="nil"/>
              <w:bottom w:val="nil"/>
              <w:right w:val="nil"/>
            </w:tcBorders>
            <w:shd w:val="clear" w:color="auto" w:fill="auto"/>
            <w:vAlign w:val="center"/>
          </w:tcPr>
          <w:p w14:paraId="5E12D0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P-ZLTC-SCOS-KCYH-005-60-001</w:t>
            </w:r>
          </w:p>
        </w:tc>
        <w:tc>
          <w:tcPr>
            <w:tcW w:w="945" w:type="dxa"/>
            <w:tcBorders>
              <w:top w:val="nil"/>
              <w:left w:val="nil"/>
              <w:bottom w:val="nil"/>
              <w:right w:val="nil"/>
            </w:tcBorders>
            <w:shd w:val="clear" w:color="auto" w:fill="auto"/>
            <w:vAlign w:val="center"/>
          </w:tcPr>
          <w:p w14:paraId="6410E5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判断是否纳入策略调整规则</w:t>
            </w:r>
          </w:p>
        </w:tc>
        <w:tc>
          <w:tcPr>
            <w:tcW w:w="966" w:type="dxa"/>
            <w:tcBorders>
              <w:top w:val="nil"/>
              <w:left w:val="nil"/>
              <w:bottom w:val="nil"/>
              <w:right w:val="nil"/>
            </w:tcBorders>
            <w:shd w:val="clear" w:color="auto" w:fill="auto"/>
            <w:vAlign w:val="center"/>
          </w:tcPr>
          <w:p w14:paraId="4DE711A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CF672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02677D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参数或策略改进建议形成后</w:t>
            </w:r>
          </w:p>
        </w:tc>
        <w:tc>
          <w:tcPr>
            <w:tcW w:w="1406" w:type="dxa"/>
            <w:tcBorders>
              <w:top w:val="nil"/>
              <w:left w:val="nil"/>
              <w:bottom w:val="nil"/>
              <w:right w:val="nil"/>
            </w:tcBorders>
            <w:shd w:val="clear" w:color="auto" w:fill="auto"/>
            <w:vAlign w:val="center"/>
          </w:tcPr>
          <w:p w14:paraId="551CA8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确认建议是否在下一月度策略制定中吸收；不纳入策略调整时保留改进建议待后续复核；纳入策略调整时形成策略调整任务。</w:t>
            </w:r>
          </w:p>
        </w:tc>
        <w:tc>
          <w:tcPr>
            <w:tcW w:w="1088" w:type="dxa"/>
            <w:tcBorders>
              <w:top w:val="nil"/>
              <w:left w:val="nil"/>
              <w:bottom w:val="nil"/>
              <w:right w:val="nil"/>
            </w:tcBorders>
            <w:shd w:val="clear" w:color="auto" w:fill="auto"/>
            <w:vAlign w:val="center"/>
          </w:tcPr>
          <w:p w14:paraId="2A28B9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改进处理意见</w:t>
            </w:r>
          </w:p>
        </w:tc>
        <w:tc>
          <w:tcPr>
            <w:tcW w:w="1460" w:type="dxa"/>
            <w:tcBorders>
              <w:top w:val="nil"/>
              <w:left w:val="nil"/>
              <w:bottom w:val="nil"/>
              <w:right w:val="nil"/>
            </w:tcBorders>
            <w:shd w:val="clear" w:color="auto" w:fill="auto"/>
            <w:vAlign w:val="center"/>
          </w:tcPr>
          <w:p w14:paraId="4A7E65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C92ECF9">
        <w:trPr>
          <w:cantSplit/>
          <w:trHeight w:val="0" w:hRule="atLeast"/>
          <w:jc w:val="center"/>
        </w:trPr>
        <w:tc>
          <w:tcPr>
            <w:tcW w:w="2944" w:type="dxa"/>
            <w:tcBorders>
              <w:top w:val="nil"/>
              <w:left w:val="nil"/>
              <w:bottom w:val="nil"/>
              <w:right w:val="nil"/>
            </w:tcBorders>
            <w:shd w:val="clear" w:color="auto" w:fill="auto"/>
            <w:vAlign w:val="center"/>
          </w:tcPr>
          <w:p w14:paraId="4E11FA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P-ZLTC-SCOS-KCYH-005-70-001</w:t>
            </w:r>
          </w:p>
        </w:tc>
        <w:tc>
          <w:tcPr>
            <w:tcW w:w="945" w:type="dxa"/>
            <w:tcBorders>
              <w:top w:val="nil"/>
              <w:left w:val="nil"/>
              <w:bottom w:val="nil"/>
              <w:right w:val="nil"/>
            </w:tcBorders>
            <w:shd w:val="clear" w:color="auto" w:fill="auto"/>
            <w:vAlign w:val="center"/>
          </w:tcPr>
          <w:p w14:paraId="095699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发布库存健康度报告与改进结论规则</w:t>
            </w:r>
          </w:p>
        </w:tc>
        <w:tc>
          <w:tcPr>
            <w:tcW w:w="966" w:type="dxa"/>
            <w:tcBorders>
              <w:top w:val="nil"/>
              <w:left w:val="nil"/>
              <w:bottom w:val="nil"/>
              <w:right w:val="nil"/>
            </w:tcBorders>
            <w:shd w:val="clear" w:color="auto" w:fill="auto"/>
            <w:vAlign w:val="center"/>
          </w:tcPr>
          <w:p w14:paraId="38DA3F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D738D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6AE62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无参数改进建议时</w:t>
            </w:r>
          </w:p>
        </w:tc>
        <w:tc>
          <w:tcPr>
            <w:tcW w:w="1406" w:type="dxa"/>
            <w:tcBorders>
              <w:top w:val="nil"/>
              <w:left w:val="nil"/>
              <w:bottom w:val="nil"/>
              <w:right w:val="nil"/>
            </w:tcBorders>
            <w:shd w:val="clear" w:color="auto" w:fill="auto"/>
            <w:vAlign w:val="center"/>
          </w:tcPr>
          <w:p w14:paraId="5BFF83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发布本期评价结果，并向供应链驾驶舱提供库存健康度指标；发布失败时保留待发布状态并支持重试。</w:t>
            </w:r>
          </w:p>
        </w:tc>
        <w:tc>
          <w:tcPr>
            <w:tcW w:w="1088" w:type="dxa"/>
            <w:tcBorders>
              <w:top w:val="nil"/>
              <w:left w:val="nil"/>
              <w:bottom w:val="nil"/>
              <w:right w:val="nil"/>
            </w:tcBorders>
            <w:shd w:val="clear" w:color="auto" w:fill="auto"/>
            <w:vAlign w:val="center"/>
          </w:tcPr>
          <w:p w14:paraId="1AB3B6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已发布库存健康度报告、改进结论和待跟踪任务</w:t>
            </w:r>
          </w:p>
        </w:tc>
        <w:tc>
          <w:tcPr>
            <w:tcW w:w="1460" w:type="dxa"/>
            <w:tcBorders>
              <w:top w:val="nil"/>
              <w:left w:val="nil"/>
              <w:bottom w:val="nil"/>
              <w:right w:val="nil"/>
            </w:tcBorders>
            <w:shd w:val="clear" w:color="auto" w:fill="auto"/>
            <w:vAlign w:val="center"/>
          </w:tcPr>
          <w:p w14:paraId="2C6C281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0E5898">
        <w:trPr>
          <w:cantSplit/>
          <w:trHeight w:val="0" w:hRule="atLeast"/>
          <w:jc w:val="center"/>
        </w:trPr>
        <w:tc>
          <w:tcPr>
            <w:tcW w:w="2944" w:type="dxa"/>
            <w:tcBorders>
              <w:top w:val="nil"/>
              <w:left w:val="nil"/>
              <w:bottom w:val="nil"/>
              <w:right w:val="nil"/>
            </w:tcBorders>
            <w:shd w:val="clear" w:color="auto" w:fill="auto"/>
            <w:vAlign w:val="center"/>
          </w:tcPr>
          <w:p w14:paraId="2E59892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P-ZLTC-SCOS-CGYH-001-10-001</w:t>
            </w:r>
          </w:p>
        </w:tc>
        <w:tc>
          <w:tcPr>
            <w:tcW w:w="945" w:type="dxa"/>
            <w:tcBorders>
              <w:top w:val="nil"/>
              <w:left w:val="nil"/>
              <w:bottom w:val="nil"/>
              <w:right w:val="nil"/>
            </w:tcBorders>
            <w:shd w:val="clear" w:color="auto" w:fill="auto"/>
            <w:vAlign w:val="center"/>
          </w:tcPr>
          <w:p w14:paraId="19B91B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形成待采购需求规则</w:t>
            </w:r>
          </w:p>
        </w:tc>
        <w:tc>
          <w:tcPr>
            <w:tcW w:w="966" w:type="dxa"/>
            <w:tcBorders>
              <w:top w:val="nil"/>
              <w:left w:val="nil"/>
              <w:bottom w:val="nil"/>
              <w:right w:val="nil"/>
            </w:tcBorders>
            <w:shd w:val="clear" w:color="auto" w:fill="auto"/>
            <w:vAlign w:val="center"/>
          </w:tcPr>
          <w:p w14:paraId="7E473F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D1ACC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61B553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月度采购方案编制周期开始时</w:t>
            </w:r>
          </w:p>
        </w:tc>
        <w:tc>
          <w:tcPr>
            <w:tcW w:w="1406" w:type="dxa"/>
            <w:tcBorders>
              <w:top w:val="nil"/>
              <w:left w:val="nil"/>
              <w:bottom w:val="nil"/>
              <w:right w:val="nil"/>
            </w:tcBorders>
            <w:shd w:val="clear" w:color="auto" w:fill="auto"/>
            <w:vAlign w:val="center"/>
          </w:tcPr>
          <w:p w14:paraId="5D46F6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系统按需求日期扣减可按时到货的有效采购承诺；数据异常时提示采购计划员处理；待采购需求为0时相应物料不进入后续优化。</w:t>
            </w:r>
          </w:p>
        </w:tc>
        <w:tc>
          <w:tcPr>
            <w:tcW w:w="1088" w:type="dxa"/>
            <w:tcBorders>
              <w:top w:val="nil"/>
              <w:left w:val="nil"/>
              <w:bottom w:val="nil"/>
              <w:right w:val="nil"/>
            </w:tcBorders>
            <w:shd w:val="clear" w:color="auto" w:fill="auto"/>
            <w:vAlign w:val="center"/>
          </w:tcPr>
          <w:p w14:paraId="5B864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分物料、分期待采购需求及要求到货日期</w:t>
            </w:r>
          </w:p>
        </w:tc>
        <w:tc>
          <w:tcPr>
            <w:tcW w:w="1460" w:type="dxa"/>
            <w:tcBorders>
              <w:top w:val="nil"/>
              <w:left w:val="nil"/>
              <w:bottom w:val="nil"/>
              <w:right w:val="nil"/>
            </w:tcBorders>
            <w:shd w:val="clear" w:color="auto" w:fill="auto"/>
            <w:vAlign w:val="center"/>
          </w:tcPr>
          <w:p w14:paraId="0390073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037A7F">
        <w:trPr>
          <w:cantSplit/>
          <w:trHeight w:val="0" w:hRule="atLeast"/>
          <w:jc w:val="center"/>
        </w:trPr>
        <w:tc>
          <w:tcPr>
            <w:tcW w:w="2944" w:type="dxa"/>
            <w:tcBorders>
              <w:top w:val="nil"/>
              <w:left w:val="nil"/>
              <w:bottom w:val="nil"/>
              <w:right w:val="nil"/>
            </w:tcBorders>
            <w:shd w:val="clear" w:color="auto" w:fill="auto"/>
            <w:vAlign w:val="center"/>
          </w:tcPr>
          <w:p w14:paraId="03E09A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P-ZLTC-SCOS-CGYH-001-20-001</w:t>
            </w:r>
          </w:p>
        </w:tc>
        <w:tc>
          <w:tcPr>
            <w:tcW w:w="945" w:type="dxa"/>
            <w:tcBorders>
              <w:top w:val="nil"/>
              <w:left w:val="nil"/>
              <w:bottom w:val="nil"/>
              <w:right w:val="nil"/>
            </w:tcBorders>
            <w:shd w:val="clear" w:color="auto" w:fill="auto"/>
            <w:vAlign w:val="center"/>
          </w:tcPr>
          <w:p w14:paraId="59F7BB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生成月度采购建议规则</w:t>
            </w:r>
          </w:p>
        </w:tc>
        <w:tc>
          <w:tcPr>
            <w:tcW w:w="966" w:type="dxa"/>
            <w:tcBorders>
              <w:top w:val="nil"/>
              <w:left w:val="nil"/>
              <w:bottom w:val="nil"/>
              <w:right w:val="nil"/>
            </w:tcBorders>
            <w:shd w:val="clear" w:color="auto" w:fill="auto"/>
            <w:vAlign w:val="center"/>
          </w:tcPr>
          <w:p w14:paraId="3561CE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D0427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35A94B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分物料、分期待采购需求及要求到货日期形成后</w:t>
            </w:r>
          </w:p>
        </w:tc>
        <w:tc>
          <w:tcPr>
            <w:tcW w:w="1406" w:type="dxa"/>
            <w:tcBorders>
              <w:top w:val="nil"/>
              <w:left w:val="nil"/>
              <w:bottom w:val="nil"/>
              <w:right w:val="nil"/>
            </w:tcBorders>
            <w:shd w:val="clear" w:color="auto" w:fill="auto"/>
            <w:vAlign w:val="center"/>
          </w:tcPr>
          <w:p w14:paraId="630313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按综合成本较低原则生成供应商推荐数量、建议到货日期；供货能力不足或到货时间不可达时输出缺口和原因。</w:t>
            </w:r>
          </w:p>
        </w:tc>
        <w:tc>
          <w:tcPr>
            <w:tcW w:w="1088" w:type="dxa"/>
            <w:tcBorders>
              <w:top w:val="nil"/>
              <w:left w:val="nil"/>
              <w:bottom w:val="nil"/>
              <w:right w:val="nil"/>
            </w:tcBorders>
            <w:shd w:val="clear" w:color="auto" w:fill="auto"/>
            <w:vAlign w:val="center"/>
          </w:tcPr>
          <w:p w14:paraId="244FBD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推荐方案、备选方案及锁价建议</w:t>
            </w:r>
          </w:p>
        </w:tc>
        <w:tc>
          <w:tcPr>
            <w:tcW w:w="1460" w:type="dxa"/>
            <w:tcBorders>
              <w:top w:val="nil"/>
              <w:left w:val="nil"/>
              <w:bottom w:val="nil"/>
              <w:right w:val="nil"/>
            </w:tcBorders>
            <w:shd w:val="clear" w:color="auto" w:fill="auto"/>
            <w:vAlign w:val="center"/>
          </w:tcPr>
          <w:p w14:paraId="088575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8DCD7F">
        <w:trPr>
          <w:cantSplit/>
          <w:trHeight w:val="0" w:hRule="atLeast"/>
          <w:jc w:val="center"/>
        </w:trPr>
        <w:tc>
          <w:tcPr>
            <w:tcW w:w="2944" w:type="dxa"/>
            <w:tcBorders>
              <w:top w:val="nil"/>
              <w:left w:val="nil"/>
              <w:bottom w:val="nil"/>
              <w:right w:val="nil"/>
            </w:tcBorders>
            <w:shd w:val="clear" w:color="auto" w:fill="auto"/>
            <w:vAlign w:val="center"/>
          </w:tcPr>
          <w:p w14:paraId="7BF4FD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P-ZLTC-SCOS-CGYH-001-30-001</w:t>
            </w:r>
          </w:p>
        </w:tc>
        <w:tc>
          <w:tcPr>
            <w:tcW w:w="945" w:type="dxa"/>
            <w:tcBorders>
              <w:top w:val="nil"/>
              <w:left w:val="nil"/>
              <w:bottom w:val="nil"/>
              <w:right w:val="nil"/>
            </w:tcBorders>
            <w:shd w:val="clear" w:color="auto" w:fill="auto"/>
            <w:vAlign w:val="center"/>
          </w:tcPr>
          <w:p w14:paraId="2E8A28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评审并调整采购方案规则</w:t>
            </w:r>
          </w:p>
        </w:tc>
        <w:tc>
          <w:tcPr>
            <w:tcW w:w="966" w:type="dxa"/>
            <w:tcBorders>
              <w:top w:val="nil"/>
              <w:left w:val="nil"/>
              <w:bottom w:val="nil"/>
              <w:right w:val="nil"/>
            </w:tcBorders>
            <w:shd w:val="clear" w:color="auto" w:fill="auto"/>
            <w:vAlign w:val="center"/>
          </w:tcPr>
          <w:p w14:paraId="3A5C6F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D759C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月度采购方案评审与调整</w:t>
            </w:r>
          </w:p>
        </w:tc>
        <w:tc>
          <w:tcPr>
            <w:tcW w:w="1098" w:type="dxa"/>
            <w:tcBorders>
              <w:top w:val="nil"/>
              <w:left w:val="nil"/>
              <w:bottom w:val="nil"/>
              <w:right w:val="nil"/>
            </w:tcBorders>
            <w:shd w:val="clear" w:color="auto" w:fill="auto"/>
            <w:vAlign w:val="center"/>
          </w:tcPr>
          <w:p w14:paraId="01A81D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推荐方案、备选方案及锁价建议形成并具备评审条件后</w:t>
            </w:r>
          </w:p>
        </w:tc>
        <w:tc>
          <w:tcPr>
            <w:tcW w:w="1406" w:type="dxa"/>
            <w:tcBorders>
              <w:top w:val="nil"/>
              <w:left w:val="nil"/>
              <w:bottom w:val="nil"/>
              <w:right w:val="nil"/>
            </w:tcBorders>
            <w:shd w:val="clear" w:color="auto" w:fill="auto"/>
            <w:vAlign w:val="center"/>
          </w:tcPr>
          <w:p w14:paraId="2509BB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比较方案并调整供应商及采购数量；可修改采购条件后重新生成建议。</w:t>
            </w:r>
          </w:p>
        </w:tc>
        <w:tc>
          <w:tcPr>
            <w:tcW w:w="1088" w:type="dxa"/>
            <w:tcBorders>
              <w:top w:val="nil"/>
              <w:left w:val="nil"/>
              <w:bottom w:val="nil"/>
              <w:right w:val="nil"/>
            </w:tcBorders>
            <w:shd w:val="clear" w:color="auto" w:fill="auto"/>
            <w:vAlign w:val="center"/>
          </w:tcPr>
          <w:p w14:paraId="0824BE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拟定月度采购方案</w:t>
            </w:r>
          </w:p>
        </w:tc>
        <w:tc>
          <w:tcPr>
            <w:tcW w:w="1460" w:type="dxa"/>
            <w:tcBorders>
              <w:top w:val="nil"/>
              <w:left w:val="nil"/>
              <w:bottom w:val="nil"/>
              <w:right w:val="nil"/>
            </w:tcBorders>
            <w:shd w:val="clear" w:color="auto" w:fill="auto"/>
            <w:vAlign w:val="center"/>
          </w:tcPr>
          <w:p w14:paraId="1959B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D847D">
        <w:trPr>
          <w:cantSplit/>
          <w:trHeight w:val="0" w:hRule="atLeast"/>
          <w:jc w:val="center"/>
        </w:trPr>
        <w:tc>
          <w:tcPr>
            <w:tcW w:w="2944" w:type="dxa"/>
            <w:tcBorders>
              <w:top w:val="nil"/>
              <w:left w:val="nil"/>
              <w:bottom w:val="nil"/>
              <w:right w:val="nil"/>
            </w:tcBorders>
            <w:shd w:val="clear" w:color="auto" w:fill="auto"/>
            <w:vAlign w:val="center"/>
          </w:tcPr>
          <w:p w14:paraId="61756A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P-ZLTC-SCOS-CGYH-001-40-001</w:t>
            </w:r>
          </w:p>
        </w:tc>
        <w:tc>
          <w:tcPr>
            <w:tcW w:w="945" w:type="dxa"/>
            <w:tcBorders>
              <w:top w:val="nil"/>
              <w:left w:val="nil"/>
              <w:bottom w:val="nil"/>
              <w:right w:val="nil"/>
            </w:tcBorders>
            <w:shd w:val="clear" w:color="auto" w:fill="auto"/>
            <w:vAlign w:val="center"/>
          </w:tcPr>
          <w:p w14:paraId="5C5177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确认采购方案规则</w:t>
            </w:r>
          </w:p>
        </w:tc>
        <w:tc>
          <w:tcPr>
            <w:tcW w:w="966" w:type="dxa"/>
            <w:tcBorders>
              <w:top w:val="nil"/>
              <w:left w:val="nil"/>
              <w:bottom w:val="nil"/>
              <w:right w:val="nil"/>
            </w:tcBorders>
            <w:shd w:val="clear" w:color="auto" w:fill="auto"/>
            <w:vAlign w:val="center"/>
          </w:tcPr>
          <w:p w14:paraId="151F04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552D1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9B90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月度采购方案形成并具备评审条件后</w:t>
            </w:r>
          </w:p>
        </w:tc>
        <w:tc>
          <w:tcPr>
            <w:tcW w:w="1406" w:type="dxa"/>
            <w:tcBorders>
              <w:top w:val="nil"/>
              <w:left w:val="nil"/>
              <w:bottom w:val="nil"/>
              <w:right w:val="nil"/>
            </w:tcBorders>
            <w:shd w:val="clear" w:color="auto" w:fill="auto"/>
            <w:vAlign w:val="center"/>
          </w:tcPr>
          <w:p w14:paraId="7156B8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校验供应商可供量、采购数量合计及其他方案约束；未确认时退回调整；确认通过后继续处理。</w:t>
            </w:r>
          </w:p>
        </w:tc>
        <w:tc>
          <w:tcPr>
            <w:tcW w:w="1088" w:type="dxa"/>
            <w:tcBorders>
              <w:top w:val="nil"/>
              <w:left w:val="nil"/>
              <w:bottom w:val="nil"/>
              <w:right w:val="nil"/>
            </w:tcBorders>
            <w:shd w:val="clear" w:color="auto" w:fill="auto"/>
            <w:vAlign w:val="center"/>
          </w:tcPr>
          <w:p w14:paraId="096087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B5E62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ED8890">
        <w:trPr>
          <w:cantSplit/>
          <w:trHeight w:val="0" w:hRule="atLeast"/>
          <w:jc w:val="center"/>
        </w:trPr>
        <w:tc>
          <w:tcPr>
            <w:tcW w:w="2944" w:type="dxa"/>
            <w:tcBorders>
              <w:top w:val="nil"/>
              <w:left w:val="nil"/>
              <w:bottom w:val="nil"/>
              <w:right w:val="nil"/>
            </w:tcBorders>
            <w:shd w:val="clear" w:color="auto" w:fill="auto"/>
            <w:vAlign w:val="center"/>
          </w:tcPr>
          <w:p w14:paraId="736EDC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P-ZLTC-SCOS-CGYH-001-50-001</w:t>
            </w:r>
          </w:p>
        </w:tc>
        <w:tc>
          <w:tcPr>
            <w:tcW w:w="945" w:type="dxa"/>
            <w:tcBorders>
              <w:top w:val="nil"/>
              <w:left w:val="nil"/>
              <w:bottom w:val="nil"/>
              <w:right w:val="nil"/>
            </w:tcBorders>
            <w:shd w:val="clear" w:color="auto" w:fill="auto"/>
            <w:vAlign w:val="center"/>
          </w:tcPr>
          <w:p w14:paraId="0FD966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审批月度采购方案规则</w:t>
            </w:r>
          </w:p>
        </w:tc>
        <w:tc>
          <w:tcPr>
            <w:tcW w:w="966" w:type="dxa"/>
            <w:tcBorders>
              <w:top w:val="nil"/>
              <w:left w:val="nil"/>
              <w:bottom w:val="nil"/>
              <w:right w:val="nil"/>
            </w:tcBorders>
            <w:shd w:val="clear" w:color="auto" w:fill="auto"/>
            <w:vAlign w:val="center"/>
          </w:tcPr>
          <w:p w14:paraId="40CD00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6824E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08F5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确认采购方案通过时</w:t>
            </w:r>
          </w:p>
        </w:tc>
        <w:tc>
          <w:tcPr>
            <w:tcW w:w="1406" w:type="dxa"/>
            <w:tcBorders>
              <w:top w:val="nil"/>
              <w:left w:val="nil"/>
              <w:bottom w:val="nil"/>
              <w:right w:val="nil"/>
            </w:tcBorders>
            <w:shd w:val="clear" w:color="auto" w:fill="auto"/>
            <w:vAlign w:val="center"/>
          </w:tcPr>
          <w:p w14:paraId="7B9F9B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审核需求依据、供应商选择、数量分配、成本及合同和锁价约束；审批未通过时退回修改；审批通过后继续处理。</w:t>
            </w:r>
          </w:p>
        </w:tc>
        <w:tc>
          <w:tcPr>
            <w:tcW w:w="1088" w:type="dxa"/>
            <w:tcBorders>
              <w:top w:val="nil"/>
              <w:left w:val="nil"/>
              <w:bottom w:val="nil"/>
              <w:right w:val="nil"/>
            </w:tcBorders>
            <w:shd w:val="clear" w:color="auto" w:fill="auto"/>
            <w:vAlign w:val="center"/>
          </w:tcPr>
          <w:p w14:paraId="2D767E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C7EF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634E8">
        <w:trPr>
          <w:cantSplit/>
          <w:trHeight w:val="0" w:hRule="atLeast"/>
          <w:jc w:val="center"/>
        </w:trPr>
        <w:tc>
          <w:tcPr>
            <w:tcW w:w="2944" w:type="dxa"/>
            <w:tcBorders>
              <w:top w:val="nil"/>
              <w:left w:val="nil"/>
              <w:bottom w:val="nil"/>
              <w:right w:val="nil"/>
            </w:tcBorders>
            <w:shd w:val="clear" w:color="auto" w:fill="auto"/>
            <w:vAlign w:val="center"/>
          </w:tcPr>
          <w:p w14:paraId="248CE97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P-ZLTC-SCOS-CGYH-001-60-001</w:t>
            </w:r>
          </w:p>
        </w:tc>
        <w:tc>
          <w:tcPr>
            <w:tcW w:w="945" w:type="dxa"/>
            <w:tcBorders>
              <w:top w:val="nil"/>
              <w:left w:val="nil"/>
              <w:bottom w:val="nil"/>
              <w:right w:val="nil"/>
            </w:tcBorders>
            <w:shd w:val="clear" w:color="auto" w:fill="auto"/>
            <w:vAlign w:val="center"/>
          </w:tcPr>
          <w:p w14:paraId="69A25A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发布已确认采购方案规则</w:t>
            </w:r>
          </w:p>
        </w:tc>
        <w:tc>
          <w:tcPr>
            <w:tcW w:w="966" w:type="dxa"/>
            <w:tcBorders>
              <w:top w:val="nil"/>
              <w:left w:val="nil"/>
              <w:bottom w:val="nil"/>
              <w:right w:val="nil"/>
            </w:tcBorders>
            <w:shd w:val="clear" w:color="auto" w:fill="auto"/>
            <w:vAlign w:val="center"/>
          </w:tcPr>
          <w:p w14:paraId="0CB410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46EF4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1839BE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审批月度采购方案通过时</w:t>
            </w:r>
          </w:p>
        </w:tc>
        <w:tc>
          <w:tcPr>
            <w:tcW w:w="1406" w:type="dxa"/>
            <w:tcBorders>
              <w:top w:val="nil"/>
              <w:left w:val="nil"/>
              <w:bottom w:val="nil"/>
              <w:right w:val="nil"/>
            </w:tcBorders>
            <w:shd w:val="clear" w:color="auto" w:fill="auto"/>
            <w:vAlign w:val="center"/>
          </w:tcPr>
          <w:p w14:paraId="0A60F8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发布方案并留存关键结果和审批依据；发布失败时保留待发布状态并支持重试。</w:t>
            </w:r>
          </w:p>
        </w:tc>
        <w:tc>
          <w:tcPr>
            <w:tcW w:w="1088" w:type="dxa"/>
            <w:tcBorders>
              <w:top w:val="nil"/>
              <w:left w:val="nil"/>
              <w:bottom w:val="nil"/>
              <w:right w:val="nil"/>
            </w:tcBorders>
            <w:shd w:val="clear" w:color="auto" w:fill="auto"/>
            <w:vAlign w:val="center"/>
          </w:tcPr>
          <w:p w14:paraId="35C75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已确认月度采购方案及版本</w:t>
            </w:r>
          </w:p>
        </w:tc>
        <w:tc>
          <w:tcPr>
            <w:tcW w:w="1460" w:type="dxa"/>
            <w:tcBorders>
              <w:top w:val="nil"/>
              <w:left w:val="nil"/>
              <w:bottom w:val="nil"/>
              <w:right w:val="nil"/>
            </w:tcBorders>
            <w:shd w:val="clear" w:color="auto" w:fill="auto"/>
            <w:vAlign w:val="center"/>
          </w:tcPr>
          <w:p w14:paraId="16B0DB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182CCE">
        <w:trPr>
          <w:cantSplit/>
          <w:trHeight w:val="0" w:hRule="atLeast"/>
          <w:jc w:val="center"/>
        </w:trPr>
        <w:tc>
          <w:tcPr>
            <w:tcW w:w="2944" w:type="dxa"/>
            <w:tcBorders>
              <w:top w:val="nil"/>
              <w:left w:val="nil"/>
              <w:bottom w:val="nil"/>
              <w:right w:val="nil"/>
            </w:tcBorders>
            <w:shd w:val="clear" w:color="auto" w:fill="auto"/>
            <w:vAlign w:val="center"/>
          </w:tcPr>
          <w:p w14:paraId="4CFA10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P-ZLTC-SCOS-CGYH-001-70-001</w:t>
            </w:r>
          </w:p>
        </w:tc>
        <w:tc>
          <w:tcPr>
            <w:tcW w:w="945" w:type="dxa"/>
            <w:tcBorders>
              <w:top w:val="nil"/>
              <w:left w:val="nil"/>
              <w:bottom w:val="nil"/>
              <w:right w:val="nil"/>
            </w:tcBorders>
            <w:shd w:val="clear" w:color="auto" w:fill="auto"/>
            <w:vAlign w:val="center"/>
          </w:tcPr>
          <w:p w14:paraId="4741715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进入采购执行规则</w:t>
            </w:r>
          </w:p>
        </w:tc>
        <w:tc>
          <w:tcPr>
            <w:tcW w:w="966" w:type="dxa"/>
            <w:tcBorders>
              <w:top w:val="nil"/>
              <w:left w:val="nil"/>
              <w:bottom w:val="nil"/>
              <w:right w:val="nil"/>
            </w:tcBorders>
            <w:shd w:val="clear" w:color="auto" w:fill="auto"/>
            <w:vAlign w:val="center"/>
          </w:tcPr>
          <w:p w14:paraId="51FB7B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41458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C1FAA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月度采购方案及版本形成后</w:t>
            </w:r>
          </w:p>
        </w:tc>
        <w:tc>
          <w:tcPr>
            <w:tcW w:w="1406" w:type="dxa"/>
            <w:tcBorders>
              <w:top w:val="nil"/>
              <w:left w:val="nil"/>
              <w:bottom w:val="nil"/>
              <w:right w:val="nil"/>
            </w:tcBorders>
            <w:shd w:val="clear" w:color="auto" w:fill="auto"/>
            <w:vAlign w:val="center"/>
          </w:tcPr>
          <w:p w14:paraId="50765B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向E采/SAP提供已确认的供应商、采购数量、采购时点；接口失败时保留待下发状态并支持重推。</w:t>
            </w:r>
          </w:p>
        </w:tc>
        <w:tc>
          <w:tcPr>
            <w:tcW w:w="1088" w:type="dxa"/>
            <w:tcBorders>
              <w:top w:val="nil"/>
              <w:left w:val="nil"/>
              <w:bottom w:val="nil"/>
              <w:right w:val="nil"/>
            </w:tcBorders>
            <w:shd w:val="clear" w:color="auto" w:fill="auto"/>
            <w:vAlign w:val="center"/>
          </w:tcPr>
          <w:p w14:paraId="1BEC8B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采购执行依据</w:t>
            </w:r>
          </w:p>
        </w:tc>
        <w:tc>
          <w:tcPr>
            <w:tcW w:w="1460" w:type="dxa"/>
            <w:tcBorders>
              <w:top w:val="nil"/>
              <w:left w:val="nil"/>
              <w:bottom w:val="nil"/>
              <w:right w:val="nil"/>
            </w:tcBorders>
            <w:shd w:val="clear" w:color="auto" w:fill="auto"/>
            <w:vAlign w:val="center"/>
          </w:tcPr>
          <w:p w14:paraId="658E01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3A4133A8">
        <w:trPr>
          <w:cantSplit/>
          <w:trHeight w:val="0" w:hRule="atLeast"/>
          <w:jc w:val="center"/>
        </w:trPr>
        <w:tc>
          <w:tcPr>
            <w:tcW w:w="2944" w:type="dxa"/>
            <w:tcBorders>
              <w:top w:val="nil"/>
              <w:left w:val="nil"/>
              <w:bottom w:val="nil"/>
              <w:right w:val="nil"/>
            </w:tcBorders>
            <w:shd w:val="clear" w:color="auto" w:fill="auto"/>
            <w:vAlign w:val="center"/>
          </w:tcPr>
          <w:p w14:paraId="393D2D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P-ZLTC-SCOS-CGYH-002-10-001</w:t>
            </w:r>
          </w:p>
        </w:tc>
        <w:tc>
          <w:tcPr>
            <w:tcW w:w="945" w:type="dxa"/>
            <w:tcBorders>
              <w:top w:val="nil"/>
              <w:left w:val="nil"/>
              <w:bottom w:val="nil"/>
              <w:right w:val="nil"/>
            </w:tcBorders>
            <w:shd w:val="clear" w:color="auto" w:fill="auto"/>
            <w:vAlign w:val="center"/>
          </w:tcPr>
          <w:p w14:paraId="314B20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提供供应商评价与资质数据规则</w:t>
            </w:r>
          </w:p>
        </w:tc>
        <w:tc>
          <w:tcPr>
            <w:tcW w:w="966" w:type="dxa"/>
            <w:tcBorders>
              <w:top w:val="nil"/>
              <w:left w:val="nil"/>
              <w:bottom w:val="nil"/>
              <w:right w:val="nil"/>
            </w:tcBorders>
            <w:shd w:val="clear" w:color="auto" w:fill="auto"/>
            <w:vAlign w:val="center"/>
          </w:tcPr>
          <w:p w14:paraId="4F285C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F9C9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467B1D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系统按评价周期运行，或在采购订单执行、质量结果及供应商资质发生变化时</w:t>
            </w:r>
          </w:p>
        </w:tc>
        <w:tc>
          <w:tcPr>
            <w:tcW w:w="1406" w:type="dxa"/>
            <w:tcBorders>
              <w:top w:val="nil"/>
              <w:left w:val="nil"/>
              <w:bottom w:val="nil"/>
              <w:right w:val="nil"/>
            </w:tcBorders>
            <w:shd w:val="clear" w:color="auto" w:fill="auto"/>
            <w:vAlign w:val="center"/>
          </w:tcPr>
          <w:p w14:paraId="2E0307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通过统一数据服务层汇集供应商评价所需数据；数据缺失或接口异常时保留最近有效数据并标记数据时间。</w:t>
            </w:r>
          </w:p>
        </w:tc>
        <w:tc>
          <w:tcPr>
            <w:tcW w:w="1088" w:type="dxa"/>
            <w:tcBorders>
              <w:top w:val="nil"/>
              <w:left w:val="nil"/>
              <w:bottom w:val="nil"/>
              <w:right w:val="nil"/>
            </w:tcBorders>
            <w:shd w:val="clear" w:color="auto" w:fill="auto"/>
            <w:vAlign w:val="center"/>
          </w:tcPr>
          <w:p w14:paraId="58AB0F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供应商评价数据集</w:t>
            </w:r>
          </w:p>
        </w:tc>
        <w:tc>
          <w:tcPr>
            <w:tcW w:w="1460" w:type="dxa"/>
            <w:tcBorders>
              <w:top w:val="nil"/>
              <w:left w:val="nil"/>
              <w:bottom w:val="nil"/>
              <w:right w:val="nil"/>
            </w:tcBorders>
            <w:shd w:val="clear" w:color="auto" w:fill="auto"/>
            <w:vAlign w:val="center"/>
          </w:tcPr>
          <w:p w14:paraId="3AE052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33008AF">
        <w:trPr>
          <w:cantSplit/>
          <w:trHeight w:val="0" w:hRule="atLeast"/>
          <w:jc w:val="center"/>
        </w:trPr>
        <w:tc>
          <w:tcPr>
            <w:tcW w:w="2944" w:type="dxa"/>
            <w:tcBorders>
              <w:top w:val="nil"/>
              <w:left w:val="nil"/>
              <w:bottom w:val="nil"/>
              <w:right w:val="nil"/>
            </w:tcBorders>
            <w:shd w:val="clear" w:color="auto" w:fill="auto"/>
            <w:vAlign w:val="center"/>
          </w:tcPr>
          <w:p w14:paraId="0F3285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P-ZLTC-SCOS-CGYH-002-20-001</w:t>
            </w:r>
          </w:p>
        </w:tc>
        <w:tc>
          <w:tcPr>
            <w:tcW w:w="945" w:type="dxa"/>
            <w:tcBorders>
              <w:top w:val="nil"/>
              <w:left w:val="nil"/>
              <w:bottom w:val="nil"/>
              <w:right w:val="nil"/>
            </w:tcBorders>
            <w:shd w:val="clear" w:color="auto" w:fill="auto"/>
            <w:vAlign w:val="center"/>
          </w:tcPr>
          <w:p w14:paraId="082EE2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生成供应商画像与预警规则</w:t>
            </w:r>
          </w:p>
        </w:tc>
        <w:tc>
          <w:tcPr>
            <w:tcW w:w="966" w:type="dxa"/>
            <w:tcBorders>
              <w:top w:val="nil"/>
              <w:left w:val="nil"/>
              <w:bottom w:val="nil"/>
              <w:right w:val="nil"/>
            </w:tcBorders>
            <w:shd w:val="clear" w:color="auto" w:fill="auto"/>
            <w:vAlign w:val="center"/>
          </w:tcPr>
          <w:p w14:paraId="6DA119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B56FE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16111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供应商评价数据集形成后</w:t>
            </w:r>
          </w:p>
        </w:tc>
        <w:tc>
          <w:tcPr>
            <w:tcW w:w="1406" w:type="dxa"/>
            <w:tcBorders>
              <w:top w:val="nil"/>
              <w:left w:val="nil"/>
              <w:bottom w:val="nil"/>
              <w:right w:val="nil"/>
            </w:tcBorders>
            <w:shd w:val="clear" w:color="auto" w:fill="auto"/>
            <w:vAlign w:val="center"/>
          </w:tcPr>
          <w:p w14:paraId="1F5563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更新历史价格、交付、质量、财务和风险指标；评分所需数据不足时标记“待补充”，不得给出误导性完整评分。</w:t>
            </w:r>
          </w:p>
        </w:tc>
        <w:tc>
          <w:tcPr>
            <w:tcW w:w="1088" w:type="dxa"/>
            <w:tcBorders>
              <w:top w:val="nil"/>
              <w:left w:val="nil"/>
              <w:bottom w:val="nil"/>
              <w:right w:val="nil"/>
            </w:tcBorders>
            <w:shd w:val="clear" w:color="auto" w:fill="auto"/>
            <w:vAlign w:val="center"/>
          </w:tcPr>
          <w:p w14:paraId="69FD66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供应商画像、绩效评分、资质及风险预警</w:t>
            </w:r>
          </w:p>
        </w:tc>
        <w:tc>
          <w:tcPr>
            <w:tcW w:w="1460" w:type="dxa"/>
            <w:tcBorders>
              <w:top w:val="nil"/>
              <w:left w:val="nil"/>
              <w:bottom w:val="nil"/>
              <w:right w:val="nil"/>
            </w:tcBorders>
            <w:shd w:val="clear" w:color="auto" w:fill="auto"/>
            <w:vAlign w:val="center"/>
          </w:tcPr>
          <w:p w14:paraId="65D5E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951FB8">
        <w:trPr>
          <w:cantSplit/>
          <w:trHeight w:val="0" w:hRule="atLeast"/>
          <w:jc w:val="center"/>
        </w:trPr>
        <w:tc>
          <w:tcPr>
            <w:tcW w:w="2944" w:type="dxa"/>
            <w:tcBorders>
              <w:top w:val="nil"/>
              <w:left w:val="nil"/>
              <w:bottom w:val="nil"/>
              <w:right w:val="nil"/>
            </w:tcBorders>
            <w:shd w:val="clear" w:color="auto" w:fill="auto"/>
            <w:vAlign w:val="center"/>
          </w:tcPr>
          <w:p w14:paraId="547818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P-ZLTC-SCOS-CGYH-002-30-001</w:t>
            </w:r>
          </w:p>
        </w:tc>
        <w:tc>
          <w:tcPr>
            <w:tcW w:w="945" w:type="dxa"/>
            <w:tcBorders>
              <w:top w:val="nil"/>
              <w:left w:val="nil"/>
              <w:bottom w:val="nil"/>
              <w:right w:val="nil"/>
            </w:tcBorders>
            <w:shd w:val="clear" w:color="auto" w:fill="auto"/>
            <w:vAlign w:val="center"/>
          </w:tcPr>
          <w:p w14:paraId="421B2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判断是否存在异常或预警规则</w:t>
            </w:r>
          </w:p>
        </w:tc>
        <w:tc>
          <w:tcPr>
            <w:tcW w:w="966" w:type="dxa"/>
            <w:tcBorders>
              <w:top w:val="nil"/>
              <w:left w:val="nil"/>
              <w:bottom w:val="nil"/>
              <w:right w:val="nil"/>
            </w:tcBorders>
            <w:shd w:val="clear" w:color="auto" w:fill="auto"/>
            <w:vAlign w:val="center"/>
          </w:tcPr>
          <w:p w14:paraId="1D4D31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C25FE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5C5413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供应商画像、绩效评分、资质及风险预警形成后</w:t>
            </w:r>
          </w:p>
        </w:tc>
        <w:tc>
          <w:tcPr>
            <w:tcW w:w="1406" w:type="dxa"/>
            <w:tcBorders>
              <w:top w:val="nil"/>
              <w:left w:val="nil"/>
              <w:bottom w:val="nil"/>
              <w:right w:val="nil"/>
            </w:tcBorders>
            <w:shd w:val="clear" w:color="auto" w:fill="auto"/>
            <w:vAlign w:val="center"/>
          </w:tcPr>
          <w:p w14:paraId="64F060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判断是否存在资质到期、绩效明显下降、质量或交付异常；不存在异常或预警时发布正常评价结果；存在异常或预警时继续处理。</w:t>
            </w:r>
          </w:p>
        </w:tc>
        <w:tc>
          <w:tcPr>
            <w:tcW w:w="1088" w:type="dxa"/>
            <w:tcBorders>
              <w:top w:val="nil"/>
              <w:left w:val="nil"/>
              <w:bottom w:val="nil"/>
              <w:right w:val="nil"/>
            </w:tcBorders>
            <w:shd w:val="clear" w:color="auto" w:fill="auto"/>
            <w:vAlign w:val="center"/>
          </w:tcPr>
          <w:p w14:paraId="54ABB7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判断结论</w:t>
            </w:r>
          </w:p>
        </w:tc>
        <w:tc>
          <w:tcPr>
            <w:tcW w:w="1460" w:type="dxa"/>
            <w:tcBorders>
              <w:top w:val="nil"/>
              <w:left w:val="nil"/>
              <w:bottom w:val="nil"/>
              <w:right w:val="nil"/>
            </w:tcBorders>
            <w:shd w:val="clear" w:color="auto" w:fill="auto"/>
            <w:vAlign w:val="center"/>
          </w:tcPr>
          <w:p w14:paraId="3DDB08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D3033B">
        <w:trPr>
          <w:cantSplit/>
          <w:trHeight w:val="0" w:hRule="atLeast"/>
          <w:jc w:val="center"/>
        </w:trPr>
        <w:tc>
          <w:tcPr>
            <w:tcW w:w="2944" w:type="dxa"/>
            <w:tcBorders>
              <w:top w:val="nil"/>
              <w:left w:val="nil"/>
              <w:bottom w:val="nil"/>
              <w:right w:val="nil"/>
            </w:tcBorders>
            <w:shd w:val="clear" w:color="auto" w:fill="auto"/>
            <w:vAlign w:val="center"/>
          </w:tcPr>
          <w:p w14:paraId="012B5C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P-ZLTC-SCOS-CGYH-002-40-001</w:t>
            </w:r>
          </w:p>
        </w:tc>
        <w:tc>
          <w:tcPr>
            <w:tcW w:w="945" w:type="dxa"/>
            <w:tcBorders>
              <w:top w:val="nil"/>
              <w:left w:val="nil"/>
              <w:bottom w:val="nil"/>
              <w:right w:val="nil"/>
            </w:tcBorders>
            <w:shd w:val="clear" w:color="auto" w:fill="auto"/>
            <w:vAlign w:val="center"/>
          </w:tcPr>
          <w:p w14:paraId="3BEE3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复核评价结果规则</w:t>
            </w:r>
          </w:p>
        </w:tc>
        <w:tc>
          <w:tcPr>
            <w:tcW w:w="966" w:type="dxa"/>
            <w:tcBorders>
              <w:top w:val="nil"/>
              <w:left w:val="nil"/>
              <w:bottom w:val="nil"/>
              <w:right w:val="nil"/>
            </w:tcBorders>
            <w:shd w:val="clear" w:color="auto" w:fill="auto"/>
            <w:vAlign w:val="center"/>
          </w:tcPr>
          <w:p w14:paraId="324B16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BE6D3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314237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存在异常或预警时</w:t>
            </w:r>
          </w:p>
        </w:tc>
        <w:tc>
          <w:tcPr>
            <w:tcW w:w="1406" w:type="dxa"/>
            <w:tcBorders>
              <w:top w:val="nil"/>
              <w:left w:val="nil"/>
              <w:bottom w:val="nil"/>
              <w:right w:val="nil"/>
            </w:tcBorders>
            <w:shd w:val="clear" w:color="auto" w:fill="auto"/>
            <w:vAlign w:val="center"/>
          </w:tcPr>
          <w:p w14:paraId="348045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核实异常数据、资质文件和风险信息；数据有误时返回数据源修正后重新评价。</w:t>
            </w:r>
          </w:p>
        </w:tc>
        <w:tc>
          <w:tcPr>
            <w:tcW w:w="1088" w:type="dxa"/>
            <w:tcBorders>
              <w:top w:val="nil"/>
              <w:left w:val="nil"/>
              <w:bottom w:val="nil"/>
              <w:right w:val="nil"/>
            </w:tcBorders>
            <w:shd w:val="clear" w:color="auto" w:fill="auto"/>
            <w:vAlign w:val="center"/>
          </w:tcPr>
          <w:p w14:paraId="133B1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4AE79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640AB4">
        <w:trPr>
          <w:cantSplit/>
          <w:trHeight w:val="0" w:hRule="atLeast"/>
          <w:jc w:val="center"/>
        </w:trPr>
        <w:tc>
          <w:tcPr>
            <w:tcW w:w="2944" w:type="dxa"/>
            <w:tcBorders>
              <w:top w:val="nil"/>
              <w:left w:val="nil"/>
              <w:bottom w:val="nil"/>
              <w:right w:val="nil"/>
            </w:tcBorders>
            <w:shd w:val="clear" w:color="auto" w:fill="auto"/>
            <w:vAlign w:val="center"/>
          </w:tcPr>
          <w:p w14:paraId="07BE72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P-ZLTC-SCOS-CGYH-002-50-001</w:t>
            </w:r>
          </w:p>
        </w:tc>
        <w:tc>
          <w:tcPr>
            <w:tcW w:w="945" w:type="dxa"/>
            <w:tcBorders>
              <w:top w:val="nil"/>
              <w:left w:val="nil"/>
              <w:bottom w:val="nil"/>
              <w:right w:val="nil"/>
            </w:tcBorders>
            <w:shd w:val="clear" w:color="auto" w:fill="auto"/>
            <w:vAlign w:val="center"/>
          </w:tcPr>
          <w:p w14:paraId="291725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判断是否调整供应商状态规则</w:t>
            </w:r>
          </w:p>
        </w:tc>
        <w:tc>
          <w:tcPr>
            <w:tcW w:w="966" w:type="dxa"/>
            <w:tcBorders>
              <w:top w:val="nil"/>
              <w:left w:val="nil"/>
              <w:bottom w:val="nil"/>
              <w:right w:val="nil"/>
            </w:tcBorders>
            <w:shd w:val="clear" w:color="auto" w:fill="auto"/>
            <w:vAlign w:val="center"/>
          </w:tcPr>
          <w:p w14:paraId="64690C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A763C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7CC8F2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4E668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判断是否限制选择、暂停合作、恢复合作或维持现状；需要调整时提出状态变更建议，无需调整时保留现状。</w:t>
            </w:r>
          </w:p>
        </w:tc>
        <w:tc>
          <w:tcPr>
            <w:tcW w:w="1088" w:type="dxa"/>
            <w:tcBorders>
              <w:top w:val="nil"/>
              <w:left w:val="nil"/>
              <w:bottom w:val="nil"/>
              <w:right w:val="nil"/>
            </w:tcBorders>
            <w:shd w:val="clear" w:color="auto" w:fill="auto"/>
            <w:vAlign w:val="center"/>
          </w:tcPr>
          <w:p w14:paraId="0E88A5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供应商状态调整建议</w:t>
            </w:r>
          </w:p>
        </w:tc>
        <w:tc>
          <w:tcPr>
            <w:tcW w:w="1460" w:type="dxa"/>
            <w:tcBorders>
              <w:top w:val="nil"/>
              <w:left w:val="nil"/>
              <w:bottom w:val="nil"/>
              <w:right w:val="nil"/>
            </w:tcBorders>
            <w:shd w:val="clear" w:color="auto" w:fill="auto"/>
            <w:vAlign w:val="center"/>
          </w:tcPr>
          <w:p w14:paraId="29A860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F97543">
        <w:trPr>
          <w:cantSplit/>
          <w:trHeight w:val="0" w:hRule="atLeast"/>
          <w:jc w:val="center"/>
        </w:trPr>
        <w:tc>
          <w:tcPr>
            <w:tcW w:w="2944" w:type="dxa"/>
            <w:tcBorders>
              <w:top w:val="nil"/>
              <w:left w:val="nil"/>
              <w:bottom w:val="nil"/>
              <w:right w:val="nil"/>
            </w:tcBorders>
            <w:shd w:val="clear" w:color="auto" w:fill="auto"/>
            <w:vAlign w:val="center"/>
          </w:tcPr>
          <w:p w14:paraId="412909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P-ZLTC-SCOS-CGYH-002-60-001</w:t>
            </w:r>
          </w:p>
        </w:tc>
        <w:tc>
          <w:tcPr>
            <w:tcW w:w="945" w:type="dxa"/>
            <w:tcBorders>
              <w:top w:val="nil"/>
              <w:left w:val="nil"/>
              <w:bottom w:val="nil"/>
              <w:right w:val="nil"/>
            </w:tcBorders>
            <w:shd w:val="clear" w:color="auto" w:fill="auto"/>
            <w:vAlign w:val="center"/>
          </w:tcPr>
          <w:p w14:paraId="211342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审批状态调整规则</w:t>
            </w:r>
          </w:p>
        </w:tc>
        <w:tc>
          <w:tcPr>
            <w:tcW w:w="966" w:type="dxa"/>
            <w:tcBorders>
              <w:top w:val="nil"/>
              <w:left w:val="nil"/>
              <w:bottom w:val="nil"/>
              <w:right w:val="nil"/>
            </w:tcBorders>
            <w:shd w:val="clear" w:color="auto" w:fill="auto"/>
            <w:vAlign w:val="center"/>
          </w:tcPr>
          <w:p w14:paraId="06A34F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356C0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28947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需要调整供应商状态时</w:t>
            </w:r>
          </w:p>
        </w:tc>
        <w:tc>
          <w:tcPr>
            <w:tcW w:w="1406" w:type="dxa"/>
            <w:tcBorders>
              <w:top w:val="nil"/>
              <w:left w:val="nil"/>
              <w:bottom w:val="nil"/>
              <w:right w:val="nil"/>
            </w:tcBorders>
            <w:shd w:val="clear" w:color="auto" w:fill="auto"/>
            <w:vAlign w:val="center"/>
          </w:tcPr>
          <w:p w14:paraId="59B415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审批供应商状态调整和处置意见；审批未通过时退回补充说明；审批通过后继续处理。</w:t>
            </w:r>
          </w:p>
        </w:tc>
        <w:tc>
          <w:tcPr>
            <w:tcW w:w="1088" w:type="dxa"/>
            <w:tcBorders>
              <w:top w:val="nil"/>
              <w:left w:val="nil"/>
              <w:bottom w:val="nil"/>
              <w:right w:val="nil"/>
            </w:tcBorders>
            <w:shd w:val="clear" w:color="auto" w:fill="auto"/>
            <w:vAlign w:val="center"/>
          </w:tcPr>
          <w:p w14:paraId="5A1B8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769DCB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FBC5E2">
        <w:trPr>
          <w:cantSplit/>
          <w:trHeight w:val="0" w:hRule="atLeast"/>
          <w:jc w:val="center"/>
        </w:trPr>
        <w:tc>
          <w:tcPr>
            <w:tcW w:w="2944" w:type="dxa"/>
            <w:tcBorders>
              <w:top w:val="nil"/>
              <w:left w:val="nil"/>
              <w:bottom w:val="nil"/>
              <w:right w:val="nil"/>
            </w:tcBorders>
            <w:shd w:val="clear" w:color="auto" w:fill="auto"/>
            <w:vAlign w:val="center"/>
          </w:tcPr>
          <w:p w14:paraId="178717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P-ZLTC-SCOS-CGYH-002-70-001</w:t>
            </w:r>
          </w:p>
        </w:tc>
        <w:tc>
          <w:tcPr>
            <w:tcW w:w="945" w:type="dxa"/>
            <w:tcBorders>
              <w:top w:val="nil"/>
              <w:left w:val="nil"/>
              <w:bottom w:val="nil"/>
              <w:right w:val="nil"/>
            </w:tcBorders>
            <w:shd w:val="clear" w:color="auto" w:fill="auto"/>
            <w:vAlign w:val="center"/>
          </w:tcPr>
          <w:p w14:paraId="628DEE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发布供应商评价结果规则</w:t>
            </w:r>
          </w:p>
        </w:tc>
        <w:tc>
          <w:tcPr>
            <w:tcW w:w="966" w:type="dxa"/>
            <w:tcBorders>
              <w:top w:val="nil"/>
              <w:left w:val="nil"/>
              <w:bottom w:val="nil"/>
              <w:right w:val="nil"/>
            </w:tcBorders>
            <w:shd w:val="clear" w:color="auto" w:fill="auto"/>
            <w:vAlign w:val="center"/>
          </w:tcPr>
          <w:p w14:paraId="5FC38D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AE2C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00933D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审批状态调整通过时</w:t>
            </w:r>
          </w:p>
        </w:tc>
        <w:tc>
          <w:tcPr>
            <w:tcW w:w="1406" w:type="dxa"/>
            <w:tcBorders>
              <w:top w:val="nil"/>
              <w:left w:val="nil"/>
              <w:bottom w:val="nil"/>
              <w:right w:val="nil"/>
            </w:tcBorders>
            <w:shd w:val="clear" w:color="auto" w:fill="auto"/>
            <w:vAlign w:val="center"/>
          </w:tcPr>
          <w:p w14:paraId="1DF3D1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发布评价结果，供月度采购方案制定时查询和决策参考；发布失败时保留待发布状态并支持重试。</w:t>
            </w:r>
          </w:p>
        </w:tc>
        <w:tc>
          <w:tcPr>
            <w:tcW w:w="1088" w:type="dxa"/>
            <w:tcBorders>
              <w:top w:val="nil"/>
              <w:left w:val="nil"/>
              <w:bottom w:val="nil"/>
              <w:right w:val="nil"/>
            </w:tcBorders>
            <w:shd w:val="clear" w:color="auto" w:fill="auto"/>
            <w:vAlign w:val="center"/>
          </w:tcPr>
          <w:p w14:paraId="0B9FC1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有效供应商评价和状态</w:t>
            </w:r>
          </w:p>
        </w:tc>
        <w:tc>
          <w:tcPr>
            <w:tcW w:w="1460" w:type="dxa"/>
            <w:tcBorders>
              <w:top w:val="nil"/>
              <w:left w:val="nil"/>
              <w:bottom w:val="nil"/>
              <w:right w:val="nil"/>
            </w:tcBorders>
            <w:shd w:val="clear" w:color="auto" w:fill="auto"/>
            <w:vAlign w:val="center"/>
          </w:tcPr>
          <w:p w14:paraId="265E3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1ABD8E">
        <w:trPr>
          <w:cantSplit/>
          <w:trHeight w:val="0" w:hRule="atLeast"/>
          <w:jc w:val="center"/>
        </w:trPr>
        <w:tc>
          <w:tcPr>
            <w:tcW w:w="2944" w:type="dxa"/>
            <w:tcBorders>
              <w:top w:val="nil"/>
              <w:left w:val="nil"/>
              <w:bottom w:val="nil"/>
              <w:right w:val="nil"/>
            </w:tcBorders>
            <w:shd w:val="clear" w:color="auto" w:fill="auto"/>
            <w:vAlign w:val="center"/>
          </w:tcPr>
          <w:p w14:paraId="0C8320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P-ZLTC-SCOS-CGYH-003-10-001</w:t>
            </w:r>
          </w:p>
        </w:tc>
        <w:tc>
          <w:tcPr>
            <w:tcW w:w="945" w:type="dxa"/>
            <w:tcBorders>
              <w:top w:val="nil"/>
              <w:left w:val="nil"/>
              <w:bottom w:val="nil"/>
              <w:right w:val="nil"/>
            </w:tcBorders>
            <w:shd w:val="clear" w:color="auto" w:fill="auto"/>
            <w:vAlign w:val="center"/>
          </w:tcPr>
          <w:p w14:paraId="04D045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63F2DE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B209C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11D12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系统每周定时</w:t>
            </w:r>
          </w:p>
        </w:tc>
        <w:tc>
          <w:tcPr>
            <w:tcW w:w="1406" w:type="dxa"/>
            <w:tcBorders>
              <w:top w:val="nil"/>
              <w:left w:val="nil"/>
              <w:bottom w:val="nil"/>
              <w:right w:val="nil"/>
            </w:tcBorders>
            <w:shd w:val="clear" w:color="auto" w:fill="auto"/>
            <w:vAlign w:val="center"/>
          </w:tcPr>
          <w:p w14:paraId="1A517C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系统自动比较需求数量、日期和采购执行变化；未执行安排不受影响时保留当前方案并结束；未执行安排受影响时继续处理。</w:t>
            </w:r>
          </w:p>
        </w:tc>
        <w:tc>
          <w:tcPr>
            <w:tcW w:w="1088" w:type="dxa"/>
            <w:tcBorders>
              <w:top w:val="nil"/>
              <w:left w:val="nil"/>
              <w:bottom w:val="nil"/>
              <w:right w:val="nil"/>
            </w:tcBorders>
            <w:shd w:val="clear" w:color="auto" w:fill="auto"/>
            <w:vAlign w:val="center"/>
          </w:tcPr>
          <w:p w14:paraId="736FA3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w:t>
            </w:r>
          </w:p>
        </w:tc>
        <w:tc>
          <w:tcPr>
            <w:tcW w:w="1460" w:type="dxa"/>
            <w:tcBorders>
              <w:top w:val="nil"/>
              <w:left w:val="nil"/>
              <w:bottom w:val="nil"/>
              <w:right w:val="nil"/>
            </w:tcBorders>
            <w:shd w:val="clear" w:color="auto" w:fill="auto"/>
            <w:vAlign w:val="center"/>
          </w:tcPr>
          <w:p w14:paraId="5E24F02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3D4222">
        <w:trPr>
          <w:cantSplit/>
          <w:trHeight w:val="0" w:hRule="atLeast"/>
          <w:jc w:val="center"/>
        </w:trPr>
        <w:tc>
          <w:tcPr>
            <w:tcW w:w="2944" w:type="dxa"/>
            <w:tcBorders>
              <w:top w:val="nil"/>
              <w:left w:val="nil"/>
              <w:bottom w:val="nil"/>
              <w:right w:val="nil"/>
            </w:tcBorders>
            <w:shd w:val="clear" w:color="auto" w:fill="auto"/>
            <w:vAlign w:val="center"/>
          </w:tcPr>
          <w:p w14:paraId="6B7010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P-ZLTC-SCOS-CGYH-003-20-001</w:t>
            </w:r>
          </w:p>
        </w:tc>
        <w:tc>
          <w:tcPr>
            <w:tcW w:w="945" w:type="dxa"/>
            <w:tcBorders>
              <w:top w:val="nil"/>
              <w:left w:val="nil"/>
              <w:bottom w:val="nil"/>
              <w:right w:val="nil"/>
            </w:tcBorders>
            <w:shd w:val="clear" w:color="auto" w:fill="auto"/>
            <w:vAlign w:val="center"/>
          </w:tcPr>
          <w:p w14:paraId="183A73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生成滚动调整建议规则</w:t>
            </w:r>
          </w:p>
        </w:tc>
        <w:tc>
          <w:tcPr>
            <w:tcW w:w="966" w:type="dxa"/>
            <w:tcBorders>
              <w:top w:val="nil"/>
              <w:left w:val="nil"/>
              <w:bottom w:val="nil"/>
              <w:right w:val="nil"/>
            </w:tcBorders>
            <w:shd w:val="clear" w:color="auto" w:fill="auto"/>
            <w:vAlign w:val="center"/>
          </w:tcPr>
          <w:p w14:paraId="24460A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3E19F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38AA42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48CAC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仅重新计算受影响的未执行部分；已执行部分保持不变；不可行时输出缺口和原因。</w:t>
            </w:r>
          </w:p>
        </w:tc>
        <w:tc>
          <w:tcPr>
            <w:tcW w:w="1088" w:type="dxa"/>
            <w:tcBorders>
              <w:top w:val="nil"/>
              <w:left w:val="nil"/>
              <w:bottom w:val="nil"/>
              <w:right w:val="nil"/>
            </w:tcBorders>
            <w:shd w:val="clear" w:color="auto" w:fill="auto"/>
            <w:vAlign w:val="center"/>
          </w:tcPr>
          <w:p w14:paraId="212AE9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调整建议及调整前后差异</w:t>
            </w:r>
          </w:p>
        </w:tc>
        <w:tc>
          <w:tcPr>
            <w:tcW w:w="1460" w:type="dxa"/>
            <w:tcBorders>
              <w:top w:val="nil"/>
              <w:left w:val="nil"/>
              <w:bottom w:val="nil"/>
              <w:right w:val="nil"/>
            </w:tcBorders>
            <w:shd w:val="clear" w:color="auto" w:fill="auto"/>
            <w:vAlign w:val="center"/>
          </w:tcPr>
          <w:p w14:paraId="75145A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3B69DA">
        <w:trPr>
          <w:cantSplit/>
          <w:trHeight w:val="0" w:hRule="atLeast"/>
          <w:jc w:val="center"/>
        </w:trPr>
        <w:tc>
          <w:tcPr>
            <w:tcW w:w="2944" w:type="dxa"/>
            <w:tcBorders>
              <w:top w:val="nil"/>
              <w:left w:val="nil"/>
              <w:bottom w:val="nil"/>
              <w:right w:val="nil"/>
            </w:tcBorders>
            <w:shd w:val="clear" w:color="auto" w:fill="auto"/>
            <w:vAlign w:val="center"/>
          </w:tcPr>
          <w:p w14:paraId="647CFB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P-ZLTC-SCOS-CGYH-003-30-001</w:t>
            </w:r>
          </w:p>
        </w:tc>
        <w:tc>
          <w:tcPr>
            <w:tcW w:w="945" w:type="dxa"/>
            <w:tcBorders>
              <w:top w:val="nil"/>
              <w:left w:val="nil"/>
              <w:bottom w:val="nil"/>
              <w:right w:val="nil"/>
            </w:tcBorders>
            <w:shd w:val="clear" w:color="auto" w:fill="auto"/>
            <w:vAlign w:val="center"/>
          </w:tcPr>
          <w:p w14:paraId="125A8E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评审调整建议规则</w:t>
            </w:r>
          </w:p>
        </w:tc>
        <w:tc>
          <w:tcPr>
            <w:tcW w:w="966" w:type="dxa"/>
            <w:tcBorders>
              <w:top w:val="nil"/>
              <w:left w:val="nil"/>
              <w:bottom w:val="nil"/>
              <w:right w:val="nil"/>
            </w:tcBorders>
            <w:shd w:val="clear" w:color="auto" w:fill="auto"/>
            <w:vAlign w:val="center"/>
          </w:tcPr>
          <w:p w14:paraId="727031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393AA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2E3E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调整建议及调整前后差异形成并具备评审条件后</w:t>
            </w:r>
          </w:p>
        </w:tc>
        <w:tc>
          <w:tcPr>
            <w:tcW w:w="1406" w:type="dxa"/>
            <w:tcBorders>
              <w:top w:val="nil"/>
              <w:left w:val="nil"/>
              <w:bottom w:val="nil"/>
              <w:right w:val="nil"/>
            </w:tcBorders>
            <w:shd w:val="clear" w:color="auto" w:fill="auto"/>
            <w:vAlign w:val="center"/>
          </w:tcPr>
          <w:p w14:paraId="32DFA4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查看需求、数量、日期、成本和供应商变化，确认调整范围；可拒绝调整并记录原因。</w:t>
            </w:r>
          </w:p>
        </w:tc>
        <w:tc>
          <w:tcPr>
            <w:tcW w:w="1088" w:type="dxa"/>
            <w:tcBorders>
              <w:top w:val="nil"/>
              <w:left w:val="nil"/>
              <w:bottom w:val="nil"/>
              <w:right w:val="nil"/>
            </w:tcBorders>
            <w:shd w:val="clear" w:color="auto" w:fill="auto"/>
            <w:vAlign w:val="center"/>
          </w:tcPr>
          <w:p w14:paraId="2D07F4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拟定调整方案</w:t>
            </w:r>
          </w:p>
        </w:tc>
        <w:tc>
          <w:tcPr>
            <w:tcW w:w="1460" w:type="dxa"/>
            <w:tcBorders>
              <w:top w:val="nil"/>
              <w:left w:val="nil"/>
              <w:bottom w:val="nil"/>
              <w:right w:val="nil"/>
            </w:tcBorders>
            <w:shd w:val="clear" w:color="auto" w:fill="auto"/>
            <w:vAlign w:val="center"/>
          </w:tcPr>
          <w:p w14:paraId="683B04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ACC1E5">
        <w:trPr>
          <w:cantSplit/>
          <w:trHeight w:val="0" w:hRule="atLeast"/>
          <w:jc w:val="center"/>
        </w:trPr>
        <w:tc>
          <w:tcPr>
            <w:tcW w:w="2944" w:type="dxa"/>
            <w:tcBorders>
              <w:top w:val="nil"/>
              <w:left w:val="nil"/>
              <w:bottom w:val="nil"/>
              <w:right w:val="nil"/>
            </w:tcBorders>
            <w:shd w:val="clear" w:color="auto" w:fill="auto"/>
            <w:vAlign w:val="center"/>
          </w:tcPr>
          <w:p w14:paraId="5341C2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P-ZLTC-SCOS-CGYH-003-40-001</w:t>
            </w:r>
          </w:p>
        </w:tc>
        <w:tc>
          <w:tcPr>
            <w:tcW w:w="945" w:type="dxa"/>
            <w:tcBorders>
              <w:top w:val="nil"/>
              <w:left w:val="nil"/>
              <w:bottom w:val="nil"/>
              <w:right w:val="nil"/>
            </w:tcBorders>
            <w:shd w:val="clear" w:color="auto" w:fill="auto"/>
            <w:vAlign w:val="center"/>
          </w:tcPr>
          <w:p w14:paraId="599D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确认计划调整规则</w:t>
            </w:r>
          </w:p>
        </w:tc>
        <w:tc>
          <w:tcPr>
            <w:tcW w:w="966" w:type="dxa"/>
            <w:tcBorders>
              <w:top w:val="nil"/>
              <w:left w:val="nil"/>
              <w:bottom w:val="nil"/>
              <w:right w:val="nil"/>
            </w:tcBorders>
            <w:shd w:val="clear" w:color="auto" w:fill="auto"/>
            <w:vAlign w:val="center"/>
          </w:tcPr>
          <w:p w14:paraId="32300B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B1876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EA5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调整方案形成并具备评审条件后</w:t>
            </w:r>
          </w:p>
        </w:tc>
        <w:tc>
          <w:tcPr>
            <w:tcW w:w="1406" w:type="dxa"/>
            <w:tcBorders>
              <w:top w:val="nil"/>
              <w:left w:val="nil"/>
              <w:bottom w:val="nil"/>
              <w:right w:val="nil"/>
            </w:tcBorders>
            <w:shd w:val="clear" w:color="auto" w:fill="auto"/>
            <w:vAlign w:val="center"/>
          </w:tcPr>
          <w:p w14:paraId="35AD09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确认是否采用调整建议；未确认时保留当前计划；确认通过后继续处理。</w:t>
            </w:r>
          </w:p>
        </w:tc>
        <w:tc>
          <w:tcPr>
            <w:tcW w:w="1088" w:type="dxa"/>
            <w:tcBorders>
              <w:top w:val="nil"/>
              <w:left w:val="nil"/>
              <w:bottom w:val="nil"/>
              <w:right w:val="nil"/>
            </w:tcBorders>
            <w:shd w:val="clear" w:color="auto" w:fill="auto"/>
            <w:vAlign w:val="center"/>
          </w:tcPr>
          <w:p w14:paraId="538C01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5C94F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E4081CD">
        <w:trPr>
          <w:cantSplit/>
          <w:trHeight w:val="0" w:hRule="atLeast"/>
          <w:jc w:val="center"/>
        </w:trPr>
        <w:tc>
          <w:tcPr>
            <w:tcW w:w="2944" w:type="dxa"/>
            <w:tcBorders>
              <w:top w:val="nil"/>
              <w:left w:val="nil"/>
              <w:bottom w:val="nil"/>
              <w:right w:val="nil"/>
            </w:tcBorders>
            <w:shd w:val="clear" w:color="auto" w:fill="auto"/>
            <w:vAlign w:val="center"/>
          </w:tcPr>
          <w:p w14:paraId="16606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P-ZLTC-SCOS-CGYH-003-50-001</w:t>
            </w:r>
          </w:p>
        </w:tc>
        <w:tc>
          <w:tcPr>
            <w:tcW w:w="945" w:type="dxa"/>
            <w:tcBorders>
              <w:top w:val="nil"/>
              <w:left w:val="nil"/>
              <w:bottom w:val="nil"/>
              <w:right w:val="nil"/>
            </w:tcBorders>
            <w:shd w:val="clear" w:color="auto" w:fill="auto"/>
            <w:vAlign w:val="center"/>
          </w:tcPr>
          <w:p w14:paraId="5592EC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发布采购方案新版本规则</w:t>
            </w:r>
          </w:p>
        </w:tc>
        <w:tc>
          <w:tcPr>
            <w:tcW w:w="966" w:type="dxa"/>
            <w:tcBorders>
              <w:top w:val="nil"/>
              <w:left w:val="nil"/>
              <w:bottom w:val="nil"/>
              <w:right w:val="nil"/>
            </w:tcBorders>
            <w:shd w:val="clear" w:color="auto" w:fill="auto"/>
            <w:vAlign w:val="center"/>
          </w:tcPr>
          <w:p w14:paraId="7B7D38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C76A0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0B05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确认计划调整通过时</w:t>
            </w:r>
          </w:p>
        </w:tc>
        <w:tc>
          <w:tcPr>
            <w:tcW w:w="1406" w:type="dxa"/>
            <w:tcBorders>
              <w:top w:val="nil"/>
              <w:left w:val="nil"/>
              <w:bottom w:val="nil"/>
              <w:right w:val="nil"/>
            </w:tcBorders>
            <w:shd w:val="clear" w:color="auto" w:fill="auto"/>
            <w:vAlign w:val="center"/>
          </w:tcPr>
          <w:p w14:paraId="49C533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发布新版本，并保留原方案、输入数据、计算参数及结果；发布失败时保留待发布状态。</w:t>
            </w:r>
          </w:p>
        </w:tc>
        <w:tc>
          <w:tcPr>
            <w:tcW w:w="1088" w:type="dxa"/>
            <w:tcBorders>
              <w:top w:val="nil"/>
              <w:left w:val="nil"/>
              <w:bottom w:val="nil"/>
              <w:right w:val="nil"/>
            </w:tcBorders>
            <w:shd w:val="clear" w:color="auto" w:fill="auto"/>
            <w:vAlign w:val="center"/>
          </w:tcPr>
          <w:p w14:paraId="5CD98C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新版采购方案及变更记录</w:t>
            </w:r>
          </w:p>
        </w:tc>
        <w:tc>
          <w:tcPr>
            <w:tcW w:w="1460" w:type="dxa"/>
            <w:tcBorders>
              <w:top w:val="nil"/>
              <w:left w:val="nil"/>
              <w:bottom w:val="nil"/>
              <w:right w:val="nil"/>
            </w:tcBorders>
            <w:shd w:val="clear" w:color="auto" w:fill="auto"/>
            <w:vAlign w:val="center"/>
          </w:tcPr>
          <w:p w14:paraId="1D93F42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26595C">
        <w:trPr>
          <w:cantSplit/>
          <w:trHeight w:val="0" w:hRule="atLeast"/>
          <w:jc w:val="center"/>
        </w:trPr>
        <w:tc>
          <w:tcPr>
            <w:tcW w:w="2944" w:type="dxa"/>
            <w:tcBorders>
              <w:top w:val="nil"/>
              <w:left w:val="nil"/>
              <w:bottom w:val="nil"/>
              <w:right w:val="nil"/>
            </w:tcBorders>
            <w:shd w:val="clear" w:color="auto" w:fill="auto"/>
            <w:vAlign w:val="center"/>
          </w:tcPr>
          <w:p w14:paraId="42D3E6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P-ZLTC-SCOS-CGYH-003-60-001</w:t>
            </w:r>
          </w:p>
        </w:tc>
        <w:tc>
          <w:tcPr>
            <w:tcW w:w="945" w:type="dxa"/>
            <w:tcBorders>
              <w:top w:val="nil"/>
              <w:left w:val="nil"/>
              <w:bottom w:val="nil"/>
              <w:right w:val="nil"/>
            </w:tcBorders>
            <w:shd w:val="clear" w:color="auto" w:fill="auto"/>
            <w:vAlign w:val="center"/>
          </w:tcPr>
          <w:p w14:paraId="406023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接收调整后的采购安排规则</w:t>
            </w:r>
          </w:p>
        </w:tc>
        <w:tc>
          <w:tcPr>
            <w:tcW w:w="966" w:type="dxa"/>
            <w:tcBorders>
              <w:top w:val="nil"/>
              <w:left w:val="nil"/>
              <w:bottom w:val="nil"/>
              <w:right w:val="nil"/>
            </w:tcBorders>
            <w:shd w:val="clear" w:color="auto" w:fill="auto"/>
            <w:vAlign w:val="center"/>
          </w:tcPr>
          <w:p w14:paraId="3A258A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8842E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20A2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新版采购方案及变更记录形成后</w:t>
            </w:r>
          </w:p>
        </w:tc>
        <w:tc>
          <w:tcPr>
            <w:tcW w:w="1406" w:type="dxa"/>
            <w:tcBorders>
              <w:top w:val="nil"/>
              <w:left w:val="nil"/>
              <w:bottom w:val="nil"/>
              <w:right w:val="nil"/>
            </w:tcBorders>
            <w:shd w:val="clear" w:color="auto" w:fill="auto"/>
            <w:vAlign w:val="center"/>
          </w:tcPr>
          <w:p w14:paraId="12780A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执行系统更新尚未执行的部分；接口失败时支持重推和人工核对。</w:t>
            </w:r>
          </w:p>
        </w:tc>
        <w:tc>
          <w:tcPr>
            <w:tcW w:w="1088" w:type="dxa"/>
            <w:tcBorders>
              <w:top w:val="nil"/>
              <w:left w:val="nil"/>
              <w:bottom w:val="nil"/>
              <w:right w:val="nil"/>
            </w:tcBorders>
            <w:shd w:val="clear" w:color="auto" w:fill="auto"/>
            <w:vAlign w:val="center"/>
          </w:tcPr>
          <w:p w14:paraId="3546BE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更新后的执行依据</w:t>
            </w:r>
          </w:p>
        </w:tc>
        <w:tc>
          <w:tcPr>
            <w:tcW w:w="1460" w:type="dxa"/>
            <w:tcBorders>
              <w:top w:val="nil"/>
              <w:left w:val="nil"/>
              <w:bottom w:val="nil"/>
              <w:right w:val="nil"/>
            </w:tcBorders>
            <w:shd w:val="clear" w:color="auto" w:fill="auto"/>
            <w:vAlign w:val="center"/>
          </w:tcPr>
          <w:p w14:paraId="460007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SCOS/SAP/TMS/E采</w:t>
            </w:r>
          </w:p>
        </w:tc>
      </w:tr>
      <w:tr w14:paraId="16833607">
        <w:trPr>
          <w:cantSplit/>
          <w:trHeight w:val="0" w:hRule="atLeast"/>
          <w:jc w:val="center"/>
        </w:trPr>
        <w:tc>
          <w:tcPr>
            <w:tcW w:w="2944" w:type="dxa"/>
            <w:tcBorders>
              <w:top w:val="nil"/>
              <w:left w:val="nil"/>
              <w:bottom w:val="nil"/>
              <w:right w:val="nil"/>
            </w:tcBorders>
            <w:shd w:val="clear" w:color="auto" w:fill="auto"/>
            <w:vAlign w:val="center"/>
          </w:tcPr>
          <w:p w14:paraId="77A092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P-ZLTC-SCOS-CGYH-004-10-001</w:t>
            </w:r>
          </w:p>
        </w:tc>
        <w:tc>
          <w:tcPr>
            <w:tcW w:w="945" w:type="dxa"/>
            <w:tcBorders>
              <w:top w:val="nil"/>
              <w:left w:val="nil"/>
              <w:bottom w:val="nil"/>
              <w:right w:val="nil"/>
            </w:tcBorders>
            <w:shd w:val="clear" w:color="auto" w:fill="auto"/>
            <w:vAlign w:val="center"/>
          </w:tcPr>
          <w:p w14:paraId="5560FD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执行采购订单或合同规则</w:t>
            </w:r>
          </w:p>
        </w:tc>
        <w:tc>
          <w:tcPr>
            <w:tcW w:w="966" w:type="dxa"/>
            <w:tcBorders>
              <w:top w:val="nil"/>
              <w:left w:val="nil"/>
              <w:bottom w:val="nil"/>
              <w:right w:val="nil"/>
            </w:tcBorders>
            <w:shd w:val="clear" w:color="auto" w:fill="auto"/>
            <w:vAlign w:val="center"/>
          </w:tcPr>
          <w:p w14:paraId="5446F3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3B550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6A704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采购计划进入执行阶段时</w:t>
            </w:r>
          </w:p>
        </w:tc>
        <w:tc>
          <w:tcPr>
            <w:tcW w:w="1406" w:type="dxa"/>
            <w:tcBorders>
              <w:top w:val="nil"/>
              <w:left w:val="nil"/>
              <w:bottom w:val="nil"/>
              <w:right w:val="nil"/>
            </w:tcBorders>
            <w:shd w:val="clear" w:color="auto" w:fill="auto"/>
            <w:vAlign w:val="center"/>
          </w:tcPr>
          <w:p w14:paraId="205401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按企业采购制度创建和执行采购订单或合同；正式订单和合同不得由SCOS自动创建。</w:t>
            </w:r>
          </w:p>
        </w:tc>
        <w:tc>
          <w:tcPr>
            <w:tcW w:w="1088" w:type="dxa"/>
            <w:tcBorders>
              <w:top w:val="nil"/>
              <w:left w:val="nil"/>
              <w:bottom w:val="nil"/>
              <w:right w:val="nil"/>
            </w:tcBorders>
            <w:shd w:val="clear" w:color="auto" w:fill="auto"/>
            <w:vAlign w:val="center"/>
          </w:tcPr>
          <w:p w14:paraId="61026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正式采购订单/合同及状态</w:t>
            </w:r>
          </w:p>
        </w:tc>
        <w:tc>
          <w:tcPr>
            <w:tcW w:w="1460" w:type="dxa"/>
            <w:tcBorders>
              <w:top w:val="nil"/>
              <w:left w:val="nil"/>
              <w:bottom w:val="nil"/>
              <w:right w:val="nil"/>
            </w:tcBorders>
            <w:shd w:val="clear" w:color="auto" w:fill="auto"/>
            <w:vAlign w:val="center"/>
          </w:tcPr>
          <w:p w14:paraId="156517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49B968F7">
        <w:trPr>
          <w:cantSplit/>
          <w:trHeight w:val="0" w:hRule="atLeast"/>
          <w:jc w:val="center"/>
        </w:trPr>
        <w:tc>
          <w:tcPr>
            <w:tcW w:w="2944" w:type="dxa"/>
            <w:tcBorders>
              <w:top w:val="nil"/>
              <w:left w:val="nil"/>
              <w:bottom w:val="nil"/>
              <w:right w:val="nil"/>
            </w:tcBorders>
            <w:shd w:val="clear" w:color="auto" w:fill="auto"/>
            <w:vAlign w:val="center"/>
          </w:tcPr>
          <w:p w14:paraId="05944B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P-ZLTC-SCOS-CGYH-004-20-001</w:t>
            </w:r>
          </w:p>
        </w:tc>
        <w:tc>
          <w:tcPr>
            <w:tcW w:w="945" w:type="dxa"/>
            <w:tcBorders>
              <w:top w:val="nil"/>
              <w:left w:val="nil"/>
              <w:bottom w:val="nil"/>
              <w:right w:val="nil"/>
            </w:tcBorders>
            <w:shd w:val="clear" w:color="auto" w:fill="auto"/>
            <w:vAlign w:val="center"/>
          </w:tcPr>
          <w:p w14:paraId="012CAE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发货与在途跟踪规则</w:t>
            </w:r>
          </w:p>
        </w:tc>
        <w:tc>
          <w:tcPr>
            <w:tcW w:w="966" w:type="dxa"/>
            <w:tcBorders>
              <w:top w:val="nil"/>
              <w:left w:val="nil"/>
              <w:bottom w:val="nil"/>
              <w:right w:val="nil"/>
            </w:tcBorders>
            <w:shd w:val="clear" w:color="auto" w:fill="auto"/>
            <w:vAlign w:val="center"/>
          </w:tcPr>
          <w:p w14:paraId="5AF6E5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5E876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730747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正式采购订单/合同及状态形成后</w:t>
            </w:r>
          </w:p>
        </w:tc>
        <w:tc>
          <w:tcPr>
            <w:tcW w:w="1406" w:type="dxa"/>
            <w:tcBorders>
              <w:top w:val="nil"/>
              <w:left w:val="nil"/>
              <w:bottom w:val="nil"/>
              <w:right w:val="nil"/>
            </w:tcBorders>
            <w:shd w:val="clear" w:color="auto" w:fill="auto"/>
            <w:vAlign w:val="center"/>
          </w:tcPr>
          <w:p w14:paraId="10C5E11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供应商按采购订单执行发货；延迟、数量差异或运输异常标记为执行偏差。</w:t>
            </w:r>
          </w:p>
        </w:tc>
        <w:tc>
          <w:tcPr>
            <w:tcW w:w="1088" w:type="dxa"/>
            <w:tcBorders>
              <w:top w:val="nil"/>
              <w:left w:val="nil"/>
              <w:bottom w:val="nil"/>
              <w:right w:val="nil"/>
            </w:tcBorders>
            <w:shd w:val="clear" w:color="auto" w:fill="auto"/>
            <w:vAlign w:val="center"/>
          </w:tcPr>
          <w:p w14:paraId="44551A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发货数量、时间及在途状态</w:t>
            </w:r>
          </w:p>
        </w:tc>
        <w:tc>
          <w:tcPr>
            <w:tcW w:w="1460" w:type="dxa"/>
            <w:tcBorders>
              <w:top w:val="nil"/>
              <w:left w:val="nil"/>
              <w:bottom w:val="nil"/>
              <w:right w:val="nil"/>
            </w:tcBorders>
            <w:shd w:val="clear" w:color="auto" w:fill="auto"/>
            <w:vAlign w:val="center"/>
          </w:tcPr>
          <w:p w14:paraId="4FA2EA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33465E25">
        <w:trPr>
          <w:cantSplit/>
          <w:trHeight w:val="0" w:hRule="atLeast"/>
          <w:jc w:val="center"/>
        </w:trPr>
        <w:tc>
          <w:tcPr>
            <w:tcW w:w="2944" w:type="dxa"/>
            <w:tcBorders>
              <w:top w:val="nil"/>
              <w:left w:val="nil"/>
              <w:bottom w:val="nil"/>
              <w:right w:val="nil"/>
            </w:tcBorders>
            <w:shd w:val="clear" w:color="auto" w:fill="auto"/>
            <w:vAlign w:val="center"/>
          </w:tcPr>
          <w:p w14:paraId="729860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P-ZLTC-SCOS-CGYH-004-30-001</w:t>
            </w:r>
          </w:p>
        </w:tc>
        <w:tc>
          <w:tcPr>
            <w:tcW w:w="945" w:type="dxa"/>
            <w:tcBorders>
              <w:top w:val="nil"/>
              <w:left w:val="nil"/>
              <w:bottom w:val="nil"/>
              <w:right w:val="nil"/>
            </w:tcBorders>
            <w:shd w:val="clear" w:color="auto" w:fill="auto"/>
            <w:vAlign w:val="center"/>
          </w:tcPr>
          <w:p w14:paraId="211D49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到厂收货与质检规则</w:t>
            </w:r>
          </w:p>
        </w:tc>
        <w:tc>
          <w:tcPr>
            <w:tcW w:w="966" w:type="dxa"/>
            <w:tcBorders>
              <w:top w:val="nil"/>
              <w:left w:val="nil"/>
              <w:bottom w:val="nil"/>
              <w:right w:val="nil"/>
            </w:tcBorders>
            <w:shd w:val="clear" w:color="auto" w:fill="auto"/>
            <w:vAlign w:val="center"/>
          </w:tcPr>
          <w:p w14:paraId="116054F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A38D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471E2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发货数量、时间及在途状态形成后</w:t>
            </w:r>
          </w:p>
        </w:tc>
        <w:tc>
          <w:tcPr>
            <w:tcW w:w="1406" w:type="dxa"/>
            <w:tcBorders>
              <w:top w:val="nil"/>
              <w:left w:val="nil"/>
              <w:bottom w:val="nil"/>
              <w:right w:val="nil"/>
            </w:tcBorders>
            <w:shd w:val="clear" w:color="auto" w:fill="auto"/>
            <w:vAlign w:val="center"/>
          </w:tcPr>
          <w:p w14:paraId="08B84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记录到厂和质检状态；到厂待检仍属于未完成采购承诺；质量异常转质量业务流程处理并反馈采购跟踪。</w:t>
            </w:r>
          </w:p>
        </w:tc>
        <w:tc>
          <w:tcPr>
            <w:tcW w:w="1088" w:type="dxa"/>
            <w:tcBorders>
              <w:top w:val="nil"/>
              <w:left w:val="nil"/>
              <w:bottom w:val="nil"/>
              <w:right w:val="nil"/>
            </w:tcBorders>
            <w:shd w:val="clear" w:color="auto" w:fill="auto"/>
            <w:vAlign w:val="center"/>
          </w:tcPr>
          <w:p w14:paraId="188555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到货数量、到货时间、待检及质检结果</w:t>
            </w:r>
          </w:p>
        </w:tc>
        <w:tc>
          <w:tcPr>
            <w:tcW w:w="1460" w:type="dxa"/>
            <w:tcBorders>
              <w:top w:val="nil"/>
              <w:left w:val="nil"/>
              <w:bottom w:val="nil"/>
              <w:right w:val="nil"/>
            </w:tcBorders>
            <w:shd w:val="clear" w:color="auto" w:fill="auto"/>
            <w:vAlign w:val="center"/>
          </w:tcPr>
          <w:p w14:paraId="4D608E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SCOS/QMS/LIMS</w:t>
            </w:r>
          </w:p>
        </w:tc>
      </w:tr>
      <w:tr w14:paraId="7A399840">
        <w:trPr>
          <w:cantSplit/>
          <w:trHeight w:val="0" w:hRule="atLeast"/>
          <w:jc w:val="center"/>
        </w:trPr>
        <w:tc>
          <w:tcPr>
            <w:tcW w:w="2944" w:type="dxa"/>
            <w:tcBorders>
              <w:top w:val="nil"/>
              <w:left w:val="nil"/>
              <w:bottom w:val="nil"/>
              <w:right w:val="nil"/>
            </w:tcBorders>
            <w:shd w:val="clear" w:color="auto" w:fill="auto"/>
            <w:vAlign w:val="center"/>
          </w:tcPr>
          <w:p w14:paraId="030B9C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P-ZLTC-SCOS-CGYH-004-40-001</w:t>
            </w:r>
          </w:p>
        </w:tc>
        <w:tc>
          <w:tcPr>
            <w:tcW w:w="945" w:type="dxa"/>
            <w:tcBorders>
              <w:top w:val="nil"/>
              <w:left w:val="nil"/>
              <w:bottom w:val="nil"/>
              <w:right w:val="nil"/>
            </w:tcBorders>
            <w:shd w:val="clear" w:color="auto" w:fill="auto"/>
            <w:vAlign w:val="center"/>
          </w:tcPr>
          <w:p w14:paraId="6EF483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更新执行状态规则</w:t>
            </w:r>
          </w:p>
        </w:tc>
        <w:tc>
          <w:tcPr>
            <w:tcW w:w="966" w:type="dxa"/>
            <w:tcBorders>
              <w:top w:val="nil"/>
              <w:left w:val="nil"/>
              <w:bottom w:val="nil"/>
              <w:right w:val="nil"/>
            </w:tcBorders>
            <w:shd w:val="clear" w:color="auto" w:fill="auto"/>
            <w:vAlign w:val="center"/>
          </w:tcPr>
          <w:p w14:paraId="4CC21F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A412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CE993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到货数量、到货时间、待检及质检结果形成后</w:t>
            </w:r>
          </w:p>
        </w:tc>
        <w:tc>
          <w:tcPr>
            <w:tcW w:w="1406" w:type="dxa"/>
            <w:tcBorders>
              <w:top w:val="nil"/>
              <w:left w:val="nil"/>
              <w:bottom w:val="nil"/>
              <w:right w:val="nil"/>
            </w:tcBorders>
            <w:shd w:val="clear" w:color="auto" w:fill="auto"/>
            <w:vAlign w:val="center"/>
          </w:tcPr>
          <w:p w14:paraId="411E2C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汇总采购全程状态，更新下一轮采购计算使用的采购承诺；多系统数据不一致时提示人工复核。</w:t>
            </w:r>
          </w:p>
        </w:tc>
        <w:tc>
          <w:tcPr>
            <w:tcW w:w="1088" w:type="dxa"/>
            <w:tcBorders>
              <w:top w:val="nil"/>
              <w:left w:val="nil"/>
              <w:bottom w:val="nil"/>
              <w:right w:val="nil"/>
            </w:tcBorders>
            <w:shd w:val="clear" w:color="auto" w:fill="auto"/>
            <w:vAlign w:val="center"/>
          </w:tcPr>
          <w:p w14:paraId="24DEF1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采购执行进度、未完成采购承诺及执行偏差</w:t>
            </w:r>
          </w:p>
        </w:tc>
        <w:tc>
          <w:tcPr>
            <w:tcW w:w="1460" w:type="dxa"/>
            <w:tcBorders>
              <w:top w:val="nil"/>
              <w:left w:val="nil"/>
              <w:bottom w:val="nil"/>
              <w:right w:val="nil"/>
            </w:tcBorders>
            <w:shd w:val="clear" w:color="auto" w:fill="auto"/>
            <w:vAlign w:val="center"/>
          </w:tcPr>
          <w:p w14:paraId="1D6449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870F96">
        <w:trPr>
          <w:cantSplit/>
          <w:trHeight w:val="0" w:hRule="atLeast"/>
          <w:jc w:val="center"/>
        </w:trPr>
        <w:tc>
          <w:tcPr>
            <w:tcW w:w="2944" w:type="dxa"/>
            <w:tcBorders>
              <w:top w:val="nil"/>
              <w:left w:val="nil"/>
              <w:bottom w:val="nil"/>
              <w:right w:val="nil"/>
            </w:tcBorders>
            <w:shd w:val="clear" w:color="auto" w:fill="auto"/>
            <w:vAlign w:val="center"/>
          </w:tcPr>
          <w:p w14:paraId="45AC8E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P-ZLTC-SCOS-CGYH-004-50-001</w:t>
            </w:r>
          </w:p>
        </w:tc>
        <w:tc>
          <w:tcPr>
            <w:tcW w:w="945" w:type="dxa"/>
            <w:tcBorders>
              <w:top w:val="nil"/>
              <w:left w:val="nil"/>
              <w:bottom w:val="nil"/>
              <w:right w:val="nil"/>
            </w:tcBorders>
            <w:shd w:val="clear" w:color="auto" w:fill="auto"/>
            <w:vAlign w:val="center"/>
          </w:tcPr>
          <w:p w14:paraId="6F676A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判断是否需要调整规则</w:t>
            </w:r>
          </w:p>
        </w:tc>
        <w:tc>
          <w:tcPr>
            <w:tcW w:w="966" w:type="dxa"/>
            <w:tcBorders>
              <w:top w:val="nil"/>
              <w:left w:val="nil"/>
              <w:bottom w:val="nil"/>
              <w:right w:val="nil"/>
            </w:tcBorders>
            <w:shd w:val="clear" w:color="auto" w:fill="auto"/>
            <w:vAlign w:val="center"/>
          </w:tcPr>
          <w:p w14:paraId="42F4DE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5C5FF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5CD6B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采购执行进度、未完成采购承诺及执行偏差形成后</w:t>
            </w:r>
          </w:p>
        </w:tc>
        <w:tc>
          <w:tcPr>
            <w:tcW w:w="1406" w:type="dxa"/>
            <w:tcBorders>
              <w:top w:val="nil"/>
              <w:left w:val="nil"/>
              <w:bottom w:val="nil"/>
              <w:right w:val="nil"/>
            </w:tcBorders>
            <w:shd w:val="clear" w:color="auto" w:fill="auto"/>
            <w:vAlign w:val="center"/>
          </w:tcPr>
          <w:p w14:paraId="01BB3F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判断需求变化、延期、到货不足或质检异常是否影响未执行安排；不需要调整时完成本次跟踪；需要调整时继续处理。</w:t>
            </w:r>
          </w:p>
        </w:tc>
        <w:tc>
          <w:tcPr>
            <w:tcW w:w="1088" w:type="dxa"/>
            <w:tcBorders>
              <w:top w:val="nil"/>
              <w:left w:val="nil"/>
              <w:bottom w:val="nil"/>
              <w:right w:val="nil"/>
            </w:tcBorders>
            <w:shd w:val="clear" w:color="auto" w:fill="auto"/>
            <w:vAlign w:val="center"/>
          </w:tcPr>
          <w:p w14:paraId="27BAF2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调整判断</w:t>
            </w:r>
          </w:p>
        </w:tc>
        <w:tc>
          <w:tcPr>
            <w:tcW w:w="1460" w:type="dxa"/>
            <w:tcBorders>
              <w:top w:val="nil"/>
              <w:left w:val="nil"/>
              <w:bottom w:val="nil"/>
              <w:right w:val="nil"/>
            </w:tcBorders>
            <w:shd w:val="clear" w:color="auto" w:fill="auto"/>
            <w:vAlign w:val="center"/>
          </w:tcPr>
          <w:p w14:paraId="1FCD2C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578F18">
        <w:trPr>
          <w:cantSplit/>
          <w:trHeight w:val="0" w:hRule="atLeast"/>
          <w:jc w:val="center"/>
        </w:trPr>
        <w:tc>
          <w:tcPr>
            <w:tcW w:w="2944" w:type="dxa"/>
            <w:tcBorders>
              <w:top w:val="nil"/>
              <w:left w:val="nil"/>
              <w:bottom w:val="nil"/>
              <w:right w:val="nil"/>
            </w:tcBorders>
            <w:shd w:val="clear" w:color="auto" w:fill="auto"/>
            <w:vAlign w:val="center"/>
          </w:tcPr>
          <w:p w14:paraId="58D892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P-ZLTC-SCOS-CGYH-004-60-001</w:t>
            </w:r>
          </w:p>
        </w:tc>
        <w:tc>
          <w:tcPr>
            <w:tcW w:w="945" w:type="dxa"/>
            <w:tcBorders>
              <w:top w:val="nil"/>
              <w:left w:val="nil"/>
              <w:bottom w:val="nil"/>
              <w:right w:val="nil"/>
            </w:tcBorders>
            <w:shd w:val="clear" w:color="auto" w:fill="auto"/>
            <w:vAlign w:val="center"/>
          </w:tcPr>
          <w:p w14:paraId="417D3A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发起滚动调整或异常处理规则</w:t>
            </w:r>
          </w:p>
        </w:tc>
        <w:tc>
          <w:tcPr>
            <w:tcW w:w="966" w:type="dxa"/>
            <w:tcBorders>
              <w:top w:val="nil"/>
              <w:left w:val="nil"/>
              <w:bottom w:val="nil"/>
              <w:right w:val="nil"/>
            </w:tcBorders>
            <w:shd w:val="clear" w:color="auto" w:fill="auto"/>
            <w:vAlign w:val="center"/>
          </w:tcPr>
          <w:p w14:paraId="74B241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2397A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3BD08E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需要调整时</w:t>
            </w:r>
          </w:p>
        </w:tc>
        <w:tc>
          <w:tcPr>
            <w:tcW w:w="1406" w:type="dxa"/>
            <w:tcBorders>
              <w:top w:val="nil"/>
              <w:left w:val="nil"/>
              <w:bottom w:val="nil"/>
              <w:right w:val="nil"/>
            </w:tcBorders>
            <w:shd w:val="clear" w:color="auto" w:fill="auto"/>
            <w:vAlign w:val="center"/>
          </w:tcPr>
          <w:p w14:paraId="01D488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影响采购计划时进入滚动调整流程；异常未关闭前持续跟踪。</w:t>
            </w:r>
          </w:p>
        </w:tc>
        <w:tc>
          <w:tcPr>
            <w:tcW w:w="1088" w:type="dxa"/>
            <w:tcBorders>
              <w:top w:val="nil"/>
              <w:left w:val="nil"/>
              <w:bottom w:val="nil"/>
              <w:right w:val="nil"/>
            </w:tcBorders>
            <w:shd w:val="clear" w:color="auto" w:fill="auto"/>
            <w:vAlign w:val="center"/>
          </w:tcPr>
          <w:p w14:paraId="40149EC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滚动调整任务或异常处理记录</w:t>
            </w:r>
          </w:p>
        </w:tc>
        <w:tc>
          <w:tcPr>
            <w:tcW w:w="1460" w:type="dxa"/>
            <w:tcBorders>
              <w:top w:val="nil"/>
              <w:left w:val="nil"/>
              <w:bottom w:val="nil"/>
              <w:right w:val="nil"/>
            </w:tcBorders>
            <w:shd w:val="clear" w:color="auto" w:fill="auto"/>
            <w:vAlign w:val="center"/>
          </w:tcPr>
          <w:p w14:paraId="6A6DF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0B8B84">
        <w:trPr>
          <w:cantSplit/>
          <w:trHeight w:val="0" w:hRule="atLeast"/>
          <w:jc w:val="center"/>
        </w:trPr>
        <w:tc>
          <w:tcPr>
            <w:tcW w:w="2944" w:type="dxa"/>
            <w:tcBorders>
              <w:top w:val="nil"/>
              <w:left w:val="nil"/>
              <w:bottom w:val="nil"/>
              <w:right w:val="nil"/>
            </w:tcBorders>
            <w:shd w:val="clear" w:color="auto" w:fill="auto"/>
            <w:vAlign w:val="center"/>
          </w:tcPr>
          <w:p w14:paraId="796B2F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P-ZLTC-SCOS-YHJH-001-10-001</w:t>
            </w:r>
          </w:p>
        </w:tc>
        <w:tc>
          <w:tcPr>
            <w:tcW w:w="945" w:type="dxa"/>
            <w:tcBorders>
              <w:top w:val="nil"/>
              <w:left w:val="nil"/>
              <w:bottom w:val="nil"/>
              <w:right w:val="nil"/>
            </w:tcBorders>
            <w:shd w:val="clear" w:color="auto" w:fill="auto"/>
            <w:vAlign w:val="center"/>
          </w:tcPr>
          <w:p w14:paraId="629E50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提供有效合同及未执行数量规则</w:t>
            </w:r>
          </w:p>
        </w:tc>
        <w:tc>
          <w:tcPr>
            <w:tcW w:w="966" w:type="dxa"/>
            <w:tcBorders>
              <w:top w:val="nil"/>
              <w:left w:val="nil"/>
              <w:bottom w:val="nil"/>
              <w:right w:val="nil"/>
            </w:tcBorders>
            <w:shd w:val="clear" w:color="auto" w:fill="auto"/>
            <w:vAlign w:val="center"/>
          </w:tcPr>
          <w:p w14:paraId="585A99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405F0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611FB3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有效采购合同新增、合同剩余量变化、供应商送货条件变化或业务人员发起维护时</w:t>
            </w:r>
          </w:p>
        </w:tc>
        <w:tc>
          <w:tcPr>
            <w:tcW w:w="1406" w:type="dxa"/>
            <w:tcBorders>
              <w:top w:val="nil"/>
              <w:left w:val="nil"/>
              <w:bottom w:val="nil"/>
              <w:right w:val="nil"/>
            </w:tcBorders>
            <w:shd w:val="clear" w:color="auto" w:fill="auto"/>
            <w:vAlign w:val="center"/>
          </w:tcPr>
          <w:p w14:paraId="6EC300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仅提供已签订且处于有效状态的合同和订单；合同失效、暂停或无可安排余量时，不进入新增要货范围。</w:t>
            </w:r>
          </w:p>
        </w:tc>
        <w:tc>
          <w:tcPr>
            <w:tcW w:w="1088" w:type="dxa"/>
            <w:tcBorders>
              <w:top w:val="nil"/>
              <w:left w:val="nil"/>
              <w:bottom w:val="nil"/>
              <w:right w:val="nil"/>
            </w:tcBorders>
            <w:shd w:val="clear" w:color="auto" w:fill="auto"/>
            <w:vAlign w:val="center"/>
          </w:tcPr>
          <w:p w14:paraId="56BB2F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有效合同、关联订单、签订日期、有效期、最晚交期及可安排余量</w:t>
            </w:r>
          </w:p>
        </w:tc>
        <w:tc>
          <w:tcPr>
            <w:tcW w:w="1460" w:type="dxa"/>
            <w:tcBorders>
              <w:top w:val="nil"/>
              <w:left w:val="nil"/>
              <w:bottom w:val="nil"/>
              <w:right w:val="nil"/>
            </w:tcBorders>
            <w:shd w:val="clear" w:color="auto" w:fill="auto"/>
            <w:vAlign w:val="center"/>
          </w:tcPr>
          <w:p w14:paraId="0C9AF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SCOS/SAP/E采/合同管理系统</w:t>
            </w:r>
          </w:p>
        </w:tc>
      </w:tr>
      <w:tr w14:paraId="4727A2FC">
        <w:trPr>
          <w:cantSplit/>
          <w:trHeight w:val="0" w:hRule="atLeast"/>
          <w:jc w:val="center"/>
        </w:trPr>
        <w:tc>
          <w:tcPr>
            <w:tcW w:w="2944" w:type="dxa"/>
            <w:tcBorders>
              <w:top w:val="nil"/>
              <w:left w:val="nil"/>
              <w:bottom w:val="nil"/>
              <w:right w:val="nil"/>
            </w:tcBorders>
            <w:shd w:val="clear" w:color="auto" w:fill="auto"/>
            <w:vAlign w:val="center"/>
          </w:tcPr>
          <w:p w14:paraId="42BC07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P-ZLTC-SCOS-YHJH-001-20-001</w:t>
            </w:r>
          </w:p>
        </w:tc>
        <w:tc>
          <w:tcPr>
            <w:tcW w:w="945" w:type="dxa"/>
            <w:tcBorders>
              <w:top w:val="nil"/>
              <w:left w:val="nil"/>
              <w:bottom w:val="nil"/>
              <w:right w:val="nil"/>
            </w:tcBorders>
            <w:shd w:val="clear" w:color="auto" w:fill="auto"/>
            <w:vAlign w:val="center"/>
          </w:tcPr>
          <w:p w14:paraId="38E5E5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补充送货条件与可供信息规则</w:t>
            </w:r>
          </w:p>
        </w:tc>
        <w:tc>
          <w:tcPr>
            <w:tcW w:w="966" w:type="dxa"/>
            <w:tcBorders>
              <w:top w:val="nil"/>
              <w:left w:val="nil"/>
              <w:bottom w:val="nil"/>
              <w:right w:val="nil"/>
            </w:tcBorders>
            <w:shd w:val="clear" w:color="auto" w:fill="auto"/>
            <w:vAlign w:val="center"/>
          </w:tcPr>
          <w:p w14:paraId="104C42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037A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CD0DD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有效合同、关联订单、签订日期、有效期、最晚交期及可安排余量形成后</w:t>
            </w:r>
          </w:p>
        </w:tc>
        <w:tc>
          <w:tcPr>
            <w:tcW w:w="1406" w:type="dxa"/>
            <w:tcBorders>
              <w:top w:val="nil"/>
              <w:left w:val="nil"/>
              <w:bottom w:val="nil"/>
              <w:right w:val="nil"/>
            </w:tcBorders>
            <w:shd w:val="clear" w:color="auto" w:fill="auto"/>
            <w:vAlign w:val="center"/>
          </w:tcPr>
          <w:p w14:paraId="4748FF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对暂无稳定系统来源的送货条件进行维护；必要信息缺失时标记“待补充”，不得形成缺乏依据的确定性安排。</w:t>
            </w:r>
          </w:p>
        </w:tc>
        <w:tc>
          <w:tcPr>
            <w:tcW w:w="1088" w:type="dxa"/>
            <w:tcBorders>
              <w:top w:val="nil"/>
              <w:left w:val="nil"/>
              <w:bottom w:val="nil"/>
              <w:right w:val="nil"/>
            </w:tcBorders>
            <w:shd w:val="clear" w:color="auto" w:fill="auto"/>
            <w:vAlign w:val="center"/>
          </w:tcPr>
          <w:p w14:paraId="373CD6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供应商存放地点、运输提前期、最早可到货日、日期可供量、合同执行顺序等</w:t>
            </w:r>
          </w:p>
        </w:tc>
        <w:tc>
          <w:tcPr>
            <w:tcW w:w="1460" w:type="dxa"/>
            <w:tcBorders>
              <w:top w:val="nil"/>
              <w:left w:val="nil"/>
              <w:bottom w:val="nil"/>
              <w:right w:val="nil"/>
            </w:tcBorders>
            <w:shd w:val="clear" w:color="auto" w:fill="auto"/>
            <w:vAlign w:val="center"/>
          </w:tcPr>
          <w:p w14:paraId="0C33AC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1603282">
        <w:trPr>
          <w:cantSplit/>
          <w:trHeight w:val="0" w:hRule="atLeast"/>
          <w:jc w:val="center"/>
        </w:trPr>
        <w:tc>
          <w:tcPr>
            <w:tcW w:w="2944" w:type="dxa"/>
            <w:tcBorders>
              <w:top w:val="nil"/>
              <w:left w:val="nil"/>
              <w:bottom w:val="nil"/>
              <w:right w:val="nil"/>
            </w:tcBorders>
            <w:shd w:val="clear" w:color="auto" w:fill="auto"/>
            <w:vAlign w:val="center"/>
          </w:tcPr>
          <w:p w14:paraId="0A1DED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P-ZLTC-SCOS-YHJH-001-30-001</w:t>
            </w:r>
          </w:p>
        </w:tc>
        <w:tc>
          <w:tcPr>
            <w:tcW w:w="945" w:type="dxa"/>
            <w:tcBorders>
              <w:top w:val="nil"/>
              <w:left w:val="nil"/>
              <w:bottom w:val="nil"/>
              <w:right w:val="nil"/>
            </w:tcBorders>
            <w:shd w:val="clear" w:color="auto" w:fill="auto"/>
            <w:vAlign w:val="center"/>
          </w:tcPr>
          <w:p w14:paraId="161F07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形成默认供应商及合同顺序规则</w:t>
            </w:r>
          </w:p>
        </w:tc>
        <w:tc>
          <w:tcPr>
            <w:tcW w:w="966" w:type="dxa"/>
            <w:tcBorders>
              <w:top w:val="nil"/>
              <w:left w:val="nil"/>
              <w:bottom w:val="nil"/>
              <w:right w:val="nil"/>
            </w:tcBorders>
            <w:shd w:val="clear" w:color="auto" w:fill="auto"/>
            <w:vAlign w:val="center"/>
          </w:tcPr>
          <w:p w14:paraId="448E5C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C95F4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12A14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供应商存放地点、运输提前期、最早可到货日、日期可供量、合同执行顺序等形成后</w:t>
            </w:r>
          </w:p>
        </w:tc>
        <w:tc>
          <w:tcPr>
            <w:tcW w:w="1406" w:type="dxa"/>
            <w:tcBorders>
              <w:top w:val="nil"/>
              <w:left w:val="nil"/>
              <w:bottom w:val="nil"/>
              <w:right w:val="nil"/>
            </w:tcBorders>
            <w:shd w:val="clear" w:color="auto" w:fill="auto"/>
            <w:vAlign w:val="center"/>
          </w:tcPr>
          <w:p w14:paraId="73EEF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默认按合同签订时间先后排序，先签合同优先；同一签订时间或顺序无法确定时提示采购计划员确认。</w:t>
            </w:r>
          </w:p>
        </w:tc>
        <w:tc>
          <w:tcPr>
            <w:tcW w:w="1088" w:type="dxa"/>
            <w:tcBorders>
              <w:top w:val="nil"/>
              <w:left w:val="nil"/>
              <w:bottom w:val="nil"/>
              <w:right w:val="nil"/>
            </w:tcBorders>
            <w:shd w:val="clear" w:color="auto" w:fill="auto"/>
            <w:vAlign w:val="center"/>
          </w:tcPr>
          <w:p w14:paraId="405136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默认要货优先顺序</w:t>
            </w:r>
          </w:p>
        </w:tc>
        <w:tc>
          <w:tcPr>
            <w:tcW w:w="1460" w:type="dxa"/>
            <w:tcBorders>
              <w:top w:val="nil"/>
              <w:left w:val="nil"/>
              <w:bottom w:val="nil"/>
              <w:right w:val="nil"/>
            </w:tcBorders>
            <w:shd w:val="clear" w:color="auto" w:fill="auto"/>
            <w:vAlign w:val="center"/>
          </w:tcPr>
          <w:p w14:paraId="2D930B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2B6829">
        <w:trPr>
          <w:cantSplit/>
          <w:trHeight w:val="0" w:hRule="atLeast"/>
          <w:jc w:val="center"/>
        </w:trPr>
        <w:tc>
          <w:tcPr>
            <w:tcW w:w="2944" w:type="dxa"/>
            <w:tcBorders>
              <w:top w:val="nil"/>
              <w:left w:val="nil"/>
              <w:bottom w:val="nil"/>
              <w:right w:val="nil"/>
            </w:tcBorders>
            <w:shd w:val="clear" w:color="auto" w:fill="auto"/>
            <w:vAlign w:val="center"/>
          </w:tcPr>
          <w:p w14:paraId="3F84A2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P-ZLTC-SCOS-YHJH-001-40-001</w:t>
            </w:r>
          </w:p>
        </w:tc>
        <w:tc>
          <w:tcPr>
            <w:tcW w:w="945" w:type="dxa"/>
            <w:tcBorders>
              <w:top w:val="nil"/>
              <w:left w:val="nil"/>
              <w:bottom w:val="nil"/>
              <w:right w:val="nil"/>
            </w:tcBorders>
            <w:shd w:val="clear" w:color="auto" w:fill="auto"/>
            <w:vAlign w:val="center"/>
          </w:tcPr>
          <w:p w14:paraId="257404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评审并调整要货优先顺序规则</w:t>
            </w:r>
          </w:p>
        </w:tc>
        <w:tc>
          <w:tcPr>
            <w:tcW w:w="966" w:type="dxa"/>
            <w:tcBorders>
              <w:top w:val="nil"/>
              <w:left w:val="nil"/>
              <w:bottom w:val="nil"/>
              <w:right w:val="nil"/>
            </w:tcBorders>
            <w:shd w:val="clear" w:color="auto" w:fill="auto"/>
            <w:vAlign w:val="center"/>
          </w:tcPr>
          <w:p w14:paraId="046B86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9CA37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4700E8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默认要货优先顺序形成并具备评审条件后</w:t>
            </w:r>
          </w:p>
        </w:tc>
        <w:tc>
          <w:tcPr>
            <w:tcW w:w="1406" w:type="dxa"/>
            <w:tcBorders>
              <w:top w:val="nil"/>
              <w:left w:val="nil"/>
              <w:bottom w:val="nil"/>
              <w:right w:val="nil"/>
            </w:tcBorders>
            <w:shd w:val="clear" w:color="auto" w:fill="auto"/>
            <w:vAlign w:val="center"/>
          </w:tcPr>
          <w:p w14:paraId="787E7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采购计划员可依据成本和实际协商结果调整顺序；未填写调整理由时不允许提交人工调整顺序。</w:t>
            </w:r>
          </w:p>
        </w:tc>
        <w:tc>
          <w:tcPr>
            <w:tcW w:w="1088" w:type="dxa"/>
            <w:tcBorders>
              <w:top w:val="nil"/>
              <w:left w:val="nil"/>
              <w:bottom w:val="nil"/>
              <w:right w:val="nil"/>
            </w:tcBorders>
            <w:shd w:val="clear" w:color="auto" w:fill="auto"/>
            <w:vAlign w:val="center"/>
          </w:tcPr>
          <w:p w14:paraId="52F653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业务确认的供应商及合同顺序、调整理由</w:t>
            </w:r>
          </w:p>
        </w:tc>
        <w:tc>
          <w:tcPr>
            <w:tcW w:w="1460" w:type="dxa"/>
            <w:tcBorders>
              <w:top w:val="nil"/>
              <w:left w:val="nil"/>
              <w:bottom w:val="nil"/>
              <w:right w:val="nil"/>
            </w:tcBorders>
            <w:shd w:val="clear" w:color="auto" w:fill="auto"/>
            <w:vAlign w:val="center"/>
          </w:tcPr>
          <w:p w14:paraId="3027ED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B4BA3C">
        <w:trPr>
          <w:cantSplit/>
          <w:trHeight w:val="0" w:hRule="atLeast"/>
          <w:jc w:val="center"/>
        </w:trPr>
        <w:tc>
          <w:tcPr>
            <w:tcW w:w="2944" w:type="dxa"/>
            <w:tcBorders>
              <w:top w:val="nil"/>
              <w:left w:val="nil"/>
              <w:bottom w:val="nil"/>
              <w:right w:val="nil"/>
            </w:tcBorders>
            <w:shd w:val="clear" w:color="auto" w:fill="auto"/>
            <w:vAlign w:val="center"/>
          </w:tcPr>
          <w:p w14:paraId="56A4B2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P-ZLTC-SCOS-YHJH-001-50-001</w:t>
            </w:r>
          </w:p>
        </w:tc>
        <w:tc>
          <w:tcPr>
            <w:tcW w:w="945" w:type="dxa"/>
            <w:tcBorders>
              <w:top w:val="nil"/>
              <w:left w:val="nil"/>
              <w:bottom w:val="nil"/>
              <w:right w:val="nil"/>
            </w:tcBorders>
            <w:shd w:val="clear" w:color="auto" w:fill="auto"/>
            <w:vAlign w:val="center"/>
          </w:tcPr>
          <w:p w14:paraId="24AB04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判断条件是否完整可用规则</w:t>
            </w:r>
          </w:p>
        </w:tc>
        <w:tc>
          <w:tcPr>
            <w:tcW w:w="966" w:type="dxa"/>
            <w:tcBorders>
              <w:top w:val="nil"/>
              <w:left w:val="nil"/>
              <w:bottom w:val="nil"/>
              <w:right w:val="nil"/>
            </w:tcBorders>
            <w:shd w:val="clear" w:color="auto" w:fill="auto"/>
            <w:vAlign w:val="center"/>
          </w:tcPr>
          <w:p w14:paraId="0CDE8F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1BE6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18458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业务确认的供应商及合同顺序、调整理由形成后</w:t>
            </w:r>
          </w:p>
        </w:tc>
        <w:tc>
          <w:tcPr>
            <w:tcW w:w="1406" w:type="dxa"/>
            <w:tcBorders>
              <w:top w:val="nil"/>
              <w:left w:val="nil"/>
              <w:bottom w:val="nil"/>
              <w:right w:val="nil"/>
            </w:tcBorders>
            <w:shd w:val="clear" w:color="auto" w:fill="auto"/>
            <w:vAlign w:val="center"/>
          </w:tcPr>
          <w:p w14:paraId="1CB564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核对合同有效性、可安排余量、交期及运输提前期等条件；条件不完整可用时退回补充或调整；条件完整可用时继续处理。</w:t>
            </w:r>
          </w:p>
        </w:tc>
        <w:tc>
          <w:tcPr>
            <w:tcW w:w="1088" w:type="dxa"/>
            <w:tcBorders>
              <w:top w:val="nil"/>
              <w:left w:val="nil"/>
              <w:bottom w:val="nil"/>
              <w:right w:val="nil"/>
            </w:tcBorders>
            <w:shd w:val="clear" w:color="auto" w:fill="auto"/>
            <w:vAlign w:val="center"/>
          </w:tcPr>
          <w:p w14:paraId="022FB0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完整性与可用性校验结果</w:t>
            </w:r>
          </w:p>
        </w:tc>
        <w:tc>
          <w:tcPr>
            <w:tcW w:w="1460" w:type="dxa"/>
            <w:tcBorders>
              <w:top w:val="nil"/>
              <w:left w:val="nil"/>
              <w:bottom w:val="nil"/>
              <w:right w:val="nil"/>
            </w:tcBorders>
            <w:shd w:val="clear" w:color="auto" w:fill="auto"/>
            <w:vAlign w:val="center"/>
          </w:tcPr>
          <w:p w14:paraId="0D7DA6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41A3A6">
        <w:trPr>
          <w:cantSplit/>
          <w:trHeight w:val="0" w:hRule="atLeast"/>
          <w:jc w:val="center"/>
        </w:trPr>
        <w:tc>
          <w:tcPr>
            <w:tcW w:w="2944" w:type="dxa"/>
            <w:tcBorders>
              <w:top w:val="nil"/>
              <w:left w:val="nil"/>
              <w:bottom w:val="nil"/>
              <w:right w:val="nil"/>
            </w:tcBorders>
            <w:shd w:val="clear" w:color="auto" w:fill="auto"/>
            <w:vAlign w:val="center"/>
          </w:tcPr>
          <w:p w14:paraId="423883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P-ZLTC-SCOS-YHJH-001-60-001</w:t>
            </w:r>
          </w:p>
        </w:tc>
        <w:tc>
          <w:tcPr>
            <w:tcW w:w="945" w:type="dxa"/>
            <w:tcBorders>
              <w:top w:val="nil"/>
              <w:left w:val="nil"/>
              <w:bottom w:val="nil"/>
              <w:right w:val="nil"/>
            </w:tcBorders>
            <w:shd w:val="clear" w:color="auto" w:fill="auto"/>
            <w:vAlign w:val="center"/>
          </w:tcPr>
          <w:p w14:paraId="2FA2D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确认并发布要货条件版本规则</w:t>
            </w:r>
          </w:p>
        </w:tc>
        <w:tc>
          <w:tcPr>
            <w:tcW w:w="966" w:type="dxa"/>
            <w:tcBorders>
              <w:top w:val="nil"/>
              <w:left w:val="nil"/>
              <w:bottom w:val="nil"/>
              <w:right w:val="nil"/>
            </w:tcBorders>
            <w:shd w:val="clear" w:color="auto" w:fill="auto"/>
            <w:vAlign w:val="center"/>
          </w:tcPr>
          <w:p w14:paraId="1821DB6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63F3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BD0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条件完整可用时</w:t>
            </w:r>
          </w:p>
        </w:tc>
        <w:tc>
          <w:tcPr>
            <w:tcW w:w="1406" w:type="dxa"/>
            <w:tcBorders>
              <w:top w:val="nil"/>
              <w:left w:val="nil"/>
              <w:bottom w:val="nil"/>
              <w:right w:val="nil"/>
            </w:tcBorders>
            <w:shd w:val="clear" w:color="auto" w:fill="auto"/>
            <w:vAlign w:val="center"/>
          </w:tcPr>
          <w:p w14:paraId="0F1A7A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对要货基础条件和人工调整顺序进行业务确认；不确认时补充完善。</w:t>
            </w:r>
          </w:p>
        </w:tc>
        <w:tc>
          <w:tcPr>
            <w:tcW w:w="1088" w:type="dxa"/>
            <w:tcBorders>
              <w:top w:val="nil"/>
              <w:left w:val="nil"/>
              <w:bottom w:val="nil"/>
              <w:right w:val="nil"/>
            </w:tcBorders>
            <w:shd w:val="clear" w:color="auto" w:fill="auto"/>
            <w:vAlign w:val="center"/>
          </w:tcPr>
          <w:p w14:paraId="7BF36D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确认结论及条件版本</w:t>
            </w:r>
          </w:p>
        </w:tc>
        <w:tc>
          <w:tcPr>
            <w:tcW w:w="1460" w:type="dxa"/>
            <w:tcBorders>
              <w:top w:val="nil"/>
              <w:left w:val="nil"/>
              <w:bottom w:val="nil"/>
              <w:right w:val="nil"/>
            </w:tcBorders>
            <w:shd w:val="clear" w:color="auto" w:fill="auto"/>
            <w:vAlign w:val="center"/>
          </w:tcPr>
          <w:p w14:paraId="60F27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8B77DFA">
        <w:trPr>
          <w:cantSplit/>
          <w:trHeight w:val="0" w:hRule="atLeast"/>
          <w:jc w:val="center"/>
        </w:trPr>
        <w:tc>
          <w:tcPr>
            <w:tcW w:w="2944" w:type="dxa"/>
            <w:tcBorders>
              <w:top w:val="nil"/>
              <w:left w:val="nil"/>
              <w:bottom w:val="nil"/>
              <w:right w:val="nil"/>
            </w:tcBorders>
            <w:shd w:val="clear" w:color="auto" w:fill="auto"/>
            <w:vAlign w:val="center"/>
          </w:tcPr>
          <w:p w14:paraId="3330B1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P-ZLTC-SCOS-YHJH-001-70-001</w:t>
            </w:r>
          </w:p>
        </w:tc>
        <w:tc>
          <w:tcPr>
            <w:tcW w:w="945" w:type="dxa"/>
            <w:tcBorders>
              <w:top w:val="nil"/>
              <w:left w:val="nil"/>
              <w:bottom w:val="nil"/>
              <w:right w:val="nil"/>
            </w:tcBorders>
            <w:shd w:val="clear" w:color="auto" w:fill="auto"/>
            <w:vAlign w:val="center"/>
          </w:tcPr>
          <w:p w14:paraId="626EC7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条件生效用于计划规则</w:t>
            </w:r>
          </w:p>
        </w:tc>
        <w:tc>
          <w:tcPr>
            <w:tcW w:w="966" w:type="dxa"/>
            <w:tcBorders>
              <w:top w:val="nil"/>
              <w:left w:val="nil"/>
              <w:bottom w:val="nil"/>
              <w:right w:val="nil"/>
            </w:tcBorders>
            <w:shd w:val="clear" w:color="auto" w:fill="auto"/>
            <w:vAlign w:val="center"/>
          </w:tcPr>
          <w:p w14:paraId="2A17AC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1B92D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6E40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确认结论及条件版本形成后</w:t>
            </w:r>
          </w:p>
        </w:tc>
        <w:tc>
          <w:tcPr>
            <w:tcW w:w="1406" w:type="dxa"/>
            <w:tcBorders>
              <w:top w:val="nil"/>
              <w:left w:val="nil"/>
              <w:bottom w:val="nil"/>
              <w:right w:val="nil"/>
            </w:tcBorders>
            <w:shd w:val="clear" w:color="auto" w:fill="auto"/>
            <w:vAlign w:val="center"/>
          </w:tcPr>
          <w:p w14:paraId="3CF719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生效版本供日度要货计划制定和滚动调整使用；发布失败时保留待发布状态并支持重试。</w:t>
            </w:r>
          </w:p>
        </w:tc>
        <w:tc>
          <w:tcPr>
            <w:tcW w:w="1088" w:type="dxa"/>
            <w:tcBorders>
              <w:top w:val="nil"/>
              <w:left w:val="nil"/>
              <w:bottom w:val="nil"/>
              <w:right w:val="nil"/>
            </w:tcBorders>
            <w:shd w:val="clear" w:color="auto" w:fill="auto"/>
            <w:vAlign w:val="center"/>
          </w:tcPr>
          <w:p w14:paraId="45B354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生效的要货计算条件</w:t>
            </w:r>
          </w:p>
        </w:tc>
        <w:tc>
          <w:tcPr>
            <w:tcW w:w="1460" w:type="dxa"/>
            <w:tcBorders>
              <w:top w:val="nil"/>
              <w:left w:val="nil"/>
              <w:bottom w:val="nil"/>
              <w:right w:val="nil"/>
            </w:tcBorders>
            <w:shd w:val="clear" w:color="auto" w:fill="auto"/>
            <w:vAlign w:val="center"/>
          </w:tcPr>
          <w:p w14:paraId="27014B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CC3483">
        <w:trPr>
          <w:cantSplit/>
          <w:trHeight w:val="0" w:hRule="atLeast"/>
          <w:jc w:val="center"/>
        </w:trPr>
        <w:tc>
          <w:tcPr>
            <w:tcW w:w="2944" w:type="dxa"/>
            <w:tcBorders>
              <w:top w:val="nil"/>
              <w:left w:val="nil"/>
              <w:bottom w:val="nil"/>
              <w:right w:val="nil"/>
            </w:tcBorders>
            <w:shd w:val="clear" w:color="auto" w:fill="auto"/>
            <w:vAlign w:val="center"/>
          </w:tcPr>
          <w:p w14:paraId="1F0431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P-ZLTC-SCOS-YHJH-002-10-001</w:t>
            </w:r>
          </w:p>
        </w:tc>
        <w:tc>
          <w:tcPr>
            <w:tcW w:w="945" w:type="dxa"/>
            <w:tcBorders>
              <w:top w:val="nil"/>
              <w:left w:val="nil"/>
              <w:bottom w:val="nil"/>
              <w:right w:val="nil"/>
            </w:tcBorders>
            <w:shd w:val="clear" w:color="auto" w:fill="auto"/>
            <w:vAlign w:val="center"/>
          </w:tcPr>
          <w:p w14:paraId="121E06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汇集生产耗用、库存与已有在途规则</w:t>
            </w:r>
          </w:p>
        </w:tc>
        <w:tc>
          <w:tcPr>
            <w:tcW w:w="966" w:type="dxa"/>
            <w:tcBorders>
              <w:top w:val="nil"/>
              <w:left w:val="nil"/>
              <w:bottom w:val="nil"/>
              <w:right w:val="nil"/>
            </w:tcBorders>
            <w:shd w:val="clear" w:color="auto" w:fill="auto"/>
            <w:vAlign w:val="center"/>
          </w:tcPr>
          <w:p w14:paraId="7B4A5A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E5244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1C5A5F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系统每日定时运行，采购计划员也可按业务需要人工发起时</w:t>
            </w:r>
          </w:p>
        </w:tc>
        <w:tc>
          <w:tcPr>
            <w:tcW w:w="1406" w:type="dxa"/>
            <w:tcBorders>
              <w:top w:val="nil"/>
              <w:left w:val="nil"/>
              <w:bottom w:val="nil"/>
              <w:right w:val="nil"/>
            </w:tcBorders>
            <w:shd w:val="clear" w:color="auto" w:fill="auto"/>
            <w:vAlign w:val="center"/>
          </w:tcPr>
          <w:p w14:paraId="263C99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优先使用已发布的日度原材料需求；需求、必要BOM、库存时间或在途日期缺失时提示补充，不将缺失数据直接按零处理。</w:t>
            </w:r>
          </w:p>
        </w:tc>
        <w:tc>
          <w:tcPr>
            <w:tcW w:w="1088" w:type="dxa"/>
            <w:tcBorders>
              <w:top w:val="nil"/>
              <w:left w:val="nil"/>
              <w:bottom w:val="nil"/>
              <w:right w:val="nil"/>
            </w:tcBorders>
            <w:shd w:val="clear" w:color="auto" w:fill="auto"/>
            <w:vAlign w:val="center"/>
          </w:tcPr>
          <w:p w14:paraId="54668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要货计算数据集</w:t>
            </w:r>
          </w:p>
        </w:tc>
        <w:tc>
          <w:tcPr>
            <w:tcW w:w="1460" w:type="dxa"/>
            <w:tcBorders>
              <w:top w:val="nil"/>
              <w:left w:val="nil"/>
              <w:bottom w:val="nil"/>
              <w:right w:val="nil"/>
            </w:tcBorders>
            <w:shd w:val="clear" w:color="auto" w:fill="auto"/>
            <w:vAlign w:val="center"/>
          </w:tcPr>
          <w:p w14:paraId="60C961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1959E417">
        <w:trPr>
          <w:cantSplit/>
          <w:trHeight w:val="0" w:hRule="atLeast"/>
          <w:jc w:val="center"/>
        </w:trPr>
        <w:tc>
          <w:tcPr>
            <w:tcW w:w="2944" w:type="dxa"/>
            <w:tcBorders>
              <w:top w:val="nil"/>
              <w:left w:val="nil"/>
              <w:bottom w:val="nil"/>
              <w:right w:val="nil"/>
            </w:tcBorders>
            <w:shd w:val="clear" w:color="auto" w:fill="auto"/>
            <w:vAlign w:val="center"/>
          </w:tcPr>
          <w:p w14:paraId="090019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P-ZLTC-SCOS-YHJH-002-20-001</w:t>
            </w:r>
          </w:p>
        </w:tc>
        <w:tc>
          <w:tcPr>
            <w:tcW w:w="945" w:type="dxa"/>
            <w:tcBorders>
              <w:top w:val="nil"/>
              <w:left w:val="nil"/>
              <w:bottom w:val="nil"/>
              <w:right w:val="nil"/>
            </w:tcBorders>
            <w:shd w:val="clear" w:color="auto" w:fill="auto"/>
            <w:vAlign w:val="center"/>
          </w:tcPr>
          <w:p w14:paraId="560A56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形成需到货日期与数量规则</w:t>
            </w:r>
          </w:p>
        </w:tc>
        <w:tc>
          <w:tcPr>
            <w:tcW w:w="966" w:type="dxa"/>
            <w:tcBorders>
              <w:top w:val="nil"/>
              <w:left w:val="nil"/>
              <w:bottom w:val="nil"/>
              <w:right w:val="nil"/>
            </w:tcBorders>
            <w:shd w:val="clear" w:color="auto" w:fill="auto"/>
            <w:vAlign w:val="center"/>
          </w:tcPr>
          <w:p w14:paraId="6D3872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C38EF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1FE1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要货计算数据集形成后</w:t>
            </w:r>
          </w:p>
        </w:tc>
        <w:tc>
          <w:tcPr>
            <w:tcW w:w="1406" w:type="dxa"/>
            <w:tcBorders>
              <w:top w:val="nil"/>
              <w:left w:val="nil"/>
              <w:bottom w:val="nil"/>
              <w:right w:val="nil"/>
            </w:tcBorders>
            <w:shd w:val="clear" w:color="auto" w:fill="auto"/>
            <w:vAlign w:val="center"/>
          </w:tcPr>
          <w:p w14:paraId="135D54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按日投影库存；计划期末继续读取缓冲天数内的耗用；现有已确定的到货安排已满足需求时，该日期不新增要货。</w:t>
            </w:r>
          </w:p>
        </w:tc>
        <w:tc>
          <w:tcPr>
            <w:tcW w:w="1088" w:type="dxa"/>
            <w:tcBorders>
              <w:top w:val="nil"/>
              <w:left w:val="nil"/>
              <w:bottom w:val="nil"/>
              <w:right w:val="nil"/>
            </w:tcBorders>
            <w:shd w:val="clear" w:color="auto" w:fill="auto"/>
            <w:vAlign w:val="center"/>
          </w:tcPr>
          <w:p w14:paraId="31E1DB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分日需到货量及风险日期</w:t>
            </w:r>
          </w:p>
        </w:tc>
        <w:tc>
          <w:tcPr>
            <w:tcW w:w="1460" w:type="dxa"/>
            <w:tcBorders>
              <w:top w:val="nil"/>
              <w:left w:val="nil"/>
              <w:bottom w:val="nil"/>
              <w:right w:val="nil"/>
            </w:tcBorders>
            <w:shd w:val="clear" w:color="auto" w:fill="auto"/>
            <w:vAlign w:val="center"/>
          </w:tcPr>
          <w:p w14:paraId="11A299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AC747">
        <w:trPr>
          <w:cantSplit/>
          <w:trHeight w:val="0" w:hRule="atLeast"/>
          <w:jc w:val="center"/>
        </w:trPr>
        <w:tc>
          <w:tcPr>
            <w:tcW w:w="2944" w:type="dxa"/>
            <w:tcBorders>
              <w:top w:val="nil"/>
              <w:left w:val="nil"/>
              <w:bottom w:val="nil"/>
              <w:right w:val="nil"/>
            </w:tcBorders>
            <w:shd w:val="clear" w:color="auto" w:fill="auto"/>
            <w:vAlign w:val="center"/>
          </w:tcPr>
          <w:p w14:paraId="233743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P-ZLTC-SCOS-YHJH-002-30-001</w:t>
            </w:r>
          </w:p>
        </w:tc>
        <w:tc>
          <w:tcPr>
            <w:tcW w:w="945" w:type="dxa"/>
            <w:tcBorders>
              <w:top w:val="nil"/>
              <w:left w:val="nil"/>
              <w:bottom w:val="nil"/>
              <w:right w:val="nil"/>
            </w:tcBorders>
            <w:shd w:val="clear" w:color="auto" w:fill="auto"/>
            <w:vAlign w:val="center"/>
          </w:tcPr>
          <w:p w14:paraId="60B61C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按顺序生成要货建议规则</w:t>
            </w:r>
          </w:p>
        </w:tc>
        <w:tc>
          <w:tcPr>
            <w:tcW w:w="966" w:type="dxa"/>
            <w:tcBorders>
              <w:top w:val="nil"/>
              <w:left w:val="nil"/>
              <w:bottom w:val="nil"/>
              <w:right w:val="nil"/>
            </w:tcBorders>
            <w:shd w:val="clear" w:color="auto" w:fill="auto"/>
            <w:vAlign w:val="center"/>
          </w:tcPr>
          <w:p w14:paraId="2DE045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EEC3C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31AE4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分日需到货量及风险日期形成后</w:t>
            </w:r>
          </w:p>
        </w:tc>
        <w:tc>
          <w:tcPr>
            <w:tcW w:w="1406" w:type="dxa"/>
            <w:tcBorders>
              <w:top w:val="nil"/>
              <w:left w:val="nil"/>
              <w:bottom w:val="nil"/>
              <w:right w:val="nil"/>
            </w:tcBorders>
            <w:shd w:val="clear" w:color="auto" w:fill="auto"/>
            <w:vAlign w:val="center"/>
          </w:tcPr>
          <w:p w14:paraId="22252E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按当前顺序优先安排前序供应商；不能满足时不强行生成虚假可执行计划，输出风险日期、缺口数量和原因。</w:t>
            </w:r>
          </w:p>
        </w:tc>
        <w:tc>
          <w:tcPr>
            <w:tcW w:w="1088" w:type="dxa"/>
            <w:tcBorders>
              <w:top w:val="nil"/>
              <w:left w:val="nil"/>
              <w:bottom w:val="nil"/>
              <w:right w:val="nil"/>
            </w:tcBorders>
            <w:shd w:val="clear" w:color="auto" w:fill="auto"/>
            <w:vAlign w:val="center"/>
          </w:tcPr>
          <w:p w14:paraId="492440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供应商、合同、到货日、到货数量及必要补位原因</w:t>
            </w:r>
          </w:p>
        </w:tc>
        <w:tc>
          <w:tcPr>
            <w:tcW w:w="1460" w:type="dxa"/>
            <w:tcBorders>
              <w:top w:val="nil"/>
              <w:left w:val="nil"/>
              <w:bottom w:val="nil"/>
              <w:right w:val="nil"/>
            </w:tcBorders>
            <w:shd w:val="clear" w:color="auto" w:fill="auto"/>
            <w:vAlign w:val="center"/>
          </w:tcPr>
          <w:p w14:paraId="2BA3E6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D96BD6">
        <w:trPr>
          <w:cantSplit/>
          <w:trHeight w:val="0" w:hRule="atLeast"/>
          <w:jc w:val="center"/>
        </w:trPr>
        <w:tc>
          <w:tcPr>
            <w:tcW w:w="2944" w:type="dxa"/>
            <w:tcBorders>
              <w:top w:val="nil"/>
              <w:left w:val="nil"/>
              <w:bottom w:val="nil"/>
              <w:right w:val="nil"/>
            </w:tcBorders>
            <w:shd w:val="clear" w:color="auto" w:fill="auto"/>
            <w:vAlign w:val="center"/>
          </w:tcPr>
          <w:p w14:paraId="15F6AF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P-ZLTC-SCOS-YHJH-002-40-001</w:t>
            </w:r>
          </w:p>
        </w:tc>
        <w:tc>
          <w:tcPr>
            <w:tcW w:w="945" w:type="dxa"/>
            <w:tcBorders>
              <w:top w:val="nil"/>
              <w:left w:val="nil"/>
              <w:bottom w:val="nil"/>
              <w:right w:val="nil"/>
            </w:tcBorders>
            <w:shd w:val="clear" w:color="auto" w:fill="auto"/>
            <w:vAlign w:val="center"/>
          </w:tcPr>
          <w:p w14:paraId="622933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评审并调整日期、数量与供应商规则</w:t>
            </w:r>
          </w:p>
        </w:tc>
        <w:tc>
          <w:tcPr>
            <w:tcW w:w="966" w:type="dxa"/>
            <w:tcBorders>
              <w:top w:val="nil"/>
              <w:left w:val="nil"/>
              <w:bottom w:val="nil"/>
              <w:right w:val="nil"/>
            </w:tcBorders>
            <w:shd w:val="clear" w:color="auto" w:fill="auto"/>
            <w:vAlign w:val="center"/>
          </w:tcPr>
          <w:p w14:paraId="0131888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57749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2F6843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供应商、合同、到货日、到货数量及必要补位原因形成并具备评审条件后</w:t>
            </w:r>
          </w:p>
        </w:tc>
        <w:tc>
          <w:tcPr>
            <w:tcW w:w="1406" w:type="dxa"/>
            <w:tcBorders>
              <w:top w:val="nil"/>
              <w:left w:val="nil"/>
              <w:bottom w:val="nil"/>
              <w:right w:val="nil"/>
            </w:tcBorders>
            <w:shd w:val="clear" w:color="auto" w:fill="auto"/>
            <w:vAlign w:val="center"/>
          </w:tcPr>
          <w:p w14:paraId="337057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根据供应商协商结果调整优先顺序、合同、到货日期和数量；可重新生成系统方案；人工调整和移除均保留记录。</w:t>
            </w:r>
          </w:p>
        </w:tc>
        <w:tc>
          <w:tcPr>
            <w:tcW w:w="1088" w:type="dxa"/>
            <w:tcBorders>
              <w:top w:val="nil"/>
              <w:left w:val="nil"/>
              <w:bottom w:val="nil"/>
              <w:right w:val="nil"/>
            </w:tcBorders>
            <w:shd w:val="clear" w:color="auto" w:fill="auto"/>
            <w:vAlign w:val="center"/>
          </w:tcPr>
          <w:p w14:paraId="5AD571D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拟确认要货计划</w:t>
            </w:r>
          </w:p>
        </w:tc>
        <w:tc>
          <w:tcPr>
            <w:tcW w:w="1460" w:type="dxa"/>
            <w:tcBorders>
              <w:top w:val="nil"/>
              <w:left w:val="nil"/>
              <w:bottom w:val="nil"/>
              <w:right w:val="nil"/>
            </w:tcBorders>
            <w:shd w:val="clear" w:color="auto" w:fill="auto"/>
            <w:vAlign w:val="center"/>
          </w:tcPr>
          <w:p w14:paraId="4EEAB4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F35DFF">
        <w:trPr>
          <w:cantSplit/>
          <w:trHeight w:val="0" w:hRule="atLeast"/>
          <w:jc w:val="center"/>
        </w:trPr>
        <w:tc>
          <w:tcPr>
            <w:tcW w:w="2944" w:type="dxa"/>
            <w:tcBorders>
              <w:top w:val="nil"/>
              <w:left w:val="nil"/>
              <w:bottom w:val="nil"/>
              <w:right w:val="nil"/>
            </w:tcBorders>
            <w:shd w:val="clear" w:color="auto" w:fill="auto"/>
            <w:vAlign w:val="center"/>
          </w:tcPr>
          <w:p w14:paraId="6D9850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P-ZLTC-SCOS-YHJH-002-50-001</w:t>
            </w:r>
          </w:p>
        </w:tc>
        <w:tc>
          <w:tcPr>
            <w:tcW w:w="945" w:type="dxa"/>
            <w:tcBorders>
              <w:top w:val="nil"/>
              <w:left w:val="nil"/>
              <w:bottom w:val="nil"/>
              <w:right w:val="nil"/>
            </w:tcBorders>
            <w:shd w:val="clear" w:color="auto" w:fill="auto"/>
            <w:vAlign w:val="center"/>
          </w:tcPr>
          <w:p w14:paraId="0D18A5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重新计算库存并校验可执行性规则</w:t>
            </w:r>
          </w:p>
        </w:tc>
        <w:tc>
          <w:tcPr>
            <w:tcW w:w="966" w:type="dxa"/>
            <w:tcBorders>
              <w:top w:val="nil"/>
              <w:left w:val="nil"/>
              <w:bottom w:val="nil"/>
              <w:right w:val="nil"/>
            </w:tcBorders>
            <w:shd w:val="clear" w:color="auto" w:fill="auto"/>
            <w:vAlign w:val="center"/>
          </w:tcPr>
          <w:p w14:paraId="671F0F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FC6BD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67ED4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拟确认要货计划形成后</w:t>
            </w:r>
          </w:p>
        </w:tc>
        <w:tc>
          <w:tcPr>
            <w:tcW w:w="1406" w:type="dxa"/>
            <w:tcBorders>
              <w:top w:val="nil"/>
              <w:left w:val="nil"/>
              <w:bottom w:val="nil"/>
              <w:right w:val="nil"/>
            </w:tcBorders>
            <w:shd w:val="clear" w:color="auto" w:fill="auto"/>
            <w:vAlign w:val="center"/>
          </w:tcPr>
          <w:p w14:paraId="4E3E4C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调整后即时重算预计库存和合同余额；库存低于安全缓冲、合同超量、禁运或到货不可行等阻断性冲突必须处理，不允许下达。</w:t>
            </w:r>
          </w:p>
        </w:tc>
        <w:tc>
          <w:tcPr>
            <w:tcW w:w="1088" w:type="dxa"/>
            <w:tcBorders>
              <w:top w:val="nil"/>
              <w:left w:val="nil"/>
              <w:bottom w:val="nil"/>
              <w:right w:val="nil"/>
            </w:tcBorders>
            <w:shd w:val="clear" w:color="auto" w:fill="auto"/>
            <w:vAlign w:val="center"/>
          </w:tcPr>
          <w:p w14:paraId="615F09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库存投影、合同余额及校验结果</w:t>
            </w:r>
          </w:p>
        </w:tc>
        <w:tc>
          <w:tcPr>
            <w:tcW w:w="1460" w:type="dxa"/>
            <w:tcBorders>
              <w:top w:val="nil"/>
              <w:left w:val="nil"/>
              <w:bottom w:val="nil"/>
              <w:right w:val="nil"/>
            </w:tcBorders>
            <w:shd w:val="clear" w:color="auto" w:fill="auto"/>
            <w:vAlign w:val="center"/>
          </w:tcPr>
          <w:p w14:paraId="1367D4B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262774">
        <w:trPr>
          <w:cantSplit/>
          <w:trHeight w:val="0" w:hRule="atLeast"/>
          <w:jc w:val="center"/>
        </w:trPr>
        <w:tc>
          <w:tcPr>
            <w:tcW w:w="2944" w:type="dxa"/>
            <w:tcBorders>
              <w:top w:val="nil"/>
              <w:left w:val="nil"/>
              <w:bottom w:val="nil"/>
              <w:right w:val="nil"/>
            </w:tcBorders>
            <w:shd w:val="clear" w:color="auto" w:fill="auto"/>
            <w:vAlign w:val="center"/>
          </w:tcPr>
          <w:p w14:paraId="1FE750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P-ZLTC-SCOS-YHJH-002-60-001</w:t>
            </w:r>
          </w:p>
        </w:tc>
        <w:tc>
          <w:tcPr>
            <w:tcW w:w="945" w:type="dxa"/>
            <w:tcBorders>
              <w:top w:val="nil"/>
              <w:left w:val="nil"/>
              <w:bottom w:val="nil"/>
              <w:right w:val="nil"/>
            </w:tcBorders>
            <w:shd w:val="clear" w:color="auto" w:fill="auto"/>
            <w:vAlign w:val="center"/>
          </w:tcPr>
          <w:p w14:paraId="10F0DC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判断是否确认当前计划规则</w:t>
            </w:r>
          </w:p>
        </w:tc>
        <w:tc>
          <w:tcPr>
            <w:tcW w:w="966" w:type="dxa"/>
            <w:tcBorders>
              <w:top w:val="nil"/>
              <w:left w:val="nil"/>
              <w:bottom w:val="nil"/>
              <w:right w:val="nil"/>
            </w:tcBorders>
            <w:shd w:val="clear" w:color="auto" w:fill="auto"/>
            <w:vAlign w:val="center"/>
          </w:tcPr>
          <w:p w14:paraId="75B01D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F858C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EC52C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库存投影、合同余额及校验结果形成后</w:t>
            </w:r>
          </w:p>
        </w:tc>
        <w:tc>
          <w:tcPr>
            <w:tcW w:w="1406" w:type="dxa"/>
            <w:tcBorders>
              <w:top w:val="nil"/>
              <w:left w:val="nil"/>
              <w:bottom w:val="nil"/>
              <w:right w:val="nil"/>
            </w:tcBorders>
            <w:shd w:val="clear" w:color="auto" w:fill="auto"/>
            <w:vAlign w:val="center"/>
          </w:tcPr>
          <w:p w14:paraId="555C8F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核对供应商、合同、日期、数量、补位原因及风险；未确认当前计划时退回调整；确认当前计划时继续处理。</w:t>
            </w:r>
          </w:p>
        </w:tc>
        <w:tc>
          <w:tcPr>
            <w:tcW w:w="1088" w:type="dxa"/>
            <w:tcBorders>
              <w:top w:val="nil"/>
              <w:left w:val="nil"/>
              <w:bottom w:val="nil"/>
              <w:right w:val="nil"/>
            </w:tcBorders>
            <w:shd w:val="clear" w:color="auto" w:fill="auto"/>
            <w:vAlign w:val="center"/>
          </w:tcPr>
          <w:p w14:paraId="71C2862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89F48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664652">
        <w:trPr>
          <w:cantSplit/>
          <w:trHeight w:val="0" w:hRule="atLeast"/>
          <w:jc w:val="center"/>
        </w:trPr>
        <w:tc>
          <w:tcPr>
            <w:tcW w:w="2944" w:type="dxa"/>
            <w:tcBorders>
              <w:top w:val="nil"/>
              <w:left w:val="nil"/>
              <w:bottom w:val="nil"/>
              <w:right w:val="nil"/>
            </w:tcBorders>
            <w:shd w:val="clear" w:color="auto" w:fill="auto"/>
            <w:vAlign w:val="center"/>
          </w:tcPr>
          <w:p w14:paraId="4A9C3C1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P-ZLTC-SCOS-YHJH-002-70-001</w:t>
            </w:r>
          </w:p>
        </w:tc>
        <w:tc>
          <w:tcPr>
            <w:tcW w:w="945" w:type="dxa"/>
            <w:tcBorders>
              <w:top w:val="nil"/>
              <w:left w:val="nil"/>
              <w:bottom w:val="nil"/>
              <w:right w:val="nil"/>
            </w:tcBorders>
            <w:shd w:val="clear" w:color="auto" w:fill="auto"/>
            <w:vAlign w:val="center"/>
          </w:tcPr>
          <w:p w14:paraId="2BA1D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发布确认计划版本规则</w:t>
            </w:r>
          </w:p>
        </w:tc>
        <w:tc>
          <w:tcPr>
            <w:tcW w:w="966" w:type="dxa"/>
            <w:tcBorders>
              <w:top w:val="nil"/>
              <w:left w:val="nil"/>
              <w:bottom w:val="nil"/>
              <w:right w:val="nil"/>
            </w:tcBorders>
            <w:shd w:val="clear" w:color="auto" w:fill="auto"/>
            <w:vAlign w:val="center"/>
          </w:tcPr>
          <w:p w14:paraId="5CAFDD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9C3DB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48B551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确认当前计划时</w:t>
            </w:r>
          </w:p>
        </w:tc>
        <w:tc>
          <w:tcPr>
            <w:tcW w:w="1406" w:type="dxa"/>
            <w:tcBorders>
              <w:top w:val="nil"/>
              <w:left w:val="nil"/>
              <w:bottom w:val="nil"/>
              <w:right w:val="nil"/>
            </w:tcBorders>
            <w:shd w:val="clear" w:color="auto" w:fill="auto"/>
            <w:vAlign w:val="center"/>
          </w:tcPr>
          <w:p w14:paraId="7691B7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发布确认版本，冻结其中的确认安排；发布失败时保留待发布状态并支持重试。</w:t>
            </w:r>
          </w:p>
        </w:tc>
        <w:tc>
          <w:tcPr>
            <w:tcW w:w="1088" w:type="dxa"/>
            <w:tcBorders>
              <w:top w:val="nil"/>
              <w:left w:val="nil"/>
              <w:bottom w:val="nil"/>
              <w:right w:val="nil"/>
            </w:tcBorders>
            <w:shd w:val="clear" w:color="auto" w:fill="auto"/>
            <w:vAlign w:val="center"/>
          </w:tcPr>
          <w:p w14:paraId="5DDD31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已确认要货计划及版本</w:t>
            </w:r>
          </w:p>
        </w:tc>
        <w:tc>
          <w:tcPr>
            <w:tcW w:w="1460" w:type="dxa"/>
            <w:tcBorders>
              <w:top w:val="nil"/>
              <w:left w:val="nil"/>
              <w:bottom w:val="nil"/>
              <w:right w:val="nil"/>
            </w:tcBorders>
            <w:shd w:val="clear" w:color="auto" w:fill="auto"/>
            <w:vAlign w:val="center"/>
          </w:tcPr>
          <w:p w14:paraId="2B069F2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9188A79">
        <w:trPr>
          <w:cantSplit/>
          <w:trHeight w:val="0" w:hRule="atLeast"/>
          <w:jc w:val="center"/>
        </w:trPr>
        <w:tc>
          <w:tcPr>
            <w:tcW w:w="2944" w:type="dxa"/>
            <w:tcBorders>
              <w:top w:val="nil"/>
              <w:left w:val="nil"/>
              <w:bottom w:val="nil"/>
              <w:right w:val="nil"/>
            </w:tcBorders>
            <w:shd w:val="clear" w:color="auto" w:fill="auto"/>
            <w:vAlign w:val="center"/>
          </w:tcPr>
          <w:p w14:paraId="3FA6A3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P-ZLTC-SCOS-YHJH-003-10-001</w:t>
            </w:r>
          </w:p>
        </w:tc>
        <w:tc>
          <w:tcPr>
            <w:tcW w:w="945" w:type="dxa"/>
            <w:tcBorders>
              <w:top w:val="nil"/>
              <w:left w:val="nil"/>
              <w:bottom w:val="nil"/>
              <w:right w:val="nil"/>
            </w:tcBorders>
            <w:shd w:val="clear" w:color="auto" w:fill="auto"/>
            <w:vAlign w:val="center"/>
          </w:tcPr>
          <w:p w14:paraId="28FB58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下达已确认要货计划规则</w:t>
            </w:r>
          </w:p>
        </w:tc>
        <w:tc>
          <w:tcPr>
            <w:tcW w:w="966" w:type="dxa"/>
            <w:tcBorders>
              <w:top w:val="nil"/>
              <w:left w:val="nil"/>
              <w:bottom w:val="nil"/>
              <w:right w:val="nil"/>
            </w:tcBorders>
            <w:shd w:val="clear" w:color="auto" w:fill="auto"/>
            <w:vAlign w:val="center"/>
          </w:tcPr>
          <w:p w14:paraId="32999F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3E8DC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14DB6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要货计划完成确认并进入执行阶段时</w:t>
            </w:r>
          </w:p>
        </w:tc>
        <w:tc>
          <w:tcPr>
            <w:tcW w:w="1406" w:type="dxa"/>
            <w:tcBorders>
              <w:top w:val="nil"/>
              <w:left w:val="nil"/>
              <w:bottom w:val="nil"/>
              <w:right w:val="nil"/>
            </w:tcBorders>
            <w:shd w:val="clear" w:color="auto" w:fill="auto"/>
            <w:vAlign w:val="center"/>
          </w:tcPr>
          <w:p w14:paraId="747BCE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核对要货计划版本后发起下达；计划基于既有合同和订单；发现确认版本失效或存在阻断性冲突时停止下达，返回计划调整。</w:t>
            </w:r>
          </w:p>
        </w:tc>
        <w:tc>
          <w:tcPr>
            <w:tcW w:w="1088" w:type="dxa"/>
            <w:tcBorders>
              <w:top w:val="nil"/>
              <w:left w:val="nil"/>
              <w:bottom w:val="nil"/>
              <w:right w:val="nil"/>
            </w:tcBorders>
            <w:shd w:val="clear" w:color="auto" w:fill="auto"/>
            <w:vAlign w:val="center"/>
          </w:tcPr>
          <w:p w14:paraId="21F8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下达指令</w:t>
            </w:r>
          </w:p>
        </w:tc>
        <w:tc>
          <w:tcPr>
            <w:tcW w:w="1460" w:type="dxa"/>
            <w:tcBorders>
              <w:top w:val="nil"/>
              <w:left w:val="nil"/>
              <w:bottom w:val="nil"/>
              <w:right w:val="nil"/>
            </w:tcBorders>
            <w:shd w:val="clear" w:color="auto" w:fill="auto"/>
            <w:vAlign w:val="center"/>
          </w:tcPr>
          <w:p w14:paraId="747DCE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67AB1A">
        <w:trPr>
          <w:cantSplit/>
          <w:trHeight w:val="0" w:hRule="atLeast"/>
          <w:jc w:val="center"/>
        </w:trPr>
        <w:tc>
          <w:tcPr>
            <w:tcW w:w="2944" w:type="dxa"/>
            <w:tcBorders>
              <w:top w:val="nil"/>
              <w:left w:val="nil"/>
              <w:bottom w:val="nil"/>
              <w:right w:val="nil"/>
            </w:tcBorders>
            <w:shd w:val="clear" w:color="auto" w:fill="auto"/>
            <w:vAlign w:val="center"/>
          </w:tcPr>
          <w:p w14:paraId="6AFDE6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P-ZLTC-SCOS-YHJH-003-20-001</w:t>
            </w:r>
          </w:p>
        </w:tc>
        <w:tc>
          <w:tcPr>
            <w:tcW w:w="945" w:type="dxa"/>
            <w:tcBorders>
              <w:top w:val="nil"/>
              <w:left w:val="nil"/>
              <w:bottom w:val="nil"/>
              <w:right w:val="nil"/>
            </w:tcBorders>
            <w:shd w:val="clear" w:color="auto" w:fill="auto"/>
            <w:vAlign w:val="center"/>
          </w:tcPr>
          <w:p w14:paraId="0900FF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发送计划并记录下达状态规则</w:t>
            </w:r>
          </w:p>
        </w:tc>
        <w:tc>
          <w:tcPr>
            <w:tcW w:w="966" w:type="dxa"/>
            <w:tcBorders>
              <w:top w:val="nil"/>
              <w:left w:val="nil"/>
              <w:bottom w:val="nil"/>
              <w:right w:val="nil"/>
            </w:tcBorders>
            <w:shd w:val="clear" w:color="auto" w:fill="auto"/>
            <w:vAlign w:val="center"/>
          </w:tcPr>
          <w:p w14:paraId="76986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4CB22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615F5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下达指令形成后</w:t>
            </w:r>
          </w:p>
        </w:tc>
        <w:tc>
          <w:tcPr>
            <w:tcW w:w="1406" w:type="dxa"/>
            <w:tcBorders>
              <w:top w:val="nil"/>
              <w:left w:val="nil"/>
              <w:bottom w:val="nil"/>
              <w:right w:val="nil"/>
            </w:tcBorders>
            <w:shd w:val="clear" w:color="auto" w:fill="auto"/>
            <w:vAlign w:val="center"/>
          </w:tcPr>
          <w:p w14:paraId="42F925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按供应商、合同/订单、到货日和数量发送已确认计划；接口失败时保留“待下达”状态，支持重试和人工核对。</w:t>
            </w:r>
          </w:p>
        </w:tc>
        <w:tc>
          <w:tcPr>
            <w:tcW w:w="1088" w:type="dxa"/>
            <w:tcBorders>
              <w:top w:val="nil"/>
              <w:left w:val="nil"/>
              <w:bottom w:val="nil"/>
              <w:right w:val="nil"/>
            </w:tcBorders>
            <w:shd w:val="clear" w:color="auto" w:fill="auto"/>
            <w:vAlign w:val="center"/>
          </w:tcPr>
          <w:p w14:paraId="0D6B7B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发送至E采/SAP或供应商协同平台的要货明细、下达状态</w:t>
            </w:r>
          </w:p>
        </w:tc>
        <w:tc>
          <w:tcPr>
            <w:tcW w:w="1460" w:type="dxa"/>
            <w:tcBorders>
              <w:top w:val="nil"/>
              <w:left w:val="nil"/>
              <w:bottom w:val="nil"/>
              <w:right w:val="nil"/>
            </w:tcBorders>
            <w:shd w:val="clear" w:color="auto" w:fill="auto"/>
            <w:vAlign w:val="center"/>
          </w:tcPr>
          <w:p w14:paraId="31C74D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SCOS/SAP/E采/供应商协同平台</w:t>
            </w:r>
          </w:p>
        </w:tc>
      </w:tr>
      <w:tr w14:paraId="2B388BD4">
        <w:trPr>
          <w:cantSplit/>
          <w:trHeight w:val="0" w:hRule="atLeast"/>
          <w:jc w:val="center"/>
        </w:trPr>
        <w:tc>
          <w:tcPr>
            <w:tcW w:w="2944" w:type="dxa"/>
            <w:tcBorders>
              <w:top w:val="nil"/>
              <w:left w:val="nil"/>
              <w:bottom w:val="nil"/>
              <w:right w:val="nil"/>
            </w:tcBorders>
            <w:shd w:val="clear" w:color="auto" w:fill="auto"/>
            <w:vAlign w:val="center"/>
          </w:tcPr>
          <w:p w14:paraId="556510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P-ZLTC-SCOS-YHJH-003-30-001</w:t>
            </w:r>
          </w:p>
        </w:tc>
        <w:tc>
          <w:tcPr>
            <w:tcW w:w="945" w:type="dxa"/>
            <w:tcBorders>
              <w:top w:val="nil"/>
              <w:left w:val="nil"/>
              <w:bottom w:val="nil"/>
              <w:right w:val="nil"/>
            </w:tcBorders>
            <w:shd w:val="clear" w:color="auto" w:fill="auto"/>
            <w:vAlign w:val="center"/>
          </w:tcPr>
          <w:p w14:paraId="018DAA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接收计划并反馈送货承诺规则</w:t>
            </w:r>
          </w:p>
        </w:tc>
        <w:tc>
          <w:tcPr>
            <w:tcW w:w="966" w:type="dxa"/>
            <w:tcBorders>
              <w:top w:val="nil"/>
              <w:left w:val="nil"/>
              <w:bottom w:val="nil"/>
              <w:right w:val="nil"/>
            </w:tcBorders>
            <w:shd w:val="clear" w:color="auto" w:fill="auto"/>
            <w:vAlign w:val="center"/>
          </w:tcPr>
          <w:p w14:paraId="380A29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F01C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1EC4E9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发送至E采/SAP或供应商协同平台的要货明细、下达状态形成后</w:t>
            </w:r>
          </w:p>
        </w:tc>
        <w:tc>
          <w:tcPr>
            <w:tcW w:w="1406" w:type="dxa"/>
            <w:tcBorders>
              <w:top w:val="nil"/>
              <w:left w:val="nil"/>
              <w:bottom w:val="nil"/>
              <w:right w:val="nil"/>
            </w:tcBorders>
            <w:shd w:val="clear" w:color="auto" w:fill="auto"/>
            <w:vAlign w:val="center"/>
          </w:tcPr>
          <w:p w14:paraId="6BDF9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供应商确认能否按计划到货；无法满足时记录执行偏差，并评估是否需要调整要货计划。</w:t>
            </w:r>
          </w:p>
        </w:tc>
        <w:tc>
          <w:tcPr>
            <w:tcW w:w="1088" w:type="dxa"/>
            <w:tcBorders>
              <w:top w:val="nil"/>
              <w:left w:val="nil"/>
              <w:bottom w:val="nil"/>
              <w:right w:val="nil"/>
            </w:tcBorders>
            <w:shd w:val="clear" w:color="auto" w:fill="auto"/>
            <w:vAlign w:val="center"/>
          </w:tcPr>
          <w:p w14:paraId="53A864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供应商承诺、反馈意见及计划状态</w:t>
            </w:r>
          </w:p>
        </w:tc>
        <w:tc>
          <w:tcPr>
            <w:tcW w:w="1460" w:type="dxa"/>
            <w:tcBorders>
              <w:top w:val="nil"/>
              <w:left w:val="nil"/>
              <w:bottom w:val="nil"/>
              <w:right w:val="nil"/>
            </w:tcBorders>
            <w:shd w:val="clear" w:color="auto" w:fill="auto"/>
            <w:vAlign w:val="center"/>
          </w:tcPr>
          <w:p w14:paraId="28340B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SCOS/E采/供应商协同平台</w:t>
            </w:r>
          </w:p>
        </w:tc>
      </w:tr>
      <w:tr w14:paraId="4BA2111E">
        <w:trPr>
          <w:cantSplit/>
          <w:trHeight w:val="0" w:hRule="atLeast"/>
          <w:jc w:val="center"/>
        </w:trPr>
        <w:tc>
          <w:tcPr>
            <w:tcW w:w="2944" w:type="dxa"/>
            <w:tcBorders>
              <w:top w:val="nil"/>
              <w:left w:val="nil"/>
              <w:bottom w:val="nil"/>
              <w:right w:val="nil"/>
            </w:tcBorders>
            <w:shd w:val="clear" w:color="auto" w:fill="auto"/>
            <w:vAlign w:val="center"/>
          </w:tcPr>
          <w:p w14:paraId="44EF130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P-ZLTC-SCOS-YHJH-003-40-001</w:t>
            </w:r>
          </w:p>
        </w:tc>
        <w:tc>
          <w:tcPr>
            <w:tcW w:w="945" w:type="dxa"/>
            <w:tcBorders>
              <w:top w:val="nil"/>
              <w:left w:val="nil"/>
              <w:bottom w:val="nil"/>
              <w:right w:val="nil"/>
            </w:tcBorders>
            <w:shd w:val="clear" w:color="auto" w:fill="auto"/>
            <w:vAlign w:val="center"/>
          </w:tcPr>
          <w:p w14:paraId="06A2DC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反馈发货、在途及预计到货日规则</w:t>
            </w:r>
          </w:p>
        </w:tc>
        <w:tc>
          <w:tcPr>
            <w:tcW w:w="966" w:type="dxa"/>
            <w:tcBorders>
              <w:top w:val="nil"/>
              <w:left w:val="nil"/>
              <w:bottom w:val="nil"/>
              <w:right w:val="nil"/>
            </w:tcBorders>
            <w:shd w:val="clear" w:color="auto" w:fill="auto"/>
            <w:vAlign w:val="center"/>
          </w:tcPr>
          <w:p w14:paraId="4176A5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B7603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7C423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供应商承诺、反馈意见及计划状态形成后</w:t>
            </w:r>
          </w:p>
        </w:tc>
        <w:tc>
          <w:tcPr>
            <w:tcW w:w="1406" w:type="dxa"/>
            <w:tcBorders>
              <w:top w:val="nil"/>
              <w:left w:val="nil"/>
              <w:bottom w:val="nil"/>
              <w:right w:val="nil"/>
            </w:tcBorders>
            <w:shd w:val="clear" w:color="auto" w:fill="auto"/>
            <w:vAlign w:val="center"/>
          </w:tcPr>
          <w:p w14:paraId="1A97FC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供应商及TMS负责实际发货和运输执行；预计到货日变化、运输中断或数量差异时标记执行偏差。</w:t>
            </w:r>
          </w:p>
        </w:tc>
        <w:tc>
          <w:tcPr>
            <w:tcW w:w="1088" w:type="dxa"/>
            <w:tcBorders>
              <w:top w:val="nil"/>
              <w:left w:val="nil"/>
              <w:bottom w:val="nil"/>
              <w:right w:val="nil"/>
            </w:tcBorders>
            <w:shd w:val="clear" w:color="auto" w:fill="auto"/>
            <w:vAlign w:val="center"/>
          </w:tcPr>
          <w:p w14:paraId="1D6948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发货数量、运输节点、在途状态和预计到货日</w:t>
            </w:r>
          </w:p>
        </w:tc>
        <w:tc>
          <w:tcPr>
            <w:tcW w:w="1460" w:type="dxa"/>
            <w:tcBorders>
              <w:top w:val="nil"/>
              <w:left w:val="nil"/>
              <w:bottom w:val="nil"/>
              <w:right w:val="nil"/>
            </w:tcBorders>
            <w:shd w:val="clear" w:color="auto" w:fill="auto"/>
            <w:vAlign w:val="center"/>
          </w:tcPr>
          <w:p w14:paraId="325CA1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6D413816">
        <w:trPr>
          <w:cantSplit/>
          <w:trHeight w:val="0" w:hRule="atLeast"/>
          <w:jc w:val="center"/>
        </w:trPr>
        <w:tc>
          <w:tcPr>
            <w:tcW w:w="2944" w:type="dxa"/>
            <w:tcBorders>
              <w:top w:val="nil"/>
              <w:left w:val="nil"/>
              <w:bottom w:val="nil"/>
              <w:right w:val="nil"/>
            </w:tcBorders>
            <w:shd w:val="clear" w:color="auto" w:fill="auto"/>
            <w:vAlign w:val="center"/>
          </w:tcPr>
          <w:p w14:paraId="4C568A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P-ZLTC-SCOS-YHJH-003-50-001</w:t>
            </w:r>
          </w:p>
        </w:tc>
        <w:tc>
          <w:tcPr>
            <w:tcW w:w="945" w:type="dxa"/>
            <w:tcBorders>
              <w:top w:val="nil"/>
              <w:left w:val="nil"/>
              <w:bottom w:val="nil"/>
              <w:right w:val="nil"/>
            </w:tcBorders>
            <w:shd w:val="clear" w:color="auto" w:fill="auto"/>
            <w:vAlign w:val="center"/>
          </w:tcPr>
          <w:p w14:paraId="10E759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到厂收货并反馈质检状态规则</w:t>
            </w:r>
          </w:p>
        </w:tc>
        <w:tc>
          <w:tcPr>
            <w:tcW w:w="966" w:type="dxa"/>
            <w:tcBorders>
              <w:top w:val="nil"/>
              <w:left w:val="nil"/>
              <w:bottom w:val="nil"/>
              <w:right w:val="nil"/>
            </w:tcBorders>
            <w:shd w:val="clear" w:color="auto" w:fill="auto"/>
            <w:vAlign w:val="center"/>
          </w:tcPr>
          <w:p w14:paraId="6E9D09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6981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6D87B39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发货数量、运输节点、在途状态和预计到货日形成后</w:t>
            </w:r>
          </w:p>
        </w:tc>
        <w:tc>
          <w:tcPr>
            <w:tcW w:w="1406" w:type="dxa"/>
            <w:tcBorders>
              <w:top w:val="nil"/>
              <w:left w:val="nil"/>
              <w:bottom w:val="nil"/>
              <w:right w:val="nil"/>
            </w:tcBorders>
            <w:shd w:val="clear" w:color="auto" w:fill="auto"/>
            <w:vAlign w:val="center"/>
          </w:tcPr>
          <w:p w14:paraId="53B39E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到货后由执行系统登记收货和质量结果；待检、拒收或质量异常按相应业务流程处理，并反馈要货执行影响。</w:t>
            </w:r>
          </w:p>
        </w:tc>
        <w:tc>
          <w:tcPr>
            <w:tcW w:w="1088" w:type="dxa"/>
            <w:tcBorders>
              <w:top w:val="nil"/>
              <w:left w:val="nil"/>
              <w:bottom w:val="nil"/>
              <w:right w:val="nil"/>
            </w:tcBorders>
            <w:shd w:val="clear" w:color="auto" w:fill="auto"/>
            <w:vAlign w:val="center"/>
          </w:tcPr>
          <w:p w14:paraId="2D6D7C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实收到货量、到货时间、质检及库存状态</w:t>
            </w:r>
          </w:p>
        </w:tc>
        <w:tc>
          <w:tcPr>
            <w:tcW w:w="1460" w:type="dxa"/>
            <w:tcBorders>
              <w:top w:val="nil"/>
              <w:left w:val="nil"/>
              <w:bottom w:val="nil"/>
              <w:right w:val="nil"/>
            </w:tcBorders>
            <w:shd w:val="clear" w:color="auto" w:fill="auto"/>
            <w:vAlign w:val="center"/>
          </w:tcPr>
          <w:p w14:paraId="1700A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SCOS/WMS/QMS</w:t>
            </w:r>
          </w:p>
        </w:tc>
      </w:tr>
      <w:tr w14:paraId="35836370">
        <w:trPr>
          <w:cantSplit/>
          <w:trHeight w:val="0" w:hRule="atLeast"/>
          <w:jc w:val="center"/>
        </w:trPr>
        <w:tc>
          <w:tcPr>
            <w:tcW w:w="2944" w:type="dxa"/>
            <w:tcBorders>
              <w:top w:val="nil"/>
              <w:left w:val="nil"/>
              <w:bottom w:val="nil"/>
              <w:right w:val="nil"/>
            </w:tcBorders>
            <w:shd w:val="clear" w:color="auto" w:fill="auto"/>
            <w:vAlign w:val="center"/>
          </w:tcPr>
          <w:p w14:paraId="354F26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P-ZLTC-SCOS-YHJH-003-60-001</w:t>
            </w:r>
          </w:p>
        </w:tc>
        <w:tc>
          <w:tcPr>
            <w:tcW w:w="945" w:type="dxa"/>
            <w:tcBorders>
              <w:top w:val="nil"/>
              <w:left w:val="nil"/>
              <w:bottom w:val="nil"/>
              <w:right w:val="nil"/>
            </w:tcBorders>
            <w:shd w:val="clear" w:color="auto" w:fill="auto"/>
            <w:vAlign w:val="center"/>
          </w:tcPr>
          <w:p w14:paraId="5F381C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更新执行状态与已确定的到货安排规则</w:t>
            </w:r>
          </w:p>
        </w:tc>
        <w:tc>
          <w:tcPr>
            <w:tcW w:w="966" w:type="dxa"/>
            <w:tcBorders>
              <w:top w:val="nil"/>
              <w:left w:val="nil"/>
              <w:bottom w:val="nil"/>
              <w:right w:val="nil"/>
            </w:tcBorders>
            <w:shd w:val="clear" w:color="auto" w:fill="auto"/>
            <w:vAlign w:val="center"/>
          </w:tcPr>
          <w:p w14:paraId="4D91D2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4AD39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7425D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实收到货量、到货时间、质检及库存状态形成后</w:t>
            </w:r>
          </w:p>
        </w:tc>
        <w:tc>
          <w:tcPr>
            <w:tcW w:w="1406" w:type="dxa"/>
            <w:tcBorders>
              <w:top w:val="nil"/>
              <w:left w:val="nil"/>
              <w:bottom w:val="nil"/>
              <w:right w:val="nil"/>
            </w:tcBorders>
            <w:shd w:val="clear" w:color="auto" w:fill="auto"/>
            <w:vAlign w:val="center"/>
          </w:tcPr>
          <w:p w14:paraId="4D5C933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汇总计划明细状态；多系统数量或状态不一致时提示采购计划员复核。</w:t>
            </w:r>
          </w:p>
        </w:tc>
        <w:tc>
          <w:tcPr>
            <w:tcW w:w="1088" w:type="dxa"/>
            <w:tcBorders>
              <w:top w:val="nil"/>
              <w:left w:val="nil"/>
              <w:bottom w:val="nil"/>
              <w:right w:val="nil"/>
            </w:tcBorders>
            <w:shd w:val="clear" w:color="auto" w:fill="auto"/>
            <w:vAlign w:val="center"/>
          </w:tcPr>
          <w:p w14:paraId="491DC0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要货执行进度和已确定的到货安排</w:t>
            </w:r>
          </w:p>
        </w:tc>
        <w:tc>
          <w:tcPr>
            <w:tcW w:w="1460" w:type="dxa"/>
            <w:tcBorders>
              <w:top w:val="nil"/>
              <w:left w:val="nil"/>
              <w:bottom w:val="nil"/>
              <w:right w:val="nil"/>
            </w:tcBorders>
            <w:shd w:val="clear" w:color="auto" w:fill="auto"/>
            <w:vAlign w:val="center"/>
          </w:tcPr>
          <w:p w14:paraId="2ABAC4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77AB8C1">
        <w:trPr>
          <w:cantSplit/>
          <w:trHeight w:val="0" w:hRule="atLeast"/>
          <w:jc w:val="center"/>
        </w:trPr>
        <w:tc>
          <w:tcPr>
            <w:tcW w:w="2944" w:type="dxa"/>
            <w:tcBorders>
              <w:top w:val="nil"/>
              <w:left w:val="nil"/>
              <w:bottom w:val="nil"/>
              <w:right w:val="nil"/>
            </w:tcBorders>
            <w:shd w:val="clear" w:color="auto" w:fill="auto"/>
            <w:vAlign w:val="center"/>
          </w:tcPr>
          <w:p w14:paraId="186591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P-ZLTC-SCOS-YHJH-003-70-001</w:t>
            </w:r>
          </w:p>
        </w:tc>
        <w:tc>
          <w:tcPr>
            <w:tcW w:w="945" w:type="dxa"/>
            <w:tcBorders>
              <w:top w:val="nil"/>
              <w:left w:val="nil"/>
              <w:bottom w:val="nil"/>
              <w:right w:val="nil"/>
            </w:tcBorders>
            <w:shd w:val="clear" w:color="auto" w:fill="auto"/>
            <w:vAlign w:val="center"/>
          </w:tcPr>
          <w:p w14:paraId="0C75CC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判断是否存在执行偏差规则</w:t>
            </w:r>
          </w:p>
        </w:tc>
        <w:tc>
          <w:tcPr>
            <w:tcW w:w="966" w:type="dxa"/>
            <w:tcBorders>
              <w:top w:val="nil"/>
              <w:left w:val="nil"/>
              <w:bottom w:val="nil"/>
              <w:right w:val="nil"/>
            </w:tcBorders>
            <w:shd w:val="clear" w:color="auto" w:fill="auto"/>
            <w:vAlign w:val="center"/>
          </w:tcPr>
          <w:p w14:paraId="51CB41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A5FA5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5258C0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要货执行进度和已确定的到货安排形成后</w:t>
            </w:r>
          </w:p>
        </w:tc>
        <w:tc>
          <w:tcPr>
            <w:tcW w:w="1406" w:type="dxa"/>
            <w:tcBorders>
              <w:top w:val="nil"/>
              <w:left w:val="nil"/>
              <w:bottom w:val="nil"/>
              <w:right w:val="nil"/>
            </w:tcBorders>
            <w:shd w:val="clear" w:color="auto" w:fill="auto"/>
            <w:vAlign w:val="center"/>
          </w:tcPr>
          <w:p w14:paraId="67CA9F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判断供应偏差是否影响生产耗用和安全缓冲；不存在执行偏差时完成本轮跟踪；存在执行偏差时转入要货调整或异常协调。</w:t>
            </w:r>
          </w:p>
        </w:tc>
        <w:tc>
          <w:tcPr>
            <w:tcW w:w="1088" w:type="dxa"/>
            <w:tcBorders>
              <w:top w:val="nil"/>
              <w:left w:val="nil"/>
              <w:bottom w:val="nil"/>
              <w:right w:val="nil"/>
            </w:tcBorders>
            <w:shd w:val="clear" w:color="auto" w:fill="auto"/>
            <w:vAlign w:val="center"/>
          </w:tcPr>
          <w:p w14:paraId="1FE748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偏差判断及影响范围</w:t>
            </w:r>
          </w:p>
        </w:tc>
        <w:tc>
          <w:tcPr>
            <w:tcW w:w="1460" w:type="dxa"/>
            <w:tcBorders>
              <w:top w:val="nil"/>
              <w:left w:val="nil"/>
              <w:bottom w:val="nil"/>
              <w:right w:val="nil"/>
            </w:tcBorders>
            <w:shd w:val="clear" w:color="auto" w:fill="auto"/>
            <w:vAlign w:val="center"/>
          </w:tcPr>
          <w:p w14:paraId="4F4C42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710A4C1">
        <w:trPr>
          <w:cantSplit/>
          <w:trHeight w:val="0" w:hRule="atLeast"/>
          <w:jc w:val="center"/>
        </w:trPr>
        <w:tc>
          <w:tcPr>
            <w:tcW w:w="2944" w:type="dxa"/>
            <w:tcBorders>
              <w:top w:val="nil"/>
              <w:left w:val="nil"/>
              <w:bottom w:val="nil"/>
              <w:right w:val="nil"/>
            </w:tcBorders>
            <w:shd w:val="clear" w:color="auto" w:fill="auto"/>
            <w:vAlign w:val="center"/>
          </w:tcPr>
          <w:p w14:paraId="3275E1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P-ZLTC-SCOS-YHJH-004-10-001</w:t>
            </w:r>
          </w:p>
        </w:tc>
        <w:tc>
          <w:tcPr>
            <w:tcW w:w="945" w:type="dxa"/>
            <w:tcBorders>
              <w:top w:val="nil"/>
              <w:left w:val="nil"/>
              <w:bottom w:val="nil"/>
              <w:right w:val="nil"/>
            </w:tcBorders>
            <w:shd w:val="clear" w:color="auto" w:fill="auto"/>
            <w:vAlign w:val="center"/>
          </w:tcPr>
          <w:p w14:paraId="4544D9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提供最新业务变化规则</w:t>
            </w:r>
          </w:p>
        </w:tc>
        <w:tc>
          <w:tcPr>
            <w:tcW w:w="966" w:type="dxa"/>
            <w:tcBorders>
              <w:top w:val="nil"/>
              <w:left w:val="nil"/>
              <w:bottom w:val="nil"/>
              <w:right w:val="nil"/>
            </w:tcBorders>
            <w:shd w:val="clear" w:color="auto" w:fill="auto"/>
            <w:vAlign w:val="center"/>
          </w:tcPr>
          <w:p w14:paraId="442D08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4C3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60B86A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系统每日滚动运行时</w:t>
            </w:r>
          </w:p>
        </w:tc>
        <w:tc>
          <w:tcPr>
            <w:tcW w:w="1406" w:type="dxa"/>
            <w:tcBorders>
              <w:top w:val="nil"/>
              <w:left w:val="nil"/>
              <w:bottom w:val="nil"/>
              <w:right w:val="nil"/>
            </w:tcBorders>
            <w:shd w:val="clear" w:color="auto" w:fill="auto"/>
            <w:vAlign w:val="center"/>
          </w:tcPr>
          <w:p w14:paraId="78F953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以带版本和时间戳的最新有效数据触发重算；数据迟延或来源冲突时标记待核对，不直接覆盖已确认事实。</w:t>
            </w:r>
          </w:p>
        </w:tc>
        <w:tc>
          <w:tcPr>
            <w:tcW w:w="1088" w:type="dxa"/>
            <w:tcBorders>
              <w:top w:val="nil"/>
              <w:left w:val="nil"/>
              <w:bottom w:val="nil"/>
              <w:right w:val="nil"/>
            </w:tcBorders>
            <w:shd w:val="clear" w:color="auto" w:fill="auto"/>
            <w:vAlign w:val="center"/>
          </w:tcPr>
          <w:p w14:paraId="48BF19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变更数据集</w:t>
            </w:r>
          </w:p>
        </w:tc>
        <w:tc>
          <w:tcPr>
            <w:tcW w:w="1460" w:type="dxa"/>
            <w:tcBorders>
              <w:top w:val="nil"/>
              <w:left w:val="nil"/>
              <w:bottom w:val="nil"/>
              <w:right w:val="nil"/>
            </w:tcBorders>
            <w:shd w:val="clear" w:color="auto" w:fill="auto"/>
            <w:vAlign w:val="center"/>
          </w:tcPr>
          <w:p w14:paraId="681BA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673848FF">
        <w:trPr>
          <w:cantSplit/>
          <w:trHeight w:val="0" w:hRule="atLeast"/>
          <w:jc w:val="center"/>
        </w:trPr>
        <w:tc>
          <w:tcPr>
            <w:tcW w:w="2944" w:type="dxa"/>
            <w:tcBorders>
              <w:top w:val="nil"/>
              <w:left w:val="nil"/>
              <w:bottom w:val="nil"/>
              <w:right w:val="nil"/>
            </w:tcBorders>
            <w:shd w:val="clear" w:color="auto" w:fill="auto"/>
            <w:vAlign w:val="center"/>
          </w:tcPr>
          <w:p w14:paraId="4F1EF6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P-ZLTC-SCOS-YHJH-004-20-001</w:t>
            </w:r>
          </w:p>
        </w:tc>
        <w:tc>
          <w:tcPr>
            <w:tcW w:w="945" w:type="dxa"/>
            <w:tcBorders>
              <w:top w:val="nil"/>
              <w:left w:val="nil"/>
              <w:bottom w:val="nil"/>
              <w:right w:val="nil"/>
            </w:tcBorders>
            <w:shd w:val="clear" w:color="auto" w:fill="auto"/>
            <w:vAlign w:val="center"/>
          </w:tcPr>
          <w:p w14:paraId="2CF0A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2EB7C1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1371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8D609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变更数据集形成后</w:t>
            </w:r>
          </w:p>
        </w:tc>
        <w:tc>
          <w:tcPr>
            <w:tcW w:w="1406" w:type="dxa"/>
            <w:tcBorders>
              <w:top w:val="nil"/>
              <w:left w:val="nil"/>
              <w:bottom w:val="nil"/>
              <w:right w:val="nil"/>
            </w:tcBorders>
            <w:shd w:val="clear" w:color="auto" w:fill="auto"/>
            <w:vAlign w:val="center"/>
          </w:tcPr>
          <w:p w14:paraId="10CDD9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比较需求、日期、数量和执行状态；未执行安排不受影响时保留当前计划并结束；未执行安排受影响时继续处理。</w:t>
            </w:r>
          </w:p>
        </w:tc>
        <w:tc>
          <w:tcPr>
            <w:tcW w:w="1088" w:type="dxa"/>
            <w:tcBorders>
              <w:top w:val="nil"/>
              <w:left w:val="nil"/>
              <w:bottom w:val="nil"/>
              <w:right w:val="nil"/>
            </w:tcBorders>
            <w:shd w:val="clear" w:color="auto" w:fill="auto"/>
            <w:vAlign w:val="center"/>
          </w:tcPr>
          <w:p w14:paraId="25099D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影响判断与受影响范围</w:t>
            </w:r>
          </w:p>
        </w:tc>
        <w:tc>
          <w:tcPr>
            <w:tcW w:w="1460" w:type="dxa"/>
            <w:tcBorders>
              <w:top w:val="nil"/>
              <w:left w:val="nil"/>
              <w:bottom w:val="nil"/>
              <w:right w:val="nil"/>
            </w:tcBorders>
            <w:shd w:val="clear" w:color="auto" w:fill="auto"/>
            <w:vAlign w:val="center"/>
          </w:tcPr>
          <w:p w14:paraId="41262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BA2E0C">
        <w:trPr>
          <w:cantSplit/>
          <w:trHeight w:val="0" w:hRule="atLeast"/>
          <w:jc w:val="center"/>
        </w:trPr>
        <w:tc>
          <w:tcPr>
            <w:tcW w:w="2944" w:type="dxa"/>
            <w:tcBorders>
              <w:top w:val="nil"/>
              <w:left w:val="nil"/>
              <w:bottom w:val="nil"/>
              <w:right w:val="nil"/>
            </w:tcBorders>
            <w:shd w:val="clear" w:color="auto" w:fill="auto"/>
            <w:vAlign w:val="center"/>
          </w:tcPr>
          <w:p w14:paraId="7C713C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P-ZLTC-SCOS-YHJH-004-30-001</w:t>
            </w:r>
          </w:p>
        </w:tc>
        <w:tc>
          <w:tcPr>
            <w:tcW w:w="945" w:type="dxa"/>
            <w:tcBorders>
              <w:top w:val="nil"/>
              <w:left w:val="nil"/>
              <w:bottom w:val="nil"/>
              <w:right w:val="nil"/>
            </w:tcBorders>
            <w:shd w:val="clear" w:color="auto" w:fill="auto"/>
            <w:vAlign w:val="center"/>
          </w:tcPr>
          <w:p w14:paraId="31BFE1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保留固定与人工锁定安排规则</w:t>
            </w:r>
          </w:p>
        </w:tc>
        <w:tc>
          <w:tcPr>
            <w:tcW w:w="966" w:type="dxa"/>
            <w:tcBorders>
              <w:top w:val="nil"/>
              <w:left w:val="nil"/>
              <w:bottom w:val="nil"/>
              <w:right w:val="nil"/>
            </w:tcBorders>
            <w:shd w:val="clear" w:color="auto" w:fill="auto"/>
            <w:vAlign w:val="center"/>
          </w:tcPr>
          <w:p w14:paraId="486967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13166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351A76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F499F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已确认、已下达、已有在途及人工锁定安排作为已确定的到货安排；已固定安排本身出现偏差时，仅更新执行信息并将影响传递给可调整部分或异常协调流程。</w:t>
            </w:r>
          </w:p>
        </w:tc>
        <w:tc>
          <w:tcPr>
            <w:tcW w:w="1088" w:type="dxa"/>
            <w:tcBorders>
              <w:top w:val="nil"/>
              <w:left w:val="nil"/>
              <w:bottom w:val="nil"/>
              <w:right w:val="nil"/>
            </w:tcBorders>
            <w:shd w:val="clear" w:color="auto" w:fill="auto"/>
            <w:vAlign w:val="center"/>
          </w:tcPr>
          <w:p w14:paraId="1BBBA5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固定范围和可调整范围</w:t>
            </w:r>
          </w:p>
        </w:tc>
        <w:tc>
          <w:tcPr>
            <w:tcW w:w="1460" w:type="dxa"/>
            <w:tcBorders>
              <w:top w:val="nil"/>
              <w:left w:val="nil"/>
              <w:bottom w:val="nil"/>
              <w:right w:val="nil"/>
            </w:tcBorders>
            <w:shd w:val="clear" w:color="auto" w:fill="auto"/>
            <w:vAlign w:val="center"/>
          </w:tcPr>
          <w:p w14:paraId="69F995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E07D8D">
        <w:trPr>
          <w:cantSplit/>
          <w:trHeight w:val="0" w:hRule="atLeast"/>
          <w:jc w:val="center"/>
        </w:trPr>
        <w:tc>
          <w:tcPr>
            <w:tcW w:w="2944" w:type="dxa"/>
            <w:tcBorders>
              <w:top w:val="nil"/>
              <w:left w:val="nil"/>
              <w:bottom w:val="nil"/>
              <w:right w:val="nil"/>
            </w:tcBorders>
            <w:shd w:val="clear" w:color="auto" w:fill="auto"/>
            <w:vAlign w:val="center"/>
          </w:tcPr>
          <w:p w14:paraId="046063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P-ZLTC-SCOS-YHJH-004-40-001</w:t>
            </w:r>
          </w:p>
        </w:tc>
        <w:tc>
          <w:tcPr>
            <w:tcW w:w="945" w:type="dxa"/>
            <w:tcBorders>
              <w:top w:val="nil"/>
              <w:left w:val="nil"/>
              <w:bottom w:val="nil"/>
              <w:right w:val="nil"/>
            </w:tcBorders>
            <w:shd w:val="clear" w:color="auto" w:fill="auto"/>
            <w:vAlign w:val="center"/>
          </w:tcPr>
          <w:p w14:paraId="1D373C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重算未锁定计划并形成差异规则</w:t>
            </w:r>
          </w:p>
        </w:tc>
        <w:tc>
          <w:tcPr>
            <w:tcW w:w="966" w:type="dxa"/>
            <w:tcBorders>
              <w:top w:val="nil"/>
              <w:left w:val="nil"/>
              <w:bottom w:val="nil"/>
              <w:right w:val="nil"/>
            </w:tcBorders>
            <w:shd w:val="clear" w:color="auto" w:fill="auto"/>
            <w:vAlign w:val="center"/>
          </w:tcPr>
          <w:p w14:paraId="0A0CE2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0A73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7534C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固定范围和可调整范围形成后</w:t>
            </w:r>
          </w:p>
        </w:tc>
        <w:tc>
          <w:tcPr>
            <w:tcW w:w="1406" w:type="dxa"/>
            <w:tcBorders>
              <w:top w:val="nil"/>
              <w:left w:val="nil"/>
              <w:bottom w:val="nil"/>
              <w:right w:val="nil"/>
            </w:tcBorders>
            <w:shd w:val="clear" w:color="auto" w:fill="auto"/>
            <w:vAlign w:val="center"/>
          </w:tcPr>
          <w:p w14:paraId="52827D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仅重排受影响的未锁定安排；仍有缺口或不可执行时同步输出日期、数量和原因。</w:t>
            </w:r>
          </w:p>
        </w:tc>
        <w:tc>
          <w:tcPr>
            <w:tcW w:w="1088" w:type="dxa"/>
            <w:tcBorders>
              <w:top w:val="nil"/>
              <w:left w:val="nil"/>
              <w:bottom w:val="nil"/>
              <w:right w:val="nil"/>
            </w:tcBorders>
            <w:shd w:val="clear" w:color="auto" w:fill="auto"/>
            <w:vAlign w:val="center"/>
          </w:tcPr>
          <w:p w14:paraId="3543D3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调整建议、调整前后差异及风险</w:t>
            </w:r>
          </w:p>
        </w:tc>
        <w:tc>
          <w:tcPr>
            <w:tcW w:w="1460" w:type="dxa"/>
            <w:tcBorders>
              <w:top w:val="nil"/>
              <w:left w:val="nil"/>
              <w:bottom w:val="nil"/>
              <w:right w:val="nil"/>
            </w:tcBorders>
            <w:shd w:val="clear" w:color="auto" w:fill="auto"/>
            <w:vAlign w:val="center"/>
          </w:tcPr>
          <w:p w14:paraId="384474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6A0F35">
        <w:trPr>
          <w:cantSplit/>
          <w:trHeight w:val="0" w:hRule="atLeast"/>
          <w:jc w:val="center"/>
        </w:trPr>
        <w:tc>
          <w:tcPr>
            <w:tcW w:w="2944" w:type="dxa"/>
            <w:tcBorders>
              <w:top w:val="nil"/>
              <w:left w:val="nil"/>
              <w:bottom w:val="nil"/>
              <w:right w:val="nil"/>
            </w:tcBorders>
            <w:shd w:val="clear" w:color="auto" w:fill="auto"/>
            <w:vAlign w:val="center"/>
          </w:tcPr>
          <w:p w14:paraId="63E3E5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P-ZLTC-SCOS-YHJH-004-50-001</w:t>
            </w:r>
          </w:p>
        </w:tc>
        <w:tc>
          <w:tcPr>
            <w:tcW w:w="945" w:type="dxa"/>
            <w:tcBorders>
              <w:top w:val="nil"/>
              <w:left w:val="nil"/>
              <w:bottom w:val="nil"/>
              <w:right w:val="nil"/>
            </w:tcBorders>
            <w:shd w:val="clear" w:color="auto" w:fill="auto"/>
            <w:vAlign w:val="center"/>
          </w:tcPr>
          <w:p w14:paraId="779B97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评审并调整建议规则</w:t>
            </w:r>
          </w:p>
        </w:tc>
        <w:tc>
          <w:tcPr>
            <w:tcW w:w="966" w:type="dxa"/>
            <w:tcBorders>
              <w:top w:val="nil"/>
              <w:left w:val="nil"/>
              <w:bottom w:val="nil"/>
              <w:right w:val="nil"/>
            </w:tcBorders>
            <w:shd w:val="clear" w:color="auto" w:fill="auto"/>
            <w:vAlign w:val="center"/>
          </w:tcPr>
          <w:p w14:paraId="57DD3E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576F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2B0F7E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调整建议、调整前后差异及风险形成并具备评审条件后</w:t>
            </w:r>
          </w:p>
        </w:tc>
        <w:tc>
          <w:tcPr>
            <w:tcW w:w="1406" w:type="dxa"/>
            <w:tcBorders>
              <w:top w:val="nil"/>
              <w:left w:val="nil"/>
              <w:bottom w:val="nil"/>
              <w:right w:val="nil"/>
            </w:tcBorders>
            <w:shd w:val="clear" w:color="auto" w:fill="auto"/>
            <w:vAlign w:val="center"/>
          </w:tcPr>
          <w:p w14:paraId="3CAF76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核对变化原因和影响范围，可修改或继续锁定安排；可拒绝系统建议并保留当前未执行安排，但阻断性冲突未解除时不得重新下达。</w:t>
            </w:r>
          </w:p>
        </w:tc>
        <w:tc>
          <w:tcPr>
            <w:tcW w:w="1088" w:type="dxa"/>
            <w:tcBorders>
              <w:top w:val="nil"/>
              <w:left w:val="nil"/>
              <w:bottom w:val="nil"/>
              <w:right w:val="nil"/>
            </w:tcBorders>
            <w:shd w:val="clear" w:color="auto" w:fill="auto"/>
            <w:vAlign w:val="center"/>
          </w:tcPr>
          <w:p w14:paraId="6F6BB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拟确认调整方案</w:t>
            </w:r>
          </w:p>
        </w:tc>
        <w:tc>
          <w:tcPr>
            <w:tcW w:w="1460" w:type="dxa"/>
            <w:tcBorders>
              <w:top w:val="nil"/>
              <w:left w:val="nil"/>
              <w:bottom w:val="nil"/>
              <w:right w:val="nil"/>
            </w:tcBorders>
            <w:shd w:val="clear" w:color="auto" w:fill="auto"/>
            <w:vAlign w:val="center"/>
          </w:tcPr>
          <w:p w14:paraId="29DC3B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35E0B7">
        <w:trPr>
          <w:cantSplit/>
          <w:trHeight w:val="0" w:hRule="atLeast"/>
          <w:jc w:val="center"/>
        </w:trPr>
        <w:tc>
          <w:tcPr>
            <w:tcW w:w="2944" w:type="dxa"/>
            <w:tcBorders>
              <w:top w:val="nil"/>
              <w:left w:val="nil"/>
              <w:bottom w:val="nil"/>
              <w:right w:val="nil"/>
            </w:tcBorders>
            <w:shd w:val="clear" w:color="auto" w:fill="auto"/>
            <w:vAlign w:val="center"/>
          </w:tcPr>
          <w:p w14:paraId="28062D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P-ZLTC-SCOS-YHJH-004-60-001</w:t>
            </w:r>
          </w:p>
        </w:tc>
        <w:tc>
          <w:tcPr>
            <w:tcW w:w="945" w:type="dxa"/>
            <w:tcBorders>
              <w:top w:val="nil"/>
              <w:left w:val="nil"/>
              <w:bottom w:val="nil"/>
              <w:right w:val="nil"/>
            </w:tcBorders>
            <w:shd w:val="clear" w:color="auto" w:fill="auto"/>
            <w:vAlign w:val="center"/>
          </w:tcPr>
          <w:p w14:paraId="7E400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确认调整后计划规则</w:t>
            </w:r>
          </w:p>
        </w:tc>
        <w:tc>
          <w:tcPr>
            <w:tcW w:w="966" w:type="dxa"/>
            <w:tcBorders>
              <w:top w:val="nil"/>
              <w:left w:val="nil"/>
              <w:bottom w:val="nil"/>
              <w:right w:val="nil"/>
            </w:tcBorders>
            <w:shd w:val="clear" w:color="auto" w:fill="auto"/>
            <w:vAlign w:val="center"/>
          </w:tcPr>
          <w:p w14:paraId="1AF651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CA9F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39BD5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拟确认调整方案形成并具备评审条件后</w:t>
            </w:r>
          </w:p>
        </w:tc>
        <w:tc>
          <w:tcPr>
            <w:tcW w:w="1406" w:type="dxa"/>
            <w:tcBorders>
              <w:top w:val="nil"/>
              <w:left w:val="nil"/>
              <w:bottom w:val="nil"/>
              <w:right w:val="nil"/>
            </w:tcBorders>
            <w:shd w:val="clear" w:color="auto" w:fill="auto"/>
            <w:vAlign w:val="center"/>
          </w:tcPr>
          <w:p w14:paraId="534436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确认新版要货计划及需要重新下达的明细；未确认时退回调整或保留原计划；确认通过后继续处理。</w:t>
            </w:r>
          </w:p>
        </w:tc>
        <w:tc>
          <w:tcPr>
            <w:tcW w:w="1088" w:type="dxa"/>
            <w:tcBorders>
              <w:top w:val="nil"/>
              <w:left w:val="nil"/>
              <w:bottom w:val="nil"/>
              <w:right w:val="nil"/>
            </w:tcBorders>
            <w:shd w:val="clear" w:color="auto" w:fill="auto"/>
            <w:vAlign w:val="center"/>
          </w:tcPr>
          <w:p w14:paraId="4C565E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7B02C3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DE08A3">
        <w:trPr>
          <w:cantSplit/>
          <w:trHeight w:val="0" w:hRule="atLeast"/>
          <w:jc w:val="center"/>
        </w:trPr>
        <w:tc>
          <w:tcPr>
            <w:tcW w:w="2944" w:type="dxa"/>
            <w:tcBorders>
              <w:top w:val="nil"/>
              <w:left w:val="nil"/>
              <w:bottom w:val="nil"/>
              <w:right w:val="nil"/>
            </w:tcBorders>
            <w:shd w:val="clear" w:color="auto" w:fill="auto"/>
            <w:vAlign w:val="center"/>
          </w:tcPr>
          <w:p w14:paraId="099355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P-ZLTC-SCOS-YHJH-004-70-001</w:t>
            </w:r>
          </w:p>
        </w:tc>
        <w:tc>
          <w:tcPr>
            <w:tcW w:w="945" w:type="dxa"/>
            <w:tcBorders>
              <w:top w:val="nil"/>
              <w:left w:val="nil"/>
              <w:bottom w:val="nil"/>
              <w:right w:val="nil"/>
            </w:tcBorders>
            <w:shd w:val="clear" w:color="auto" w:fill="auto"/>
            <w:vAlign w:val="center"/>
          </w:tcPr>
          <w:p w14:paraId="2ACD6F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发布新版本并同步变化规则</w:t>
            </w:r>
          </w:p>
        </w:tc>
        <w:tc>
          <w:tcPr>
            <w:tcW w:w="966" w:type="dxa"/>
            <w:tcBorders>
              <w:top w:val="nil"/>
              <w:left w:val="nil"/>
              <w:bottom w:val="nil"/>
              <w:right w:val="nil"/>
            </w:tcBorders>
            <w:shd w:val="clear" w:color="auto" w:fill="auto"/>
            <w:vAlign w:val="center"/>
          </w:tcPr>
          <w:p w14:paraId="779CA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EDCD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4FBDBD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确认调整后计划通过时</w:t>
            </w:r>
          </w:p>
        </w:tc>
        <w:tc>
          <w:tcPr>
            <w:tcW w:w="1406" w:type="dxa"/>
            <w:tcBorders>
              <w:top w:val="nil"/>
              <w:left w:val="nil"/>
              <w:bottom w:val="nil"/>
              <w:right w:val="nil"/>
            </w:tcBorders>
            <w:shd w:val="clear" w:color="auto" w:fill="auto"/>
            <w:vAlign w:val="center"/>
          </w:tcPr>
          <w:p w14:paraId="7204FD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发布新版本，仅向执行端同步发生变化且允许调整的明细；同步失败时保留待同步状态并支持重推。</w:t>
            </w:r>
          </w:p>
        </w:tc>
        <w:tc>
          <w:tcPr>
            <w:tcW w:w="1088" w:type="dxa"/>
            <w:tcBorders>
              <w:top w:val="nil"/>
              <w:left w:val="nil"/>
              <w:bottom w:val="nil"/>
              <w:right w:val="nil"/>
            </w:tcBorders>
            <w:shd w:val="clear" w:color="auto" w:fill="auto"/>
            <w:vAlign w:val="center"/>
          </w:tcPr>
          <w:p w14:paraId="56A536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新版要货计划、变更清单及同步状态</w:t>
            </w:r>
          </w:p>
        </w:tc>
        <w:tc>
          <w:tcPr>
            <w:tcW w:w="1460" w:type="dxa"/>
            <w:tcBorders>
              <w:top w:val="nil"/>
              <w:left w:val="nil"/>
              <w:bottom w:val="nil"/>
              <w:right w:val="nil"/>
            </w:tcBorders>
            <w:shd w:val="clear" w:color="auto" w:fill="auto"/>
            <w:vAlign w:val="center"/>
          </w:tcPr>
          <w:p w14:paraId="411AE1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025015">
        <w:trPr>
          <w:cantSplit/>
          <w:trHeight w:val="0" w:hRule="atLeast"/>
          <w:jc w:val="center"/>
        </w:trPr>
        <w:tc>
          <w:tcPr>
            <w:tcW w:w="2944" w:type="dxa"/>
            <w:tcBorders>
              <w:top w:val="nil"/>
              <w:left w:val="nil"/>
              <w:bottom w:val="nil"/>
              <w:right w:val="nil"/>
            </w:tcBorders>
            <w:shd w:val="clear" w:color="auto" w:fill="auto"/>
            <w:vAlign w:val="center"/>
          </w:tcPr>
          <w:p w14:paraId="5F04AE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P-ZLTC-SCOS-YHJH-005-10-001</w:t>
            </w:r>
          </w:p>
        </w:tc>
        <w:tc>
          <w:tcPr>
            <w:tcW w:w="945" w:type="dxa"/>
            <w:tcBorders>
              <w:top w:val="nil"/>
              <w:left w:val="nil"/>
              <w:bottom w:val="nil"/>
              <w:right w:val="nil"/>
            </w:tcBorders>
            <w:shd w:val="clear" w:color="auto" w:fill="auto"/>
            <w:vAlign w:val="center"/>
          </w:tcPr>
          <w:p w14:paraId="4A1F3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识别要货缺口或执行风险规则</w:t>
            </w:r>
          </w:p>
        </w:tc>
        <w:tc>
          <w:tcPr>
            <w:tcW w:w="966" w:type="dxa"/>
            <w:tcBorders>
              <w:top w:val="nil"/>
              <w:left w:val="nil"/>
              <w:bottom w:val="nil"/>
              <w:right w:val="nil"/>
            </w:tcBorders>
            <w:shd w:val="clear" w:color="auto" w:fill="auto"/>
            <w:vAlign w:val="center"/>
          </w:tcPr>
          <w:p w14:paraId="285FE6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045BF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58A81B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合同余量不足、供应商不能按时供货、预计到货延期或库存低于安全缓冲时</w:t>
            </w:r>
          </w:p>
        </w:tc>
        <w:tc>
          <w:tcPr>
            <w:tcW w:w="1406" w:type="dxa"/>
            <w:tcBorders>
              <w:top w:val="nil"/>
              <w:left w:val="nil"/>
              <w:bottom w:val="nil"/>
              <w:right w:val="nil"/>
            </w:tcBorders>
            <w:shd w:val="clear" w:color="auto" w:fill="auto"/>
            <w:vAlign w:val="center"/>
          </w:tcPr>
          <w:p w14:paraId="00122C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按日识别不能覆盖生产耗用或安全缓冲的风险；无风险时不启动本流程。</w:t>
            </w:r>
          </w:p>
        </w:tc>
        <w:tc>
          <w:tcPr>
            <w:tcW w:w="1088" w:type="dxa"/>
            <w:tcBorders>
              <w:top w:val="nil"/>
              <w:left w:val="nil"/>
              <w:bottom w:val="nil"/>
              <w:right w:val="nil"/>
            </w:tcBorders>
            <w:shd w:val="clear" w:color="auto" w:fill="auto"/>
            <w:vAlign w:val="center"/>
          </w:tcPr>
          <w:p w14:paraId="3FB43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风险事项</w:t>
            </w:r>
          </w:p>
        </w:tc>
        <w:tc>
          <w:tcPr>
            <w:tcW w:w="1460" w:type="dxa"/>
            <w:tcBorders>
              <w:top w:val="nil"/>
              <w:left w:val="nil"/>
              <w:bottom w:val="nil"/>
              <w:right w:val="nil"/>
            </w:tcBorders>
            <w:shd w:val="clear" w:color="auto" w:fill="auto"/>
            <w:vAlign w:val="center"/>
          </w:tcPr>
          <w:p w14:paraId="2F30510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C298C8">
        <w:trPr>
          <w:cantSplit/>
          <w:trHeight w:val="0" w:hRule="atLeast"/>
          <w:jc w:val="center"/>
        </w:trPr>
        <w:tc>
          <w:tcPr>
            <w:tcW w:w="2944" w:type="dxa"/>
            <w:tcBorders>
              <w:top w:val="nil"/>
              <w:left w:val="nil"/>
              <w:bottom w:val="nil"/>
              <w:right w:val="nil"/>
            </w:tcBorders>
            <w:shd w:val="clear" w:color="auto" w:fill="auto"/>
            <w:vAlign w:val="center"/>
          </w:tcPr>
          <w:p w14:paraId="10EB55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P-ZLTC-SCOS-YHJH-005-20-001</w:t>
            </w:r>
          </w:p>
        </w:tc>
        <w:tc>
          <w:tcPr>
            <w:tcW w:w="945" w:type="dxa"/>
            <w:tcBorders>
              <w:top w:val="nil"/>
              <w:left w:val="nil"/>
              <w:bottom w:val="nil"/>
              <w:right w:val="nil"/>
            </w:tcBorders>
            <w:shd w:val="clear" w:color="auto" w:fill="auto"/>
            <w:vAlign w:val="center"/>
          </w:tcPr>
          <w:p w14:paraId="37A833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输出风险日期、数量与原因规则</w:t>
            </w:r>
          </w:p>
        </w:tc>
        <w:tc>
          <w:tcPr>
            <w:tcW w:w="966" w:type="dxa"/>
            <w:tcBorders>
              <w:top w:val="nil"/>
              <w:left w:val="nil"/>
              <w:bottom w:val="nil"/>
              <w:right w:val="nil"/>
            </w:tcBorders>
            <w:shd w:val="clear" w:color="auto" w:fill="auto"/>
            <w:vAlign w:val="center"/>
          </w:tcPr>
          <w:p w14:paraId="7AF5F2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FE735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61FF3E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风险事项形成后</w:t>
            </w:r>
          </w:p>
        </w:tc>
        <w:tc>
          <w:tcPr>
            <w:tcW w:w="1406" w:type="dxa"/>
            <w:tcBorders>
              <w:top w:val="nil"/>
              <w:left w:val="nil"/>
              <w:bottom w:val="nil"/>
              <w:right w:val="nil"/>
            </w:tcBorders>
            <w:shd w:val="clear" w:color="auto" w:fill="auto"/>
            <w:vAlign w:val="center"/>
          </w:tcPr>
          <w:p w14:paraId="4C97F1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将风险定位到具体日期和数量；原因数据不完整时标记“待核实”，不输出确定性处置结论。</w:t>
            </w:r>
          </w:p>
        </w:tc>
        <w:tc>
          <w:tcPr>
            <w:tcW w:w="1088" w:type="dxa"/>
            <w:tcBorders>
              <w:top w:val="nil"/>
              <w:left w:val="nil"/>
              <w:bottom w:val="nil"/>
              <w:right w:val="nil"/>
            </w:tcBorders>
            <w:shd w:val="clear" w:color="auto" w:fill="auto"/>
            <w:vAlign w:val="center"/>
          </w:tcPr>
          <w:p w14:paraId="00F558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受影响物料、日期、缺口量、预计库存及原因</w:t>
            </w:r>
          </w:p>
        </w:tc>
        <w:tc>
          <w:tcPr>
            <w:tcW w:w="1460" w:type="dxa"/>
            <w:tcBorders>
              <w:top w:val="nil"/>
              <w:left w:val="nil"/>
              <w:bottom w:val="nil"/>
              <w:right w:val="nil"/>
            </w:tcBorders>
            <w:shd w:val="clear" w:color="auto" w:fill="auto"/>
            <w:vAlign w:val="center"/>
          </w:tcPr>
          <w:p w14:paraId="155127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FD77AF">
        <w:trPr>
          <w:cantSplit/>
          <w:trHeight w:val="0" w:hRule="atLeast"/>
          <w:jc w:val="center"/>
        </w:trPr>
        <w:tc>
          <w:tcPr>
            <w:tcW w:w="2944" w:type="dxa"/>
            <w:tcBorders>
              <w:top w:val="nil"/>
              <w:left w:val="nil"/>
              <w:bottom w:val="nil"/>
              <w:right w:val="nil"/>
            </w:tcBorders>
            <w:shd w:val="clear" w:color="auto" w:fill="auto"/>
            <w:vAlign w:val="center"/>
          </w:tcPr>
          <w:p w14:paraId="7207AB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P-ZLTC-SCOS-YHJH-005-30-001</w:t>
            </w:r>
          </w:p>
        </w:tc>
        <w:tc>
          <w:tcPr>
            <w:tcW w:w="945" w:type="dxa"/>
            <w:tcBorders>
              <w:top w:val="nil"/>
              <w:left w:val="nil"/>
              <w:bottom w:val="nil"/>
              <w:right w:val="nil"/>
            </w:tcBorders>
            <w:shd w:val="clear" w:color="auto" w:fill="auto"/>
            <w:vAlign w:val="center"/>
          </w:tcPr>
          <w:p w14:paraId="629F15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选择协调方向并提出处理要求规则</w:t>
            </w:r>
          </w:p>
        </w:tc>
        <w:tc>
          <w:tcPr>
            <w:tcW w:w="966" w:type="dxa"/>
            <w:tcBorders>
              <w:top w:val="nil"/>
              <w:left w:val="nil"/>
              <w:bottom w:val="nil"/>
              <w:right w:val="nil"/>
            </w:tcBorders>
            <w:shd w:val="clear" w:color="auto" w:fill="auto"/>
            <w:vAlign w:val="center"/>
          </w:tcPr>
          <w:p w14:paraId="6D22F9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20CF6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2BE2B7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受影响物料、日期、缺口量、预计库存及原因形成后</w:t>
            </w:r>
          </w:p>
        </w:tc>
        <w:tc>
          <w:tcPr>
            <w:tcW w:w="1406" w:type="dxa"/>
            <w:tcBorders>
              <w:top w:val="nil"/>
              <w:left w:val="nil"/>
              <w:bottom w:val="nil"/>
              <w:right w:val="nil"/>
            </w:tcBorders>
            <w:shd w:val="clear" w:color="auto" w:fill="auto"/>
            <w:vAlign w:val="center"/>
          </w:tcPr>
          <w:p w14:paraId="6585FD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可选择与供应商协调到货、调整未锁定安排；涉及新增合同、生产调整或其他跨模块措施时，转对应业务流程决策。</w:t>
            </w:r>
          </w:p>
        </w:tc>
        <w:tc>
          <w:tcPr>
            <w:tcW w:w="1088" w:type="dxa"/>
            <w:tcBorders>
              <w:top w:val="nil"/>
              <w:left w:val="nil"/>
              <w:bottom w:val="nil"/>
              <w:right w:val="nil"/>
            </w:tcBorders>
            <w:shd w:val="clear" w:color="auto" w:fill="auto"/>
            <w:vAlign w:val="center"/>
          </w:tcPr>
          <w:p w14:paraId="3F7668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协调任务和处理方向</w:t>
            </w:r>
          </w:p>
        </w:tc>
        <w:tc>
          <w:tcPr>
            <w:tcW w:w="1460" w:type="dxa"/>
            <w:tcBorders>
              <w:top w:val="nil"/>
              <w:left w:val="nil"/>
              <w:bottom w:val="nil"/>
              <w:right w:val="nil"/>
            </w:tcBorders>
            <w:shd w:val="clear" w:color="auto" w:fill="auto"/>
            <w:vAlign w:val="center"/>
          </w:tcPr>
          <w:p w14:paraId="3A8C50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524BA8">
        <w:trPr>
          <w:cantSplit/>
          <w:trHeight w:val="0" w:hRule="atLeast"/>
          <w:jc w:val="center"/>
        </w:trPr>
        <w:tc>
          <w:tcPr>
            <w:tcW w:w="2944" w:type="dxa"/>
            <w:tcBorders>
              <w:top w:val="nil"/>
              <w:left w:val="nil"/>
              <w:bottom w:val="nil"/>
              <w:right w:val="nil"/>
            </w:tcBorders>
            <w:shd w:val="clear" w:color="auto" w:fill="auto"/>
            <w:vAlign w:val="center"/>
          </w:tcPr>
          <w:p w14:paraId="5F9C79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P-ZLTC-SCOS-YHJH-005-40-001</w:t>
            </w:r>
          </w:p>
        </w:tc>
        <w:tc>
          <w:tcPr>
            <w:tcW w:w="945" w:type="dxa"/>
            <w:tcBorders>
              <w:top w:val="nil"/>
              <w:left w:val="nil"/>
              <w:bottom w:val="nil"/>
              <w:right w:val="nil"/>
            </w:tcBorders>
            <w:shd w:val="clear" w:color="auto" w:fill="auto"/>
            <w:vAlign w:val="center"/>
          </w:tcPr>
          <w:p w14:paraId="3EC4541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协调供货到货或相关业务安排规则</w:t>
            </w:r>
          </w:p>
        </w:tc>
        <w:tc>
          <w:tcPr>
            <w:tcW w:w="966" w:type="dxa"/>
            <w:tcBorders>
              <w:top w:val="nil"/>
              <w:left w:val="nil"/>
              <w:bottom w:val="nil"/>
              <w:right w:val="nil"/>
            </w:tcBorders>
            <w:shd w:val="clear" w:color="auto" w:fill="auto"/>
            <w:vAlign w:val="center"/>
          </w:tcPr>
          <w:p w14:paraId="5D2E25B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70283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64B3F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协调任务和处理方向形成后</w:t>
            </w:r>
          </w:p>
        </w:tc>
        <w:tc>
          <w:tcPr>
            <w:tcW w:w="1406" w:type="dxa"/>
            <w:tcBorders>
              <w:top w:val="nil"/>
              <w:left w:val="nil"/>
              <w:bottom w:val="nil"/>
              <w:right w:val="nil"/>
            </w:tcBorders>
            <w:shd w:val="clear" w:color="auto" w:fill="auto"/>
            <w:vAlign w:val="center"/>
          </w:tcPr>
          <w:p w14:paraId="154A7C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相关责任方对供货数量、可达日期及跨业务影响进行协商；SCOS不自动决定新增合同、外库租赁、生产调整等超出要货计划范围的措施。</w:t>
            </w:r>
          </w:p>
        </w:tc>
        <w:tc>
          <w:tcPr>
            <w:tcW w:w="1088" w:type="dxa"/>
            <w:tcBorders>
              <w:top w:val="nil"/>
              <w:left w:val="nil"/>
              <w:bottom w:val="nil"/>
              <w:right w:val="nil"/>
            </w:tcBorders>
            <w:shd w:val="clear" w:color="auto" w:fill="auto"/>
            <w:vAlign w:val="center"/>
          </w:tcPr>
          <w:p w14:paraId="2F1455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可执行承诺、业务调整意见或无法解决说明</w:t>
            </w:r>
          </w:p>
        </w:tc>
        <w:tc>
          <w:tcPr>
            <w:tcW w:w="1460" w:type="dxa"/>
            <w:tcBorders>
              <w:top w:val="nil"/>
              <w:left w:val="nil"/>
              <w:bottom w:val="nil"/>
              <w:right w:val="nil"/>
            </w:tcBorders>
            <w:shd w:val="clear" w:color="auto" w:fill="auto"/>
            <w:vAlign w:val="center"/>
          </w:tcPr>
          <w:p w14:paraId="76BADC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DF19EB">
        <w:trPr>
          <w:cantSplit/>
          <w:trHeight w:val="0" w:hRule="atLeast"/>
          <w:jc w:val="center"/>
        </w:trPr>
        <w:tc>
          <w:tcPr>
            <w:tcW w:w="2944" w:type="dxa"/>
            <w:tcBorders>
              <w:top w:val="nil"/>
              <w:left w:val="nil"/>
              <w:bottom w:val="nil"/>
              <w:right w:val="nil"/>
            </w:tcBorders>
            <w:shd w:val="clear" w:color="auto" w:fill="auto"/>
            <w:vAlign w:val="center"/>
          </w:tcPr>
          <w:p w14:paraId="2F68BD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P-ZLTC-SCOS-YHJH-005-50-001</w:t>
            </w:r>
          </w:p>
        </w:tc>
        <w:tc>
          <w:tcPr>
            <w:tcW w:w="945" w:type="dxa"/>
            <w:tcBorders>
              <w:top w:val="nil"/>
              <w:left w:val="nil"/>
              <w:bottom w:val="nil"/>
              <w:right w:val="nil"/>
            </w:tcBorders>
            <w:shd w:val="clear" w:color="auto" w:fill="auto"/>
            <w:vAlign w:val="center"/>
          </w:tcPr>
          <w:p w14:paraId="771D28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判断风险是否可以消除规则</w:t>
            </w:r>
          </w:p>
        </w:tc>
        <w:tc>
          <w:tcPr>
            <w:tcW w:w="966" w:type="dxa"/>
            <w:tcBorders>
              <w:top w:val="nil"/>
              <w:left w:val="nil"/>
              <w:bottom w:val="nil"/>
              <w:right w:val="nil"/>
            </w:tcBorders>
            <w:shd w:val="clear" w:color="auto" w:fill="auto"/>
            <w:vAlign w:val="center"/>
          </w:tcPr>
          <w:p w14:paraId="6B2F4C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1D29D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71275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可执行承诺、业务调整意见或无法解决说明形成后</w:t>
            </w:r>
          </w:p>
        </w:tc>
        <w:tc>
          <w:tcPr>
            <w:tcW w:w="1406" w:type="dxa"/>
            <w:tcBorders>
              <w:top w:val="nil"/>
              <w:left w:val="nil"/>
              <w:bottom w:val="nil"/>
              <w:right w:val="nil"/>
            </w:tcBorders>
            <w:shd w:val="clear" w:color="auto" w:fill="auto"/>
            <w:vAlign w:val="center"/>
          </w:tcPr>
          <w:p w14:paraId="34728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将协调结果代入库存和要货计划重新评估；风险可以消除时记录结论并滚动调整；风险不可以消除时继续处理。</w:t>
            </w:r>
          </w:p>
        </w:tc>
        <w:tc>
          <w:tcPr>
            <w:tcW w:w="1088" w:type="dxa"/>
            <w:tcBorders>
              <w:top w:val="nil"/>
              <w:left w:val="nil"/>
              <w:bottom w:val="nil"/>
              <w:right w:val="nil"/>
            </w:tcBorders>
            <w:shd w:val="clear" w:color="auto" w:fill="auto"/>
            <w:vAlign w:val="center"/>
          </w:tcPr>
          <w:p w14:paraId="116BA1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风险复核结论</w:t>
            </w:r>
          </w:p>
        </w:tc>
        <w:tc>
          <w:tcPr>
            <w:tcW w:w="1460" w:type="dxa"/>
            <w:tcBorders>
              <w:top w:val="nil"/>
              <w:left w:val="nil"/>
              <w:bottom w:val="nil"/>
              <w:right w:val="nil"/>
            </w:tcBorders>
            <w:shd w:val="clear" w:color="auto" w:fill="auto"/>
            <w:vAlign w:val="center"/>
          </w:tcPr>
          <w:p w14:paraId="331746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0C00EA3">
        <w:trPr>
          <w:cantSplit/>
          <w:trHeight w:val="0" w:hRule="atLeast"/>
          <w:jc w:val="center"/>
        </w:trPr>
        <w:tc>
          <w:tcPr>
            <w:tcW w:w="2944" w:type="dxa"/>
            <w:tcBorders>
              <w:top w:val="nil"/>
              <w:left w:val="nil"/>
              <w:bottom w:val="nil"/>
              <w:right w:val="nil"/>
            </w:tcBorders>
            <w:shd w:val="clear" w:color="auto" w:fill="auto"/>
            <w:vAlign w:val="center"/>
          </w:tcPr>
          <w:p w14:paraId="4E1985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P-ZLTC-SCOS-YHJH-005-60-001</w:t>
            </w:r>
          </w:p>
        </w:tc>
        <w:tc>
          <w:tcPr>
            <w:tcW w:w="945" w:type="dxa"/>
            <w:tcBorders>
              <w:top w:val="nil"/>
              <w:left w:val="nil"/>
              <w:bottom w:val="nil"/>
              <w:right w:val="nil"/>
            </w:tcBorders>
            <w:shd w:val="clear" w:color="auto" w:fill="auto"/>
            <w:vAlign w:val="center"/>
          </w:tcPr>
          <w:p w14:paraId="13A517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确认临时措施或升级处置规则</w:t>
            </w:r>
          </w:p>
        </w:tc>
        <w:tc>
          <w:tcPr>
            <w:tcW w:w="966" w:type="dxa"/>
            <w:tcBorders>
              <w:top w:val="nil"/>
              <w:left w:val="nil"/>
              <w:bottom w:val="nil"/>
              <w:right w:val="nil"/>
            </w:tcBorders>
            <w:shd w:val="clear" w:color="auto" w:fill="auto"/>
            <w:vAlign w:val="center"/>
          </w:tcPr>
          <w:p w14:paraId="5DE010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EFD61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0B6ED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风险不可以消除时</w:t>
            </w:r>
          </w:p>
        </w:tc>
        <w:tc>
          <w:tcPr>
            <w:tcW w:w="1406" w:type="dxa"/>
            <w:tcBorders>
              <w:top w:val="nil"/>
              <w:left w:val="nil"/>
              <w:bottom w:val="nil"/>
              <w:right w:val="nil"/>
            </w:tcBorders>
            <w:shd w:val="clear" w:color="auto" w:fill="auto"/>
            <w:vAlign w:val="center"/>
          </w:tcPr>
          <w:p w14:paraId="522082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对无法通过要货计划调整消除的风险，确认临时措施或升级处置；未形成结论时保持风险开放并持续预警。</w:t>
            </w:r>
          </w:p>
        </w:tc>
        <w:tc>
          <w:tcPr>
            <w:tcW w:w="1088" w:type="dxa"/>
            <w:tcBorders>
              <w:top w:val="nil"/>
              <w:left w:val="nil"/>
              <w:bottom w:val="nil"/>
              <w:right w:val="nil"/>
            </w:tcBorders>
            <w:shd w:val="clear" w:color="auto" w:fill="auto"/>
            <w:vAlign w:val="center"/>
          </w:tcPr>
          <w:p w14:paraId="6D20E3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临时措施、风险接受或升级事项</w:t>
            </w:r>
          </w:p>
        </w:tc>
        <w:tc>
          <w:tcPr>
            <w:tcW w:w="1460" w:type="dxa"/>
            <w:tcBorders>
              <w:top w:val="nil"/>
              <w:left w:val="nil"/>
              <w:bottom w:val="nil"/>
              <w:right w:val="nil"/>
            </w:tcBorders>
            <w:shd w:val="clear" w:color="auto" w:fill="auto"/>
            <w:vAlign w:val="center"/>
          </w:tcPr>
          <w:p w14:paraId="25AEE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5CF4D7">
        <w:trPr>
          <w:cantSplit/>
          <w:trHeight w:val="0" w:hRule="atLeast"/>
          <w:jc w:val="center"/>
        </w:trPr>
        <w:tc>
          <w:tcPr>
            <w:tcW w:w="2944" w:type="dxa"/>
            <w:tcBorders>
              <w:top w:val="nil"/>
              <w:left w:val="nil"/>
              <w:bottom w:val="nil"/>
              <w:right w:val="nil"/>
            </w:tcBorders>
            <w:shd w:val="clear" w:color="auto" w:fill="auto"/>
            <w:vAlign w:val="center"/>
          </w:tcPr>
          <w:p w14:paraId="06271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P-ZLTC-SCOS-YHJH-005-70-001</w:t>
            </w:r>
          </w:p>
        </w:tc>
        <w:tc>
          <w:tcPr>
            <w:tcW w:w="945" w:type="dxa"/>
            <w:tcBorders>
              <w:top w:val="nil"/>
              <w:left w:val="nil"/>
              <w:bottom w:val="nil"/>
              <w:right w:val="nil"/>
            </w:tcBorders>
            <w:shd w:val="clear" w:color="auto" w:fill="auto"/>
            <w:vAlign w:val="center"/>
          </w:tcPr>
          <w:p w14:paraId="5C405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记录结论并发起滚动调整规则</w:t>
            </w:r>
          </w:p>
        </w:tc>
        <w:tc>
          <w:tcPr>
            <w:tcW w:w="966" w:type="dxa"/>
            <w:tcBorders>
              <w:top w:val="nil"/>
              <w:left w:val="nil"/>
              <w:bottom w:val="nil"/>
              <w:right w:val="nil"/>
            </w:tcBorders>
            <w:shd w:val="clear" w:color="auto" w:fill="auto"/>
            <w:vAlign w:val="center"/>
          </w:tcPr>
          <w:p w14:paraId="3D1D90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59135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494832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风险可以消除时</w:t>
            </w:r>
          </w:p>
        </w:tc>
        <w:tc>
          <w:tcPr>
            <w:tcW w:w="1406" w:type="dxa"/>
            <w:tcBorders>
              <w:top w:val="nil"/>
              <w:left w:val="nil"/>
              <w:bottom w:val="nil"/>
              <w:right w:val="nil"/>
            </w:tcBorders>
            <w:shd w:val="clear" w:color="auto" w:fill="auto"/>
            <w:vAlign w:val="center"/>
          </w:tcPr>
          <w:p w14:paraId="72940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记录责任人、处理意见、计划影响和关闭状态；调整后仍有缺口时继续保持风险开放，不以流程结束替代风险消除。</w:t>
            </w:r>
          </w:p>
        </w:tc>
        <w:tc>
          <w:tcPr>
            <w:tcW w:w="1088" w:type="dxa"/>
            <w:tcBorders>
              <w:top w:val="nil"/>
              <w:left w:val="nil"/>
              <w:bottom w:val="nil"/>
              <w:right w:val="nil"/>
            </w:tcBorders>
            <w:shd w:val="clear" w:color="auto" w:fill="auto"/>
            <w:vAlign w:val="center"/>
          </w:tcPr>
          <w:p w14:paraId="4AEAB4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异常闭环记录、滚动调整任务和驾驶舱风险状态</w:t>
            </w:r>
          </w:p>
        </w:tc>
        <w:tc>
          <w:tcPr>
            <w:tcW w:w="1460" w:type="dxa"/>
            <w:tcBorders>
              <w:top w:val="nil"/>
              <w:left w:val="nil"/>
              <w:bottom w:val="nil"/>
              <w:right w:val="nil"/>
            </w:tcBorders>
            <w:shd w:val="clear" w:color="auto" w:fill="auto"/>
            <w:vAlign w:val="center"/>
          </w:tcPr>
          <w:p w14:paraId="16F275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8ED0B2">
        <w:trPr>
          <w:cantSplit/>
          <w:trHeight w:val="0" w:hRule="atLeast"/>
          <w:jc w:val="center"/>
        </w:trPr>
        <w:tc>
          <w:tcPr>
            <w:tcW w:w="2944" w:type="dxa"/>
            <w:tcBorders>
              <w:top w:val="nil"/>
              <w:left w:val="nil"/>
              <w:bottom w:val="nil"/>
              <w:right w:val="nil"/>
            </w:tcBorders>
            <w:shd w:val="clear" w:color="auto" w:fill="auto"/>
            <w:vAlign w:val="center"/>
          </w:tcPr>
          <w:p w14:paraId="1C18DB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P-ZLTC-SCOS-YHJH-006-10-001</w:t>
            </w:r>
          </w:p>
        </w:tc>
        <w:tc>
          <w:tcPr>
            <w:tcW w:w="945" w:type="dxa"/>
            <w:tcBorders>
              <w:top w:val="nil"/>
              <w:left w:val="nil"/>
              <w:bottom w:val="nil"/>
              <w:right w:val="nil"/>
            </w:tcBorders>
            <w:shd w:val="clear" w:color="auto" w:fill="auto"/>
            <w:vAlign w:val="center"/>
          </w:tcPr>
          <w:p w14:paraId="2C873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提交禁运或解除申请及依据规则</w:t>
            </w:r>
          </w:p>
        </w:tc>
        <w:tc>
          <w:tcPr>
            <w:tcW w:w="966" w:type="dxa"/>
            <w:tcBorders>
              <w:top w:val="nil"/>
              <w:left w:val="nil"/>
              <w:bottom w:val="nil"/>
              <w:right w:val="nil"/>
            </w:tcBorders>
            <w:shd w:val="clear" w:color="auto" w:fill="auto"/>
            <w:vAlign w:val="center"/>
          </w:tcPr>
          <w:p w14:paraId="0082D6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CB2B0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8B3DE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相关部门认为需禁止供应商新增要货或解除已有禁运状态时</w:t>
            </w:r>
          </w:p>
        </w:tc>
        <w:tc>
          <w:tcPr>
            <w:tcW w:w="1406" w:type="dxa"/>
            <w:tcBorders>
              <w:top w:val="nil"/>
              <w:left w:val="nil"/>
              <w:bottom w:val="nil"/>
              <w:right w:val="nil"/>
            </w:tcBorders>
            <w:shd w:val="clear" w:color="auto" w:fill="auto"/>
            <w:vAlign w:val="center"/>
          </w:tcPr>
          <w:p w14:paraId="028A22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明确申请类型、供应商、适用范围、生效时间、原因和证据；依据或影响范围不清时退回补充。</w:t>
            </w:r>
          </w:p>
        </w:tc>
        <w:tc>
          <w:tcPr>
            <w:tcW w:w="1088" w:type="dxa"/>
            <w:tcBorders>
              <w:top w:val="nil"/>
              <w:left w:val="nil"/>
              <w:bottom w:val="nil"/>
              <w:right w:val="nil"/>
            </w:tcBorders>
            <w:shd w:val="clear" w:color="auto" w:fill="auto"/>
            <w:vAlign w:val="center"/>
          </w:tcPr>
          <w:p w14:paraId="0B0DEE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禁运/解除申请、供应商、范围和建议生效时间</w:t>
            </w:r>
          </w:p>
        </w:tc>
        <w:tc>
          <w:tcPr>
            <w:tcW w:w="1460" w:type="dxa"/>
            <w:tcBorders>
              <w:top w:val="nil"/>
              <w:left w:val="nil"/>
              <w:bottom w:val="nil"/>
              <w:right w:val="nil"/>
            </w:tcBorders>
            <w:shd w:val="clear" w:color="auto" w:fill="auto"/>
            <w:vAlign w:val="center"/>
          </w:tcPr>
          <w:p w14:paraId="01D7C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932E22">
        <w:trPr>
          <w:cantSplit/>
          <w:trHeight w:val="0" w:hRule="atLeast"/>
          <w:jc w:val="center"/>
        </w:trPr>
        <w:tc>
          <w:tcPr>
            <w:tcW w:w="2944" w:type="dxa"/>
            <w:tcBorders>
              <w:top w:val="nil"/>
              <w:left w:val="nil"/>
              <w:bottom w:val="nil"/>
              <w:right w:val="nil"/>
            </w:tcBorders>
            <w:shd w:val="clear" w:color="auto" w:fill="auto"/>
            <w:vAlign w:val="center"/>
          </w:tcPr>
          <w:p w14:paraId="4529923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P-ZLTC-SCOS-YHJH-006-20-001</w:t>
            </w:r>
          </w:p>
        </w:tc>
        <w:tc>
          <w:tcPr>
            <w:tcW w:w="945" w:type="dxa"/>
            <w:tcBorders>
              <w:top w:val="nil"/>
              <w:left w:val="nil"/>
              <w:bottom w:val="nil"/>
              <w:right w:val="nil"/>
            </w:tcBorders>
            <w:shd w:val="clear" w:color="auto" w:fill="auto"/>
            <w:vAlign w:val="center"/>
          </w:tcPr>
          <w:p w14:paraId="1A63E8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复核原因、范围与生效时间规则</w:t>
            </w:r>
          </w:p>
        </w:tc>
        <w:tc>
          <w:tcPr>
            <w:tcW w:w="966" w:type="dxa"/>
            <w:tcBorders>
              <w:top w:val="nil"/>
              <w:left w:val="nil"/>
              <w:bottom w:val="nil"/>
              <w:right w:val="nil"/>
            </w:tcBorders>
            <w:shd w:val="clear" w:color="auto" w:fill="auto"/>
            <w:vAlign w:val="center"/>
          </w:tcPr>
          <w:p w14:paraId="4CD155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308DF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4893C4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禁运/解除申请、供应商、范围和建议生效时间形成并具备评审条件后</w:t>
            </w:r>
          </w:p>
        </w:tc>
        <w:tc>
          <w:tcPr>
            <w:tcW w:w="1406" w:type="dxa"/>
            <w:tcBorders>
              <w:top w:val="nil"/>
              <w:left w:val="nil"/>
              <w:bottom w:val="nil"/>
              <w:right w:val="nil"/>
            </w:tcBorders>
            <w:shd w:val="clear" w:color="auto" w:fill="auto"/>
            <w:vAlign w:val="center"/>
          </w:tcPr>
          <w:p w14:paraId="22024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核对申请依据、受影响合同和计划、在途情况及状态变更影响；信息不完整时补充；已有在途不作为新增要货处理。</w:t>
            </w:r>
          </w:p>
        </w:tc>
        <w:tc>
          <w:tcPr>
            <w:tcW w:w="1088" w:type="dxa"/>
            <w:tcBorders>
              <w:top w:val="nil"/>
              <w:left w:val="nil"/>
              <w:bottom w:val="nil"/>
              <w:right w:val="nil"/>
            </w:tcBorders>
            <w:shd w:val="clear" w:color="auto" w:fill="auto"/>
            <w:vAlign w:val="center"/>
          </w:tcPr>
          <w:p w14:paraId="0E4017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50F36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2DDB3C">
        <w:trPr>
          <w:cantSplit/>
          <w:trHeight w:val="0" w:hRule="atLeast"/>
          <w:jc w:val="center"/>
        </w:trPr>
        <w:tc>
          <w:tcPr>
            <w:tcW w:w="2944" w:type="dxa"/>
            <w:tcBorders>
              <w:top w:val="nil"/>
              <w:left w:val="nil"/>
              <w:bottom w:val="nil"/>
              <w:right w:val="nil"/>
            </w:tcBorders>
            <w:shd w:val="clear" w:color="auto" w:fill="auto"/>
            <w:vAlign w:val="center"/>
          </w:tcPr>
          <w:p w14:paraId="08F600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P-ZLTC-SCOS-YHJH-006-30-001</w:t>
            </w:r>
          </w:p>
        </w:tc>
        <w:tc>
          <w:tcPr>
            <w:tcW w:w="945" w:type="dxa"/>
            <w:tcBorders>
              <w:top w:val="nil"/>
              <w:left w:val="nil"/>
              <w:bottom w:val="nil"/>
              <w:right w:val="nil"/>
            </w:tcBorders>
            <w:shd w:val="clear" w:color="auto" w:fill="auto"/>
            <w:vAlign w:val="center"/>
          </w:tcPr>
          <w:p w14:paraId="171150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判断是否确认状态变更规则</w:t>
            </w:r>
          </w:p>
        </w:tc>
        <w:tc>
          <w:tcPr>
            <w:tcW w:w="966" w:type="dxa"/>
            <w:tcBorders>
              <w:top w:val="nil"/>
              <w:left w:val="nil"/>
              <w:bottom w:val="nil"/>
              <w:right w:val="nil"/>
            </w:tcBorders>
            <w:shd w:val="clear" w:color="auto" w:fill="auto"/>
            <w:vAlign w:val="center"/>
          </w:tcPr>
          <w:p w14:paraId="4E233E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5FE3C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52944C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5028860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按现行业务授权确认是否执行禁运或解除；未确认状态变更时退回复核或终止申请；确认状态变更时继续处理。</w:t>
            </w:r>
          </w:p>
        </w:tc>
        <w:tc>
          <w:tcPr>
            <w:tcW w:w="1088" w:type="dxa"/>
            <w:tcBorders>
              <w:top w:val="nil"/>
              <w:left w:val="nil"/>
              <w:bottom w:val="nil"/>
              <w:right w:val="nil"/>
            </w:tcBorders>
            <w:shd w:val="clear" w:color="auto" w:fill="auto"/>
            <w:vAlign w:val="center"/>
          </w:tcPr>
          <w:p w14:paraId="2E3D0F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1F16C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DFD209">
        <w:trPr>
          <w:cantSplit/>
          <w:trHeight w:val="0" w:hRule="atLeast"/>
          <w:jc w:val="center"/>
        </w:trPr>
        <w:tc>
          <w:tcPr>
            <w:tcW w:w="2944" w:type="dxa"/>
            <w:tcBorders>
              <w:top w:val="nil"/>
              <w:left w:val="nil"/>
              <w:bottom w:val="nil"/>
              <w:right w:val="nil"/>
            </w:tcBorders>
            <w:shd w:val="clear" w:color="auto" w:fill="auto"/>
            <w:vAlign w:val="center"/>
          </w:tcPr>
          <w:p w14:paraId="4F85E8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P-ZLTC-SCOS-YHJH-006-40-001</w:t>
            </w:r>
          </w:p>
        </w:tc>
        <w:tc>
          <w:tcPr>
            <w:tcW w:w="945" w:type="dxa"/>
            <w:tcBorders>
              <w:top w:val="nil"/>
              <w:left w:val="nil"/>
              <w:bottom w:val="nil"/>
              <w:right w:val="nil"/>
            </w:tcBorders>
            <w:shd w:val="clear" w:color="auto" w:fill="auto"/>
            <w:vAlign w:val="center"/>
          </w:tcPr>
          <w:p w14:paraId="38CE4C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更新供应商禁运状态规则</w:t>
            </w:r>
          </w:p>
        </w:tc>
        <w:tc>
          <w:tcPr>
            <w:tcW w:w="966" w:type="dxa"/>
            <w:tcBorders>
              <w:top w:val="nil"/>
              <w:left w:val="nil"/>
              <w:bottom w:val="nil"/>
              <w:right w:val="nil"/>
            </w:tcBorders>
            <w:shd w:val="clear" w:color="auto" w:fill="auto"/>
            <w:vAlign w:val="center"/>
          </w:tcPr>
          <w:p w14:paraId="34AA2F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9E26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2788E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确认状态变更时</w:t>
            </w:r>
          </w:p>
        </w:tc>
        <w:tc>
          <w:tcPr>
            <w:tcW w:w="1406" w:type="dxa"/>
            <w:tcBorders>
              <w:top w:val="nil"/>
              <w:left w:val="nil"/>
              <w:bottom w:val="nil"/>
              <w:right w:val="nil"/>
            </w:tcBorders>
            <w:shd w:val="clear" w:color="auto" w:fill="auto"/>
            <w:vAlign w:val="center"/>
          </w:tcPr>
          <w:p w14:paraId="13C521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更新禁运或解除状态；更新失败时保持原状态并提示重试，避免计划参与资格与确认结论不一致。</w:t>
            </w:r>
          </w:p>
        </w:tc>
        <w:tc>
          <w:tcPr>
            <w:tcW w:w="1088" w:type="dxa"/>
            <w:tcBorders>
              <w:top w:val="nil"/>
              <w:left w:val="nil"/>
              <w:bottom w:val="nil"/>
              <w:right w:val="nil"/>
            </w:tcBorders>
            <w:shd w:val="clear" w:color="auto" w:fill="auto"/>
            <w:vAlign w:val="center"/>
          </w:tcPr>
          <w:p w14:paraId="51C49F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供应商禁运状态记录</w:t>
            </w:r>
          </w:p>
        </w:tc>
        <w:tc>
          <w:tcPr>
            <w:tcW w:w="1460" w:type="dxa"/>
            <w:tcBorders>
              <w:top w:val="nil"/>
              <w:left w:val="nil"/>
              <w:bottom w:val="nil"/>
              <w:right w:val="nil"/>
            </w:tcBorders>
            <w:shd w:val="clear" w:color="auto" w:fill="auto"/>
            <w:vAlign w:val="center"/>
          </w:tcPr>
          <w:p w14:paraId="4C86098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47CAA">
        <w:trPr>
          <w:cantSplit/>
          <w:trHeight w:val="0" w:hRule="atLeast"/>
          <w:jc w:val="center"/>
        </w:trPr>
        <w:tc>
          <w:tcPr>
            <w:tcW w:w="2944" w:type="dxa"/>
            <w:tcBorders>
              <w:top w:val="nil"/>
              <w:left w:val="nil"/>
              <w:bottom w:val="nil"/>
              <w:right w:val="nil"/>
            </w:tcBorders>
            <w:shd w:val="clear" w:color="auto" w:fill="auto"/>
            <w:vAlign w:val="center"/>
          </w:tcPr>
          <w:p w14:paraId="179D77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P-ZLTC-SCOS-YHJH-006-50-001</w:t>
            </w:r>
          </w:p>
        </w:tc>
        <w:tc>
          <w:tcPr>
            <w:tcW w:w="945" w:type="dxa"/>
            <w:tcBorders>
              <w:top w:val="nil"/>
              <w:left w:val="nil"/>
              <w:bottom w:val="nil"/>
              <w:right w:val="nil"/>
            </w:tcBorders>
            <w:shd w:val="clear" w:color="auto" w:fill="auto"/>
            <w:vAlign w:val="center"/>
          </w:tcPr>
          <w:p w14:paraId="6BBC1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调整新增要货计划参与资格规则</w:t>
            </w:r>
          </w:p>
        </w:tc>
        <w:tc>
          <w:tcPr>
            <w:tcW w:w="966" w:type="dxa"/>
            <w:tcBorders>
              <w:top w:val="nil"/>
              <w:left w:val="nil"/>
              <w:bottom w:val="nil"/>
              <w:right w:val="nil"/>
            </w:tcBorders>
            <w:shd w:val="clear" w:color="auto" w:fill="auto"/>
            <w:vAlign w:val="center"/>
          </w:tcPr>
          <w:p w14:paraId="393AFD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500A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BB00B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最新禁运状态、有效合同满足处理条件时</w:t>
            </w:r>
          </w:p>
        </w:tc>
        <w:tc>
          <w:tcPr>
            <w:tcW w:w="1406" w:type="dxa"/>
            <w:tcBorders>
              <w:top w:val="nil"/>
              <w:left w:val="nil"/>
              <w:bottom w:val="nil"/>
              <w:right w:val="nil"/>
            </w:tcBorders>
            <w:shd w:val="clear" w:color="auto" w:fill="auto"/>
            <w:vAlign w:val="center"/>
          </w:tcPr>
          <w:p w14:paraId="4A5AEC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禁运后从新增要货安排中排除相关供应商；状态变更不自动取消已下达或已有在途安排。</w:t>
            </w:r>
          </w:p>
        </w:tc>
        <w:tc>
          <w:tcPr>
            <w:tcW w:w="1088" w:type="dxa"/>
            <w:tcBorders>
              <w:top w:val="nil"/>
              <w:left w:val="nil"/>
              <w:bottom w:val="nil"/>
              <w:right w:val="nil"/>
            </w:tcBorders>
            <w:shd w:val="clear" w:color="auto" w:fill="auto"/>
            <w:vAlign w:val="center"/>
          </w:tcPr>
          <w:p w14:paraId="02BA81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供应商计划参与资格</w:t>
            </w:r>
          </w:p>
        </w:tc>
        <w:tc>
          <w:tcPr>
            <w:tcW w:w="1460" w:type="dxa"/>
            <w:tcBorders>
              <w:top w:val="nil"/>
              <w:left w:val="nil"/>
              <w:bottom w:val="nil"/>
              <w:right w:val="nil"/>
            </w:tcBorders>
            <w:shd w:val="clear" w:color="auto" w:fill="auto"/>
            <w:vAlign w:val="center"/>
          </w:tcPr>
          <w:p w14:paraId="6C61F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E15DE1">
        <w:trPr>
          <w:cantSplit/>
          <w:trHeight w:val="0" w:hRule="atLeast"/>
          <w:jc w:val="center"/>
        </w:trPr>
        <w:tc>
          <w:tcPr>
            <w:tcW w:w="2944" w:type="dxa"/>
            <w:tcBorders>
              <w:top w:val="nil"/>
              <w:left w:val="nil"/>
              <w:bottom w:val="nil"/>
              <w:right w:val="nil"/>
            </w:tcBorders>
            <w:shd w:val="clear" w:color="auto" w:fill="auto"/>
            <w:vAlign w:val="center"/>
          </w:tcPr>
          <w:p w14:paraId="0D8E74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P-ZLTC-SCOS-YHJH-006-60-001</w:t>
            </w:r>
          </w:p>
        </w:tc>
        <w:tc>
          <w:tcPr>
            <w:tcW w:w="945" w:type="dxa"/>
            <w:tcBorders>
              <w:top w:val="nil"/>
              <w:left w:val="nil"/>
              <w:bottom w:val="nil"/>
              <w:right w:val="nil"/>
            </w:tcBorders>
            <w:shd w:val="clear" w:color="auto" w:fill="auto"/>
            <w:vAlign w:val="center"/>
          </w:tcPr>
          <w:p w14:paraId="7E6730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同步状态并协调已有在途规则</w:t>
            </w:r>
          </w:p>
        </w:tc>
        <w:tc>
          <w:tcPr>
            <w:tcW w:w="966" w:type="dxa"/>
            <w:tcBorders>
              <w:top w:val="nil"/>
              <w:left w:val="nil"/>
              <w:bottom w:val="nil"/>
              <w:right w:val="nil"/>
            </w:tcBorders>
            <w:shd w:val="clear" w:color="auto" w:fill="auto"/>
            <w:vAlign w:val="center"/>
          </w:tcPr>
          <w:p w14:paraId="77EC0F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2721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35BC3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供应商计划参与资格形成后</w:t>
            </w:r>
          </w:p>
        </w:tc>
        <w:tc>
          <w:tcPr>
            <w:tcW w:w="1406" w:type="dxa"/>
            <w:tcBorders>
              <w:top w:val="nil"/>
              <w:left w:val="nil"/>
              <w:bottom w:val="nil"/>
              <w:right w:val="nil"/>
            </w:tcBorders>
            <w:shd w:val="clear" w:color="auto" w:fill="auto"/>
            <w:vAlign w:val="center"/>
          </w:tcPr>
          <w:p w14:paraId="4D947C0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将状态传递给TMS及供应商协同端；接口失败时保留待同步状态；在途处置未明确时保持风险提示。</w:t>
            </w:r>
          </w:p>
        </w:tc>
        <w:tc>
          <w:tcPr>
            <w:tcW w:w="1088" w:type="dxa"/>
            <w:tcBorders>
              <w:top w:val="nil"/>
              <w:left w:val="nil"/>
              <w:bottom w:val="nil"/>
              <w:right w:val="nil"/>
            </w:tcBorders>
            <w:shd w:val="clear" w:color="auto" w:fill="auto"/>
            <w:vAlign w:val="center"/>
          </w:tcPr>
          <w:p w14:paraId="5BB717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同步结果和已有在途协调意见</w:t>
            </w:r>
          </w:p>
        </w:tc>
        <w:tc>
          <w:tcPr>
            <w:tcW w:w="1460" w:type="dxa"/>
            <w:tcBorders>
              <w:top w:val="nil"/>
              <w:left w:val="nil"/>
              <w:bottom w:val="nil"/>
              <w:right w:val="nil"/>
            </w:tcBorders>
            <w:shd w:val="clear" w:color="auto" w:fill="auto"/>
            <w:vAlign w:val="center"/>
          </w:tcPr>
          <w:p w14:paraId="60F965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SCOS/TMS/供应商协同平台</w:t>
            </w:r>
          </w:p>
        </w:tc>
      </w:tr>
      <w:tr w14:paraId="076568E8">
        <w:trPr>
          <w:cantSplit/>
          <w:trHeight w:val="0" w:hRule="atLeast"/>
          <w:jc w:val="center"/>
        </w:trPr>
        <w:tc>
          <w:tcPr>
            <w:tcW w:w="2944" w:type="dxa"/>
            <w:tcBorders>
              <w:top w:val="nil"/>
              <w:left w:val="nil"/>
              <w:bottom w:val="nil"/>
              <w:right w:val="nil"/>
            </w:tcBorders>
            <w:shd w:val="clear" w:color="auto" w:fill="auto"/>
            <w:vAlign w:val="center"/>
          </w:tcPr>
          <w:p w14:paraId="733803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P-ZLTC-SCOS-YHJH-006-70-001</w:t>
            </w:r>
          </w:p>
        </w:tc>
        <w:tc>
          <w:tcPr>
            <w:tcW w:w="945" w:type="dxa"/>
            <w:tcBorders>
              <w:top w:val="nil"/>
              <w:left w:val="nil"/>
              <w:bottom w:val="nil"/>
              <w:right w:val="nil"/>
            </w:tcBorders>
            <w:shd w:val="clear" w:color="auto" w:fill="auto"/>
            <w:vAlign w:val="center"/>
          </w:tcPr>
          <w:p w14:paraId="512BC8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评估影响并触发调整规则</w:t>
            </w:r>
          </w:p>
        </w:tc>
        <w:tc>
          <w:tcPr>
            <w:tcW w:w="966" w:type="dxa"/>
            <w:tcBorders>
              <w:top w:val="nil"/>
              <w:left w:val="nil"/>
              <w:bottom w:val="nil"/>
              <w:right w:val="nil"/>
            </w:tcBorders>
            <w:shd w:val="clear" w:color="auto" w:fill="auto"/>
            <w:vAlign w:val="center"/>
          </w:tcPr>
          <w:p w14:paraId="75D1B3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7C2C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08F90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同步结果和已有在途协调意见形成后</w:t>
            </w:r>
          </w:p>
        </w:tc>
        <w:tc>
          <w:tcPr>
            <w:tcW w:w="1406" w:type="dxa"/>
            <w:tcBorders>
              <w:top w:val="nil"/>
              <w:left w:val="nil"/>
              <w:bottom w:val="nil"/>
              <w:right w:val="nil"/>
            </w:tcBorders>
            <w:shd w:val="clear" w:color="auto" w:fill="auto"/>
            <w:vAlign w:val="center"/>
          </w:tcPr>
          <w:p w14:paraId="2927074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识别受影响的未执行、未锁定安排并触发滚动调整；现有供应商无法补位时转要货缺口与异常协调流程。</w:t>
            </w:r>
          </w:p>
        </w:tc>
        <w:tc>
          <w:tcPr>
            <w:tcW w:w="1088" w:type="dxa"/>
            <w:tcBorders>
              <w:top w:val="nil"/>
              <w:left w:val="nil"/>
              <w:bottom w:val="nil"/>
              <w:right w:val="nil"/>
            </w:tcBorders>
            <w:shd w:val="clear" w:color="auto" w:fill="auto"/>
            <w:vAlign w:val="center"/>
          </w:tcPr>
          <w:p w14:paraId="116A59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受影响范围及滚动调整任务</w:t>
            </w:r>
          </w:p>
        </w:tc>
        <w:tc>
          <w:tcPr>
            <w:tcW w:w="1460" w:type="dxa"/>
            <w:tcBorders>
              <w:top w:val="nil"/>
              <w:left w:val="nil"/>
              <w:bottom w:val="nil"/>
              <w:right w:val="nil"/>
            </w:tcBorders>
            <w:shd w:val="clear" w:color="auto" w:fill="auto"/>
            <w:vAlign w:val="center"/>
          </w:tcPr>
          <w:p w14:paraId="75398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CFFCAF">
        <w:trPr>
          <w:cantSplit/>
          <w:trHeight w:val="0" w:hRule="atLeast"/>
          <w:jc w:val="center"/>
        </w:trPr>
        <w:tc>
          <w:tcPr>
            <w:tcW w:w="2944" w:type="dxa"/>
            <w:tcBorders>
              <w:top w:val="nil"/>
              <w:left w:val="nil"/>
              <w:bottom w:val="nil"/>
              <w:right w:val="nil"/>
            </w:tcBorders>
            <w:shd w:val="clear" w:color="auto" w:fill="auto"/>
            <w:vAlign w:val="center"/>
          </w:tcPr>
          <w:p w14:paraId="52AC2B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P-ZLTC-SCOS-JSC-001-10-001</w:t>
            </w:r>
          </w:p>
        </w:tc>
        <w:tc>
          <w:tcPr>
            <w:tcW w:w="945" w:type="dxa"/>
            <w:tcBorders>
              <w:top w:val="nil"/>
              <w:left w:val="nil"/>
              <w:bottom w:val="nil"/>
              <w:right w:val="nil"/>
            </w:tcBorders>
            <w:shd w:val="clear" w:color="auto" w:fill="auto"/>
            <w:vAlign w:val="center"/>
          </w:tcPr>
          <w:p w14:paraId="27293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编制指标口径与预警规则</w:t>
            </w:r>
          </w:p>
        </w:tc>
        <w:tc>
          <w:tcPr>
            <w:tcW w:w="966" w:type="dxa"/>
            <w:tcBorders>
              <w:top w:val="nil"/>
              <w:left w:val="nil"/>
              <w:bottom w:val="nil"/>
              <w:right w:val="nil"/>
            </w:tcBorders>
            <w:shd w:val="clear" w:color="auto" w:fill="auto"/>
            <w:vAlign w:val="center"/>
          </w:tcPr>
          <w:p w14:paraId="3C0B00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ACE06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54A951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指标口径、业务管理要求或数据源发生变化时</w:t>
            </w:r>
          </w:p>
        </w:tc>
        <w:tc>
          <w:tcPr>
            <w:tcW w:w="1406" w:type="dxa"/>
            <w:tcBorders>
              <w:top w:val="nil"/>
              <w:left w:val="nil"/>
              <w:bottom w:val="nil"/>
              <w:right w:val="nil"/>
            </w:tcBorders>
            <w:shd w:val="clear" w:color="auto" w:fill="auto"/>
            <w:vAlign w:val="center"/>
          </w:tcPr>
          <w:p w14:paraId="119C31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明确指标口径、数据来源、更新频率及红黄预警阈值；必须字段或业务依据不完整时保留草稿。</w:t>
            </w:r>
          </w:p>
        </w:tc>
        <w:tc>
          <w:tcPr>
            <w:tcW w:w="1088" w:type="dxa"/>
            <w:tcBorders>
              <w:top w:val="nil"/>
              <w:left w:val="nil"/>
              <w:bottom w:val="nil"/>
              <w:right w:val="nil"/>
            </w:tcBorders>
            <w:shd w:val="clear" w:color="auto" w:fill="auto"/>
            <w:vAlign w:val="center"/>
          </w:tcPr>
          <w:p w14:paraId="62267F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拟定指标口径、阈值和预警规则</w:t>
            </w:r>
          </w:p>
        </w:tc>
        <w:tc>
          <w:tcPr>
            <w:tcW w:w="1460" w:type="dxa"/>
            <w:tcBorders>
              <w:top w:val="nil"/>
              <w:left w:val="nil"/>
              <w:bottom w:val="nil"/>
              <w:right w:val="nil"/>
            </w:tcBorders>
            <w:shd w:val="clear" w:color="auto" w:fill="auto"/>
            <w:vAlign w:val="center"/>
          </w:tcPr>
          <w:p w14:paraId="33C9E5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5E81C1">
        <w:trPr>
          <w:cantSplit/>
          <w:trHeight w:val="0" w:hRule="atLeast"/>
          <w:jc w:val="center"/>
        </w:trPr>
        <w:tc>
          <w:tcPr>
            <w:tcW w:w="2944" w:type="dxa"/>
            <w:tcBorders>
              <w:top w:val="nil"/>
              <w:left w:val="nil"/>
              <w:bottom w:val="nil"/>
              <w:right w:val="nil"/>
            </w:tcBorders>
            <w:shd w:val="clear" w:color="auto" w:fill="auto"/>
            <w:vAlign w:val="center"/>
          </w:tcPr>
          <w:p w14:paraId="24AD2F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P-ZLTC-SCOS-JSC-001-20-001</w:t>
            </w:r>
          </w:p>
        </w:tc>
        <w:tc>
          <w:tcPr>
            <w:tcW w:w="945" w:type="dxa"/>
            <w:tcBorders>
              <w:top w:val="nil"/>
              <w:left w:val="nil"/>
              <w:bottom w:val="nil"/>
              <w:right w:val="nil"/>
            </w:tcBorders>
            <w:shd w:val="clear" w:color="auto" w:fill="auto"/>
            <w:vAlign w:val="center"/>
          </w:tcPr>
          <w:p w14:paraId="269DB4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校验数据来源、公式、阈值与权限规则</w:t>
            </w:r>
          </w:p>
        </w:tc>
        <w:tc>
          <w:tcPr>
            <w:tcW w:w="966" w:type="dxa"/>
            <w:tcBorders>
              <w:top w:val="nil"/>
              <w:left w:val="nil"/>
              <w:bottom w:val="nil"/>
              <w:right w:val="nil"/>
            </w:tcBorders>
            <w:shd w:val="clear" w:color="auto" w:fill="auto"/>
            <w:vAlign w:val="center"/>
          </w:tcPr>
          <w:p w14:paraId="21AB21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B51B4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411158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指标口径、阈值和预警规则形成后</w:t>
            </w:r>
          </w:p>
        </w:tc>
        <w:tc>
          <w:tcPr>
            <w:tcW w:w="1406" w:type="dxa"/>
            <w:tcBorders>
              <w:top w:val="nil"/>
              <w:left w:val="nil"/>
              <w:bottom w:val="nil"/>
              <w:right w:val="nil"/>
            </w:tcBorders>
            <w:shd w:val="clear" w:color="auto" w:fill="auto"/>
            <w:vAlign w:val="center"/>
          </w:tcPr>
          <w:p w14:paraId="38B558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校验数据来源、计算口径、阈值区间及权限是否有效；数据源不可用或规则冲突时修改。</w:t>
            </w:r>
          </w:p>
        </w:tc>
        <w:tc>
          <w:tcPr>
            <w:tcW w:w="1088" w:type="dxa"/>
            <w:tcBorders>
              <w:top w:val="nil"/>
              <w:left w:val="nil"/>
              <w:bottom w:val="nil"/>
              <w:right w:val="nil"/>
            </w:tcBorders>
            <w:shd w:val="clear" w:color="auto" w:fill="auto"/>
            <w:vAlign w:val="center"/>
          </w:tcPr>
          <w:p w14:paraId="0C8F4D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校验结果和样例试算结果</w:t>
            </w:r>
          </w:p>
        </w:tc>
        <w:tc>
          <w:tcPr>
            <w:tcW w:w="1460" w:type="dxa"/>
            <w:tcBorders>
              <w:top w:val="nil"/>
              <w:left w:val="nil"/>
              <w:bottom w:val="nil"/>
              <w:right w:val="nil"/>
            </w:tcBorders>
            <w:shd w:val="clear" w:color="auto" w:fill="auto"/>
            <w:vAlign w:val="center"/>
          </w:tcPr>
          <w:p w14:paraId="6BBF142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193565">
        <w:trPr>
          <w:cantSplit/>
          <w:trHeight w:val="0" w:hRule="atLeast"/>
          <w:jc w:val="center"/>
        </w:trPr>
        <w:tc>
          <w:tcPr>
            <w:tcW w:w="2944" w:type="dxa"/>
            <w:tcBorders>
              <w:top w:val="nil"/>
              <w:left w:val="nil"/>
              <w:bottom w:val="nil"/>
              <w:right w:val="nil"/>
            </w:tcBorders>
            <w:shd w:val="clear" w:color="auto" w:fill="auto"/>
            <w:vAlign w:val="center"/>
          </w:tcPr>
          <w:p w14:paraId="266C2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P-ZLTC-SCOS-JSC-001-30-001</w:t>
            </w:r>
          </w:p>
        </w:tc>
        <w:tc>
          <w:tcPr>
            <w:tcW w:w="945" w:type="dxa"/>
            <w:tcBorders>
              <w:top w:val="nil"/>
              <w:left w:val="nil"/>
              <w:bottom w:val="nil"/>
              <w:right w:val="nil"/>
            </w:tcBorders>
            <w:shd w:val="clear" w:color="auto" w:fill="auto"/>
            <w:vAlign w:val="center"/>
          </w:tcPr>
          <w:p w14:paraId="6A521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评审指标口径和预警级别规则</w:t>
            </w:r>
          </w:p>
        </w:tc>
        <w:tc>
          <w:tcPr>
            <w:tcW w:w="966" w:type="dxa"/>
            <w:tcBorders>
              <w:top w:val="nil"/>
              <w:left w:val="nil"/>
              <w:bottom w:val="nil"/>
              <w:right w:val="nil"/>
            </w:tcBorders>
            <w:shd w:val="clear" w:color="auto" w:fill="auto"/>
            <w:vAlign w:val="center"/>
          </w:tcPr>
          <w:p w14:paraId="13564E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B21BB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E2D7B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校验结果和样例试算结果形成并具备评审条件后</w:t>
            </w:r>
          </w:p>
        </w:tc>
        <w:tc>
          <w:tcPr>
            <w:tcW w:w="1406" w:type="dxa"/>
            <w:tcBorders>
              <w:top w:val="nil"/>
              <w:left w:val="nil"/>
              <w:bottom w:val="nil"/>
              <w:right w:val="nil"/>
            </w:tcBorders>
            <w:shd w:val="clear" w:color="auto" w:fill="auto"/>
            <w:vAlign w:val="center"/>
          </w:tcPr>
          <w:p w14:paraId="61EC2F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确认指标口径、来源、频率及预警级别符合业务要求；存在歧义时补充口径。</w:t>
            </w:r>
          </w:p>
        </w:tc>
        <w:tc>
          <w:tcPr>
            <w:tcW w:w="1088" w:type="dxa"/>
            <w:tcBorders>
              <w:top w:val="nil"/>
              <w:left w:val="nil"/>
              <w:bottom w:val="nil"/>
              <w:right w:val="nil"/>
            </w:tcBorders>
            <w:shd w:val="clear" w:color="auto" w:fill="auto"/>
            <w:vAlign w:val="center"/>
          </w:tcPr>
          <w:p w14:paraId="41BFA4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业务评审意见</w:t>
            </w:r>
          </w:p>
        </w:tc>
        <w:tc>
          <w:tcPr>
            <w:tcW w:w="1460" w:type="dxa"/>
            <w:tcBorders>
              <w:top w:val="nil"/>
              <w:left w:val="nil"/>
              <w:bottom w:val="nil"/>
              <w:right w:val="nil"/>
            </w:tcBorders>
            <w:shd w:val="clear" w:color="auto" w:fill="auto"/>
            <w:vAlign w:val="center"/>
          </w:tcPr>
          <w:p w14:paraId="2B724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B98C8E">
        <w:trPr>
          <w:cantSplit/>
          <w:trHeight w:val="0" w:hRule="atLeast"/>
          <w:jc w:val="center"/>
        </w:trPr>
        <w:tc>
          <w:tcPr>
            <w:tcW w:w="2944" w:type="dxa"/>
            <w:tcBorders>
              <w:top w:val="nil"/>
              <w:left w:val="nil"/>
              <w:bottom w:val="nil"/>
              <w:right w:val="nil"/>
            </w:tcBorders>
            <w:shd w:val="clear" w:color="auto" w:fill="auto"/>
            <w:vAlign w:val="center"/>
          </w:tcPr>
          <w:p w14:paraId="77F67E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P-ZLTC-SCOS-JSC-001-40-001</w:t>
            </w:r>
          </w:p>
        </w:tc>
        <w:tc>
          <w:tcPr>
            <w:tcW w:w="945" w:type="dxa"/>
            <w:tcBorders>
              <w:top w:val="nil"/>
              <w:left w:val="nil"/>
              <w:bottom w:val="nil"/>
              <w:right w:val="nil"/>
            </w:tcBorders>
            <w:shd w:val="clear" w:color="auto" w:fill="auto"/>
            <w:vAlign w:val="center"/>
          </w:tcPr>
          <w:p w14:paraId="663C1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判断规则是否确认规则</w:t>
            </w:r>
          </w:p>
        </w:tc>
        <w:tc>
          <w:tcPr>
            <w:tcW w:w="966" w:type="dxa"/>
            <w:tcBorders>
              <w:top w:val="nil"/>
              <w:left w:val="nil"/>
              <w:bottom w:val="nil"/>
              <w:right w:val="nil"/>
            </w:tcBorders>
            <w:shd w:val="clear" w:color="auto" w:fill="auto"/>
            <w:vAlign w:val="center"/>
          </w:tcPr>
          <w:p w14:paraId="104821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F1CF1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CF64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业务评审意见形成后</w:t>
            </w:r>
          </w:p>
        </w:tc>
        <w:tc>
          <w:tcPr>
            <w:tcW w:w="1406" w:type="dxa"/>
            <w:tcBorders>
              <w:top w:val="nil"/>
              <w:left w:val="nil"/>
              <w:bottom w:val="nil"/>
              <w:right w:val="nil"/>
            </w:tcBorders>
            <w:shd w:val="clear" w:color="auto" w:fill="auto"/>
            <w:vAlign w:val="center"/>
          </w:tcPr>
          <w:p w14:paraId="2FBA8D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确认是否提交管理审批；规则未确认时退回复核；规则确认后继续处理。</w:t>
            </w:r>
          </w:p>
        </w:tc>
        <w:tc>
          <w:tcPr>
            <w:tcW w:w="1088" w:type="dxa"/>
            <w:tcBorders>
              <w:top w:val="nil"/>
              <w:left w:val="nil"/>
              <w:bottom w:val="nil"/>
              <w:right w:val="nil"/>
            </w:tcBorders>
            <w:shd w:val="clear" w:color="auto" w:fill="auto"/>
            <w:vAlign w:val="center"/>
          </w:tcPr>
          <w:p w14:paraId="3013A6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EEEBC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816C44">
        <w:trPr>
          <w:cantSplit/>
          <w:trHeight w:val="0" w:hRule="atLeast"/>
          <w:jc w:val="center"/>
        </w:trPr>
        <w:tc>
          <w:tcPr>
            <w:tcW w:w="2944" w:type="dxa"/>
            <w:tcBorders>
              <w:top w:val="nil"/>
              <w:left w:val="nil"/>
              <w:bottom w:val="nil"/>
              <w:right w:val="nil"/>
            </w:tcBorders>
            <w:shd w:val="clear" w:color="auto" w:fill="auto"/>
            <w:vAlign w:val="center"/>
          </w:tcPr>
          <w:p w14:paraId="2BEC7C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P-ZLTC-SCOS-JSC-001-50-001</w:t>
            </w:r>
          </w:p>
        </w:tc>
        <w:tc>
          <w:tcPr>
            <w:tcW w:w="945" w:type="dxa"/>
            <w:tcBorders>
              <w:top w:val="nil"/>
              <w:left w:val="nil"/>
              <w:bottom w:val="nil"/>
              <w:right w:val="nil"/>
            </w:tcBorders>
            <w:shd w:val="clear" w:color="auto" w:fill="auto"/>
            <w:vAlign w:val="center"/>
          </w:tcPr>
          <w:p w14:paraId="2F4D26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审批指标与预警规则</w:t>
            </w:r>
          </w:p>
        </w:tc>
        <w:tc>
          <w:tcPr>
            <w:tcW w:w="966" w:type="dxa"/>
            <w:tcBorders>
              <w:top w:val="nil"/>
              <w:left w:val="nil"/>
              <w:bottom w:val="nil"/>
              <w:right w:val="nil"/>
            </w:tcBorders>
            <w:shd w:val="clear" w:color="auto" w:fill="auto"/>
            <w:vAlign w:val="center"/>
          </w:tcPr>
          <w:p w14:paraId="743FD44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F80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00554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规则确认时</w:t>
            </w:r>
          </w:p>
        </w:tc>
        <w:tc>
          <w:tcPr>
            <w:tcW w:w="1406" w:type="dxa"/>
            <w:tcBorders>
              <w:top w:val="nil"/>
              <w:left w:val="nil"/>
              <w:bottom w:val="nil"/>
              <w:right w:val="nil"/>
            </w:tcBorders>
            <w:shd w:val="clear" w:color="auto" w:fill="auto"/>
            <w:vAlign w:val="center"/>
          </w:tcPr>
          <w:p w14:paraId="33B44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审核指标用途、预警级别、可见范围及管理决策影响；不通过时说明修改意见。</w:t>
            </w:r>
          </w:p>
        </w:tc>
        <w:tc>
          <w:tcPr>
            <w:tcW w:w="1088" w:type="dxa"/>
            <w:tcBorders>
              <w:top w:val="nil"/>
              <w:left w:val="nil"/>
              <w:bottom w:val="nil"/>
              <w:right w:val="nil"/>
            </w:tcBorders>
            <w:shd w:val="clear" w:color="auto" w:fill="auto"/>
            <w:vAlign w:val="center"/>
          </w:tcPr>
          <w:p w14:paraId="78043F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2BB2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309038">
        <w:trPr>
          <w:cantSplit/>
          <w:trHeight w:val="0" w:hRule="atLeast"/>
          <w:jc w:val="center"/>
        </w:trPr>
        <w:tc>
          <w:tcPr>
            <w:tcW w:w="2944" w:type="dxa"/>
            <w:tcBorders>
              <w:top w:val="nil"/>
              <w:left w:val="nil"/>
              <w:bottom w:val="nil"/>
              <w:right w:val="nil"/>
            </w:tcBorders>
            <w:shd w:val="clear" w:color="auto" w:fill="auto"/>
            <w:vAlign w:val="center"/>
          </w:tcPr>
          <w:p w14:paraId="487E71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P-ZLTC-SCOS-JSC-001-60-001</w:t>
            </w:r>
          </w:p>
        </w:tc>
        <w:tc>
          <w:tcPr>
            <w:tcW w:w="945" w:type="dxa"/>
            <w:tcBorders>
              <w:top w:val="nil"/>
              <w:left w:val="nil"/>
              <w:bottom w:val="nil"/>
              <w:right w:val="nil"/>
            </w:tcBorders>
            <w:shd w:val="clear" w:color="auto" w:fill="auto"/>
            <w:vAlign w:val="center"/>
          </w:tcPr>
          <w:p w14:paraId="01836B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6BCF062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0B24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288096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197F30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判断配置是否可发布；审批未通过时退回处理；审批通过后继续处理。</w:t>
            </w:r>
          </w:p>
        </w:tc>
        <w:tc>
          <w:tcPr>
            <w:tcW w:w="1088" w:type="dxa"/>
            <w:tcBorders>
              <w:top w:val="nil"/>
              <w:left w:val="nil"/>
              <w:bottom w:val="nil"/>
              <w:right w:val="nil"/>
            </w:tcBorders>
            <w:shd w:val="clear" w:color="auto" w:fill="auto"/>
            <w:vAlign w:val="center"/>
          </w:tcPr>
          <w:p w14:paraId="240692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3ACDBC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A38099">
        <w:trPr>
          <w:cantSplit/>
          <w:trHeight w:val="0" w:hRule="atLeast"/>
          <w:jc w:val="center"/>
        </w:trPr>
        <w:tc>
          <w:tcPr>
            <w:tcW w:w="2944" w:type="dxa"/>
            <w:tcBorders>
              <w:top w:val="nil"/>
              <w:left w:val="nil"/>
              <w:bottom w:val="nil"/>
              <w:right w:val="nil"/>
            </w:tcBorders>
            <w:shd w:val="clear" w:color="auto" w:fill="auto"/>
            <w:vAlign w:val="center"/>
          </w:tcPr>
          <w:p w14:paraId="29AD29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P-ZLTC-SCOS-JSC-001-70-001</w:t>
            </w:r>
          </w:p>
        </w:tc>
        <w:tc>
          <w:tcPr>
            <w:tcW w:w="945" w:type="dxa"/>
            <w:tcBorders>
              <w:top w:val="nil"/>
              <w:left w:val="nil"/>
              <w:bottom w:val="nil"/>
              <w:right w:val="nil"/>
            </w:tcBorders>
            <w:shd w:val="clear" w:color="auto" w:fill="auto"/>
            <w:vAlign w:val="center"/>
          </w:tcPr>
          <w:p w14:paraId="1AF89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发布指标口径、阈值与规则版本规则</w:t>
            </w:r>
          </w:p>
        </w:tc>
        <w:tc>
          <w:tcPr>
            <w:tcW w:w="966" w:type="dxa"/>
            <w:tcBorders>
              <w:top w:val="nil"/>
              <w:left w:val="nil"/>
              <w:bottom w:val="nil"/>
              <w:right w:val="nil"/>
            </w:tcBorders>
            <w:shd w:val="clear" w:color="auto" w:fill="auto"/>
            <w:vAlign w:val="center"/>
          </w:tcPr>
          <w:p w14:paraId="57A54D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A9480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39D50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6E04A3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发布规则版本，保留原版本、生效时间、变更原因、试算和审批记录；发布失败时原有效版本继续生效。</w:t>
            </w:r>
          </w:p>
        </w:tc>
        <w:tc>
          <w:tcPr>
            <w:tcW w:w="1088" w:type="dxa"/>
            <w:tcBorders>
              <w:top w:val="nil"/>
              <w:left w:val="nil"/>
              <w:bottom w:val="nil"/>
              <w:right w:val="nil"/>
            </w:tcBorders>
            <w:shd w:val="clear" w:color="auto" w:fill="auto"/>
            <w:vAlign w:val="center"/>
          </w:tcPr>
          <w:p w14:paraId="281651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已发布指标口径、健康度阈值和预警规则版本</w:t>
            </w:r>
          </w:p>
        </w:tc>
        <w:tc>
          <w:tcPr>
            <w:tcW w:w="1460" w:type="dxa"/>
            <w:tcBorders>
              <w:top w:val="nil"/>
              <w:left w:val="nil"/>
              <w:bottom w:val="nil"/>
              <w:right w:val="nil"/>
            </w:tcBorders>
            <w:shd w:val="clear" w:color="auto" w:fill="auto"/>
            <w:vAlign w:val="center"/>
          </w:tcPr>
          <w:p w14:paraId="6A59E8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D631EF">
        <w:trPr>
          <w:cantSplit/>
          <w:trHeight w:val="0" w:hRule="atLeast"/>
          <w:jc w:val="center"/>
        </w:trPr>
        <w:tc>
          <w:tcPr>
            <w:tcW w:w="2944" w:type="dxa"/>
            <w:tcBorders>
              <w:top w:val="nil"/>
              <w:left w:val="nil"/>
              <w:bottom w:val="nil"/>
              <w:right w:val="nil"/>
            </w:tcBorders>
            <w:shd w:val="clear" w:color="auto" w:fill="auto"/>
            <w:vAlign w:val="center"/>
          </w:tcPr>
          <w:p w14:paraId="2D6E8F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P-ZLTC-SCOS-JSC-002-10-001</w:t>
            </w:r>
          </w:p>
        </w:tc>
        <w:tc>
          <w:tcPr>
            <w:tcW w:w="945" w:type="dxa"/>
            <w:tcBorders>
              <w:top w:val="nil"/>
              <w:left w:val="nil"/>
              <w:bottom w:val="nil"/>
              <w:right w:val="nil"/>
            </w:tcBorders>
            <w:shd w:val="clear" w:color="auto" w:fill="auto"/>
            <w:vAlign w:val="center"/>
          </w:tcPr>
          <w:p w14:paraId="03A308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提出角色视图与专题展示需求规则</w:t>
            </w:r>
          </w:p>
        </w:tc>
        <w:tc>
          <w:tcPr>
            <w:tcW w:w="966" w:type="dxa"/>
            <w:tcBorders>
              <w:top w:val="nil"/>
              <w:left w:val="nil"/>
              <w:bottom w:val="nil"/>
              <w:right w:val="nil"/>
            </w:tcBorders>
            <w:shd w:val="clear" w:color="auto" w:fill="auto"/>
            <w:vAlign w:val="center"/>
          </w:tcPr>
          <w:p w14:paraId="04D8E5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CA4D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1B8A0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角色职责、管理主题或展示范围变化时</w:t>
            </w:r>
          </w:p>
        </w:tc>
        <w:tc>
          <w:tcPr>
            <w:tcW w:w="1406" w:type="dxa"/>
            <w:tcBorders>
              <w:top w:val="nil"/>
              <w:left w:val="nil"/>
              <w:bottom w:val="nil"/>
              <w:right w:val="nil"/>
            </w:tcBorders>
            <w:shd w:val="clear" w:color="auto" w:fill="auto"/>
            <w:vAlign w:val="center"/>
          </w:tcPr>
          <w:p w14:paraId="080DC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明确使用角色、关注指标、专题页签、筛选条件及展示终端；需求与岗位职责不符时退回补充依据。</w:t>
            </w:r>
          </w:p>
        </w:tc>
        <w:tc>
          <w:tcPr>
            <w:tcW w:w="1088" w:type="dxa"/>
            <w:tcBorders>
              <w:top w:val="nil"/>
              <w:left w:val="nil"/>
              <w:bottom w:val="nil"/>
              <w:right w:val="nil"/>
            </w:tcBorders>
            <w:shd w:val="clear" w:color="auto" w:fill="auto"/>
            <w:vAlign w:val="center"/>
          </w:tcPr>
          <w:p w14:paraId="6B6604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视图需求</w:t>
            </w:r>
          </w:p>
        </w:tc>
        <w:tc>
          <w:tcPr>
            <w:tcW w:w="1460" w:type="dxa"/>
            <w:tcBorders>
              <w:top w:val="nil"/>
              <w:left w:val="nil"/>
              <w:bottom w:val="nil"/>
              <w:right w:val="nil"/>
            </w:tcBorders>
            <w:shd w:val="clear" w:color="auto" w:fill="auto"/>
            <w:vAlign w:val="center"/>
          </w:tcPr>
          <w:p w14:paraId="14D57A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52C40">
        <w:trPr>
          <w:cantSplit/>
          <w:trHeight w:val="0" w:hRule="atLeast"/>
          <w:jc w:val="center"/>
        </w:trPr>
        <w:tc>
          <w:tcPr>
            <w:tcW w:w="2944" w:type="dxa"/>
            <w:tcBorders>
              <w:top w:val="nil"/>
              <w:left w:val="nil"/>
              <w:bottom w:val="nil"/>
              <w:right w:val="nil"/>
            </w:tcBorders>
            <w:shd w:val="clear" w:color="auto" w:fill="auto"/>
            <w:vAlign w:val="center"/>
          </w:tcPr>
          <w:p w14:paraId="2ABB8E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P-ZLTC-SCOS-JSC-002-20-001</w:t>
            </w:r>
          </w:p>
        </w:tc>
        <w:tc>
          <w:tcPr>
            <w:tcW w:w="945" w:type="dxa"/>
            <w:tcBorders>
              <w:top w:val="nil"/>
              <w:left w:val="nil"/>
              <w:bottom w:val="nil"/>
              <w:right w:val="nil"/>
            </w:tcBorders>
            <w:shd w:val="clear" w:color="auto" w:fill="auto"/>
            <w:vAlign w:val="center"/>
          </w:tcPr>
          <w:p w14:paraId="30309F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配置视图布局、指标与查看权限规则</w:t>
            </w:r>
          </w:p>
        </w:tc>
        <w:tc>
          <w:tcPr>
            <w:tcW w:w="966" w:type="dxa"/>
            <w:tcBorders>
              <w:top w:val="nil"/>
              <w:left w:val="nil"/>
              <w:bottom w:val="nil"/>
              <w:right w:val="nil"/>
            </w:tcBorders>
            <w:shd w:val="clear" w:color="auto" w:fill="auto"/>
            <w:vAlign w:val="center"/>
          </w:tcPr>
          <w:p w14:paraId="20A7FB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8ED9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5801B6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视图需求形成后</w:t>
            </w:r>
          </w:p>
        </w:tc>
        <w:tc>
          <w:tcPr>
            <w:tcW w:w="1406" w:type="dxa"/>
            <w:tcBorders>
              <w:top w:val="nil"/>
              <w:left w:val="nil"/>
              <w:bottom w:val="nil"/>
              <w:right w:val="nil"/>
            </w:tcBorders>
            <w:shd w:val="clear" w:color="auto" w:fill="auto"/>
            <w:vAlign w:val="center"/>
          </w:tcPr>
          <w:p w14:paraId="2554D81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使用已发布指标配置全局总览及产销、储运、环保、资金等专题视图；指标尚未发布时先转指标配置流程。</w:t>
            </w:r>
          </w:p>
        </w:tc>
        <w:tc>
          <w:tcPr>
            <w:tcW w:w="1088" w:type="dxa"/>
            <w:tcBorders>
              <w:top w:val="nil"/>
              <w:left w:val="nil"/>
              <w:bottom w:val="nil"/>
              <w:right w:val="nil"/>
            </w:tcBorders>
            <w:shd w:val="clear" w:color="auto" w:fill="auto"/>
            <w:vAlign w:val="center"/>
          </w:tcPr>
          <w:p w14:paraId="0AFA9E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看板草稿</w:t>
            </w:r>
          </w:p>
        </w:tc>
        <w:tc>
          <w:tcPr>
            <w:tcW w:w="1460" w:type="dxa"/>
            <w:tcBorders>
              <w:top w:val="nil"/>
              <w:left w:val="nil"/>
              <w:bottom w:val="nil"/>
              <w:right w:val="nil"/>
            </w:tcBorders>
            <w:shd w:val="clear" w:color="auto" w:fill="auto"/>
            <w:vAlign w:val="center"/>
          </w:tcPr>
          <w:p w14:paraId="6B2565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17D3C6">
        <w:trPr>
          <w:cantSplit/>
          <w:trHeight w:val="0" w:hRule="atLeast"/>
          <w:jc w:val="center"/>
        </w:trPr>
        <w:tc>
          <w:tcPr>
            <w:tcW w:w="2944" w:type="dxa"/>
            <w:tcBorders>
              <w:top w:val="nil"/>
              <w:left w:val="nil"/>
              <w:bottom w:val="nil"/>
              <w:right w:val="nil"/>
            </w:tcBorders>
            <w:shd w:val="clear" w:color="auto" w:fill="auto"/>
            <w:vAlign w:val="center"/>
          </w:tcPr>
          <w:p w14:paraId="2DF1A7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P-ZLTC-SCOS-JSC-002-30-001</w:t>
            </w:r>
          </w:p>
        </w:tc>
        <w:tc>
          <w:tcPr>
            <w:tcW w:w="945" w:type="dxa"/>
            <w:tcBorders>
              <w:top w:val="nil"/>
              <w:left w:val="nil"/>
              <w:bottom w:val="nil"/>
              <w:right w:val="nil"/>
            </w:tcBorders>
            <w:shd w:val="clear" w:color="auto" w:fill="auto"/>
            <w:vAlign w:val="center"/>
          </w:tcPr>
          <w:p w14:paraId="525C81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预览并校验多端展示效果规则</w:t>
            </w:r>
          </w:p>
        </w:tc>
        <w:tc>
          <w:tcPr>
            <w:tcW w:w="966" w:type="dxa"/>
            <w:tcBorders>
              <w:top w:val="nil"/>
              <w:left w:val="nil"/>
              <w:bottom w:val="nil"/>
              <w:right w:val="nil"/>
            </w:tcBorders>
            <w:shd w:val="clear" w:color="auto" w:fill="auto"/>
            <w:vAlign w:val="center"/>
          </w:tcPr>
          <w:p w14:paraId="34EC37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ABEBC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1368B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看板草稿形成后</w:t>
            </w:r>
          </w:p>
        </w:tc>
        <w:tc>
          <w:tcPr>
            <w:tcW w:w="1406" w:type="dxa"/>
            <w:tcBorders>
              <w:top w:val="nil"/>
              <w:left w:val="nil"/>
              <w:bottom w:val="nil"/>
              <w:right w:val="nil"/>
            </w:tcBorders>
            <w:shd w:val="clear" w:color="auto" w:fill="auto"/>
            <w:vAlign w:val="center"/>
          </w:tcPr>
          <w:p w14:paraId="67FCE6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校验组件数据、布局、钻取链路、PC端和移动端核心视图；组件失效、移动端不可用或越权时调整。</w:t>
            </w:r>
          </w:p>
        </w:tc>
        <w:tc>
          <w:tcPr>
            <w:tcW w:w="1088" w:type="dxa"/>
            <w:tcBorders>
              <w:top w:val="nil"/>
              <w:left w:val="nil"/>
              <w:bottom w:val="nil"/>
              <w:right w:val="nil"/>
            </w:tcBorders>
            <w:shd w:val="clear" w:color="auto" w:fill="auto"/>
            <w:vAlign w:val="center"/>
          </w:tcPr>
          <w:p w14:paraId="7BE28B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预览结果和校验清单</w:t>
            </w:r>
          </w:p>
        </w:tc>
        <w:tc>
          <w:tcPr>
            <w:tcW w:w="1460" w:type="dxa"/>
            <w:tcBorders>
              <w:top w:val="nil"/>
              <w:left w:val="nil"/>
              <w:bottom w:val="nil"/>
              <w:right w:val="nil"/>
            </w:tcBorders>
            <w:shd w:val="clear" w:color="auto" w:fill="auto"/>
            <w:vAlign w:val="center"/>
          </w:tcPr>
          <w:p w14:paraId="57EEA4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3D7FDB">
        <w:trPr>
          <w:cantSplit/>
          <w:trHeight w:val="0" w:hRule="atLeast"/>
          <w:jc w:val="center"/>
        </w:trPr>
        <w:tc>
          <w:tcPr>
            <w:tcW w:w="2944" w:type="dxa"/>
            <w:tcBorders>
              <w:top w:val="nil"/>
              <w:left w:val="nil"/>
              <w:bottom w:val="nil"/>
              <w:right w:val="nil"/>
            </w:tcBorders>
            <w:shd w:val="clear" w:color="auto" w:fill="auto"/>
            <w:vAlign w:val="center"/>
          </w:tcPr>
          <w:p w14:paraId="7924D3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P-ZLTC-SCOS-JSC-002-40-001</w:t>
            </w:r>
          </w:p>
        </w:tc>
        <w:tc>
          <w:tcPr>
            <w:tcW w:w="945" w:type="dxa"/>
            <w:tcBorders>
              <w:top w:val="nil"/>
              <w:left w:val="nil"/>
              <w:bottom w:val="nil"/>
              <w:right w:val="nil"/>
            </w:tcBorders>
            <w:shd w:val="clear" w:color="auto" w:fill="auto"/>
            <w:vAlign w:val="center"/>
          </w:tcPr>
          <w:p w14:paraId="6ED45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判断业务视图是否确认规则</w:t>
            </w:r>
          </w:p>
        </w:tc>
        <w:tc>
          <w:tcPr>
            <w:tcW w:w="966" w:type="dxa"/>
            <w:tcBorders>
              <w:top w:val="nil"/>
              <w:left w:val="nil"/>
              <w:bottom w:val="nil"/>
              <w:right w:val="nil"/>
            </w:tcBorders>
            <w:shd w:val="clear" w:color="auto" w:fill="auto"/>
            <w:vAlign w:val="center"/>
          </w:tcPr>
          <w:p w14:paraId="5828DF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40B0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78B56F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预览结果和校验清单形成后</w:t>
            </w:r>
          </w:p>
        </w:tc>
        <w:tc>
          <w:tcPr>
            <w:tcW w:w="1406" w:type="dxa"/>
            <w:tcBorders>
              <w:top w:val="nil"/>
              <w:left w:val="nil"/>
              <w:bottom w:val="nil"/>
              <w:right w:val="nil"/>
            </w:tcBorders>
            <w:shd w:val="clear" w:color="auto" w:fill="auto"/>
            <w:vAlign w:val="center"/>
          </w:tcPr>
          <w:p w14:paraId="5EA45F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确认视图是否能够支撑本角色日常监控和决策；业务视图未确认时退回复核；业务视图确认后继续处理。</w:t>
            </w:r>
          </w:p>
        </w:tc>
        <w:tc>
          <w:tcPr>
            <w:tcW w:w="1088" w:type="dxa"/>
            <w:tcBorders>
              <w:top w:val="nil"/>
              <w:left w:val="nil"/>
              <w:bottom w:val="nil"/>
              <w:right w:val="nil"/>
            </w:tcBorders>
            <w:shd w:val="clear" w:color="auto" w:fill="auto"/>
            <w:vAlign w:val="center"/>
          </w:tcPr>
          <w:p w14:paraId="1FFB18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业务确认结论</w:t>
            </w:r>
          </w:p>
        </w:tc>
        <w:tc>
          <w:tcPr>
            <w:tcW w:w="1460" w:type="dxa"/>
            <w:tcBorders>
              <w:top w:val="nil"/>
              <w:left w:val="nil"/>
              <w:bottom w:val="nil"/>
              <w:right w:val="nil"/>
            </w:tcBorders>
            <w:shd w:val="clear" w:color="auto" w:fill="auto"/>
            <w:vAlign w:val="center"/>
          </w:tcPr>
          <w:p w14:paraId="611AE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D663A6">
        <w:trPr>
          <w:cantSplit/>
          <w:trHeight w:val="0" w:hRule="atLeast"/>
          <w:jc w:val="center"/>
        </w:trPr>
        <w:tc>
          <w:tcPr>
            <w:tcW w:w="2944" w:type="dxa"/>
            <w:tcBorders>
              <w:top w:val="nil"/>
              <w:left w:val="nil"/>
              <w:bottom w:val="nil"/>
              <w:right w:val="nil"/>
            </w:tcBorders>
            <w:shd w:val="clear" w:color="auto" w:fill="auto"/>
            <w:vAlign w:val="center"/>
          </w:tcPr>
          <w:p w14:paraId="34BC42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P-ZLTC-SCOS-JSC-002-50-001</w:t>
            </w:r>
          </w:p>
        </w:tc>
        <w:tc>
          <w:tcPr>
            <w:tcW w:w="945" w:type="dxa"/>
            <w:tcBorders>
              <w:top w:val="nil"/>
              <w:left w:val="nil"/>
              <w:bottom w:val="nil"/>
              <w:right w:val="nil"/>
            </w:tcBorders>
            <w:shd w:val="clear" w:color="auto" w:fill="auto"/>
            <w:vAlign w:val="center"/>
          </w:tcPr>
          <w:p w14:paraId="20A953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审批展示范围与敏感数据权限规则</w:t>
            </w:r>
          </w:p>
        </w:tc>
        <w:tc>
          <w:tcPr>
            <w:tcW w:w="966" w:type="dxa"/>
            <w:tcBorders>
              <w:top w:val="nil"/>
              <w:left w:val="nil"/>
              <w:bottom w:val="nil"/>
              <w:right w:val="nil"/>
            </w:tcBorders>
            <w:shd w:val="clear" w:color="auto" w:fill="auto"/>
            <w:vAlign w:val="center"/>
          </w:tcPr>
          <w:p w14:paraId="6ADF5D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CB6B0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04F8BE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业务视图确认时</w:t>
            </w:r>
          </w:p>
        </w:tc>
        <w:tc>
          <w:tcPr>
            <w:tcW w:w="1406" w:type="dxa"/>
            <w:tcBorders>
              <w:top w:val="nil"/>
              <w:left w:val="nil"/>
              <w:bottom w:val="nil"/>
              <w:right w:val="nil"/>
            </w:tcBorders>
            <w:shd w:val="clear" w:color="auto" w:fill="auto"/>
            <w:vAlign w:val="center"/>
          </w:tcPr>
          <w:p w14:paraId="07F5FA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审核成本、资金、供应商等敏感内容的角色与组织可见范围；不通过时说明调整意见。</w:t>
            </w:r>
          </w:p>
        </w:tc>
        <w:tc>
          <w:tcPr>
            <w:tcW w:w="1088" w:type="dxa"/>
            <w:tcBorders>
              <w:top w:val="nil"/>
              <w:left w:val="nil"/>
              <w:bottom w:val="nil"/>
              <w:right w:val="nil"/>
            </w:tcBorders>
            <w:shd w:val="clear" w:color="auto" w:fill="auto"/>
            <w:vAlign w:val="center"/>
          </w:tcPr>
          <w:p w14:paraId="34CF73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4ABBDD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148D38">
        <w:trPr>
          <w:cantSplit/>
          <w:trHeight w:val="0" w:hRule="atLeast"/>
          <w:jc w:val="center"/>
        </w:trPr>
        <w:tc>
          <w:tcPr>
            <w:tcW w:w="2944" w:type="dxa"/>
            <w:tcBorders>
              <w:top w:val="nil"/>
              <w:left w:val="nil"/>
              <w:bottom w:val="nil"/>
              <w:right w:val="nil"/>
            </w:tcBorders>
            <w:shd w:val="clear" w:color="auto" w:fill="auto"/>
            <w:vAlign w:val="center"/>
          </w:tcPr>
          <w:p w14:paraId="36FE98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P-ZLTC-SCOS-JSC-002-60-001</w:t>
            </w:r>
          </w:p>
        </w:tc>
        <w:tc>
          <w:tcPr>
            <w:tcW w:w="945" w:type="dxa"/>
            <w:tcBorders>
              <w:top w:val="nil"/>
              <w:left w:val="nil"/>
              <w:bottom w:val="nil"/>
              <w:right w:val="nil"/>
            </w:tcBorders>
            <w:shd w:val="clear" w:color="auto" w:fill="auto"/>
            <w:vAlign w:val="center"/>
          </w:tcPr>
          <w:p w14:paraId="7B5E45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5983FD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61D49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9043A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7D5FC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判断角色视图是否可发布；审批未通过时退回复核；审批通过后继续处理。</w:t>
            </w:r>
          </w:p>
        </w:tc>
        <w:tc>
          <w:tcPr>
            <w:tcW w:w="1088" w:type="dxa"/>
            <w:tcBorders>
              <w:top w:val="nil"/>
              <w:left w:val="nil"/>
              <w:bottom w:val="nil"/>
              <w:right w:val="nil"/>
            </w:tcBorders>
            <w:shd w:val="clear" w:color="auto" w:fill="auto"/>
            <w:vAlign w:val="center"/>
          </w:tcPr>
          <w:p w14:paraId="4DC6DA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2AC2FB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9010AD">
        <w:trPr>
          <w:cantSplit/>
          <w:trHeight w:val="0" w:hRule="atLeast"/>
          <w:jc w:val="center"/>
        </w:trPr>
        <w:tc>
          <w:tcPr>
            <w:tcW w:w="2944" w:type="dxa"/>
            <w:tcBorders>
              <w:top w:val="nil"/>
              <w:left w:val="nil"/>
              <w:bottom w:val="nil"/>
              <w:right w:val="nil"/>
            </w:tcBorders>
            <w:shd w:val="clear" w:color="auto" w:fill="auto"/>
            <w:vAlign w:val="center"/>
          </w:tcPr>
          <w:p w14:paraId="044042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P-ZLTC-SCOS-JSC-002-70-001</w:t>
            </w:r>
          </w:p>
        </w:tc>
        <w:tc>
          <w:tcPr>
            <w:tcW w:w="945" w:type="dxa"/>
            <w:tcBorders>
              <w:top w:val="nil"/>
              <w:left w:val="nil"/>
              <w:bottom w:val="nil"/>
              <w:right w:val="nil"/>
            </w:tcBorders>
            <w:shd w:val="clear" w:color="auto" w:fill="auto"/>
            <w:vAlign w:val="center"/>
          </w:tcPr>
          <w:p w14:paraId="40264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发布角色视图与专题看板版本规则</w:t>
            </w:r>
          </w:p>
        </w:tc>
        <w:tc>
          <w:tcPr>
            <w:tcW w:w="966" w:type="dxa"/>
            <w:tcBorders>
              <w:top w:val="nil"/>
              <w:left w:val="nil"/>
              <w:bottom w:val="nil"/>
              <w:right w:val="nil"/>
            </w:tcBorders>
            <w:shd w:val="clear" w:color="auto" w:fill="auto"/>
            <w:vAlign w:val="center"/>
          </w:tcPr>
          <w:p w14:paraId="76FFEA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721B1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08139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0186FF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按角色发布并记录版本、生效时间、适用组织和审批轨迹；发布失败时原有效版本继续生效。</w:t>
            </w:r>
          </w:p>
        </w:tc>
        <w:tc>
          <w:tcPr>
            <w:tcW w:w="1088" w:type="dxa"/>
            <w:tcBorders>
              <w:top w:val="nil"/>
              <w:left w:val="nil"/>
              <w:bottom w:val="nil"/>
              <w:right w:val="nil"/>
            </w:tcBorders>
            <w:shd w:val="clear" w:color="auto" w:fill="auto"/>
            <w:vAlign w:val="center"/>
          </w:tcPr>
          <w:p w14:paraId="0E9C2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已发布视图版本</w:t>
            </w:r>
          </w:p>
        </w:tc>
        <w:tc>
          <w:tcPr>
            <w:tcW w:w="1460" w:type="dxa"/>
            <w:tcBorders>
              <w:top w:val="nil"/>
              <w:left w:val="nil"/>
              <w:bottom w:val="nil"/>
              <w:right w:val="nil"/>
            </w:tcBorders>
            <w:shd w:val="clear" w:color="auto" w:fill="auto"/>
            <w:vAlign w:val="center"/>
          </w:tcPr>
          <w:p w14:paraId="61B0CA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7ABCE9">
        <w:trPr>
          <w:cantSplit/>
          <w:trHeight w:val="0" w:hRule="atLeast"/>
          <w:jc w:val="center"/>
        </w:trPr>
        <w:tc>
          <w:tcPr>
            <w:tcW w:w="2944" w:type="dxa"/>
            <w:tcBorders>
              <w:top w:val="nil"/>
              <w:left w:val="nil"/>
              <w:bottom w:val="nil"/>
              <w:right w:val="nil"/>
            </w:tcBorders>
            <w:shd w:val="clear" w:color="auto" w:fill="auto"/>
            <w:vAlign w:val="center"/>
          </w:tcPr>
          <w:p w14:paraId="662919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P-ZLTC-SCOS-JSC-003-10-001</w:t>
            </w:r>
          </w:p>
        </w:tc>
        <w:tc>
          <w:tcPr>
            <w:tcW w:w="945" w:type="dxa"/>
            <w:tcBorders>
              <w:top w:val="nil"/>
              <w:left w:val="nil"/>
              <w:bottom w:val="nil"/>
              <w:right w:val="nil"/>
            </w:tcBorders>
            <w:shd w:val="clear" w:color="auto" w:fill="auto"/>
            <w:vAlign w:val="center"/>
          </w:tcPr>
          <w:p w14:paraId="5F43BA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提供全域数据与各模块运算结果规则</w:t>
            </w:r>
          </w:p>
        </w:tc>
        <w:tc>
          <w:tcPr>
            <w:tcW w:w="966" w:type="dxa"/>
            <w:tcBorders>
              <w:top w:val="nil"/>
              <w:left w:val="nil"/>
              <w:bottom w:val="nil"/>
              <w:right w:val="nil"/>
            </w:tcBorders>
            <w:shd w:val="clear" w:color="auto" w:fill="auto"/>
            <w:vAlign w:val="center"/>
          </w:tcPr>
          <w:p w14:paraId="334A4A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4049B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26CB8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实时数据变化、业务模块结果发布或定时刷新任务触发时</w:t>
            </w:r>
          </w:p>
        </w:tc>
        <w:tc>
          <w:tcPr>
            <w:tcW w:w="1406" w:type="dxa"/>
            <w:tcBorders>
              <w:top w:val="nil"/>
              <w:left w:val="nil"/>
              <w:bottom w:val="nil"/>
              <w:right w:val="nil"/>
            </w:tcBorders>
            <w:shd w:val="clear" w:color="auto" w:fill="auto"/>
            <w:vAlign w:val="center"/>
          </w:tcPr>
          <w:p w14:paraId="37C3BD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按标准API或消息订阅提供数据；数据延迟、缺失或状态冲突时标记数据时间与可信状态。</w:t>
            </w:r>
          </w:p>
        </w:tc>
        <w:tc>
          <w:tcPr>
            <w:tcW w:w="1088" w:type="dxa"/>
            <w:tcBorders>
              <w:top w:val="nil"/>
              <w:left w:val="nil"/>
              <w:bottom w:val="nil"/>
              <w:right w:val="nil"/>
            </w:tcBorders>
            <w:shd w:val="clear" w:color="auto" w:fill="auto"/>
            <w:vAlign w:val="center"/>
          </w:tcPr>
          <w:p w14:paraId="3649D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驾驶舱指标计算数据集</w:t>
            </w:r>
          </w:p>
        </w:tc>
        <w:tc>
          <w:tcPr>
            <w:tcW w:w="1460" w:type="dxa"/>
            <w:tcBorders>
              <w:top w:val="nil"/>
              <w:left w:val="nil"/>
              <w:bottom w:val="nil"/>
              <w:right w:val="nil"/>
            </w:tcBorders>
            <w:shd w:val="clear" w:color="auto" w:fill="auto"/>
            <w:vAlign w:val="center"/>
          </w:tcPr>
          <w:p w14:paraId="50BFACF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SCOS/SAP/实时数据平台</w:t>
            </w:r>
          </w:p>
        </w:tc>
      </w:tr>
      <w:tr w14:paraId="2DB02C7B">
        <w:trPr>
          <w:cantSplit/>
          <w:trHeight w:val="0" w:hRule="atLeast"/>
          <w:jc w:val="center"/>
        </w:trPr>
        <w:tc>
          <w:tcPr>
            <w:tcW w:w="2944" w:type="dxa"/>
            <w:tcBorders>
              <w:top w:val="nil"/>
              <w:left w:val="nil"/>
              <w:bottom w:val="nil"/>
              <w:right w:val="nil"/>
            </w:tcBorders>
            <w:shd w:val="clear" w:color="auto" w:fill="auto"/>
            <w:vAlign w:val="center"/>
          </w:tcPr>
          <w:p w14:paraId="0EA537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P-ZLTC-SCOS-JSC-003-20-001</w:t>
            </w:r>
          </w:p>
        </w:tc>
        <w:tc>
          <w:tcPr>
            <w:tcW w:w="945" w:type="dxa"/>
            <w:tcBorders>
              <w:top w:val="nil"/>
              <w:left w:val="nil"/>
              <w:bottom w:val="nil"/>
              <w:right w:val="nil"/>
            </w:tcBorders>
            <w:shd w:val="clear" w:color="auto" w:fill="auto"/>
            <w:vAlign w:val="center"/>
          </w:tcPr>
          <w:p w14:paraId="6F664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计算核心KPI与专题视图指标规则</w:t>
            </w:r>
          </w:p>
        </w:tc>
        <w:tc>
          <w:tcPr>
            <w:tcW w:w="966" w:type="dxa"/>
            <w:tcBorders>
              <w:top w:val="nil"/>
              <w:left w:val="nil"/>
              <w:bottom w:val="nil"/>
              <w:right w:val="nil"/>
            </w:tcBorders>
            <w:shd w:val="clear" w:color="auto" w:fill="auto"/>
            <w:vAlign w:val="center"/>
          </w:tcPr>
          <w:p w14:paraId="406237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FE38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5A78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驾驶舱指标计算数据集形成后</w:t>
            </w:r>
          </w:p>
        </w:tc>
        <w:tc>
          <w:tcPr>
            <w:tcW w:w="1406" w:type="dxa"/>
            <w:tcBorders>
              <w:top w:val="nil"/>
              <w:left w:val="nil"/>
              <w:bottom w:val="nil"/>
              <w:right w:val="nil"/>
            </w:tcBorders>
            <w:shd w:val="clear" w:color="auto" w:fill="auto"/>
            <w:vAlign w:val="center"/>
          </w:tcPr>
          <w:p w14:paraId="5B158E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计算产销达成率、库存周转天数、准时交付率等核心指标；指标所需关键数据不完整时该指标标记“数据异常”，不使用人工值替代。</w:t>
            </w:r>
          </w:p>
        </w:tc>
        <w:tc>
          <w:tcPr>
            <w:tcW w:w="1088" w:type="dxa"/>
            <w:tcBorders>
              <w:top w:val="nil"/>
              <w:left w:val="nil"/>
              <w:bottom w:val="nil"/>
              <w:right w:val="nil"/>
            </w:tcBorders>
            <w:shd w:val="clear" w:color="auto" w:fill="auto"/>
            <w:vAlign w:val="center"/>
          </w:tcPr>
          <w:p w14:paraId="3482C5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核心KPI和产销/储运/环保/资金专题指标</w:t>
            </w:r>
          </w:p>
        </w:tc>
        <w:tc>
          <w:tcPr>
            <w:tcW w:w="1460" w:type="dxa"/>
            <w:tcBorders>
              <w:top w:val="nil"/>
              <w:left w:val="nil"/>
              <w:bottom w:val="nil"/>
              <w:right w:val="nil"/>
            </w:tcBorders>
            <w:shd w:val="clear" w:color="auto" w:fill="auto"/>
            <w:vAlign w:val="center"/>
          </w:tcPr>
          <w:p w14:paraId="70771C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0F29AD">
        <w:trPr>
          <w:cantSplit/>
          <w:trHeight w:val="0" w:hRule="atLeast"/>
          <w:jc w:val="center"/>
        </w:trPr>
        <w:tc>
          <w:tcPr>
            <w:tcW w:w="2944" w:type="dxa"/>
            <w:tcBorders>
              <w:top w:val="nil"/>
              <w:left w:val="nil"/>
              <w:bottom w:val="nil"/>
              <w:right w:val="nil"/>
            </w:tcBorders>
            <w:shd w:val="clear" w:color="auto" w:fill="auto"/>
            <w:vAlign w:val="center"/>
          </w:tcPr>
          <w:p w14:paraId="5B259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P-ZLTC-SCOS-JSC-003-30-001</w:t>
            </w:r>
          </w:p>
        </w:tc>
        <w:tc>
          <w:tcPr>
            <w:tcW w:w="945" w:type="dxa"/>
            <w:tcBorders>
              <w:top w:val="nil"/>
              <w:left w:val="nil"/>
              <w:bottom w:val="nil"/>
              <w:right w:val="nil"/>
            </w:tcBorders>
            <w:shd w:val="clear" w:color="auto" w:fill="auto"/>
            <w:vAlign w:val="center"/>
          </w:tcPr>
          <w:p w14:paraId="71B229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评估全局健康度规则</w:t>
            </w:r>
          </w:p>
        </w:tc>
        <w:tc>
          <w:tcPr>
            <w:tcW w:w="966" w:type="dxa"/>
            <w:tcBorders>
              <w:top w:val="nil"/>
              <w:left w:val="nil"/>
              <w:bottom w:val="nil"/>
              <w:right w:val="nil"/>
            </w:tcBorders>
            <w:shd w:val="clear" w:color="auto" w:fill="auto"/>
            <w:vAlign w:val="center"/>
          </w:tcPr>
          <w:p w14:paraId="5499A7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06934F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8B85A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核心KPI和产销/储运/环保/资金专题指标形成后</w:t>
            </w:r>
          </w:p>
        </w:tc>
        <w:tc>
          <w:tcPr>
            <w:tcW w:w="1406" w:type="dxa"/>
            <w:tcBorders>
              <w:top w:val="nil"/>
              <w:left w:val="nil"/>
              <w:bottom w:val="nil"/>
              <w:right w:val="nil"/>
            </w:tcBorders>
            <w:shd w:val="clear" w:color="auto" w:fill="auto"/>
            <w:vAlign w:val="center"/>
          </w:tcPr>
          <w:p w14:paraId="7D5A6E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将指标与健康度阈值比较；阈值版本失效时保留最后有效状态并提示管理员。</w:t>
            </w:r>
          </w:p>
        </w:tc>
        <w:tc>
          <w:tcPr>
            <w:tcW w:w="1088" w:type="dxa"/>
            <w:tcBorders>
              <w:top w:val="nil"/>
              <w:left w:val="nil"/>
              <w:bottom w:val="nil"/>
              <w:right w:val="nil"/>
            </w:tcBorders>
            <w:shd w:val="clear" w:color="auto" w:fill="auto"/>
            <w:vAlign w:val="center"/>
          </w:tcPr>
          <w:p w14:paraId="29DB79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各节点/指标红黄绿状态</w:t>
            </w:r>
          </w:p>
        </w:tc>
        <w:tc>
          <w:tcPr>
            <w:tcW w:w="1460" w:type="dxa"/>
            <w:tcBorders>
              <w:top w:val="nil"/>
              <w:left w:val="nil"/>
              <w:bottom w:val="nil"/>
              <w:right w:val="nil"/>
            </w:tcBorders>
            <w:shd w:val="clear" w:color="auto" w:fill="auto"/>
            <w:vAlign w:val="center"/>
          </w:tcPr>
          <w:p w14:paraId="279409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02DDC1">
        <w:trPr>
          <w:cantSplit/>
          <w:trHeight w:val="0" w:hRule="atLeast"/>
          <w:jc w:val="center"/>
        </w:trPr>
        <w:tc>
          <w:tcPr>
            <w:tcW w:w="2944" w:type="dxa"/>
            <w:tcBorders>
              <w:top w:val="nil"/>
              <w:left w:val="nil"/>
              <w:bottom w:val="nil"/>
              <w:right w:val="nil"/>
            </w:tcBorders>
            <w:shd w:val="clear" w:color="auto" w:fill="auto"/>
            <w:vAlign w:val="center"/>
          </w:tcPr>
          <w:p w14:paraId="591B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P-ZLTC-SCOS-JSC-003-40-001</w:t>
            </w:r>
          </w:p>
        </w:tc>
        <w:tc>
          <w:tcPr>
            <w:tcW w:w="945" w:type="dxa"/>
            <w:tcBorders>
              <w:top w:val="nil"/>
              <w:left w:val="nil"/>
              <w:bottom w:val="nil"/>
              <w:right w:val="nil"/>
            </w:tcBorders>
            <w:shd w:val="clear" w:color="auto" w:fill="auto"/>
            <w:vAlign w:val="center"/>
          </w:tcPr>
          <w:p w14:paraId="7548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判断数据是否完整可信规则</w:t>
            </w:r>
          </w:p>
        </w:tc>
        <w:tc>
          <w:tcPr>
            <w:tcW w:w="966" w:type="dxa"/>
            <w:tcBorders>
              <w:top w:val="nil"/>
              <w:left w:val="nil"/>
              <w:bottom w:val="nil"/>
              <w:right w:val="nil"/>
            </w:tcBorders>
            <w:shd w:val="clear" w:color="auto" w:fill="auto"/>
            <w:vAlign w:val="center"/>
          </w:tcPr>
          <w:p w14:paraId="6E6B4F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13F2B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3A9113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各节点/指标红黄绿状态形成后</w:t>
            </w:r>
          </w:p>
        </w:tc>
        <w:tc>
          <w:tcPr>
            <w:tcW w:w="1406" w:type="dxa"/>
            <w:tcBorders>
              <w:top w:val="nil"/>
              <w:left w:val="nil"/>
              <w:bottom w:val="nil"/>
              <w:right w:val="nil"/>
            </w:tcBorders>
            <w:shd w:val="clear" w:color="auto" w:fill="auto"/>
            <w:vAlign w:val="center"/>
          </w:tcPr>
          <w:p w14:paraId="023072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确认指标结果是否符合展示和决策使用条件；数据不完整或不可信时显示明确占位、缓存时间和缺失原因；数据完整可信时继续处理。</w:t>
            </w:r>
          </w:p>
        </w:tc>
        <w:tc>
          <w:tcPr>
            <w:tcW w:w="1088" w:type="dxa"/>
            <w:tcBorders>
              <w:top w:val="nil"/>
              <w:left w:val="nil"/>
              <w:bottom w:val="nil"/>
              <w:right w:val="nil"/>
            </w:tcBorders>
            <w:shd w:val="clear" w:color="auto" w:fill="auto"/>
            <w:vAlign w:val="center"/>
          </w:tcPr>
          <w:p w14:paraId="3965D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可展示判断</w:t>
            </w:r>
          </w:p>
        </w:tc>
        <w:tc>
          <w:tcPr>
            <w:tcW w:w="1460" w:type="dxa"/>
            <w:tcBorders>
              <w:top w:val="nil"/>
              <w:left w:val="nil"/>
              <w:bottom w:val="nil"/>
              <w:right w:val="nil"/>
            </w:tcBorders>
            <w:shd w:val="clear" w:color="auto" w:fill="auto"/>
            <w:vAlign w:val="center"/>
          </w:tcPr>
          <w:p w14:paraId="106FB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DBE5B9">
        <w:trPr>
          <w:cantSplit/>
          <w:trHeight w:val="0" w:hRule="atLeast"/>
          <w:jc w:val="center"/>
        </w:trPr>
        <w:tc>
          <w:tcPr>
            <w:tcW w:w="2944" w:type="dxa"/>
            <w:tcBorders>
              <w:top w:val="nil"/>
              <w:left w:val="nil"/>
              <w:bottom w:val="nil"/>
              <w:right w:val="nil"/>
            </w:tcBorders>
            <w:shd w:val="clear" w:color="auto" w:fill="auto"/>
            <w:vAlign w:val="center"/>
          </w:tcPr>
          <w:p w14:paraId="7AC532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P-ZLTC-SCOS-JSC-003-50-001</w:t>
            </w:r>
          </w:p>
        </w:tc>
        <w:tc>
          <w:tcPr>
            <w:tcW w:w="945" w:type="dxa"/>
            <w:tcBorders>
              <w:top w:val="nil"/>
              <w:left w:val="nil"/>
              <w:bottom w:val="nil"/>
              <w:right w:val="nil"/>
            </w:tcBorders>
            <w:shd w:val="clear" w:color="auto" w:fill="auto"/>
            <w:vAlign w:val="center"/>
          </w:tcPr>
          <w:p w14:paraId="344A12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查看全局态势与专题视图规则</w:t>
            </w:r>
          </w:p>
        </w:tc>
        <w:tc>
          <w:tcPr>
            <w:tcW w:w="966" w:type="dxa"/>
            <w:tcBorders>
              <w:top w:val="nil"/>
              <w:left w:val="nil"/>
              <w:bottom w:val="nil"/>
              <w:right w:val="nil"/>
            </w:tcBorders>
            <w:shd w:val="clear" w:color="auto" w:fill="auto"/>
            <w:vAlign w:val="center"/>
          </w:tcPr>
          <w:p w14:paraId="6A27B6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C966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088C9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数据完整可信时</w:t>
            </w:r>
          </w:p>
        </w:tc>
        <w:tc>
          <w:tcPr>
            <w:tcW w:w="1406" w:type="dxa"/>
            <w:tcBorders>
              <w:top w:val="nil"/>
              <w:left w:val="nil"/>
              <w:bottom w:val="nil"/>
              <w:right w:val="nil"/>
            </w:tcBorders>
            <w:shd w:val="clear" w:color="auto" w:fill="auto"/>
            <w:vAlign w:val="center"/>
          </w:tcPr>
          <w:p w14:paraId="440384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按角色查看全局总览及产销、储运、环保、资金专题视图；无权查看的成本、资金等敏感数据不予展示。</w:t>
            </w:r>
          </w:p>
        </w:tc>
        <w:tc>
          <w:tcPr>
            <w:tcW w:w="1088" w:type="dxa"/>
            <w:tcBorders>
              <w:top w:val="nil"/>
              <w:left w:val="nil"/>
              <w:bottom w:val="nil"/>
              <w:right w:val="nil"/>
            </w:tcBorders>
            <w:shd w:val="clear" w:color="auto" w:fill="auto"/>
            <w:vAlign w:val="center"/>
          </w:tcPr>
          <w:p w14:paraId="692DBC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态势查看记录</w:t>
            </w:r>
          </w:p>
        </w:tc>
        <w:tc>
          <w:tcPr>
            <w:tcW w:w="1460" w:type="dxa"/>
            <w:tcBorders>
              <w:top w:val="nil"/>
              <w:left w:val="nil"/>
              <w:bottom w:val="nil"/>
              <w:right w:val="nil"/>
            </w:tcBorders>
            <w:shd w:val="clear" w:color="auto" w:fill="auto"/>
            <w:vAlign w:val="center"/>
          </w:tcPr>
          <w:p w14:paraId="7A7DBA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BA309D">
        <w:trPr>
          <w:cantSplit/>
          <w:trHeight w:val="0" w:hRule="atLeast"/>
          <w:jc w:val="center"/>
        </w:trPr>
        <w:tc>
          <w:tcPr>
            <w:tcW w:w="2944" w:type="dxa"/>
            <w:tcBorders>
              <w:top w:val="nil"/>
              <w:left w:val="nil"/>
              <w:bottom w:val="nil"/>
              <w:right w:val="nil"/>
            </w:tcBorders>
            <w:shd w:val="clear" w:color="auto" w:fill="auto"/>
            <w:vAlign w:val="center"/>
          </w:tcPr>
          <w:p w14:paraId="7A7C01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P-ZLTC-SCOS-JSC-003-60-001</w:t>
            </w:r>
          </w:p>
        </w:tc>
        <w:tc>
          <w:tcPr>
            <w:tcW w:w="945" w:type="dxa"/>
            <w:tcBorders>
              <w:top w:val="nil"/>
              <w:left w:val="nil"/>
              <w:bottom w:val="nil"/>
              <w:right w:val="nil"/>
            </w:tcBorders>
            <w:shd w:val="clear" w:color="auto" w:fill="auto"/>
            <w:vAlign w:val="center"/>
          </w:tcPr>
          <w:p w14:paraId="735530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判断是否需要进一步分析规则</w:t>
            </w:r>
          </w:p>
        </w:tc>
        <w:tc>
          <w:tcPr>
            <w:tcW w:w="966" w:type="dxa"/>
            <w:tcBorders>
              <w:top w:val="nil"/>
              <w:left w:val="nil"/>
              <w:bottom w:val="nil"/>
              <w:right w:val="nil"/>
            </w:tcBorders>
            <w:shd w:val="clear" w:color="auto" w:fill="auto"/>
            <w:vAlign w:val="center"/>
          </w:tcPr>
          <w:p w14:paraId="76322E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EAC90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A681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态势查看记录形成后</w:t>
            </w:r>
          </w:p>
        </w:tc>
        <w:tc>
          <w:tcPr>
            <w:tcW w:w="1406" w:type="dxa"/>
            <w:tcBorders>
              <w:top w:val="nil"/>
              <w:left w:val="nil"/>
              <w:bottom w:val="nil"/>
              <w:right w:val="nil"/>
            </w:tcBorders>
            <w:shd w:val="clear" w:color="auto" w:fill="auto"/>
            <w:vAlign w:val="center"/>
          </w:tcPr>
          <w:p w14:paraId="6E0AFD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判断是否对异常KPI进行钻取、查看预警处置；不需要进一步分析时继续态势监测；需要进一步分析时转入相应分析流程。</w:t>
            </w:r>
          </w:p>
        </w:tc>
        <w:tc>
          <w:tcPr>
            <w:tcW w:w="1088" w:type="dxa"/>
            <w:tcBorders>
              <w:top w:val="nil"/>
              <w:left w:val="nil"/>
              <w:bottom w:val="nil"/>
              <w:right w:val="nil"/>
            </w:tcBorders>
            <w:shd w:val="clear" w:color="auto" w:fill="auto"/>
            <w:vAlign w:val="center"/>
          </w:tcPr>
          <w:p w14:paraId="13643F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处理选择</w:t>
            </w:r>
          </w:p>
        </w:tc>
        <w:tc>
          <w:tcPr>
            <w:tcW w:w="1460" w:type="dxa"/>
            <w:tcBorders>
              <w:top w:val="nil"/>
              <w:left w:val="nil"/>
              <w:bottom w:val="nil"/>
              <w:right w:val="nil"/>
            </w:tcBorders>
            <w:shd w:val="clear" w:color="auto" w:fill="auto"/>
            <w:vAlign w:val="center"/>
          </w:tcPr>
          <w:p w14:paraId="2C29C5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24A965">
        <w:trPr>
          <w:cantSplit/>
          <w:trHeight w:val="0" w:hRule="atLeast"/>
          <w:jc w:val="center"/>
        </w:trPr>
        <w:tc>
          <w:tcPr>
            <w:tcW w:w="2944" w:type="dxa"/>
            <w:tcBorders>
              <w:top w:val="nil"/>
              <w:left w:val="nil"/>
              <w:bottom w:val="nil"/>
              <w:right w:val="nil"/>
            </w:tcBorders>
            <w:shd w:val="clear" w:color="auto" w:fill="auto"/>
            <w:vAlign w:val="center"/>
          </w:tcPr>
          <w:p w14:paraId="4C135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P-ZLTC-SCOS-JSC-003-70-001</w:t>
            </w:r>
          </w:p>
        </w:tc>
        <w:tc>
          <w:tcPr>
            <w:tcW w:w="945" w:type="dxa"/>
            <w:tcBorders>
              <w:top w:val="nil"/>
              <w:left w:val="nil"/>
              <w:bottom w:val="nil"/>
              <w:right w:val="nil"/>
            </w:tcBorders>
            <w:shd w:val="clear" w:color="auto" w:fill="auto"/>
            <w:vAlign w:val="center"/>
          </w:tcPr>
          <w:p w14:paraId="0000DA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更新态势视图并输出态势报告规则</w:t>
            </w:r>
          </w:p>
        </w:tc>
        <w:tc>
          <w:tcPr>
            <w:tcW w:w="966" w:type="dxa"/>
            <w:tcBorders>
              <w:top w:val="nil"/>
              <w:left w:val="nil"/>
              <w:bottom w:val="nil"/>
              <w:right w:val="nil"/>
            </w:tcBorders>
            <w:shd w:val="clear" w:color="auto" w:fill="auto"/>
            <w:vAlign w:val="center"/>
          </w:tcPr>
          <w:p w14:paraId="1301BC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5775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5C419C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处理选择形成后</w:t>
            </w:r>
          </w:p>
        </w:tc>
        <w:tc>
          <w:tcPr>
            <w:tcW w:w="1406" w:type="dxa"/>
            <w:tcBorders>
              <w:top w:val="nil"/>
              <w:left w:val="nil"/>
              <w:bottom w:val="nil"/>
              <w:right w:val="nil"/>
            </w:tcBorders>
            <w:shd w:val="clear" w:color="auto" w:fill="auto"/>
            <w:vAlign w:val="center"/>
          </w:tcPr>
          <w:p w14:paraId="25E1E9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按刷新频率更新态势，支持按权限导出当前态势报告；报告生成失败不影响实时监测。</w:t>
            </w:r>
          </w:p>
        </w:tc>
        <w:tc>
          <w:tcPr>
            <w:tcW w:w="1088" w:type="dxa"/>
            <w:tcBorders>
              <w:top w:val="nil"/>
              <w:left w:val="nil"/>
              <w:bottom w:val="nil"/>
              <w:right w:val="nil"/>
            </w:tcBorders>
            <w:shd w:val="clear" w:color="auto" w:fill="auto"/>
            <w:vAlign w:val="center"/>
          </w:tcPr>
          <w:p w14:paraId="3787E9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最新态势视图和可导出报告</w:t>
            </w:r>
          </w:p>
        </w:tc>
        <w:tc>
          <w:tcPr>
            <w:tcW w:w="1460" w:type="dxa"/>
            <w:tcBorders>
              <w:top w:val="nil"/>
              <w:left w:val="nil"/>
              <w:bottom w:val="nil"/>
              <w:right w:val="nil"/>
            </w:tcBorders>
            <w:shd w:val="clear" w:color="auto" w:fill="auto"/>
            <w:vAlign w:val="center"/>
          </w:tcPr>
          <w:p w14:paraId="40F59E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EF5399">
        <w:trPr>
          <w:cantSplit/>
          <w:trHeight w:val="0" w:hRule="atLeast"/>
          <w:jc w:val="center"/>
        </w:trPr>
        <w:tc>
          <w:tcPr>
            <w:tcW w:w="2944" w:type="dxa"/>
            <w:tcBorders>
              <w:top w:val="nil"/>
              <w:left w:val="nil"/>
              <w:bottom w:val="nil"/>
              <w:right w:val="nil"/>
            </w:tcBorders>
            <w:shd w:val="clear" w:color="auto" w:fill="auto"/>
            <w:vAlign w:val="center"/>
          </w:tcPr>
          <w:p w14:paraId="01BBB9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P-ZLTC-SCOS-JSC-004-10-001</w:t>
            </w:r>
          </w:p>
        </w:tc>
        <w:tc>
          <w:tcPr>
            <w:tcW w:w="945" w:type="dxa"/>
            <w:tcBorders>
              <w:top w:val="nil"/>
              <w:left w:val="nil"/>
              <w:bottom w:val="nil"/>
              <w:right w:val="nil"/>
            </w:tcBorders>
            <w:shd w:val="clear" w:color="auto" w:fill="auto"/>
            <w:vAlign w:val="center"/>
          </w:tcPr>
          <w:p w14:paraId="21098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选择异常KPI或业务节点规则</w:t>
            </w:r>
          </w:p>
        </w:tc>
        <w:tc>
          <w:tcPr>
            <w:tcW w:w="966" w:type="dxa"/>
            <w:tcBorders>
              <w:top w:val="nil"/>
              <w:left w:val="nil"/>
              <w:bottom w:val="nil"/>
              <w:right w:val="nil"/>
            </w:tcBorders>
            <w:shd w:val="clear" w:color="auto" w:fill="auto"/>
            <w:vAlign w:val="center"/>
          </w:tcPr>
          <w:p w14:paraId="6F30B9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26220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D2804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用户主动点击异常对象时</w:t>
            </w:r>
          </w:p>
        </w:tc>
        <w:tc>
          <w:tcPr>
            <w:tcW w:w="1406" w:type="dxa"/>
            <w:tcBorders>
              <w:top w:val="nil"/>
              <w:left w:val="nil"/>
              <w:bottom w:val="nil"/>
              <w:right w:val="nil"/>
            </w:tcBorders>
            <w:shd w:val="clear" w:color="auto" w:fill="auto"/>
            <w:vAlign w:val="center"/>
          </w:tcPr>
          <w:p w14:paraId="4810E6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选择分析指标、业务范围和钻取维度；无权查看下层数据时停止钻取。</w:t>
            </w:r>
          </w:p>
        </w:tc>
        <w:tc>
          <w:tcPr>
            <w:tcW w:w="1088" w:type="dxa"/>
            <w:tcBorders>
              <w:top w:val="nil"/>
              <w:left w:val="nil"/>
              <w:bottom w:val="nil"/>
              <w:right w:val="nil"/>
            </w:tcBorders>
            <w:shd w:val="clear" w:color="auto" w:fill="auto"/>
            <w:vAlign w:val="center"/>
          </w:tcPr>
          <w:p w14:paraId="3B166F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钻取请求</w:t>
            </w:r>
          </w:p>
        </w:tc>
        <w:tc>
          <w:tcPr>
            <w:tcW w:w="1460" w:type="dxa"/>
            <w:tcBorders>
              <w:top w:val="nil"/>
              <w:left w:val="nil"/>
              <w:bottom w:val="nil"/>
              <w:right w:val="nil"/>
            </w:tcBorders>
            <w:shd w:val="clear" w:color="auto" w:fill="auto"/>
            <w:vAlign w:val="center"/>
          </w:tcPr>
          <w:p w14:paraId="43086A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2166D0">
        <w:trPr>
          <w:cantSplit/>
          <w:trHeight w:val="0" w:hRule="atLeast"/>
          <w:jc w:val="center"/>
        </w:trPr>
        <w:tc>
          <w:tcPr>
            <w:tcW w:w="2944" w:type="dxa"/>
            <w:tcBorders>
              <w:top w:val="nil"/>
              <w:left w:val="nil"/>
              <w:bottom w:val="nil"/>
              <w:right w:val="nil"/>
            </w:tcBorders>
            <w:shd w:val="clear" w:color="auto" w:fill="auto"/>
            <w:vAlign w:val="center"/>
          </w:tcPr>
          <w:p w14:paraId="4ABAC3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P-ZLTC-SCOS-JSC-004-20-001</w:t>
            </w:r>
          </w:p>
        </w:tc>
        <w:tc>
          <w:tcPr>
            <w:tcW w:w="945" w:type="dxa"/>
            <w:tcBorders>
              <w:top w:val="nil"/>
              <w:left w:val="nil"/>
              <w:bottom w:val="nil"/>
              <w:right w:val="nil"/>
            </w:tcBorders>
            <w:shd w:val="clear" w:color="auto" w:fill="auto"/>
            <w:vAlign w:val="center"/>
          </w:tcPr>
          <w:p w14:paraId="634B6A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展开专题视图和影响范围规则</w:t>
            </w:r>
          </w:p>
        </w:tc>
        <w:tc>
          <w:tcPr>
            <w:tcW w:w="966" w:type="dxa"/>
            <w:tcBorders>
              <w:top w:val="nil"/>
              <w:left w:val="nil"/>
              <w:bottom w:val="nil"/>
              <w:right w:val="nil"/>
            </w:tcBorders>
            <w:shd w:val="clear" w:color="auto" w:fill="auto"/>
            <w:vAlign w:val="center"/>
          </w:tcPr>
          <w:p w14:paraId="1ADE3D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433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D8A20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钻取请求形成后</w:t>
            </w:r>
          </w:p>
        </w:tc>
        <w:tc>
          <w:tcPr>
            <w:tcW w:w="1406" w:type="dxa"/>
            <w:tcBorders>
              <w:top w:val="nil"/>
              <w:left w:val="nil"/>
              <w:bottom w:val="nil"/>
              <w:right w:val="nil"/>
            </w:tcBorders>
            <w:shd w:val="clear" w:color="auto" w:fill="auto"/>
            <w:vAlign w:val="center"/>
          </w:tcPr>
          <w:p w14:paraId="26FBB7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展示异常指标的时间趋势、计划与实际差异、关联业务对象；专题数据不完整时显示可用范围和缺失项。</w:t>
            </w:r>
          </w:p>
        </w:tc>
        <w:tc>
          <w:tcPr>
            <w:tcW w:w="1088" w:type="dxa"/>
            <w:tcBorders>
              <w:top w:val="nil"/>
              <w:left w:val="nil"/>
              <w:bottom w:val="nil"/>
              <w:right w:val="nil"/>
            </w:tcBorders>
            <w:shd w:val="clear" w:color="auto" w:fill="auto"/>
            <w:vAlign w:val="center"/>
          </w:tcPr>
          <w:p w14:paraId="7598D9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专题趋势、对比和关联对象</w:t>
            </w:r>
          </w:p>
        </w:tc>
        <w:tc>
          <w:tcPr>
            <w:tcW w:w="1460" w:type="dxa"/>
            <w:tcBorders>
              <w:top w:val="nil"/>
              <w:left w:val="nil"/>
              <w:bottom w:val="nil"/>
              <w:right w:val="nil"/>
            </w:tcBorders>
            <w:shd w:val="clear" w:color="auto" w:fill="auto"/>
            <w:vAlign w:val="center"/>
          </w:tcPr>
          <w:p w14:paraId="7E8006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26BB72">
        <w:trPr>
          <w:cantSplit/>
          <w:trHeight w:val="0" w:hRule="atLeast"/>
          <w:jc w:val="center"/>
        </w:trPr>
        <w:tc>
          <w:tcPr>
            <w:tcW w:w="2944" w:type="dxa"/>
            <w:tcBorders>
              <w:top w:val="nil"/>
              <w:left w:val="nil"/>
              <w:bottom w:val="nil"/>
              <w:right w:val="nil"/>
            </w:tcBorders>
            <w:shd w:val="clear" w:color="auto" w:fill="auto"/>
            <w:vAlign w:val="center"/>
          </w:tcPr>
          <w:p w14:paraId="04A8D2D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P-ZLTC-SCOS-JSC-004-30-001</w:t>
            </w:r>
          </w:p>
        </w:tc>
        <w:tc>
          <w:tcPr>
            <w:tcW w:w="945" w:type="dxa"/>
            <w:tcBorders>
              <w:top w:val="nil"/>
              <w:left w:val="nil"/>
              <w:bottom w:val="nil"/>
              <w:right w:val="nil"/>
            </w:tcBorders>
            <w:shd w:val="clear" w:color="auto" w:fill="auto"/>
            <w:vAlign w:val="center"/>
          </w:tcPr>
          <w:p w14:paraId="3735C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钻取明细清单并关联源单据/工单规则</w:t>
            </w:r>
          </w:p>
        </w:tc>
        <w:tc>
          <w:tcPr>
            <w:tcW w:w="966" w:type="dxa"/>
            <w:tcBorders>
              <w:top w:val="nil"/>
              <w:left w:val="nil"/>
              <w:bottom w:val="nil"/>
              <w:right w:val="nil"/>
            </w:tcBorders>
            <w:shd w:val="clear" w:color="auto" w:fill="auto"/>
            <w:vAlign w:val="center"/>
          </w:tcPr>
          <w:p w14:paraId="1FD2BA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DDD6B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B854F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专题趋势、对比和关联对象形成后</w:t>
            </w:r>
          </w:p>
        </w:tc>
        <w:tc>
          <w:tcPr>
            <w:tcW w:w="1406" w:type="dxa"/>
            <w:tcBorders>
              <w:top w:val="nil"/>
              <w:left w:val="nil"/>
              <w:bottom w:val="nil"/>
              <w:right w:val="nil"/>
            </w:tcBorders>
            <w:shd w:val="clear" w:color="auto" w:fill="auto"/>
            <w:vAlign w:val="center"/>
          </w:tcPr>
          <w:p w14:paraId="72FF656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按总览、专题、明细和源单据的层级逐步追溯；源系统不可用时保留驾驶舱已获取的明细和数据时间。</w:t>
            </w:r>
          </w:p>
        </w:tc>
        <w:tc>
          <w:tcPr>
            <w:tcW w:w="1088" w:type="dxa"/>
            <w:tcBorders>
              <w:top w:val="nil"/>
              <w:left w:val="nil"/>
              <w:bottom w:val="nil"/>
              <w:right w:val="nil"/>
            </w:tcBorders>
            <w:shd w:val="clear" w:color="auto" w:fill="auto"/>
            <w:vAlign w:val="center"/>
          </w:tcPr>
          <w:p w14:paraId="75F3BE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明细清单、源单据/工单链接</w:t>
            </w:r>
          </w:p>
        </w:tc>
        <w:tc>
          <w:tcPr>
            <w:tcW w:w="1460" w:type="dxa"/>
            <w:tcBorders>
              <w:top w:val="nil"/>
              <w:left w:val="nil"/>
              <w:bottom w:val="nil"/>
              <w:right w:val="nil"/>
            </w:tcBorders>
            <w:shd w:val="clear" w:color="auto" w:fill="auto"/>
            <w:vAlign w:val="center"/>
          </w:tcPr>
          <w:p w14:paraId="10539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CA3EB2">
        <w:trPr>
          <w:cantSplit/>
          <w:trHeight w:val="0" w:hRule="atLeast"/>
          <w:jc w:val="center"/>
        </w:trPr>
        <w:tc>
          <w:tcPr>
            <w:tcW w:w="2944" w:type="dxa"/>
            <w:tcBorders>
              <w:top w:val="nil"/>
              <w:left w:val="nil"/>
              <w:bottom w:val="nil"/>
              <w:right w:val="nil"/>
            </w:tcBorders>
            <w:shd w:val="clear" w:color="auto" w:fill="auto"/>
            <w:vAlign w:val="center"/>
          </w:tcPr>
          <w:p w14:paraId="28E7D3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P-ZLTC-SCOS-JSC-004-40-001</w:t>
            </w:r>
          </w:p>
        </w:tc>
        <w:tc>
          <w:tcPr>
            <w:tcW w:w="945" w:type="dxa"/>
            <w:tcBorders>
              <w:top w:val="nil"/>
              <w:left w:val="nil"/>
              <w:bottom w:val="nil"/>
              <w:right w:val="nil"/>
            </w:tcBorders>
            <w:shd w:val="clear" w:color="auto" w:fill="auto"/>
            <w:vAlign w:val="center"/>
          </w:tcPr>
          <w:p w14:paraId="1ED1E3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判断是否可定位异常来源规则</w:t>
            </w:r>
          </w:p>
        </w:tc>
        <w:tc>
          <w:tcPr>
            <w:tcW w:w="966" w:type="dxa"/>
            <w:tcBorders>
              <w:top w:val="nil"/>
              <w:left w:val="nil"/>
              <w:bottom w:val="nil"/>
              <w:right w:val="nil"/>
            </w:tcBorders>
            <w:shd w:val="clear" w:color="auto" w:fill="auto"/>
            <w:vAlign w:val="center"/>
          </w:tcPr>
          <w:p w14:paraId="797E5E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93BC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4657F3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明细清单、源单据/工单链接形成后</w:t>
            </w:r>
          </w:p>
        </w:tc>
        <w:tc>
          <w:tcPr>
            <w:tcW w:w="1406" w:type="dxa"/>
            <w:tcBorders>
              <w:top w:val="nil"/>
              <w:left w:val="nil"/>
              <w:bottom w:val="nil"/>
              <w:right w:val="nil"/>
            </w:tcBorders>
            <w:shd w:val="clear" w:color="auto" w:fill="auto"/>
            <w:vAlign w:val="center"/>
          </w:tcPr>
          <w:p w14:paraId="532F9E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判断驾驶舱现有链路是否足以说明异常来源；不可定位异常来源时调用专业模块；可定位异常来源时确认结论。</w:t>
            </w:r>
          </w:p>
        </w:tc>
        <w:tc>
          <w:tcPr>
            <w:tcW w:w="1088" w:type="dxa"/>
            <w:tcBorders>
              <w:top w:val="nil"/>
              <w:left w:val="nil"/>
              <w:bottom w:val="nil"/>
              <w:right w:val="nil"/>
            </w:tcBorders>
            <w:shd w:val="clear" w:color="auto" w:fill="auto"/>
            <w:vAlign w:val="center"/>
          </w:tcPr>
          <w:p w14:paraId="75EA9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定位判断</w:t>
            </w:r>
          </w:p>
        </w:tc>
        <w:tc>
          <w:tcPr>
            <w:tcW w:w="1460" w:type="dxa"/>
            <w:tcBorders>
              <w:top w:val="nil"/>
              <w:left w:val="nil"/>
              <w:bottom w:val="nil"/>
              <w:right w:val="nil"/>
            </w:tcBorders>
            <w:shd w:val="clear" w:color="auto" w:fill="auto"/>
            <w:vAlign w:val="center"/>
          </w:tcPr>
          <w:p w14:paraId="7700ED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52AB7C9">
        <w:trPr>
          <w:cantSplit/>
          <w:trHeight w:val="0" w:hRule="atLeast"/>
          <w:jc w:val="center"/>
        </w:trPr>
        <w:tc>
          <w:tcPr>
            <w:tcW w:w="2944" w:type="dxa"/>
            <w:tcBorders>
              <w:top w:val="nil"/>
              <w:left w:val="nil"/>
              <w:bottom w:val="nil"/>
              <w:right w:val="nil"/>
            </w:tcBorders>
            <w:shd w:val="clear" w:color="auto" w:fill="auto"/>
            <w:vAlign w:val="center"/>
          </w:tcPr>
          <w:p w14:paraId="6A473D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P-ZLTC-SCOS-JSC-004-50-001</w:t>
            </w:r>
          </w:p>
        </w:tc>
        <w:tc>
          <w:tcPr>
            <w:tcW w:w="945" w:type="dxa"/>
            <w:tcBorders>
              <w:top w:val="nil"/>
              <w:left w:val="nil"/>
              <w:bottom w:val="nil"/>
              <w:right w:val="nil"/>
            </w:tcBorders>
            <w:shd w:val="clear" w:color="auto" w:fill="auto"/>
            <w:vAlign w:val="center"/>
          </w:tcPr>
          <w:p w14:paraId="11EB09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调用相关模块进行根因分析规则</w:t>
            </w:r>
          </w:p>
        </w:tc>
        <w:tc>
          <w:tcPr>
            <w:tcW w:w="966" w:type="dxa"/>
            <w:tcBorders>
              <w:top w:val="nil"/>
              <w:left w:val="nil"/>
              <w:bottom w:val="nil"/>
              <w:right w:val="nil"/>
            </w:tcBorders>
            <w:shd w:val="clear" w:color="auto" w:fill="auto"/>
            <w:vAlign w:val="center"/>
          </w:tcPr>
          <w:p w14:paraId="100BC2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FD9AB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FB6B1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不可定位异常来源时</w:t>
            </w:r>
          </w:p>
        </w:tc>
        <w:tc>
          <w:tcPr>
            <w:tcW w:w="1406" w:type="dxa"/>
            <w:tcBorders>
              <w:top w:val="nil"/>
              <w:left w:val="nil"/>
              <w:bottom w:val="nil"/>
              <w:right w:val="nil"/>
            </w:tcBorders>
            <w:shd w:val="clear" w:color="auto" w:fill="auto"/>
            <w:vAlign w:val="center"/>
          </w:tcPr>
          <w:p w14:paraId="18A471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将异常对象与上下文交给相关模块；相关模块不可用时保留待分析状态。</w:t>
            </w:r>
          </w:p>
        </w:tc>
        <w:tc>
          <w:tcPr>
            <w:tcW w:w="1088" w:type="dxa"/>
            <w:tcBorders>
              <w:top w:val="nil"/>
              <w:left w:val="nil"/>
              <w:bottom w:val="nil"/>
              <w:right w:val="nil"/>
            </w:tcBorders>
            <w:shd w:val="clear" w:color="auto" w:fill="auto"/>
            <w:vAlign w:val="center"/>
          </w:tcPr>
          <w:p w14:paraId="47AE38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专业根因分析结果</w:t>
            </w:r>
          </w:p>
        </w:tc>
        <w:tc>
          <w:tcPr>
            <w:tcW w:w="1460" w:type="dxa"/>
            <w:tcBorders>
              <w:top w:val="nil"/>
              <w:left w:val="nil"/>
              <w:bottom w:val="nil"/>
              <w:right w:val="nil"/>
            </w:tcBorders>
            <w:shd w:val="clear" w:color="auto" w:fill="auto"/>
            <w:vAlign w:val="center"/>
          </w:tcPr>
          <w:p w14:paraId="7A2B3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E7229B">
        <w:trPr>
          <w:cantSplit/>
          <w:trHeight w:val="0" w:hRule="atLeast"/>
          <w:jc w:val="center"/>
        </w:trPr>
        <w:tc>
          <w:tcPr>
            <w:tcW w:w="2944" w:type="dxa"/>
            <w:tcBorders>
              <w:top w:val="nil"/>
              <w:left w:val="nil"/>
              <w:bottom w:val="nil"/>
              <w:right w:val="nil"/>
            </w:tcBorders>
            <w:shd w:val="clear" w:color="auto" w:fill="auto"/>
            <w:vAlign w:val="center"/>
          </w:tcPr>
          <w:p w14:paraId="328CCB7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P-ZLTC-SCOS-JSC-004-60-001</w:t>
            </w:r>
          </w:p>
        </w:tc>
        <w:tc>
          <w:tcPr>
            <w:tcW w:w="945" w:type="dxa"/>
            <w:tcBorders>
              <w:top w:val="nil"/>
              <w:left w:val="nil"/>
              <w:bottom w:val="nil"/>
              <w:right w:val="nil"/>
            </w:tcBorders>
            <w:shd w:val="clear" w:color="auto" w:fill="auto"/>
            <w:vAlign w:val="center"/>
          </w:tcPr>
          <w:p w14:paraId="26C96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判断根因是否已确认规则</w:t>
            </w:r>
          </w:p>
        </w:tc>
        <w:tc>
          <w:tcPr>
            <w:tcW w:w="966" w:type="dxa"/>
            <w:tcBorders>
              <w:top w:val="nil"/>
              <w:left w:val="nil"/>
              <w:bottom w:val="nil"/>
              <w:right w:val="nil"/>
            </w:tcBorders>
            <w:shd w:val="clear" w:color="auto" w:fill="auto"/>
            <w:vAlign w:val="center"/>
          </w:tcPr>
          <w:p w14:paraId="188E68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EF5AF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1F9B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可定位异常来源时</w:t>
            </w:r>
          </w:p>
        </w:tc>
        <w:tc>
          <w:tcPr>
            <w:tcW w:w="1406" w:type="dxa"/>
            <w:tcBorders>
              <w:top w:val="nil"/>
              <w:left w:val="nil"/>
              <w:bottom w:val="nil"/>
              <w:right w:val="nil"/>
            </w:tcBorders>
            <w:shd w:val="clear" w:color="auto" w:fill="auto"/>
            <w:vAlign w:val="center"/>
          </w:tcPr>
          <w:p w14:paraId="7E3E4A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业务责任人核实根因、影响范围和后续处理方向；根因未确认时退回补充分析；根因已确认后继续处理。</w:t>
            </w:r>
          </w:p>
        </w:tc>
        <w:tc>
          <w:tcPr>
            <w:tcW w:w="1088" w:type="dxa"/>
            <w:tcBorders>
              <w:top w:val="nil"/>
              <w:left w:val="nil"/>
              <w:bottom w:val="nil"/>
              <w:right w:val="nil"/>
            </w:tcBorders>
            <w:shd w:val="clear" w:color="auto" w:fill="auto"/>
            <w:vAlign w:val="center"/>
          </w:tcPr>
          <w:p w14:paraId="4C8E75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根因确认结论</w:t>
            </w:r>
          </w:p>
        </w:tc>
        <w:tc>
          <w:tcPr>
            <w:tcW w:w="1460" w:type="dxa"/>
            <w:tcBorders>
              <w:top w:val="nil"/>
              <w:left w:val="nil"/>
              <w:bottom w:val="nil"/>
              <w:right w:val="nil"/>
            </w:tcBorders>
            <w:shd w:val="clear" w:color="auto" w:fill="auto"/>
            <w:vAlign w:val="center"/>
          </w:tcPr>
          <w:p w14:paraId="4211B1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8B86C">
        <w:trPr>
          <w:cantSplit/>
          <w:trHeight w:val="0" w:hRule="atLeast"/>
          <w:jc w:val="center"/>
        </w:trPr>
        <w:tc>
          <w:tcPr>
            <w:tcW w:w="2944" w:type="dxa"/>
            <w:tcBorders>
              <w:top w:val="nil"/>
              <w:left w:val="nil"/>
              <w:bottom w:val="nil"/>
              <w:right w:val="nil"/>
            </w:tcBorders>
            <w:shd w:val="clear" w:color="auto" w:fill="auto"/>
            <w:vAlign w:val="center"/>
          </w:tcPr>
          <w:p w14:paraId="127133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P-ZLTC-SCOS-JSC-004-70-001</w:t>
            </w:r>
          </w:p>
        </w:tc>
        <w:tc>
          <w:tcPr>
            <w:tcW w:w="945" w:type="dxa"/>
            <w:tcBorders>
              <w:top w:val="nil"/>
              <w:left w:val="nil"/>
              <w:bottom w:val="nil"/>
              <w:right w:val="nil"/>
            </w:tcBorders>
            <w:shd w:val="clear" w:color="auto" w:fill="auto"/>
            <w:vAlign w:val="center"/>
          </w:tcPr>
          <w:p w14:paraId="2903D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形成根因分析结论及处理建议规则</w:t>
            </w:r>
          </w:p>
        </w:tc>
        <w:tc>
          <w:tcPr>
            <w:tcW w:w="966" w:type="dxa"/>
            <w:tcBorders>
              <w:top w:val="nil"/>
              <w:left w:val="nil"/>
              <w:bottom w:val="nil"/>
              <w:right w:val="nil"/>
            </w:tcBorders>
            <w:shd w:val="clear" w:color="auto" w:fill="auto"/>
            <w:vAlign w:val="center"/>
          </w:tcPr>
          <w:p w14:paraId="3AAD2E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84B3F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43F1D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根因已确认时</w:t>
            </w:r>
          </w:p>
        </w:tc>
        <w:tc>
          <w:tcPr>
            <w:tcW w:w="1406" w:type="dxa"/>
            <w:tcBorders>
              <w:top w:val="nil"/>
              <w:left w:val="nil"/>
              <w:bottom w:val="nil"/>
              <w:right w:val="nil"/>
            </w:tcBorders>
            <w:shd w:val="clear" w:color="auto" w:fill="auto"/>
            <w:vAlign w:val="center"/>
          </w:tcPr>
          <w:p w14:paraId="712DA6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归集分析过程和结论；结论发布失败时保留待发布状态。</w:t>
            </w:r>
          </w:p>
        </w:tc>
        <w:tc>
          <w:tcPr>
            <w:tcW w:w="1088" w:type="dxa"/>
            <w:tcBorders>
              <w:top w:val="nil"/>
              <w:left w:val="nil"/>
              <w:bottom w:val="nil"/>
              <w:right w:val="nil"/>
            </w:tcBorders>
            <w:shd w:val="clear" w:color="auto" w:fill="auto"/>
            <w:vAlign w:val="center"/>
          </w:tcPr>
          <w:p w14:paraId="75DCAB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根因结论、影响范围和处理建议</w:t>
            </w:r>
          </w:p>
        </w:tc>
        <w:tc>
          <w:tcPr>
            <w:tcW w:w="1460" w:type="dxa"/>
            <w:tcBorders>
              <w:top w:val="nil"/>
              <w:left w:val="nil"/>
              <w:bottom w:val="nil"/>
              <w:right w:val="nil"/>
            </w:tcBorders>
            <w:shd w:val="clear" w:color="auto" w:fill="auto"/>
            <w:vAlign w:val="center"/>
          </w:tcPr>
          <w:p w14:paraId="3E26919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B7E84B">
        <w:trPr>
          <w:cantSplit/>
          <w:trHeight w:val="0" w:hRule="atLeast"/>
          <w:jc w:val="center"/>
        </w:trPr>
        <w:tc>
          <w:tcPr>
            <w:tcW w:w="2944" w:type="dxa"/>
            <w:tcBorders>
              <w:top w:val="nil"/>
              <w:left w:val="nil"/>
              <w:bottom w:val="nil"/>
              <w:right w:val="nil"/>
            </w:tcBorders>
            <w:shd w:val="clear" w:color="auto" w:fill="auto"/>
            <w:vAlign w:val="center"/>
          </w:tcPr>
          <w:p w14:paraId="088280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P-ZLTC-SCOS-JSC-005-10-001</w:t>
            </w:r>
          </w:p>
        </w:tc>
        <w:tc>
          <w:tcPr>
            <w:tcW w:w="945" w:type="dxa"/>
            <w:tcBorders>
              <w:top w:val="nil"/>
              <w:left w:val="nil"/>
              <w:bottom w:val="nil"/>
              <w:right w:val="nil"/>
            </w:tcBorders>
            <w:shd w:val="clear" w:color="auto" w:fill="auto"/>
            <w:vAlign w:val="center"/>
          </w:tcPr>
          <w:p w14:paraId="74D37F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提供预警事件或指标越界信息规则</w:t>
            </w:r>
          </w:p>
        </w:tc>
        <w:tc>
          <w:tcPr>
            <w:tcW w:w="966" w:type="dxa"/>
            <w:tcBorders>
              <w:top w:val="nil"/>
              <w:left w:val="nil"/>
              <w:bottom w:val="nil"/>
              <w:right w:val="nil"/>
            </w:tcBorders>
            <w:shd w:val="clear" w:color="auto" w:fill="auto"/>
            <w:vAlign w:val="center"/>
          </w:tcPr>
          <w:p w14:paraId="0369FA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8487B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36975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指标越界，或采购、库存、排程、质量追溯等模块发布预警时</w:t>
            </w:r>
          </w:p>
        </w:tc>
        <w:tc>
          <w:tcPr>
            <w:tcW w:w="1406" w:type="dxa"/>
            <w:tcBorders>
              <w:top w:val="nil"/>
              <w:left w:val="nil"/>
              <w:bottom w:val="nil"/>
              <w:right w:val="nil"/>
            </w:tcBorders>
            <w:shd w:val="clear" w:color="auto" w:fill="auto"/>
            <w:vAlign w:val="center"/>
          </w:tcPr>
          <w:p w14:paraId="445B15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接收供应、库存、订单、产线和运输等预警事件；事件字段不完整时进入待核实队列。</w:t>
            </w:r>
          </w:p>
        </w:tc>
        <w:tc>
          <w:tcPr>
            <w:tcW w:w="1088" w:type="dxa"/>
            <w:tcBorders>
              <w:top w:val="nil"/>
              <w:left w:val="nil"/>
              <w:bottom w:val="nil"/>
              <w:right w:val="nil"/>
            </w:tcBorders>
            <w:shd w:val="clear" w:color="auto" w:fill="auto"/>
            <w:vAlign w:val="center"/>
          </w:tcPr>
          <w:p w14:paraId="3A386E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标准预警事件</w:t>
            </w:r>
          </w:p>
        </w:tc>
        <w:tc>
          <w:tcPr>
            <w:tcW w:w="1460" w:type="dxa"/>
            <w:tcBorders>
              <w:top w:val="nil"/>
              <w:left w:val="nil"/>
              <w:bottom w:val="nil"/>
              <w:right w:val="nil"/>
            </w:tcBorders>
            <w:shd w:val="clear" w:color="auto" w:fill="auto"/>
            <w:vAlign w:val="center"/>
          </w:tcPr>
          <w:p w14:paraId="35335D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907730">
        <w:trPr>
          <w:cantSplit/>
          <w:trHeight w:val="0" w:hRule="atLeast"/>
          <w:jc w:val="center"/>
        </w:trPr>
        <w:tc>
          <w:tcPr>
            <w:tcW w:w="2944" w:type="dxa"/>
            <w:tcBorders>
              <w:top w:val="nil"/>
              <w:left w:val="nil"/>
              <w:bottom w:val="nil"/>
              <w:right w:val="nil"/>
            </w:tcBorders>
            <w:shd w:val="clear" w:color="auto" w:fill="auto"/>
            <w:vAlign w:val="center"/>
          </w:tcPr>
          <w:p w14:paraId="2C39D1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P-ZLTC-SCOS-JSC-005-20-001</w:t>
            </w:r>
          </w:p>
        </w:tc>
        <w:tc>
          <w:tcPr>
            <w:tcW w:w="945" w:type="dxa"/>
            <w:tcBorders>
              <w:top w:val="nil"/>
              <w:left w:val="nil"/>
              <w:bottom w:val="nil"/>
              <w:right w:val="nil"/>
            </w:tcBorders>
            <w:shd w:val="clear" w:color="auto" w:fill="auto"/>
            <w:vAlign w:val="center"/>
          </w:tcPr>
          <w:p w14:paraId="7D2568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校验事件信息并聚合去重规则</w:t>
            </w:r>
          </w:p>
        </w:tc>
        <w:tc>
          <w:tcPr>
            <w:tcW w:w="966" w:type="dxa"/>
            <w:tcBorders>
              <w:top w:val="nil"/>
              <w:left w:val="nil"/>
              <w:bottom w:val="nil"/>
              <w:right w:val="nil"/>
            </w:tcBorders>
            <w:shd w:val="clear" w:color="auto" w:fill="auto"/>
            <w:vAlign w:val="center"/>
          </w:tcPr>
          <w:p w14:paraId="5A5D2B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9C80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6B03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标准预警事件形成后</w:t>
            </w:r>
          </w:p>
        </w:tc>
        <w:tc>
          <w:tcPr>
            <w:tcW w:w="1406" w:type="dxa"/>
            <w:tcBorders>
              <w:top w:val="nil"/>
              <w:left w:val="nil"/>
              <w:bottom w:val="nil"/>
              <w:right w:val="nil"/>
            </w:tcBorders>
            <w:shd w:val="clear" w:color="auto" w:fill="auto"/>
            <w:vAlign w:val="center"/>
          </w:tcPr>
          <w:p w14:paraId="0F8C63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按业务对象、事件类型和时间窗口识别重复或关联事件；无法识别业务对象时保留待核实状态。</w:t>
            </w:r>
          </w:p>
        </w:tc>
        <w:tc>
          <w:tcPr>
            <w:tcW w:w="1088" w:type="dxa"/>
            <w:tcBorders>
              <w:top w:val="nil"/>
              <w:left w:val="nil"/>
              <w:bottom w:val="nil"/>
              <w:right w:val="nil"/>
            </w:tcBorders>
            <w:shd w:val="clear" w:color="auto" w:fill="auto"/>
            <w:vAlign w:val="center"/>
          </w:tcPr>
          <w:p w14:paraId="1680F1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有效事件清单</w:t>
            </w:r>
          </w:p>
        </w:tc>
        <w:tc>
          <w:tcPr>
            <w:tcW w:w="1460" w:type="dxa"/>
            <w:tcBorders>
              <w:top w:val="nil"/>
              <w:left w:val="nil"/>
              <w:bottom w:val="nil"/>
              <w:right w:val="nil"/>
            </w:tcBorders>
            <w:shd w:val="clear" w:color="auto" w:fill="auto"/>
            <w:vAlign w:val="center"/>
          </w:tcPr>
          <w:p w14:paraId="1F4164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3ADFBF">
        <w:trPr>
          <w:cantSplit/>
          <w:trHeight w:val="0" w:hRule="atLeast"/>
          <w:jc w:val="center"/>
        </w:trPr>
        <w:tc>
          <w:tcPr>
            <w:tcW w:w="2944" w:type="dxa"/>
            <w:tcBorders>
              <w:top w:val="nil"/>
              <w:left w:val="nil"/>
              <w:bottom w:val="nil"/>
              <w:right w:val="nil"/>
            </w:tcBorders>
            <w:shd w:val="clear" w:color="auto" w:fill="auto"/>
            <w:vAlign w:val="center"/>
          </w:tcPr>
          <w:p w14:paraId="11BFBB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P-ZLTC-SCOS-JSC-005-30-001</w:t>
            </w:r>
          </w:p>
        </w:tc>
        <w:tc>
          <w:tcPr>
            <w:tcW w:w="945" w:type="dxa"/>
            <w:tcBorders>
              <w:top w:val="nil"/>
              <w:left w:val="nil"/>
              <w:bottom w:val="nil"/>
              <w:right w:val="nil"/>
            </w:tcBorders>
            <w:shd w:val="clear" w:color="auto" w:fill="auto"/>
            <w:vAlign w:val="center"/>
          </w:tcPr>
          <w:p w14:paraId="6F1322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识别预警级别与影响范围规则</w:t>
            </w:r>
          </w:p>
        </w:tc>
        <w:tc>
          <w:tcPr>
            <w:tcW w:w="966" w:type="dxa"/>
            <w:tcBorders>
              <w:top w:val="nil"/>
              <w:left w:val="nil"/>
              <w:bottom w:val="nil"/>
              <w:right w:val="nil"/>
            </w:tcBorders>
            <w:shd w:val="clear" w:color="auto" w:fill="auto"/>
            <w:vAlign w:val="center"/>
          </w:tcPr>
          <w:p w14:paraId="4416B8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E7AEA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706BCB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有效事件清单形成后</w:t>
            </w:r>
          </w:p>
        </w:tc>
        <w:tc>
          <w:tcPr>
            <w:tcW w:w="1406" w:type="dxa"/>
            <w:tcBorders>
              <w:top w:val="nil"/>
              <w:left w:val="nil"/>
              <w:bottom w:val="nil"/>
              <w:right w:val="nil"/>
            </w:tcBorders>
            <w:shd w:val="clear" w:color="auto" w:fill="auto"/>
            <w:vAlign w:val="center"/>
          </w:tcPr>
          <w:p w14:paraId="09D10C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一级预警优先置顶并推送，二级预警按时间排序；规则无法匹配时标记“待分级”。</w:t>
            </w:r>
          </w:p>
        </w:tc>
        <w:tc>
          <w:tcPr>
            <w:tcW w:w="1088" w:type="dxa"/>
            <w:tcBorders>
              <w:top w:val="nil"/>
              <w:left w:val="nil"/>
              <w:bottom w:val="nil"/>
              <w:right w:val="nil"/>
            </w:tcBorders>
            <w:shd w:val="clear" w:color="auto" w:fill="auto"/>
            <w:vAlign w:val="center"/>
          </w:tcPr>
          <w:p w14:paraId="02D0C3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一/二级预警及影响范围</w:t>
            </w:r>
          </w:p>
        </w:tc>
        <w:tc>
          <w:tcPr>
            <w:tcW w:w="1460" w:type="dxa"/>
            <w:tcBorders>
              <w:top w:val="nil"/>
              <w:left w:val="nil"/>
              <w:bottom w:val="nil"/>
              <w:right w:val="nil"/>
            </w:tcBorders>
            <w:shd w:val="clear" w:color="auto" w:fill="auto"/>
            <w:vAlign w:val="center"/>
          </w:tcPr>
          <w:p w14:paraId="5A44A3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008D3F">
        <w:trPr>
          <w:cantSplit/>
          <w:trHeight w:val="0" w:hRule="atLeast"/>
          <w:jc w:val="center"/>
        </w:trPr>
        <w:tc>
          <w:tcPr>
            <w:tcW w:w="2944" w:type="dxa"/>
            <w:tcBorders>
              <w:top w:val="nil"/>
              <w:left w:val="nil"/>
              <w:bottom w:val="nil"/>
              <w:right w:val="nil"/>
            </w:tcBorders>
            <w:shd w:val="clear" w:color="auto" w:fill="auto"/>
            <w:vAlign w:val="center"/>
          </w:tcPr>
          <w:p w14:paraId="10398A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P-ZLTC-SCOS-JSC-005-40-001</w:t>
            </w:r>
          </w:p>
        </w:tc>
        <w:tc>
          <w:tcPr>
            <w:tcW w:w="945" w:type="dxa"/>
            <w:tcBorders>
              <w:top w:val="nil"/>
              <w:left w:val="nil"/>
              <w:bottom w:val="nil"/>
              <w:right w:val="nil"/>
            </w:tcBorders>
            <w:shd w:val="clear" w:color="auto" w:fill="auto"/>
            <w:vAlign w:val="center"/>
          </w:tcPr>
          <w:p w14:paraId="3D27F7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匹配责任部门和处置责任人规则</w:t>
            </w:r>
          </w:p>
        </w:tc>
        <w:tc>
          <w:tcPr>
            <w:tcW w:w="966" w:type="dxa"/>
            <w:tcBorders>
              <w:top w:val="nil"/>
              <w:left w:val="nil"/>
              <w:bottom w:val="nil"/>
              <w:right w:val="nil"/>
            </w:tcBorders>
            <w:shd w:val="clear" w:color="auto" w:fill="auto"/>
            <w:vAlign w:val="center"/>
          </w:tcPr>
          <w:p w14:paraId="0283D9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9F03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545EE6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一/二级预警及影响范围形成后</w:t>
            </w:r>
          </w:p>
        </w:tc>
        <w:tc>
          <w:tcPr>
            <w:tcW w:w="1406" w:type="dxa"/>
            <w:tcBorders>
              <w:top w:val="nil"/>
              <w:left w:val="nil"/>
              <w:bottom w:val="nil"/>
              <w:right w:val="nil"/>
            </w:tcBorders>
            <w:shd w:val="clear" w:color="auto" w:fill="auto"/>
            <w:vAlign w:val="center"/>
          </w:tcPr>
          <w:p w14:paraId="655308D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按业务域匹配处置责任；无法自动匹配时转运营管理人员人工分派。</w:t>
            </w:r>
          </w:p>
        </w:tc>
        <w:tc>
          <w:tcPr>
            <w:tcW w:w="1088" w:type="dxa"/>
            <w:tcBorders>
              <w:top w:val="nil"/>
              <w:left w:val="nil"/>
              <w:bottom w:val="nil"/>
              <w:right w:val="nil"/>
            </w:tcBorders>
            <w:shd w:val="clear" w:color="auto" w:fill="auto"/>
            <w:vAlign w:val="center"/>
          </w:tcPr>
          <w:p w14:paraId="67EEA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建议责任人和钻取链路</w:t>
            </w:r>
          </w:p>
        </w:tc>
        <w:tc>
          <w:tcPr>
            <w:tcW w:w="1460" w:type="dxa"/>
            <w:tcBorders>
              <w:top w:val="nil"/>
              <w:left w:val="nil"/>
              <w:bottom w:val="nil"/>
              <w:right w:val="nil"/>
            </w:tcBorders>
            <w:shd w:val="clear" w:color="auto" w:fill="auto"/>
            <w:vAlign w:val="center"/>
          </w:tcPr>
          <w:p w14:paraId="5A0372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C2DD7D">
        <w:trPr>
          <w:cantSplit/>
          <w:trHeight w:val="0" w:hRule="atLeast"/>
          <w:jc w:val="center"/>
        </w:trPr>
        <w:tc>
          <w:tcPr>
            <w:tcW w:w="2944" w:type="dxa"/>
            <w:tcBorders>
              <w:top w:val="nil"/>
              <w:left w:val="nil"/>
              <w:bottom w:val="nil"/>
              <w:right w:val="nil"/>
            </w:tcBorders>
            <w:shd w:val="clear" w:color="auto" w:fill="auto"/>
            <w:vAlign w:val="center"/>
          </w:tcPr>
          <w:p w14:paraId="2EFA8A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P-ZLTC-SCOS-JSC-005-50-001</w:t>
            </w:r>
          </w:p>
        </w:tc>
        <w:tc>
          <w:tcPr>
            <w:tcW w:w="945" w:type="dxa"/>
            <w:tcBorders>
              <w:top w:val="nil"/>
              <w:left w:val="nil"/>
              <w:bottom w:val="nil"/>
              <w:right w:val="nil"/>
            </w:tcBorders>
            <w:shd w:val="clear" w:color="auto" w:fill="auto"/>
            <w:vAlign w:val="center"/>
          </w:tcPr>
          <w:p w14:paraId="3CAD53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判断是否需要发起处置规则</w:t>
            </w:r>
          </w:p>
        </w:tc>
        <w:tc>
          <w:tcPr>
            <w:tcW w:w="966" w:type="dxa"/>
            <w:tcBorders>
              <w:top w:val="nil"/>
              <w:left w:val="nil"/>
              <w:bottom w:val="nil"/>
              <w:right w:val="nil"/>
            </w:tcBorders>
            <w:shd w:val="clear" w:color="auto" w:fill="auto"/>
            <w:vAlign w:val="center"/>
          </w:tcPr>
          <w:p w14:paraId="162551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98B03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8645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建议责任人和钻取链路形成后</w:t>
            </w:r>
          </w:p>
        </w:tc>
        <w:tc>
          <w:tcPr>
            <w:tcW w:w="1406" w:type="dxa"/>
            <w:tcBorders>
              <w:top w:val="nil"/>
              <w:left w:val="nil"/>
              <w:bottom w:val="nil"/>
              <w:right w:val="nil"/>
            </w:tcBorders>
            <w:shd w:val="clear" w:color="auto" w:fill="auto"/>
            <w:vAlign w:val="center"/>
          </w:tcPr>
          <w:p w14:paraId="4E424B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判断是否创建处置任务，或作为辅助提示持续观察；不需要发起处置时持续监控并记录原因；需要发起处置时继续处理。</w:t>
            </w:r>
          </w:p>
        </w:tc>
        <w:tc>
          <w:tcPr>
            <w:tcW w:w="1088" w:type="dxa"/>
            <w:tcBorders>
              <w:top w:val="nil"/>
              <w:left w:val="nil"/>
              <w:bottom w:val="nil"/>
              <w:right w:val="nil"/>
            </w:tcBorders>
            <w:shd w:val="clear" w:color="auto" w:fill="auto"/>
            <w:vAlign w:val="center"/>
          </w:tcPr>
          <w:p w14:paraId="171065E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处置判断</w:t>
            </w:r>
          </w:p>
        </w:tc>
        <w:tc>
          <w:tcPr>
            <w:tcW w:w="1460" w:type="dxa"/>
            <w:tcBorders>
              <w:top w:val="nil"/>
              <w:left w:val="nil"/>
              <w:bottom w:val="nil"/>
              <w:right w:val="nil"/>
            </w:tcBorders>
            <w:shd w:val="clear" w:color="auto" w:fill="auto"/>
            <w:vAlign w:val="center"/>
          </w:tcPr>
          <w:p w14:paraId="59041F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7B0F2A">
        <w:trPr>
          <w:cantSplit/>
          <w:trHeight w:val="0" w:hRule="atLeast"/>
          <w:jc w:val="center"/>
        </w:trPr>
        <w:tc>
          <w:tcPr>
            <w:tcW w:w="2944" w:type="dxa"/>
            <w:tcBorders>
              <w:top w:val="nil"/>
              <w:left w:val="nil"/>
              <w:bottom w:val="nil"/>
              <w:right w:val="nil"/>
            </w:tcBorders>
            <w:shd w:val="clear" w:color="auto" w:fill="auto"/>
            <w:vAlign w:val="center"/>
          </w:tcPr>
          <w:p w14:paraId="1777F1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P-ZLTC-SCOS-JSC-005-60-001</w:t>
            </w:r>
          </w:p>
        </w:tc>
        <w:tc>
          <w:tcPr>
            <w:tcW w:w="945" w:type="dxa"/>
            <w:tcBorders>
              <w:top w:val="nil"/>
              <w:left w:val="nil"/>
              <w:bottom w:val="nil"/>
              <w:right w:val="nil"/>
            </w:tcBorders>
            <w:shd w:val="clear" w:color="auto" w:fill="auto"/>
            <w:vAlign w:val="center"/>
          </w:tcPr>
          <w:p w14:paraId="432993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确认责任人并派发处置任务规则</w:t>
            </w:r>
          </w:p>
        </w:tc>
        <w:tc>
          <w:tcPr>
            <w:tcW w:w="966" w:type="dxa"/>
            <w:tcBorders>
              <w:top w:val="nil"/>
              <w:left w:val="nil"/>
              <w:bottom w:val="nil"/>
              <w:right w:val="nil"/>
            </w:tcBorders>
            <w:shd w:val="clear" w:color="auto" w:fill="auto"/>
            <w:vAlign w:val="center"/>
          </w:tcPr>
          <w:p w14:paraId="0F1C4B8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B7571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供应链预警分级与处置派发</w:t>
            </w:r>
          </w:p>
        </w:tc>
        <w:tc>
          <w:tcPr>
            <w:tcW w:w="1098" w:type="dxa"/>
            <w:tcBorders>
              <w:top w:val="nil"/>
              <w:left w:val="nil"/>
              <w:bottom w:val="nil"/>
              <w:right w:val="nil"/>
            </w:tcBorders>
            <w:shd w:val="clear" w:color="auto" w:fill="auto"/>
            <w:vAlign w:val="center"/>
          </w:tcPr>
          <w:p w14:paraId="4C1020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需要发起处置时</w:t>
            </w:r>
          </w:p>
        </w:tc>
        <w:tc>
          <w:tcPr>
            <w:tcW w:w="1406" w:type="dxa"/>
            <w:tcBorders>
              <w:top w:val="nil"/>
              <w:left w:val="nil"/>
              <w:bottom w:val="nil"/>
              <w:right w:val="nil"/>
            </w:tcBorders>
            <w:shd w:val="clear" w:color="auto" w:fill="auto"/>
            <w:vAlign w:val="center"/>
          </w:tcPr>
          <w:p w14:paraId="499080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核实责任人、时限和处置要求后派发；责任人不接受时重新分派。</w:t>
            </w:r>
          </w:p>
        </w:tc>
        <w:tc>
          <w:tcPr>
            <w:tcW w:w="1088" w:type="dxa"/>
            <w:tcBorders>
              <w:top w:val="nil"/>
              <w:left w:val="nil"/>
              <w:bottom w:val="nil"/>
              <w:right w:val="nil"/>
            </w:tcBorders>
            <w:shd w:val="clear" w:color="auto" w:fill="auto"/>
            <w:vAlign w:val="center"/>
          </w:tcPr>
          <w:p w14:paraId="489C5E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已派发处置任务</w:t>
            </w:r>
          </w:p>
        </w:tc>
        <w:tc>
          <w:tcPr>
            <w:tcW w:w="1460" w:type="dxa"/>
            <w:tcBorders>
              <w:top w:val="nil"/>
              <w:left w:val="nil"/>
              <w:bottom w:val="nil"/>
              <w:right w:val="nil"/>
            </w:tcBorders>
            <w:shd w:val="clear" w:color="auto" w:fill="auto"/>
            <w:vAlign w:val="center"/>
          </w:tcPr>
          <w:p w14:paraId="1C5683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B8474">
        <w:trPr>
          <w:cantSplit/>
          <w:trHeight w:val="0" w:hRule="atLeast"/>
          <w:jc w:val="center"/>
        </w:trPr>
        <w:tc>
          <w:tcPr>
            <w:tcW w:w="2944" w:type="dxa"/>
            <w:tcBorders>
              <w:top w:val="nil"/>
              <w:left w:val="nil"/>
              <w:bottom w:val="nil"/>
              <w:right w:val="nil"/>
            </w:tcBorders>
            <w:shd w:val="clear" w:color="auto" w:fill="auto"/>
            <w:vAlign w:val="center"/>
          </w:tcPr>
          <w:p w14:paraId="70F44A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P-ZLTC-SCOS-JSC-005-70-001</w:t>
            </w:r>
          </w:p>
        </w:tc>
        <w:tc>
          <w:tcPr>
            <w:tcW w:w="945" w:type="dxa"/>
            <w:tcBorders>
              <w:top w:val="nil"/>
              <w:left w:val="nil"/>
              <w:bottom w:val="nil"/>
              <w:right w:val="nil"/>
            </w:tcBorders>
            <w:shd w:val="clear" w:color="auto" w:fill="auto"/>
            <w:vAlign w:val="center"/>
          </w:tcPr>
          <w:p w14:paraId="68FDD7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记录派发结果并进入跟踪队列规则</w:t>
            </w:r>
          </w:p>
        </w:tc>
        <w:tc>
          <w:tcPr>
            <w:tcW w:w="966" w:type="dxa"/>
            <w:tcBorders>
              <w:top w:val="nil"/>
              <w:left w:val="nil"/>
              <w:bottom w:val="nil"/>
              <w:right w:val="nil"/>
            </w:tcBorders>
            <w:shd w:val="clear" w:color="auto" w:fill="auto"/>
            <w:vAlign w:val="center"/>
          </w:tcPr>
          <w:p w14:paraId="635F1C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1F65B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1A9851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已派发处置任务形成后</w:t>
            </w:r>
          </w:p>
        </w:tc>
        <w:tc>
          <w:tcPr>
            <w:tcW w:w="1406" w:type="dxa"/>
            <w:tcBorders>
              <w:top w:val="nil"/>
              <w:left w:val="nil"/>
              <w:bottom w:val="nil"/>
              <w:right w:val="nil"/>
            </w:tcBorders>
            <w:shd w:val="clear" w:color="auto" w:fill="auto"/>
            <w:vAlign w:val="center"/>
          </w:tcPr>
          <w:p w14:paraId="3BCDE5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保存分级、影响、责任人、时限和派发轨迹；通知失败不丢失任务，并按规则重试。</w:t>
            </w:r>
          </w:p>
        </w:tc>
        <w:tc>
          <w:tcPr>
            <w:tcW w:w="1088" w:type="dxa"/>
            <w:tcBorders>
              <w:top w:val="nil"/>
              <w:left w:val="nil"/>
              <w:bottom w:val="nil"/>
              <w:right w:val="nil"/>
            </w:tcBorders>
            <w:shd w:val="clear" w:color="auto" w:fill="auto"/>
            <w:vAlign w:val="center"/>
          </w:tcPr>
          <w:p w14:paraId="1BF6F97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待处置预警任务</w:t>
            </w:r>
          </w:p>
        </w:tc>
        <w:tc>
          <w:tcPr>
            <w:tcW w:w="1460" w:type="dxa"/>
            <w:tcBorders>
              <w:top w:val="nil"/>
              <w:left w:val="nil"/>
              <w:bottom w:val="nil"/>
              <w:right w:val="nil"/>
            </w:tcBorders>
            <w:shd w:val="clear" w:color="auto" w:fill="auto"/>
            <w:vAlign w:val="center"/>
          </w:tcPr>
          <w:p w14:paraId="57DCF8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E6D7BE">
        <w:trPr>
          <w:cantSplit/>
          <w:trHeight w:val="0" w:hRule="atLeast"/>
          <w:jc w:val="center"/>
        </w:trPr>
        <w:tc>
          <w:tcPr>
            <w:tcW w:w="2944" w:type="dxa"/>
            <w:tcBorders>
              <w:top w:val="nil"/>
              <w:left w:val="nil"/>
              <w:bottom w:val="nil"/>
              <w:right w:val="nil"/>
            </w:tcBorders>
            <w:shd w:val="clear" w:color="auto" w:fill="auto"/>
            <w:vAlign w:val="center"/>
          </w:tcPr>
          <w:p w14:paraId="134DFA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P-ZLTC-SCOS-JSC-006-10-001</w:t>
            </w:r>
          </w:p>
        </w:tc>
        <w:tc>
          <w:tcPr>
            <w:tcW w:w="945" w:type="dxa"/>
            <w:tcBorders>
              <w:top w:val="nil"/>
              <w:left w:val="nil"/>
              <w:bottom w:val="nil"/>
              <w:right w:val="nil"/>
            </w:tcBorders>
            <w:shd w:val="clear" w:color="auto" w:fill="auto"/>
            <w:vAlign w:val="center"/>
          </w:tcPr>
          <w:p w14:paraId="1B09CC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接收处置任务并确认影响与要求规则</w:t>
            </w:r>
          </w:p>
        </w:tc>
        <w:tc>
          <w:tcPr>
            <w:tcW w:w="966" w:type="dxa"/>
            <w:tcBorders>
              <w:top w:val="nil"/>
              <w:left w:val="nil"/>
              <w:bottom w:val="nil"/>
              <w:right w:val="nil"/>
            </w:tcBorders>
            <w:shd w:val="clear" w:color="auto" w:fill="auto"/>
            <w:vAlign w:val="center"/>
          </w:tcPr>
          <w:p w14:paraId="08BAD2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DACA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107E6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责任人收到任务后</w:t>
            </w:r>
          </w:p>
        </w:tc>
        <w:tc>
          <w:tcPr>
            <w:tcW w:w="1406" w:type="dxa"/>
            <w:tcBorders>
              <w:top w:val="nil"/>
              <w:left w:val="nil"/>
              <w:bottom w:val="nil"/>
              <w:right w:val="nil"/>
            </w:tcBorders>
            <w:shd w:val="clear" w:color="auto" w:fill="auto"/>
            <w:vAlign w:val="center"/>
          </w:tcPr>
          <w:p w14:paraId="7B138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核实异常对象、影响范围、处置要求和承诺完成时间；信息不足时退回运营管理人员补充。</w:t>
            </w:r>
          </w:p>
        </w:tc>
        <w:tc>
          <w:tcPr>
            <w:tcW w:w="1088" w:type="dxa"/>
            <w:tcBorders>
              <w:top w:val="nil"/>
              <w:left w:val="nil"/>
              <w:bottom w:val="nil"/>
              <w:right w:val="nil"/>
            </w:tcBorders>
            <w:shd w:val="clear" w:color="auto" w:fill="auto"/>
            <w:vAlign w:val="center"/>
          </w:tcPr>
          <w:p w14:paraId="251BD5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任务接收记录</w:t>
            </w:r>
          </w:p>
        </w:tc>
        <w:tc>
          <w:tcPr>
            <w:tcW w:w="1460" w:type="dxa"/>
            <w:tcBorders>
              <w:top w:val="nil"/>
              <w:left w:val="nil"/>
              <w:bottom w:val="nil"/>
              <w:right w:val="nil"/>
            </w:tcBorders>
            <w:shd w:val="clear" w:color="auto" w:fill="auto"/>
            <w:vAlign w:val="center"/>
          </w:tcPr>
          <w:p w14:paraId="3C0384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F9CACC5">
        <w:trPr>
          <w:cantSplit/>
          <w:trHeight w:val="0" w:hRule="atLeast"/>
          <w:jc w:val="center"/>
        </w:trPr>
        <w:tc>
          <w:tcPr>
            <w:tcW w:w="2944" w:type="dxa"/>
            <w:tcBorders>
              <w:top w:val="nil"/>
              <w:left w:val="nil"/>
              <w:bottom w:val="nil"/>
              <w:right w:val="nil"/>
            </w:tcBorders>
            <w:shd w:val="clear" w:color="auto" w:fill="auto"/>
            <w:vAlign w:val="center"/>
          </w:tcPr>
          <w:p w14:paraId="59D9C6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P-ZLTC-SCOS-JSC-006-20-001</w:t>
            </w:r>
          </w:p>
        </w:tc>
        <w:tc>
          <w:tcPr>
            <w:tcW w:w="945" w:type="dxa"/>
            <w:tcBorders>
              <w:top w:val="nil"/>
              <w:left w:val="nil"/>
              <w:bottom w:val="nil"/>
              <w:right w:val="nil"/>
            </w:tcBorders>
            <w:shd w:val="clear" w:color="auto" w:fill="auto"/>
            <w:vAlign w:val="center"/>
          </w:tcPr>
          <w:p w14:paraId="62DB65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执行业务处置并反馈进展结果规则</w:t>
            </w:r>
          </w:p>
        </w:tc>
        <w:tc>
          <w:tcPr>
            <w:tcW w:w="966" w:type="dxa"/>
            <w:tcBorders>
              <w:top w:val="nil"/>
              <w:left w:val="nil"/>
              <w:bottom w:val="nil"/>
              <w:right w:val="nil"/>
            </w:tcBorders>
            <w:shd w:val="clear" w:color="auto" w:fill="auto"/>
            <w:vAlign w:val="center"/>
          </w:tcPr>
          <w:p w14:paraId="29CEE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289C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4E26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任务接收记录形成后</w:t>
            </w:r>
          </w:p>
        </w:tc>
        <w:tc>
          <w:tcPr>
            <w:tcW w:w="1406" w:type="dxa"/>
            <w:tcBorders>
              <w:top w:val="nil"/>
              <w:left w:val="nil"/>
              <w:bottom w:val="nil"/>
              <w:right w:val="nil"/>
            </w:tcBorders>
            <w:shd w:val="clear" w:color="auto" w:fill="auto"/>
            <w:vAlign w:val="center"/>
          </w:tcPr>
          <w:p w14:paraId="091BBB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在相关模块完成采购、补货、排程或质量等业务处置；处置受阻时说明原因和所需协同资源。</w:t>
            </w:r>
          </w:p>
        </w:tc>
        <w:tc>
          <w:tcPr>
            <w:tcW w:w="1088" w:type="dxa"/>
            <w:tcBorders>
              <w:top w:val="nil"/>
              <w:left w:val="nil"/>
              <w:bottom w:val="nil"/>
              <w:right w:val="nil"/>
            </w:tcBorders>
            <w:shd w:val="clear" w:color="auto" w:fill="auto"/>
            <w:vAlign w:val="center"/>
          </w:tcPr>
          <w:p w14:paraId="211530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处置动作、进展、结果和证据</w:t>
            </w:r>
          </w:p>
        </w:tc>
        <w:tc>
          <w:tcPr>
            <w:tcW w:w="1460" w:type="dxa"/>
            <w:tcBorders>
              <w:top w:val="nil"/>
              <w:left w:val="nil"/>
              <w:bottom w:val="nil"/>
              <w:right w:val="nil"/>
            </w:tcBorders>
            <w:shd w:val="clear" w:color="auto" w:fill="auto"/>
            <w:vAlign w:val="center"/>
          </w:tcPr>
          <w:p w14:paraId="7CD283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FEFF54">
        <w:trPr>
          <w:cantSplit/>
          <w:trHeight w:val="0" w:hRule="atLeast"/>
          <w:jc w:val="center"/>
        </w:trPr>
        <w:tc>
          <w:tcPr>
            <w:tcW w:w="2944" w:type="dxa"/>
            <w:tcBorders>
              <w:top w:val="nil"/>
              <w:left w:val="nil"/>
              <w:bottom w:val="nil"/>
              <w:right w:val="nil"/>
            </w:tcBorders>
            <w:shd w:val="clear" w:color="auto" w:fill="auto"/>
            <w:vAlign w:val="center"/>
          </w:tcPr>
          <w:p w14:paraId="0937E6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P-ZLTC-SCOS-JSC-006-30-001</w:t>
            </w:r>
          </w:p>
        </w:tc>
        <w:tc>
          <w:tcPr>
            <w:tcW w:w="945" w:type="dxa"/>
            <w:tcBorders>
              <w:top w:val="nil"/>
              <w:left w:val="nil"/>
              <w:bottom w:val="nil"/>
              <w:right w:val="nil"/>
            </w:tcBorders>
            <w:shd w:val="clear" w:color="auto" w:fill="auto"/>
            <w:vAlign w:val="center"/>
          </w:tcPr>
          <w:p w14:paraId="2B3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跟踪处置进度与指标恢复情况规则</w:t>
            </w:r>
          </w:p>
        </w:tc>
        <w:tc>
          <w:tcPr>
            <w:tcW w:w="966" w:type="dxa"/>
            <w:tcBorders>
              <w:top w:val="nil"/>
              <w:left w:val="nil"/>
              <w:bottom w:val="nil"/>
              <w:right w:val="nil"/>
            </w:tcBorders>
            <w:shd w:val="clear" w:color="auto" w:fill="auto"/>
            <w:vAlign w:val="center"/>
          </w:tcPr>
          <w:p w14:paraId="7B4ABA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C7CE8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16EA9A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处置动作、进展、结果和证据形成后</w:t>
            </w:r>
          </w:p>
        </w:tc>
        <w:tc>
          <w:tcPr>
            <w:tcW w:w="1406" w:type="dxa"/>
            <w:tcBorders>
              <w:top w:val="nil"/>
              <w:left w:val="nil"/>
              <w:bottom w:val="nil"/>
              <w:right w:val="nil"/>
            </w:tcBorders>
            <w:shd w:val="clear" w:color="auto" w:fill="auto"/>
            <w:vAlign w:val="center"/>
          </w:tcPr>
          <w:p w14:paraId="7FF88E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持续比较处置时限、业务对象状态和指标恢复情况；数据延迟时明确标注最近更新时间。</w:t>
            </w:r>
          </w:p>
        </w:tc>
        <w:tc>
          <w:tcPr>
            <w:tcW w:w="1088" w:type="dxa"/>
            <w:tcBorders>
              <w:top w:val="nil"/>
              <w:left w:val="nil"/>
              <w:bottom w:val="nil"/>
              <w:right w:val="nil"/>
            </w:tcBorders>
            <w:shd w:val="clear" w:color="auto" w:fill="auto"/>
            <w:vAlign w:val="center"/>
          </w:tcPr>
          <w:p w14:paraId="03A592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进度与恢复状态</w:t>
            </w:r>
          </w:p>
        </w:tc>
        <w:tc>
          <w:tcPr>
            <w:tcW w:w="1460" w:type="dxa"/>
            <w:tcBorders>
              <w:top w:val="nil"/>
              <w:left w:val="nil"/>
              <w:bottom w:val="nil"/>
              <w:right w:val="nil"/>
            </w:tcBorders>
            <w:shd w:val="clear" w:color="auto" w:fill="auto"/>
            <w:vAlign w:val="center"/>
          </w:tcPr>
          <w:p w14:paraId="6ED59A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E0DBEC">
        <w:trPr>
          <w:cantSplit/>
          <w:trHeight w:val="0" w:hRule="atLeast"/>
          <w:jc w:val="center"/>
        </w:trPr>
        <w:tc>
          <w:tcPr>
            <w:tcW w:w="2944" w:type="dxa"/>
            <w:tcBorders>
              <w:top w:val="nil"/>
              <w:left w:val="nil"/>
              <w:bottom w:val="nil"/>
              <w:right w:val="nil"/>
            </w:tcBorders>
            <w:shd w:val="clear" w:color="auto" w:fill="auto"/>
            <w:vAlign w:val="center"/>
          </w:tcPr>
          <w:p w14:paraId="61449E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P-ZLTC-SCOS-JSC-006-40-001</w:t>
            </w:r>
          </w:p>
        </w:tc>
        <w:tc>
          <w:tcPr>
            <w:tcW w:w="945" w:type="dxa"/>
            <w:tcBorders>
              <w:top w:val="nil"/>
              <w:left w:val="nil"/>
              <w:bottom w:val="nil"/>
              <w:right w:val="nil"/>
            </w:tcBorders>
            <w:shd w:val="clear" w:color="auto" w:fill="auto"/>
            <w:vAlign w:val="center"/>
          </w:tcPr>
          <w:p w14:paraId="1B9D78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判断是否超时或处置失败规则</w:t>
            </w:r>
          </w:p>
        </w:tc>
        <w:tc>
          <w:tcPr>
            <w:tcW w:w="966" w:type="dxa"/>
            <w:tcBorders>
              <w:top w:val="nil"/>
              <w:left w:val="nil"/>
              <w:bottom w:val="nil"/>
              <w:right w:val="nil"/>
            </w:tcBorders>
            <w:shd w:val="clear" w:color="auto" w:fill="auto"/>
            <w:vAlign w:val="center"/>
          </w:tcPr>
          <w:p w14:paraId="3D4A8E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9B026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2864D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进度与恢复状态形成后</w:t>
            </w:r>
          </w:p>
        </w:tc>
        <w:tc>
          <w:tcPr>
            <w:tcW w:w="1406" w:type="dxa"/>
            <w:tcBorders>
              <w:top w:val="nil"/>
              <w:left w:val="nil"/>
              <w:bottom w:val="nil"/>
              <w:right w:val="nil"/>
            </w:tcBorders>
            <w:shd w:val="clear" w:color="auto" w:fill="auto"/>
            <w:vAlign w:val="center"/>
          </w:tcPr>
          <w:p w14:paraId="740230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识别超时、失败或影响扩大的任务；未超时且处置未失败时继续跟踪；超时或处置失败时继续处理。</w:t>
            </w:r>
          </w:p>
        </w:tc>
        <w:tc>
          <w:tcPr>
            <w:tcW w:w="1088" w:type="dxa"/>
            <w:tcBorders>
              <w:top w:val="nil"/>
              <w:left w:val="nil"/>
              <w:bottom w:val="nil"/>
              <w:right w:val="nil"/>
            </w:tcBorders>
            <w:shd w:val="clear" w:color="auto" w:fill="auto"/>
            <w:vAlign w:val="center"/>
          </w:tcPr>
          <w:p w14:paraId="0A62D0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升级判断</w:t>
            </w:r>
          </w:p>
        </w:tc>
        <w:tc>
          <w:tcPr>
            <w:tcW w:w="1460" w:type="dxa"/>
            <w:tcBorders>
              <w:top w:val="nil"/>
              <w:left w:val="nil"/>
              <w:bottom w:val="nil"/>
              <w:right w:val="nil"/>
            </w:tcBorders>
            <w:shd w:val="clear" w:color="auto" w:fill="auto"/>
            <w:vAlign w:val="center"/>
          </w:tcPr>
          <w:p w14:paraId="6B5779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F54C48">
        <w:trPr>
          <w:cantSplit/>
          <w:trHeight w:val="0" w:hRule="atLeast"/>
          <w:jc w:val="center"/>
        </w:trPr>
        <w:tc>
          <w:tcPr>
            <w:tcW w:w="2944" w:type="dxa"/>
            <w:tcBorders>
              <w:top w:val="nil"/>
              <w:left w:val="nil"/>
              <w:bottom w:val="nil"/>
              <w:right w:val="nil"/>
            </w:tcBorders>
            <w:shd w:val="clear" w:color="auto" w:fill="auto"/>
            <w:vAlign w:val="center"/>
          </w:tcPr>
          <w:p w14:paraId="497CC3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P-ZLTC-SCOS-JSC-006-50-001</w:t>
            </w:r>
          </w:p>
        </w:tc>
        <w:tc>
          <w:tcPr>
            <w:tcW w:w="945" w:type="dxa"/>
            <w:tcBorders>
              <w:top w:val="nil"/>
              <w:left w:val="nil"/>
              <w:bottom w:val="nil"/>
              <w:right w:val="nil"/>
            </w:tcBorders>
            <w:shd w:val="clear" w:color="auto" w:fill="auto"/>
            <w:vAlign w:val="center"/>
          </w:tcPr>
          <w:p w14:paraId="50A0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升级提醒并协调处置资源规则</w:t>
            </w:r>
          </w:p>
        </w:tc>
        <w:tc>
          <w:tcPr>
            <w:tcW w:w="966" w:type="dxa"/>
            <w:tcBorders>
              <w:top w:val="nil"/>
              <w:left w:val="nil"/>
              <w:bottom w:val="nil"/>
              <w:right w:val="nil"/>
            </w:tcBorders>
            <w:shd w:val="clear" w:color="auto" w:fill="auto"/>
            <w:vAlign w:val="center"/>
          </w:tcPr>
          <w:p w14:paraId="0E2272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B4B7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6F18D1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超时或处置失败时</w:t>
            </w:r>
          </w:p>
        </w:tc>
        <w:tc>
          <w:tcPr>
            <w:tcW w:w="1406" w:type="dxa"/>
            <w:tcBorders>
              <w:top w:val="nil"/>
              <w:left w:val="nil"/>
              <w:bottom w:val="nil"/>
              <w:right w:val="nil"/>
            </w:tcBorders>
            <w:shd w:val="clear" w:color="auto" w:fill="auto"/>
            <w:vAlign w:val="center"/>
          </w:tcPr>
          <w:p w14:paraId="3C2F06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按预警级别升级提醒，协调跨部门资源或调整处置责任；无法协调时保持升级状态并持续提醒。</w:t>
            </w:r>
          </w:p>
        </w:tc>
        <w:tc>
          <w:tcPr>
            <w:tcW w:w="1088" w:type="dxa"/>
            <w:tcBorders>
              <w:top w:val="nil"/>
              <w:left w:val="nil"/>
              <w:bottom w:val="nil"/>
              <w:right w:val="nil"/>
            </w:tcBorders>
            <w:shd w:val="clear" w:color="auto" w:fill="auto"/>
            <w:vAlign w:val="center"/>
          </w:tcPr>
          <w:p w14:paraId="0E9765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升级要求和协调意见</w:t>
            </w:r>
          </w:p>
        </w:tc>
        <w:tc>
          <w:tcPr>
            <w:tcW w:w="1460" w:type="dxa"/>
            <w:tcBorders>
              <w:top w:val="nil"/>
              <w:left w:val="nil"/>
              <w:bottom w:val="nil"/>
              <w:right w:val="nil"/>
            </w:tcBorders>
            <w:shd w:val="clear" w:color="auto" w:fill="auto"/>
            <w:vAlign w:val="center"/>
          </w:tcPr>
          <w:p w14:paraId="01E71BC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8DE9EF">
        <w:trPr>
          <w:cantSplit/>
          <w:trHeight w:val="0" w:hRule="atLeast"/>
          <w:jc w:val="center"/>
        </w:trPr>
        <w:tc>
          <w:tcPr>
            <w:tcW w:w="2944" w:type="dxa"/>
            <w:tcBorders>
              <w:top w:val="nil"/>
              <w:left w:val="nil"/>
              <w:bottom w:val="nil"/>
              <w:right w:val="nil"/>
            </w:tcBorders>
            <w:shd w:val="clear" w:color="auto" w:fill="auto"/>
            <w:vAlign w:val="center"/>
          </w:tcPr>
          <w:p w14:paraId="1E83A2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P-ZLTC-SCOS-JSC-006-60-001</w:t>
            </w:r>
          </w:p>
        </w:tc>
        <w:tc>
          <w:tcPr>
            <w:tcW w:w="945" w:type="dxa"/>
            <w:tcBorders>
              <w:top w:val="nil"/>
              <w:left w:val="nil"/>
              <w:bottom w:val="nil"/>
              <w:right w:val="nil"/>
            </w:tcBorders>
            <w:shd w:val="clear" w:color="auto" w:fill="auto"/>
            <w:vAlign w:val="center"/>
          </w:tcPr>
          <w:p w14:paraId="476E7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判断风险是否验证关闭规则</w:t>
            </w:r>
          </w:p>
        </w:tc>
        <w:tc>
          <w:tcPr>
            <w:tcW w:w="966" w:type="dxa"/>
            <w:tcBorders>
              <w:top w:val="nil"/>
              <w:left w:val="nil"/>
              <w:bottom w:val="nil"/>
              <w:right w:val="nil"/>
            </w:tcBorders>
            <w:shd w:val="clear" w:color="auto" w:fill="auto"/>
            <w:vAlign w:val="center"/>
          </w:tcPr>
          <w:p w14:paraId="537E7A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AA36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F0DE1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升级要求和协调意见形成后</w:t>
            </w:r>
          </w:p>
        </w:tc>
        <w:tc>
          <w:tcPr>
            <w:tcW w:w="1406" w:type="dxa"/>
            <w:tcBorders>
              <w:top w:val="nil"/>
              <w:left w:val="nil"/>
              <w:bottom w:val="nil"/>
              <w:right w:val="nil"/>
            </w:tcBorders>
            <w:shd w:val="clear" w:color="auto" w:fill="auto"/>
            <w:vAlign w:val="center"/>
          </w:tcPr>
          <w:p w14:paraId="1F0A61D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以异常原因已处理、影响可控且指标恢复为关闭标准；风险尚未验证关闭时退回继续处置；风险验证关闭时继续处理。</w:t>
            </w:r>
          </w:p>
        </w:tc>
        <w:tc>
          <w:tcPr>
            <w:tcW w:w="1088" w:type="dxa"/>
            <w:tcBorders>
              <w:top w:val="nil"/>
              <w:left w:val="nil"/>
              <w:bottom w:val="nil"/>
              <w:right w:val="nil"/>
            </w:tcBorders>
            <w:shd w:val="clear" w:color="auto" w:fill="auto"/>
            <w:vAlign w:val="center"/>
          </w:tcPr>
          <w:p w14:paraId="3DB9F0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关闭验证结论</w:t>
            </w:r>
          </w:p>
        </w:tc>
        <w:tc>
          <w:tcPr>
            <w:tcW w:w="1460" w:type="dxa"/>
            <w:tcBorders>
              <w:top w:val="nil"/>
              <w:left w:val="nil"/>
              <w:bottom w:val="nil"/>
              <w:right w:val="nil"/>
            </w:tcBorders>
            <w:shd w:val="clear" w:color="auto" w:fill="auto"/>
            <w:vAlign w:val="center"/>
          </w:tcPr>
          <w:p w14:paraId="5DF8C4F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71815E">
        <w:trPr>
          <w:cantSplit/>
          <w:trHeight w:val="0" w:hRule="atLeast"/>
          <w:jc w:val="center"/>
        </w:trPr>
        <w:tc>
          <w:tcPr>
            <w:tcW w:w="2944" w:type="dxa"/>
            <w:tcBorders>
              <w:top w:val="nil"/>
              <w:left w:val="nil"/>
              <w:bottom w:val="nil"/>
              <w:right w:val="nil"/>
            </w:tcBorders>
            <w:shd w:val="clear" w:color="auto" w:fill="auto"/>
            <w:vAlign w:val="center"/>
          </w:tcPr>
          <w:p w14:paraId="10C806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P-ZLTC-SCOS-JSC-006-70-001</w:t>
            </w:r>
          </w:p>
        </w:tc>
        <w:tc>
          <w:tcPr>
            <w:tcW w:w="945" w:type="dxa"/>
            <w:tcBorders>
              <w:top w:val="nil"/>
              <w:left w:val="nil"/>
              <w:bottom w:val="nil"/>
              <w:right w:val="nil"/>
            </w:tcBorders>
            <w:shd w:val="clear" w:color="auto" w:fill="auto"/>
            <w:vAlign w:val="center"/>
          </w:tcPr>
          <w:p w14:paraId="066EA7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关闭预警并记录完整轨迹规则</w:t>
            </w:r>
          </w:p>
        </w:tc>
        <w:tc>
          <w:tcPr>
            <w:tcW w:w="966" w:type="dxa"/>
            <w:tcBorders>
              <w:top w:val="nil"/>
              <w:left w:val="nil"/>
              <w:bottom w:val="nil"/>
              <w:right w:val="nil"/>
            </w:tcBorders>
            <w:shd w:val="clear" w:color="auto" w:fill="auto"/>
            <w:vAlign w:val="center"/>
          </w:tcPr>
          <w:p w14:paraId="3C8971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22A78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1053A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风险验证关闭时</w:t>
            </w:r>
          </w:p>
        </w:tc>
        <w:tc>
          <w:tcPr>
            <w:tcW w:w="1406" w:type="dxa"/>
            <w:tcBorders>
              <w:top w:val="nil"/>
              <w:left w:val="nil"/>
              <w:bottom w:val="nil"/>
              <w:right w:val="nil"/>
            </w:tcBorders>
            <w:shd w:val="clear" w:color="auto" w:fill="auto"/>
            <w:vAlign w:val="center"/>
          </w:tcPr>
          <w:p w14:paraId="3EE9D9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保留事件、分级、派发、处置、升级、验证和关闭全过程；同类事件再次触发时创建新事件并关联历史记录。</w:t>
            </w:r>
          </w:p>
        </w:tc>
        <w:tc>
          <w:tcPr>
            <w:tcW w:w="1088" w:type="dxa"/>
            <w:tcBorders>
              <w:top w:val="nil"/>
              <w:left w:val="nil"/>
              <w:bottom w:val="nil"/>
              <w:right w:val="nil"/>
            </w:tcBorders>
            <w:shd w:val="clear" w:color="auto" w:fill="auto"/>
            <w:vAlign w:val="center"/>
          </w:tcPr>
          <w:p w14:paraId="429E1D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已关闭预警和闭环记录</w:t>
            </w:r>
          </w:p>
        </w:tc>
        <w:tc>
          <w:tcPr>
            <w:tcW w:w="1460" w:type="dxa"/>
            <w:tcBorders>
              <w:top w:val="nil"/>
              <w:left w:val="nil"/>
              <w:bottom w:val="nil"/>
              <w:right w:val="nil"/>
            </w:tcBorders>
            <w:shd w:val="clear" w:color="auto" w:fill="auto"/>
            <w:vAlign w:val="center"/>
          </w:tcPr>
          <w:p w14:paraId="7F2FF5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471B6F">
        <w:trPr>
          <w:cantSplit/>
          <w:trHeight w:val="0" w:hRule="atLeast"/>
          <w:jc w:val="center"/>
        </w:trPr>
        <w:tc>
          <w:tcPr>
            <w:tcW w:w="2944" w:type="dxa"/>
            <w:tcBorders>
              <w:top w:val="nil"/>
              <w:left w:val="nil"/>
              <w:bottom w:val="nil"/>
              <w:right w:val="nil"/>
            </w:tcBorders>
            <w:shd w:val="clear" w:color="auto" w:fill="auto"/>
            <w:vAlign w:val="center"/>
          </w:tcPr>
          <w:p w14:paraId="77FB74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P-ZLTC-SCOS-JSC-007-10-001</w:t>
            </w:r>
          </w:p>
        </w:tc>
        <w:tc>
          <w:tcPr>
            <w:tcW w:w="945" w:type="dxa"/>
            <w:tcBorders>
              <w:top w:val="nil"/>
              <w:left w:val="nil"/>
              <w:bottom w:val="nil"/>
              <w:right w:val="nil"/>
            </w:tcBorders>
            <w:shd w:val="clear" w:color="auto" w:fill="auto"/>
            <w:vAlign w:val="center"/>
          </w:tcPr>
          <w:p w14:paraId="4F7146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选择模拟情景并设定假设参数规则</w:t>
            </w:r>
          </w:p>
        </w:tc>
        <w:tc>
          <w:tcPr>
            <w:tcW w:w="966" w:type="dxa"/>
            <w:tcBorders>
              <w:top w:val="nil"/>
              <w:left w:val="nil"/>
              <w:bottom w:val="nil"/>
              <w:right w:val="nil"/>
            </w:tcBorders>
            <w:shd w:val="clear" w:color="auto" w:fill="auto"/>
            <w:vAlign w:val="center"/>
          </w:tcPr>
          <w:p w14:paraId="7AD8C0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5676D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D3E9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管理人员主动发起假设分析，或从态势监测、异常分析和预警进入沙盘推演时</w:t>
            </w:r>
          </w:p>
        </w:tc>
        <w:tc>
          <w:tcPr>
            <w:tcW w:w="1406" w:type="dxa"/>
            <w:tcBorders>
              <w:top w:val="nil"/>
              <w:left w:val="nil"/>
              <w:bottom w:val="nil"/>
              <w:right w:val="nil"/>
            </w:tcBorders>
            <w:shd w:val="clear" w:color="auto" w:fill="auto"/>
            <w:vAlign w:val="center"/>
          </w:tcPr>
          <w:p w14:paraId="6C52BD9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选择需求、供应、采购、成本或库存策略等模拟情景；参数超出可模拟边界时提示修改。</w:t>
            </w:r>
          </w:p>
        </w:tc>
        <w:tc>
          <w:tcPr>
            <w:tcW w:w="1088" w:type="dxa"/>
            <w:tcBorders>
              <w:top w:val="nil"/>
              <w:left w:val="nil"/>
              <w:bottom w:val="nil"/>
              <w:right w:val="nil"/>
            </w:tcBorders>
            <w:shd w:val="clear" w:color="auto" w:fill="auto"/>
            <w:vAlign w:val="center"/>
          </w:tcPr>
          <w:p w14:paraId="2DE515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情景模拟任务</w:t>
            </w:r>
          </w:p>
        </w:tc>
        <w:tc>
          <w:tcPr>
            <w:tcW w:w="1460" w:type="dxa"/>
            <w:tcBorders>
              <w:top w:val="nil"/>
              <w:left w:val="nil"/>
              <w:bottom w:val="nil"/>
              <w:right w:val="nil"/>
            </w:tcBorders>
            <w:shd w:val="clear" w:color="auto" w:fill="auto"/>
            <w:vAlign w:val="center"/>
          </w:tcPr>
          <w:p w14:paraId="7BFD9E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370865">
        <w:trPr>
          <w:cantSplit/>
          <w:trHeight w:val="0" w:hRule="atLeast"/>
          <w:jc w:val="center"/>
        </w:trPr>
        <w:tc>
          <w:tcPr>
            <w:tcW w:w="2944" w:type="dxa"/>
            <w:tcBorders>
              <w:top w:val="nil"/>
              <w:left w:val="nil"/>
              <w:bottom w:val="nil"/>
              <w:right w:val="nil"/>
            </w:tcBorders>
            <w:shd w:val="clear" w:color="auto" w:fill="auto"/>
            <w:vAlign w:val="center"/>
          </w:tcPr>
          <w:p w14:paraId="20C230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P-ZLTC-SCOS-JSC-007-20-001</w:t>
            </w:r>
          </w:p>
        </w:tc>
        <w:tc>
          <w:tcPr>
            <w:tcW w:w="945" w:type="dxa"/>
            <w:tcBorders>
              <w:top w:val="nil"/>
              <w:left w:val="nil"/>
              <w:bottom w:val="nil"/>
              <w:right w:val="nil"/>
            </w:tcBorders>
            <w:shd w:val="clear" w:color="auto" w:fill="auto"/>
            <w:vAlign w:val="center"/>
          </w:tcPr>
          <w:p w14:paraId="56E0B0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冻结当前基线并构建沙盘快照规则</w:t>
            </w:r>
          </w:p>
        </w:tc>
        <w:tc>
          <w:tcPr>
            <w:tcW w:w="966" w:type="dxa"/>
            <w:tcBorders>
              <w:top w:val="nil"/>
              <w:left w:val="nil"/>
              <w:bottom w:val="nil"/>
              <w:right w:val="nil"/>
            </w:tcBorders>
            <w:shd w:val="clear" w:color="auto" w:fill="auto"/>
            <w:vAlign w:val="center"/>
          </w:tcPr>
          <w:p w14:paraId="78BEE3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9A933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046A8F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情景模拟任务形成后</w:t>
            </w:r>
          </w:p>
        </w:tc>
        <w:tc>
          <w:tcPr>
            <w:tcW w:w="1406" w:type="dxa"/>
            <w:tcBorders>
              <w:top w:val="nil"/>
              <w:left w:val="nil"/>
              <w:bottom w:val="nil"/>
              <w:right w:val="nil"/>
            </w:tcBorders>
            <w:shd w:val="clear" w:color="auto" w:fill="auto"/>
            <w:vAlign w:val="center"/>
          </w:tcPr>
          <w:p w14:paraId="4F93B8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使用同一时点数据作为比较基线；基线不完整或过期时禁止正式比较。</w:t>
            </w:r>
          </w:p>
        </w:tc>
        <w:tc>
          <w:tcPr>
            <w:tcW w:w="1088" w:type="dxa"/>
            <w:tcBorders>
              <w:top w:val="nil"/>
              <w:left w:val="nil"/>
              <w:bottom w:val="nil"/>
              <w:right w:val="nil"/>
            </w:tcBorders>
            <w:shd w:val="clear" w:color="auto" w:fill="auto"/>
            <w:vAlign w:val="center"/>
          </w:tcPr>
          <w:p w14:paraId="7DBE1B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基线方案、数据快照和参数集</w:t>
            </w:r>
          </w:p>
        </w:tc>
        <w:tc>
          <w:tcPr>
            <w:tcW w:w="1460" w:type="dxa"/>
            <w:tcBorders>
              <w:top w:val="nil"/>
              <w:left w:val="nil"/>
              <w:bottom w:val="nil"/>
              <w:right w:val="nil"/>
            </w:tcBorders>
            <w:shd w:val="clear" w:color="auto" w:fill="auto"/>
            <w:vAlign w:val="center"/>
          </w:tcPr>
          <w:p w14:paraId="0FAAB6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0398B">
        <w:trPr>
          <w:cantSplit/>
          <w:trHeight w:val="0" w:hRule="atLeast"/>
          <w:jc w:val="center"/>
        </w:trPr>
        <w:tc>
          <w:tcPr>
            <w:tcW w:w="2944" w:type="dxa"/>
            <w:tcBorders>
              <w:top w:val="nil"/>
              <w:left w:val="nil"/>
              <w:bottom w:val="nil"/>
              <w:right w:val="nil"/>
            </w:tcBorders>
            <w:shd w:val="clear" w:color="auto" w:fill="auto"/>
            <w:vAlign w:val="center"/>
          </w:tcPr>
          <w:p w14:paraId="7249B1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P-ZLTC-SCOS-JSC-007-30-001</w:t>
            </w:r>
          </w:p>
        </w:tc>
        <w:tc>
          <w:tcPr>
            <w:tcW w:w="945" w:type="dxa"/>
            <w:tcBorders>
              <w:top w:val="nil"/>
              <w:left w:val="nil"/>
              <w:bottom w:val="nil"/>
              <w:right w:val="nil"/>
            </w:tcBorders>
            <w:shd w:val="clear" w:color="auto" w:fill="auto"/>
            <w:vAlign w:val="center"/>
          </w:tcPr>
          <w:p w14:paraId="234A1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调用相关业务模型计算规则</w:t>
            </w:r>
          </w:p>
        </w:tc>
        <w:tc>
          <w:tcPr>
            <w:tcW w:w="966" w:type="dxa"/>
            <w:tcBorders>
              <w:top w:val="nil"/>
              <w:left w:val="nil"/>
              <w:bottom w:val="nil"/>
              <w:right w:val="nil"/>
            </w:tcBorders>
            <w:shd w:val="clear" w:color="auto" w:fill="auto"/>
            <w:vAlign w:val="center"/>
          </w:tcPr>
          <w:p w14:paraId="7A10C0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D89E3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21F44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基线方案、数据快照和参数集形成后</w:t>
            </w:r>
          </w:p>
        </w:tc>
        <w:tc>
          <w:tcPr>
            <w:tcW w:w="1406" w:type="dxa"/>
            <w:tcBorders>
              <w:top w:val="nil"/>
              <w:left w:val="nil"/>
              <w:bottom w:val="nil"/>
              <w:right w:val="nil"/>
            </w:tcBorders>
            <w:shd w:val="clear" w:color="auto" w:fill="auto"/>
            <w:vAlign w:val="center"/>
          </w:tcPr>
          <w:p w14:paraId="086080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驾驶舱调用相关业务模块进行情景模拟；计算失败时说明原因，且不改变正式业务数据。</w:t>
            </w:r>
          </w:p>
        </w:tc>
        <w:tc>
          <w:tcPr>
            <w:tcW w:w="1088" w:type="dxa"/>
            <w:tcBorders>
              <w:top w:val="nil"/>
              <w:left w:val="nil"/>
              <w:bottom w:val="nil"/>
              <w:right w:val="nil"/>
            </w:tcBorders>
            <w:shd w:val="clear" w:color="auto" w:fill="auto"/>
            <w:vAlign w:val="center"/>
          </w:tcPr>
          <w:p w14:paraId="55D10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情景计算结果</w:t>
            </w:r>
          </w:p>
        </w:tc>
        <w:tc>
          <w:tcPr>
            <w:tcW w:w="1460" w:type="dxa"/>
            <w:tcBorders>
              <w:top w:val="nil"/>
              <w:left w:val="nil"/>
              <w:bottom w:val="nil"/>
              <w:right w:val="nil"/>
            </w:tcBorders>
            <w:shd w:val="clear" w:color="auto" w:fill="auto"/>
            <w:vAlign w:val="center"/>
          </w:tcPr>
          <w:p w14:paraId="5D6B0F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5CFA7">
        <w:trPr>
          <w:cantSplit/>
          <w:trHeight w:val="0" w:hRule="atLeast"/>
          <w:jc w:val="center"/>
        </w:trPr>
        <w:tc>
          <w:tcPr>
            <w:tcW w:w="2944" w:type="dxa"/>
            <w:tcBorders>
              <w:top w:val="nil"/>
              <w:left w:val="nil"/>
              <w:bottom w:val="nil"/>
              <w:right w:val="nil"/>
            </w:tcBorders>
            <w:shd w:val="clear" w:color="auto" w:fill="auto"/>
            <w:vAlign w:val="center"/>
          </w:tcPr>
          <w:p w14:paraId="6FC9C9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P-ZLTC-SCOS-JSC-007-40-001</w:t>
            </w:r>
          </w:p>
        </w:tc>
        <w:tc>
          <w:tcPr>
            <w:tcW w:w="945" w:type="dxa"/>
            <w:tcBorders>
              <w:top w:val="nil"/>
              <w:left w:val="nil"/>
              <w:bottom w:val="nil"/>
              <w:right w:val="nil"/>
            </w:tcBorders>
            <w:shd w:val="clear" w:color="auto" w:fill="auto"/>
            <w:vAlign w:val="center"/>
          </w:tcPr>
          <w:p w14:paraId="49331D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判断模拟结果是否完整可比规则</w:t>
            </w:r>
          </w:p>
        </w:tc>
        <w:tc>
          <w:tcPr>
            <w:tcW w:w="966" w:type="dxa"/>
            <w:tcBorders>
              <w:top w:val="nil"/>
              <w:left w:val="nil"/>
              <w:bottom w:val="nil"/>
              <w:right w:val="nil"/>
            </w:tcBorders>
            <w:shd w:val="clear" w:color="auto" w:fill="auto"/>
            <w:vAlign w:val="center"/>
          </w:tcPr>
          <w:p w14:paraId="3F13502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6F45A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14CE2E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情景计算结果形成后</w:t>
            </w:r>
          </w:p>
        </w:tc>
        <w:tc>
          <w:tcPr>
            <w:tcW w:w="1406" w:type="dxa"/>
            <w:tcBorders>
              <w:top w:val="nil"/>
              <w:left w:val="nil"/>
              <w:bottom w:val="nil"/>
              <w:right w:val="nil"/>
            </w:tcBorders>
            <w:shd w:val="clear" w:color="auto" w:fill="auto"/>
            <w:vAlign w:val="center"/>
          </w:tcPr>
          <w:p w14:paraId="219430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校验结果是否齐全，时间口径、指标单位和基线是否一致；模拟结果不完整或不可比时退回重算或修正参数；模拟结果完整可比时继续处理。</w:t>
            </w:r>
          </w:p>
        </w:tc>
        <w:tc>
          <w:tcPr>
            <w:tcW w:w="1088" w:type="dxa"/>
            <w:tcBorders>
              <w:top w:val="nil"/>
              <w:left w:val="nil"/>
              <w:bottom w:val="nil"/>
              <w:right w:val="nil"/>
            </w:tcBorders>
            <w:shd w:val="clear" w:color="auto" w:fill="auto"/>
            <w:vAlign w:val="center"/>
          </w:tcPr>
          <w:p w14:paraId="42F31B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可比性判断</w:t>
            </w:r>
          </w:p>
        </w:tc>
        <w:tc>
          <w:tcPr>
            <w:tcW w:w="1460" w:type="dxa"/>
            <w:tcBorders>
              <w:top w:val="nil"/>
              <w:left w:val="nil"/>
              <w:bottom w:val="nil"/>
              <w:right w:val="nil"/>
            </w:tcBorders>
            <w:shd w:val="clear" w:color="auto" w:fill="auto"/>
            <w:vAlign w:val="center"/>
          </w:tcPr>
          <w:p w14:paraId="1BAC1F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308A90">
        <w:trPr>
          <w:cantSplit/>
          <w:trHeight w:val="0" w:hRule="atLeast"/>
          <w:jc w:val="center"/>
        </w:trPr>
        <w:tc>
          <w:tcPr>
            <w:tcW w:w="2944" w:type="dxa"/>
            <w:tcBorders>
              <w:top w:val="nil"/>
              <w:left w:val="nil"/>
              <w:bottom w:val="nil"/>
              <w:right w:val="nil"/>
            </w:tcBorders>
            <w:shd w:val="clear" w:color="auto" w:fill="auto"/>
            <w:vAlign w:val="center"/>
          </w:tcPr>
          <w:p w14:paraId="7048D9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P-ZLTC-SCOS-JSC-007-50-001</w:t>
            </w:r>
          </w:p>
        </w:tc>
        <w:tc>
          <w:tcPr>
            <w:tcW w:w="945" w:type="dxa"/>
            <w:tcBorders>
              <w:top w:val="nil"/>
              <w:left w:val="nil"/>
              <w:bottom w:val="nil"/>
              <w:right w:val="nil"/>
            </w:tcBorders>
            <w:shd w:val="clear" w:color="auto" w:fill="auto"/>
            <w:vAlign w:val="center"/>
          </w:tcPr>
          <w:p w14:paraId="0934A0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比较基线与情景并评估成本、服务与风险规则</w:t>
            </w:r>
          </w:p>
        </w:tc>
        <w:tc>
          <w:tcPr>
            <w:tcW w:w="966" w:type="dxa"/>
            <w:tcBorders>
              <w:top w:val="nil"/>
              <w:left w:val="nil"/>
              <w:bottom w:val="nil"/>
              <w:right w:val="nil"/>
            </w:tcBorders>
            <w:shd w:val="clear" w:color="auto" w:fill="auto"/>
            <w:vAlign w:val="center"/>
          </w:tcPr>
          <w:p w14:paraId="2478EF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37343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45A9F6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模拟结果完整可比时</w:t>
            </w:r>
          </w:p>
        </w:tc>
        <w:tc>
          <w:tcPr>
            <w:tcW w:w="1406" w:type="dxa"/>
            <w:tcBorders>
              <w:top w:val="nil"/>
              <w:left w:val="nil"/>
              <w:bottom w:val="nil"/>
              <w:right w:val="nil"/>
            </w:tcBorders>
            <w:shd w:val="clear" w:color="auto" w:fill="auto"/>
            <w:vAlign w:val="center"/>
          </w:tcPr>
          <w:p w14:paraId="7384B4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比较产能、库存、交付、成本、服务水平和供应风险；口径不一致时不强行形成综合结论。</w:t>
            </w:r>
          </w:p>
        </w:tc>
        <w:tc>
          <w:tcPr>
            <w:tcW w:w="1088" w:type="dxa"/>
            <w:tcBorders>
              <w:top w:val="nil"/>
              <w:left w:val="nil"/>
              <w:bottom w:val="nil"/>
              <w:right w:val="nil"/>
            </w:tcBorders>
            <w:shd w:val="clear" w:color="auto" w:fill="auto"/>
            <w:vAlign w:val="center"/>
          </w:tcPr>
          <w:p w14:paraId="5D657C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对比分析</w:t>
            </w:r>
          </w:p>
        </w:tc>
        <w:tc>
          <w:tcPr>
            <w:tcW w:w="1460" w:type="dxa"/>
            <w:tcBorders>
              <w:top w:val="nil"/>
              <w:left w:val="nil"/>
              <w:bottom w:val="nil"/>
              <w:right w:val="nil"/>
            </w:tcBorders>
            <w:shd w:val="clear" w:color="auto" w:fill="auto"/>
            <w:vAlign w:val="center"/>
          </w:tcPr>
          <w:p w14:paraId="42570E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8C38646">
        <w:trPr>
          <w:cantSplit/>
          <w:trHeight w:val="0" w:hRule="atLeast"/>
          <w:jc w:val="center"/>
        </w:trPr>
        <w:tc>
          <w:tcPr>
            <w:tcW w:w="2944" w:type="dxa"/>
            <w:tcBorders>
              <w:top w:val="nil"/>
              <w:left w:val="nil"/>
              <w:bottom w:val="nil"/>
              <w:right w:val="nil"/>
            </w:tcBorders>
            <w:shd w:val="clear" w:color="auto" w:fill="auto"/>
            <w:vAlign w:val="center"/>
          </w:tcPr>
          <w:p w14:paraId="13CB8A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P-ZLTC-SCOS-JSC-007-60-001</w:t>
            </w:r>
          </w:p>
        </w:tc>
        <w:tc>
          <w:tcPr>
            <w:tcW w:w="945" w:type="dxa"/>
            <w:tcBorders>
              <w:top w:val="nil"/>
              <w:left w:val="nil"/>
              <w:bottom w:val="nil"/>
              <w:right w:val="nil"/>
            </w:tcBorders>
            <w:shd w:val="clear" w:color="auto" w:fill="auto"/>
            <w:vAlign w:val="center"/>
          </w:tcPr>
          <w:p w14:paraId="124436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形成影响结论、风险提示与备选方案规则</w:t>
            </w:r>
          </w:p>
        </w:tc>
        <w:tc>
          <w:tcPr>
            <w:tcW w:w="966" w:type="dxa"/>
            <w:tcBorders>
              <w:top w:val="nil"/>
              <w:left w:val="nil"/>
              <w:bottom w:val="nil"/>
              <w:right w:val="nil"/>
            </w:tcBorders>
            <w:shd w:val="clear" w:color="auto" w:fill="auto"/>
            <w:vAlign w:val="center"/>
          </w:tcPr>
          <w:p w14:paraId="239D8F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CB7B4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5A20C3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对比分析形成后</w:t>
            </w:r>
          </w:p>
        </w:tc>
        <w:tc>
          <w:tcPr>
            <w:tcW w:w="1406" w:type="dxa"/>
            <w:tcBorders>
              <w:top w:val="nil"/>
              <w:left w:val="nil"/>
              <w:bottom w:val="nil"/>
              <w:right w:val="nil"/>
            </w:tcBorders>
            <w:shd w:val="clear" w:color="auto" w:fill="auto"/>
            <w:vAlign w:val="center"/>
          </w:tcPr>
          <w:p w14:paraId="2675D5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归纳各方案的收益、代价、风险和适用条件；关键评价维度缺失时标记结论限制。</w:t>
            </w:r>
          </w:p>
        </w:tc>
        <w:tc>
          <w:tcPr>
            <w:tcW w:w="1088" w:type="dxa"/>
            <w:tcBorders>
              <w:top w:val="nil"/>
              <w:left w:val="nil"/>
              <w:bottom w:val="nil"/>
              <w:right w:val="nil"/>
            </w:tcBorders>
            <w:shd w:val="clear" w:color="auto" w:fill="auto"/>
            <w:vAlign w:val="center"/>
          </w:tcPr>
          <w:p w14:paraId="0E37F1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影响结论、风险提示和备选方案</w:t>
            </w:r>
          </w:p>
        </w:tc>
        <w:tc>
          <w:tcPr>
            <w:tcW w:w="1460" w:type="dxa"/>
            <w:tcBorders>
              <w:top w:val="nil"/>
              <w:left w:val="nil"/>
              <w:bottom w:val="nil"/>
              <w:right w:val="nil"/>
            </w:tcBorders>
            <w:shd w:val="clear" w:color="auto" w:fill="auto"/>
            <w:vAlign w:val="center"/>
          </w:tcPr>
          <w:p w14:paraId="716B64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34A40C">
        <w:trPr>
          <w:cantSplit/>
          <w:trHeight w:val="0" w:hRule="atLeast"/>
          <w:jc w:val="center"/>
        </w:trPr>
        <w:tc>
          <w:tcPr>
            <w:tcW w:w="2944" w:type="dxa"/>
            <w:tcBorders>
              <w:top w:val="nil"/>
              <w:left w:val="nil"/>
              <w:bottom w:val="nil"/>
              <w:right w:val="nil"/>
            </w:tcBorders>
            <w:shd w:val="clear" w:color="auto" w:fill="auto"/>
            <w:vAlign w:val="center"/>
          </w:tcPr>
          <w:p w14:paraId="500F9D9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P-ZLTC-SCOS-JSC-007-70-001</w:t>
            </w:r>
          </w:p>
        </w:tc>
        <w:tc>
          <w:tcPr>
            <w:tcW w:w="945" w:type="dxa"/>
            <w:tcBorders>
              <w:top w:val="nil"/>
              <w:left w:val="nil"/>
              <w:bottom w:val="nil"/>
              <w:right w:val="nil"/>
            </w:tcBorders>
            <w:shd w:val="clear" w:color="auto" w:fill="auto"/>
            <w:vAlign w:val="center"/>
          </w:tcPr>
          <w:p w14:paraId="52C725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审阅模拟结果规则</w:t>
            </w:r>
          </w:p>
        </w:tc>
        <w:tc>
          <w:tcPr>
            <w:tcW w:w="966" w:type="dxa"/>
            <w:tcBorders>
              <w:top w:val="nil"/>
              <w:left w:val="nil"/>
              <w:bottom w:val="nil"/>
              <w:right w:val="nil"/>
            </w:tcBorders>
            <w:shd w:val="clear" w:color="auto" w:fill="auto"/>
            <w:vAlign w:val="center"/>
          </w:tcPr>
          <w:p w14:paraId="13FE7D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47BB7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6C0D3F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影响结论、风险提示和备选方案形成后</w:t>
            </w:r>
          </w:p>
        </w:tc>
        <w:tc>
          <w:tcPr>
            <w:tcW w:w="1406" w:type="dxa"/>
            <w:tcBorders>
              <w:top w:val="nil"/>
              <w:left w:val="nil"/>
              <w:bottom w:val="nil"/>
              <w:right w:val="nil"/>
            </w:tcBorders>
            <w:shd w:val="clear" w:color="auto" w:fill="auto"/>
            <w:vAlign w:val="center"/>
          </w:tcPr>
          <w:p w14:paraId="24722C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核实业务假设和模拟结果是否合理；需要重算时明确调整内容，修正后重新测算。</w:t>
            </w:r>
          </w:p>
        </w:tc>
        <w:tc>
          <w:tcPr>
            <w:tcW w:w="1088" w:type="dxa"/>
            <w:tcBorders>
              <w:top w:val="nil"/>
              <w:left w:val="nil"/>
              <w:bottom w:val="nil"/>
              <w:right w:val="nil"/>
            </w:tcBorders>
            <w:shd w:val="clear" w:color="auto" w:fill="auto"/>
            <w:vAlign w:val="center"/>
          </w:tcPr>
          <w:p w14:paraId="6E4BC5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审阅意见</w:t>
            </w:r>
          </w:p>
        </w:tc>
        <w:tc>
          <w:tcPr>
            <w:tcW w:w="1460" w:type="dxa"/>
            <w:tcBorders>
              <w:top w:val="nil"/>
              <w:left w:val="nil"/>
              <w:bottom w:val="nil"/>
              <w:right w:val="nil"/>
            </w:tcBorders>
            <w:shd w:val="clear" w:color="auto" w:fill="auto"/>
            <w:vAlign w:val="center"/>
          </w:tcPr>
          <w:p w14:paraId="4A1ED2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F0D767">
        <w:trPr>
          <w:cantSplit/>
          <w:trHeight w:val="0" w:hRule="atLeast"/>
          <w:jc w:val="center"/>
        </w:trPr>
        <w:tc>
          <w:tcPr>
            <w:tcW w:w="2944" w:type="dxa"/>
            <w:tcBorders>
              <w:top w:val="nil"/>
              <w:left w:val="nil"/>
              <w:bottom w:val="nil"/>
              <w:right w:val="nil"/>
            </w:tcBorders>
            <w:shd w:val="clear" w:color="auto" w:fill="auto"/>
            <w:vAlign w:val="center"/>
          </w:tcPr>
          <w:p w14:paraId="0B8BCA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P-ZLTC-SCOS-JSC-008-10-001</w:t>
            </w:r>
          </w:p>
        </w:tc>
        <w:tc>
          <w:tcPr>
            <w:tcW w:w="945" w:type="dxa"/>
            <w:tcBorders>
              <w:top w:val="nil"/>
              <w:left w:val="nil"/>
              <w:bottom w:val="nil"/>
              <w:right w:val="nil"/>
            </w:tcBorders>
            <w:shd w:val="clear" w:color="auto" w:fill="auto"/>
            <w:vAlign w:val="center"/>
          </w:tcPr>
          <w:p w14:paraId="05D12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比较备选方案并权衡成本、服务与风险规则</w:t>
            </w:r>
          </w:p>
        </w:tc>
        <w:tc>
          <w:tcPr>
            <w:tcW w:w="966" w:type="dxa"/>
            <w:tcBorders>
              <w:top w:val="nil"/>
              <w:left w:val="nil"/>
              <w:bottom w:val="nil"/>
              <w:right w:val="nil"/>
            </w:tcBorders>
            <w:shd w:val="clear" w:color="auto" w:fill="auto"/>
            <w:vAlign w:val="center"/>
          </w:tcPr>
          <w:p w14:paraId="0BDF23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3ED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8F215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决策管理人员需要判断是否把模拟建议转入正式业务调整时</w:t>
            </w:r>
          </w:p>
        </w:tc>
        <w:tc>
          <w:tcPr>
            <w:tcW w:w="1406" w:type="dxa"/>
            <w:tcBorders>
              <w:top w:val="nil"/>
              <w:left w:val="nil"/>
              <w:bottom w:val="nil"/>
              <w:right w:val="nil"/>
            </w:tcBorders>
            <w:shd w:val="clear" w:color="auto" w:fill="auto"/>
            <w:vAlign w:val="center"/>
          </w:tcPr>
          <w:p w14:paraId="34C1D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结合成本、交付、服务和供应安全选择可实施的候选方案；无可接受方案时结束并保存分析记录。</w:t>
            </w:r>
          </w:p>
        </w:tc>
        <w:tc>
          <w:tcPr>
            <w:tcW w:w="1088" w:type="dxa"/>
            <w:tcBorders>
              <w:top w:val="nil"/>
              <w:left w:val="nil"/>
              <w:bottom w:val="nil"/>
              <w:right w:val="nil"/>
            </w:tcBorders>
            <w:shd w:val="clear" w:color="auto" w:fill="auto"/>
            <w:vAlign w:val="center"/>
          </w:tcPr>
          <w:p w14:paraId="3A873C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方案选择意见</w:t>
            </w:r>
          </w:p>
        </w:tc>
        <w:tc>
          <w:tcPr>
            <w:tcW w:w="1460" w:type="dxa"/>
            <w:tcBorders>
              <w:top w:val="nil"/>
              <w:left w:val="nil"/>
              <w:bottom w:val="nil"/>
              <w:right w:val="nil"/>
            </w:tcBorders>
            <w:shd w:val="clear" w:color="auto" w:fill="auto"/>
            <w:vAlign w:val="center"/>
          </w:tcPr>
          <w:p w14:paraId="252DA5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A1173E7">
        <w:trPr>
          <w:cantSplit/>
          <w:trHeight w:val="0" w:hRule="atLeast"/>
          <w:jc w:val="center"/>
        </w:trPr>
        <w:tc>
          <w:tcPr>
            <w:tcW w:w="2944" w:type="dxa"/>
            <w:tcBorders>
              <w:top w:val="nil"/>
              <w:left w:val="nil"/>
              <w:bottom w:val="nil"/>
              <w:right w:val="nil"/>
            </w:tcBorders>
            <w:shd w:val="clear" w:color="auto" w:fill="auto"/>
            <w:vAlign w:val="center"/>
          </w:tcPr>
          <w:p w14:paraId="63543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P-ZLTC-SCOS-JSC-008-20-001</w:t>
            </w:r>
          </w:p>
        </w:tc>
        <w:tc>
          <w:tcPr>
            <w:tcW w:w="945" w:type="dxa"/>
            <w:tcBorders>
              <w:top w:val="nil"/>
              <w:left w:val="nil"/>
              <w:bottom w:val="nil"/>
              <w:right w:val="nil"/>
            </w:tcBorders>
            <w:shd w:val="clear" w:color="auto" w:fill="auto"/>
            <w:vAlign w:val="center"/>
          </w:tcPr>
          <w:p w14:paraId="6F6F06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判断是否采纳模拟建议规则</w:t>
            </w:r>
          </w:p>
        </w:tc>
        <w:tc>
          <w:tcPr>
            <w:tcW w:w="966" w:type="dxa"/>
            <w:tcBorders>
              <w:top w:val="nil"/>
              <w:left w:val="nil"/>
              <w:bottom w:val="nil"/>
              <w:right w:val="nil"/>
            </w:tcBorders>
            <w:shd w:val="clear" w:color="auto" w:fill="auto"/>
            <w:vAlign w:val="center"/>
          </w:tcPr>
          <w:p w14:paraId="0CFB06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9D83D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05F48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方案选择意见形成后</w:t>
            </w:r>
          </w:p>
        </w:tc>
        <w:tc>
          <w:tcPr>
            <w:tcW w:w="1406" w:type="dxa"/>
            <w:tcBorders>
              <w:top w:val="nil"/>
              <w:left w:val="nil"/>
              <w:bottom w:val="nil"/>
              <w:right w:val="nil"/>
            </w:tcBorders>
            <w:shd w:val="clear" w:color="auto" w:fill="auto"/>
            <w:vAlign w:val="center"/>
          </w:tcPr>
          <w:p w14:paraId="5735F5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采纳属于管理决策，不由模型或驾驶舱自动完成；未采纳模拟建议时保存模拟记录；采纳模拟建议时继续处理。</w:t>
            </w:r>
          </w:p>
        </w:tc>
        <w:tc>
          <w:tcPr>
            <w:tcW w:w="1088" w:type="dxa"/>
            <w:tcBorders>
              <w:top w:val="nil"/>
              <w:left w:val="nil"/>
              <w:bottom w:val="nil"/>
              <w:right w:val="nil"/>
            </w:tcBorders>
            <w:shd w:val="clear" w:color="auto" w:fill="auto"/>
            <w:vAlign w:val="center"/>
          </w:tcPr>
          <w:p w14:paraId="148826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采纳结论</w:t>
            </w:r>
          </w:p>
        </w:tc>
        <w:tc>
          <w:tcPr>
            <w:tcW w:w="1460" w:type="dxa"/>
            <w:tcBorders>
              <w:top w:val="nil"/>
              <w:left w:val="nil"/>
              <w:bottom w:val="nil"/>
              <w:right w:val="nil"/>
            </w:tcBorders>
            <w:shd w:val="clear" w:color="auto" w:fill="auto"/>
            <w:vAlign w:val="center"/>
          </w:tcPr>
          <w:p w14:paraId="4C3BDC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993A3E">
        <w:trPr>
          <w:cantSplit/>
          <w:trHeight w:val="0" w:hRule="atLeast"/>
          <w:jc w:val="center"/>
        </w:trPr>
        <w:tc>
          <w:tcPr>
            <w:tcW w:w="2944" w:type="dxa"/>
            <w:tcBorders>
              <w:top w:val="nil"/>
              <w:left w:val="nil"/>
              <w:bottom w:val="nil"/>
              <w:right w:val="nil"/>
            </w:tcBorders>
            <w:shd w:val="clear" w:color="auto" w:fill="auto"/>
            <w:vAlign w:val="center"/>
          </w:tcPr>
          <w:p w14:paraId="1BB00F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P-ZLTC-SCOS-JSC-008-30-001</w:t>
            </w:r>
          </w:p>
        </w:tc>
        <w:tc>
          <w:tcPr>
            <w:tcW w:w="945" w:type="dxa"/>
            <w:tcBorders>
              <w:top w:val="nil"/>
              <w:left w:val="nil"/>
              <w:bottom w:val="nil"/>
              <w:right w:val="nil"/>
            </w:tcBorders>
            <w:shd w:val="clear" w:color="auto" w:fill="auto"/>
            <w:vAlign w:val="center"/>
          </w:tcPr>
          <w:p w14:paraId="1A2532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记录决策结论及采纳依据规则</w:t>
            </w:r>
          </w:p>
        </w:tc>
        <w:tc>
          <w:tcPr>
            <w:tcW w:w="966" w:type="dxa"/>
            <w:tcBorders>
              <w:top w:val="nil"/>
              <w:left w:val="nil"/>
              <w:bottom w:val="nil"/>
              <w:right w:val="nil"/>
            </w:tcBorders>
            <w:shd w:val="clear" w:color="auto" w:fill="auto"/>
            <w:vAlign w:val="center"/>
          </w:tcPr>
          <w:p w14:paraId="7885F4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99D91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432434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采纳模拟建议时</w:t>
            </w:r>
          </w:p>
        </w:tc>
        <w:tc>
          <w:tcPr>
            <w:tcW w:w="1406" w:type="dxa"/>
            <w:tcBorders>
              <w:top w:val="nil"/>
              <w:left w:val="nil"/>
              <w:bottom w:val="nil"/>
              <w:right w:val="nil"/>
            </w:tcBorders>
            <w:shd w:val="clear" w:color="auto" w:fill="auto"/>
            <w:vAlign w:val="center"/>
          </w:tcPr>
          <w:p w14:paraId="183930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保存采纳方案、决策依据、适用范围、决策人和时间；记录失败时不发起后续业务调整。</w:t>
            </w:r>
          </w:p>
        </w:tc>
        <w:tc>
          <w:tcPr>
            <w:tcW w:w="1088" w:type="dxa"/>
            <w:tcBorders>
              <w:top w:val="nil"/>
              <w:left w:val="nil"/>
              <w:bottom w:val="nil"/>
              <w:right w:val="nil"/>
            </w:tcBorders>
            <w:shd w:val="clear" w:color="auto" w:fill="auto"/>
            <w:vAlign w:val="center"/>
          </w:tcPr>
          <w:p w14:paraId="73A344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决策记录</w:t>
            </w:r>
          </w:p>
        </w:tc>
        <w:tc>
          <w:tcPr>
            <w:tcW w:w="1460" w:type="dxa"/>
            <w:tcBorders>
              <w:top w:val="nil"/>
              <w:left w:val="nil"/>
              <w:bottom w:val="nil"/>
              <w:right w:val="nil"/>
            </w:tcBorders>
            <w:shd w:val="clear" w:color="auto" w:fill="auto"/>
            <w:vAlign w:val="center"/>
          </w:tcPr>
          <w:p w14:paraId="73E2F7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1D4CE9">
        <w:trPr>
          <w:cantSplit/>
          <w:trHeight w:val="0" w:hRule="atLeast"/>
          <w:jc w:val="center"/>
        </w:trPr>
        <w:tc>
          <w:tcPr>
            <w:tcW w:w="2944" w:type="dxa"/>
            <w:tcBorders>
              <w:top w:val="nil"/>
              <w:left w:val="nil"/>
              <w:bottom w:val="nil"/>
              <w:right w:val="nil"/>
            </w:tcBorders>
            <w:shd w:val="clear" w:color="auto" w:fill="auto"/>
            <w:vAlign w:val="center"/>
          </w:tcPr>
          <w:p w14:paraId="61A06E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P-ZLTC-SCOS-JSC-008-40-001</w:t>
            </w:r>
          </w:p>
        </w:tc>
        <w:tc>
          <w:tcPr>
            <w:tcW w:w="945" w:type="dxa"/>
            <w:tcBorders>
              <w:top w:val="nil"/>
              <w:left w:val="nil"/>
              <w:bottom w:val="nil"/>
              <w:right w:val="nil"/>
            </w:tcBorders>
            <w:shd w:val="clear" w:color="auto" w:fill="auto"/>
            <w:vAlign w:val="center"/>
          </w:tcPr>
          <w:p w14:paraId="55B135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确认调整范围与承接责任规则</w:t>
            </w:r>
          </w:p>
        </w:tc>
        <w:tc>
          <w:tcPr>
            <w:tcW w:w="966" w:type="dxa"/>
            <w:tcBorders>
              <w:top w:val="nil"/>
              <w:left w:val="nil"/>
              <w:bottom w:val="nil"/>
              <w:right w:val="nil"/>
            </w:tcBorders>
            <w:shd w:val="clear" w:color="auto" w:fill="auto"/>
            <w:vAlign w:val="center"/>
          </w:tcPr>
          <w:p w14:paraId="628401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52BF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6DC0C1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决策记录形成并具备评审条件后</w:t>
            </w:r>
          </w:p>
        </w:tc>
        <w:tc>
          <w:tcPr>
            <w:tcW w:w="1406" w:type="dxa"/>
            <w:tcBorders>
              <w:top w:val="nil"/>
              <w:left w:val="nil"/>
              <w:bottom w:val="nil"/>
              <w:right w:val="nil"/>
            </w:tcBorders>
            <w:shd w:val="clear" w:color="auto" w:fill="auto"/>
            <w:vAlign w:val="center"/>
          </w:tcPr>
          <w:p w14:paraId="3FF2A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将建议拆分为相关业务模块可以承接的调整事项；涉及范围不清时返回决策管理人员补充。</w:t>
            </w:r>
          </w:p>
        </w:tc>
        <w:tc>
          <w:tcPr>
            <w:tcW w:w="1088" w:type="dxa"/>
            <w:tcBorders>
              <w:top w:val="nil"/>
              <w:left w:val="nil"/>
              <w:bottom w:val="nil"/>
              <w:right w:val="nil"/>
            </w:tcBorders>
            <w:shd w:val="clear" w:color="auto" w:fill="auto"/>
            <w:vAlign w:val="center"/>
          </w:tcPr>
          <w:p w14:paraId="5091D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调整事项、责任人和承接模块</w:t>
            </w:r>
          </w:p>
        </w:tc>
        <w:tc>
          <w:tcPr>
            <w:tcW w:w="1460" w:type="dxa"/>
            <w:tcBorders>
              <w:top w:val="nil"/>
              <w:left w:val="nil"/>
              <w:bottom w:val="nil"/>
              <w:right w:val="nil"/>
            </w:tcBorders>
            <w:shd w:val="clear" w:color="auto" w:fill="auto"/>
            <w:vAlign w:val="center"/>
          </w:tcPr>
          <w:p w14:paraId="473566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552BB6">
        <w:trPr>
          <w:cantSplit/>
          <w:trHeight w:val="0" w:hRule="atLeast"/>
          <w:jc w:val="center"/>
        </w:trPr>
        <w:tc>
          <w:tcPr>
            <w:tcW w:w="2944" w:type="dxa"/>
            <w:tcBorders>
              <w:top w:val="nil"/>
              <w:left w:val="nil"/>
              <w:bottom w:val="nil"/>
              <w:right w:val="nil"/>
            </w:tcBorders>
            <w:shd w:val="clear" w:color="auto" w:fill="auto"/>
            <w:vAlign w:val="center"/>
          </w:tcPr>
          <w:p w14:paraId="244C57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P-ZLTC-SCOS-JSC-008-50-001</w:t>
            </w:r>
          </w:p>
        </w:tc>
        <w:tc>
          <w:tcPr>
            <w:tcW w:w="945" w:type="dxa"/>
            <w:tcBorders>
              <w:top w:val="nil"/>
              <w:left w:val="nil"/>
              <w:bottom w:val="nil"/>
              <w:right w:val="nil"/>
            </w:tcBorders>
            <w:shd w:val="clear" w:color="auto" w:fill="auto"/>
            <w:vAlign w:val="center"/>
          </w:tcPr>
          <w:p w14:paraId="52DCC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发起正式业务方案调整流程规则</w:t>
            </w:r>
          </w:p>
        </w:tc>
        <w:tc>
          <w:tcPr>
            <w:tcW w:w="966" w:type="dxa"/>
            <w:tcBorders>
              <w:top w:val="nil"/>
              <w:left w:val="nil"/>
              <w:bottom w:val="nil"/>
              <w:right w:val="nil"/>
            </w:tcBorders>
            <w:shd w:val="clear" w:color="auto" w:fill="auto"/>
            <w:vAlign w:val="center"/>
          </w:tcPr>
          <w:p w14:paraId="70A05E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3523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28AED7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调整事项、责任人和承接模块形成后</w:t>
            </w:r>
          </w:p>
        </w:tc>
        <w:tc>
          <w:tcPr>
            <w:tcW w:w="1406" w:type="dxa"/>
            <w:tcBorders>
              <w:top w:val="nil"/>
              <w:left w:val="nil"/>
              <w:bottom w:val="nil"/>
              <w:right w:val="nil"/>
            </w:tcBorders>
            <w:shd w:val="clear" w:color="auto" w:fill="auto"/>
            <w:vAlign w:val="center"/>
          </w:tcPr>
          <w:p w14:paraId="71DEF2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由相关模块按自身评审、确认和审批流程形成正式方案；原正式方案在新方案生效前继续有效。</w:t>
            </w:r>
          </w:p>
        </w:tc>
        <w:tc>
          <w:tcPr>
            <w:tcW w:w="1088" w:type="dxa"/>
            <w:tcBorders>
              <w:top w:val="nil"/>
              <w:left w:val="nil"/>
              <w:bottom w:val="nil"/>
              <w:right w:val="nil"/>
            </w:tcBorders>
            <w:shd w:val="clear" w:color="auto" w:fill="auto"/>
            <w:vAlign w:val="center"/>
          </w:tcPr>
          <w:p w14:paraId="711B74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采购方案、库存策略、生产排程或其他调整任务</w:t>
            </w:r>
          </w:p>
        </w:tc>
        <w:tc>
          <w:tcPr>
            <w:tcW w:w="1460" w:type="dxa"/>
            <w:tcBorders>
              <w:top w:val="nil"/>
              <w:left w:val="nil"/>
              <w:bottom w:val="nil"/>
              <w:right w:val="nil"/>
            </w:tcBorders>
            <w:shd w:val="clear" w:color="auto" w:fill="auto"/>
            <w:vAlign w:val="center"/>
          </w:tcPr>
          <w:p w14:paraId="5D5500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7F74D2">
        <w:trPr>
          <w:cantSplit/>
          <w:trHeight w:val="0" w:hRule="atLeast"/>
          <w:jc w:val="center"/>
        </w:trPr>
        <w:tc>
          <w:tcPr>
            <w:tcW w:w="2944" w:type="dxa"/>
            <w:tcBorders>
              <w:top w:val="nil"/>
              <w:left w:val="nil"/>
              <w:bottom w:val="nil"/>
              <w:right w:val="nil"/>
            </w:tcBorders>
            <w:shd w:val="clear" w:color="auto" w:fill="auto"/>
            <w:vAlign w:val="center"/>
          </w:tcPr>
          <w:p w14:paraId="33121D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P-ZLTC-SCOS-JSC-008-60-001</w:t>
            </w:r>
          </w:p>
        </w:tc>
        <w:tc>
          <w:tcPr>
            <w:tcW w:w="945" w:type="dxa"/>
            <w:tcBorders>
              <w:top w:val="nil"/>
              <w:left w:val="nil"/>
              <w:bottom w:val="nil"/>
              <w:right w:val="nil"/>
            </w:tcBorders>
            <w:shd w:val="clear" w:color="auto" w:fill="auto"/>
            <w:vAlign w:val="center"/>
          </w:tcPr>
          <w:p w14:paraId="02C0CF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判断调整任务是否受理规则</w:t>
            </w:r>
          </w:p>
        </w:tc>
        <w:tc>
          <w:tcPr>
            <w:tcW w:w="966" w:type="dxa"/>
            <w:tcBorders>
              <w:top w:val="nil"/>
              <w:left w:val="nil"/>
              <w:bottom w:val="nil"/>
              <w:right w:val="nil"/>
            </w:tcBorders>
            <w:shd w:val="clear" w:color="auto" w:fill="auto"/>
            <w:vAlign w:val="center"/>
          </w:tcPr>
          <w:p w14:paraId="6297AD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94848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B67C4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采购方案、库存策略、生产排程或其他调整任务形成后</w:t>
            </w:r>
          </w:p>
        </w:tc>
        <w:tc>
          <w:tcPr>
            <w:tcW w:w="1406" w:type="dxa"/>
            <w:tcBorders>
              <w:top w:val="nil"/>
              <w:left w:val="nil"/>
              <w:bottom w:val="nil"/>
              <w:right w:val="nil"/>
            </w:tcBorders>
            <w:shd w:val="clear" w:color="auto" w:fill="auto"/>
            <w:vAlign w:val="center"/>
          </w:tcPr>
          <w:p w14:paraId="0D99B2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确认相关模块是否接受调整任务及计划完成时间；调整任务未受理时反馈原因并协商调整；调整任务受理时继续处理。</w:t>
            </w:r>
          </w:p>
        </w:tc>
        <w:tc>
          <w:tcPr>
            <w:tcW w:w="1088" w:type="dxa"/>
            <w:tcBorders>
              <w:top w:val="nil"/>
              <w:left w:val="nil"/>
              <w:bottom w:val="nil"/>
              <w:right w:val="nil"/>
            </w:tcBorders>
            <w:shd w:val="clear" w:color="auto" w:fill="auto"/>
            <w:vAlign w:val="center"/>
          </w:tcPr>
          <w:p w14:paraId="550E8E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受理结论</w:t>
            </w:r>
          </w:p>
        </w:tc>
        <w:tc>
          <w:tcPr>
            <w:tcW w:w="1460" w:type="dxa"/>
            <w:tcBorders>
              <w:top w:val="nil"/>
              <w:left w:val="nil"/>
              <w:bottom w:val="nil"/>
              <w:right w:val="nil"/>
            </w:tcBorders>
            <w:shd w:val="clear" w:color="auto" w:fill="auto"/>
            <w:vAlign w:val="center"/>
          </w:tcPr>
          <w:p w14:paraId="6F6EC1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588D09A">
        <w:trPr>
          <w:cantSplit/>
          <w:trHeight w:val="0" w:hRule="atLeast"/>
          <w:jc w:val="center"/>
        </w:trPr>
        <w:tc>
          <w:tcPr>
            <w:tcW w:w="2944" w:type="dxa"/>
            <w:tcBorders>
              <w:top w:val="nil"/>
              <w:left w:val="nil"/>
              <w:bottom w:val="nil"/>
              <w:right w:val="nil"/>
            </w:tcBorders>
            <w:shd w:val="clear" w:color="auto" w:fill="auto"/>
            <w:vAlign w:val="center"/>
          </w:tcPr>
          <w:p w14:paraId="5F4AB9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P-ZLTC-SCOS-JSC-008-70-001</w:t>
            </w:r>
          </w:p>
        </w:tc>
        <w:tc>
          <w:tcPr>
            <w:tcW w:w="945" w:type="dxa"/>
            <w:tcBorders>
              <w:top w:val="nil"/>
              <w:left w:val="nil"/>
              <w:bottom w:val="nil"/>
              <w:right w:val="nil"/>
            </w:tcBorders>
            <w:shd w:val="clear" w:color="auto" w:fill="auto"/>
            <w:vAlign w:val="center"/>
          </w:tcPr>
          <w:p w14:paraId="089CA6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回写协同状态并持续跟踪结果规则</w:t>
            </w:r>
          </w:p>
        </w:tc>
        <w:tc>
          <w:tcPr>
            <w:tcW w:w="966" w:type="dxa"/>
            <w:tcBorders>
              <w:top w:val="nil"/>
              <w:left w:val="nil"/>
              <w:bottom w:val="nil"/>
              <w:right w:val="nil"/>
            </w:tcBorders>
            <w:shd w:val="clear" w:color="auto" w:fill="auto"/>
            <w:vAlign w:val="center"/>
          </w:tcPr>
          <w:p w14:paraId="6DD885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24B46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946C2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调整任务受理时</w:t>
            </w:r>
          </w:p>
        </w:tc>
        <w:tc>
          <w:tcPr>
            <w:tcW w:w="1406" w:type="dxa"/>
            <w:tcBorders>
              <w:top w:val="nil"/>
              <w:left w:val="nil"/>
              <w:bottom w:val="nil"/>
              <w:right w:val="nil"/>
            </w:tcBorders>
            <w:shd w:val="clear" w:color="auto" w:fill="auto"/>
            <w:vAlign w:val="center"/>
          </w:tcPr>
          <w:p w14:paraId="4DC926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跟踪正式调整流程状态，执行结果重新进入全局态势监测；业务调整失败时保留原正式方案并回写原因。</w:t>
            </w:r>
          </w:p>
        </w:tc>
        <w:tc>
          <w:tcPr>
            <w:tcW w:w="1088" w:type="dxa"/>
            <w:tcBorders>
              <w:top w:val="nil"/>
              <w:left w:val="nil"/>
              <w:bottom w:val="nil"/>
              <w:right w:val="nil"/>
            </w:tcBorders>
            <w:shd w:val="clear" w:color="auto" w:fill="auto"/>
            <w:vAlign w:val="center"/>
          </w:tcPr>
          <w:p w14:paraId="66053E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协同跟踪记录</w:t>
            </w:r>
          </w:p>
        </w:tc>
        <w:tc>
          <w:tcPr>
            <w:tcW w:w="1460" w:type="dxa"/>
            <w:tcBorders>
              <w:top w:val="nil"/>
              <w:left w:val="nil"/>
              <w:bottom w:val="nil"/>
              <w:right w:val="nil"/>
            </w:tcBorders>
            <w:shd w:val="clear" w:color="auto" w:fill="auto"/>
            <w:vAlign w:val="center"/>
          </w:tcPr>
          <w:p w14:paraId="2DEFF89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979C75">
        <w:trPr>
          <w:cantSplit/>
          <w:trHeight w:val="0" w:hRule="atLeast"/>
          <w:jc w:val="center"/>
        </w:trPr>
        <w:tc>
          <w:tcPr>
            <w:tcW w:w="2944" w:type="dxa"/>
            <w:tcBorders>
              <w:top w:val="nil"/>
              <w:left w:val="nil"/>
              <w:bottom w:val="nil"/>
              <w:right w:val="nil"/>
            </w:tcBorders>
            <w:shd w:val="clear" w:color="auto" w:fill="auto"/>
            <w:vAlign w:val="center"/>
          </w:tcPr>
          <w:p w14:paraId="604442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P-ZLTC-SCOS-FYCB-001-10-001</w:t>
            </w:r>
          </w:p>
        </w:tc>
        <w:tc>
          <w:tcPr>
            <w:tcW w:w="945" w:type="dxa"/>
            <w:tcBorders>
              <w:top w:val="nil"/>
              <w:left w:val="nil"/>
              <w:bottom w:val="nil"/>
              <w:right w:val="nil"/>
            </w:tcBorders>
            <w:shd w:val="clear" w:color="auto" w:fill="auto"/>
            <w:vAlign w:val="center"/>
          </w:tcPr>
          <w:p w14:paraId="0E1AA4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提供生产执行和主数据规则</w:t>
            </w:r>
          </w:p>
        </w:tc>
        <w:tc>
          <w:tcPr>
            <w:tcW w:w="966" w:type="dxa"/>
            <w:tcBorders>
              <w:top w:val="nil"/>
              <w:left w:val="nil"/>
              <w:bottom w:val="nil"/>
              <w:right w:val="nil"/>
            </w:tcBorders>
            <w:shd w:val="clear" w:color="auto" w:fill="auto"/>
            <w:vAlign w:val="center"/>
          </w:tcPr>
          <w:p w14:paraId="364072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067D4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26D4E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每月月末由SCOS启动当月生产批次生成时</w:t>
            </w:r>
          </w:p>
        </w:tc>
        <w:tc>
          <w:tcPr>
            <w:tcW w:w="1406" w:type="dxa"/>
            <w:tcBorders>
              <w:top w:val="nil"/>
              <w:left w:val="nil"/>
              <w:bottom w:val="nil"/>
              <w:right w:val="nil"/>
            </w:tcBorders>
            <w:shd w:val="clear" w:color="auto" w:fill="auto"/>
            <w:vAlign w:val="center"/>
          </w:tcPr>
          <w:p w14:paraId="1755CA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按工厂、自然月和截止时间提供标准数据；缺失字段、计量复位或来源冲突随数据质量标识返回，不按零处理。</w:t>
            </w:r>
          </w:p>
        </w:tc>
        <w:tc>
          <w:tcPr>
            <w:tcW w:w="1088" w:type="dxa"/>
            <w:tcBorders>
              <w:top w:val="nil"/>
              <w:left w:val="nil"/>
              <w:bottom w:val="nil"/>
              <w:right w:val="nil"/>
            </w:tcBorders>
            <w:shd w:val="clear" w:color="auto" w:fill="auto"/>
            <w:vAlign w:val="center"/>
          </w:tcPr>
          <w:p w14:paraId="30C86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工单、收发存、投料、设备、阀门、计量、质检、发运、路线和批次规则</w:t>
            </w:r>
          </w:p>
        </w:tc>
        <w:tc>
          <w:tcPr>
            <w:tcW w:w="1460" w:type="dxa"/>
            <w:tcBorders>
              <w:top w:val="nil"/>
              <w:left w:val="nil"/>
              <w:bottom w:val="nil"/>
              <w:right w:val="nil"/>
            </w:tcBorders>
            <w:shd w:val="clear" w:color="auto" w:fill="auto"/>
            <w:vAlign w:val="center"/>
          </w:tcPr>
          <w:p w14:paraId="794ABE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59F73CD">
        <w:trPr>
          <w:cantSplit/>
          <w:trHeight w:val="0" w:hRule="atLeast"/>
          <w:jc w:val="center"/>
        </w:trPr>
        <w:tc>
          <w:tcPr>
            <w:tcW w:w="2944" w:type="dxa"/>
            <w:tcBorders>
              <w:top w:val="nil"/>
              <w:left w:val="nil"/>
              <w:bottom w:val="nil"/>
              <w:right w:val="nil"/>
            </w:tcBorders>
            <w:shd w:val="clear" w:color="auto" w:fill="auto"/>
            <w:vAlign w:val="center"/>
          </w:tcPr>
          <w:p w14:paraId="448340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P-ZLTC-SCOS-FYCB-001-20-001</w:t>
            </w:r>
          </w:p>
        </w:tc>
        <w:tc>
          <w:tcPr>
            <w:tcW w:w="945" w:type="dxa"/>
            <w:tcBorders>
              <w:top w:val="nil"/>
              <w:left w:val="nil"/>
              <w:bottom w:val="nil"/>
              <w:right w:val="nil"/>
            </w:tcBorders>
            <w:shd w:val="clear" w:color="auto" w:fill="auto"/>
            <w:vAlign w:val="center"/>
          </w:tcPr>
          <w:p w14:paraId="0B60FF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标准化并锁定月度取数快照规则</w:t>
            </w:r>
          </w:p>
        </w:tc>
        <w:tc>
          <w:tcPr>
            <w:tcW w:w="966" w:type="dxa"/>
            <w:tcBorders>
              <w:top w:val="nil"/>
              <w:left w:val="nil"/>
              <w:bottom w:val="nil"/>
              <w:right w:val="nil"/>
            </w:tcBorders>
            <w:shd w:val="clear" w:color="auto" w:fill="auto"/>
            <w:vAlign w:val="center"/>
          </w:tcPr>
          <w:p w14:paraId="417172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F1DD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48D9D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工单、收发存、投料、设备、阀门、计量、质检、发运、路线和批次规则形成后</w:t>
            </w:r>
          </w:p>
        </w:tc>
        <w:tc>
          <w:tcPr>
            <w:tcW w:w="1406" w:type="dxa"/>
            <w:tcBorders>
              <w:top w:val="nil"/>
              <w:left w:val="nil"/>
              <w:bottom w:val="nil"/>
              <w:right w:val="nil"/>
            </w:tcBorders>
            <w:shd w:val="clear" w:color="auto" w:fill="auto"/>
            <w:vAlign w:val="center"/>
          </w:tcPr>
          <w:p w14:paraId="482077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统一时区、单位、事件序号和主数据版本；迟到或更正数据形成后续调整版本，不覆盖本轮快照。</w:t>
            </w:r>
          </w:p>
        </w:tc>
        <w:tc>
          <w:tcPr>
            <w:tcW w:w="1088" w:type="dxa"/>
            <w:tcBorders>
              <w:top w:val="nil"/>
              <w:left w:val="nil"/>
              <w:bottom w:val="nil"/>
              <w:right w:val="nil"/>
            </w:tcBorders>
            <w:shd w:val="clear" w:color="auto" w:fill="auto"/>
            <w:vAlign w:val="center"/>
          </w:tcPr>
          <w:p w14:paraId="14F7FD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月度取数快照</w:t>
            </w:r>
          </w:p>
        </w:tc>
        <w:tc>
          <w:tcPr>
            <w:tcW w:w="1460" w:type="dxa"/>
            <w:tcBorders>
              <w:top w:val="nil"/>
              <w:left w:val="nil"/>
              <w:bottom w:val="nil"/>
              <w:right w:val="nil"/>
            </w:tcBorders>
            <w:shd w:val="clear" w:color="auto" w:fill="auto"/>
            <w:vAlign w:val="center"/>
          </w:tcPr>
          <w:p w14:paraId="3F32E3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D153347">
        <w:trPr>
          <w:cantSplit/>
          <w:trHeight w:val="0" w:hRule="atLeast"/>
          <w:jc w:val="center"/>
        </w:trPr>
        <w:tc>
          <w:tcPr>
            <w:tcW w:w="2944" w:type="dxa"/>
            <w:tcBorders>
              <w:top w:val="nil"/>
              <w:left w:val="nil"/>
              <w:bottom w:val="nil"/>
              <w:right w:val="nil"/>
            </w:tcBorders>
            <w:shd w:val="clear" w:color="auto" w:fill="auto"/>
            <w:vAlign w:val="center"/>
          </w:tcPr>
          <w:p w14:paraId="44BD20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P-ZLTC-SCOS-FYCB-001-30-001</w:t>
            </w:r>
          </w:p>
        </w:tc>
        <w:tc>
          <w:tcPr>
            <w:tcW w:w="945" w:type="dxa"/>
            <w:tcBorders>
              <w:top w:val="nil"/>
              <w:left w:val="nil"/>
              <w:bottom w:val="nil"/>
              <w:right w:val="nil"/>
            </w:tcBorders>
            <w:shd w:val="clear" w:color="auto" w:fill="auto"/>
            <w:vAlign w:val="center"/>
          </w:tcPr>
          <w:p w14:paraId="6C2DC1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识别路线节点和批次对象类型规则</w:t>
            </w:r>
          </w:p>
        </w:tc>
        <w:tc>
          <w:tcPr>
            <w:tcW w:w="966" w:type="dxa"/>
            <w:tcBorders>
              <w:top w:val="nil"/>
              <w:left w:val="nil"/>
              <w:bottom w:val="nil"/>
              <w:right w:val="nil"/>
            </w:tcBorders>
            <w:shd w:val="clear" w:color="auto" w:fill="auto"/>
            <w:vAlign w:val="center"/>
          </w:tcPr>
          <w:p w14:paraId="1271DA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D3B56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29FF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月度取数快照形成后</w:t>
            </w:r>
          </w:p>
        </w:tc>
        <w:tc>
          <w:tcPr>
            <w:tcW w:w="1406" w:type="dxa"/>
            <w:tcBorders>
              <w:top w:val="nil"/>
              <w:left w:val="nil"/>
              <w:bottom w:val="nil"/>
              <w:right w:val="nil"/>
            </w:tcBorders>
            <w:shd w:val="clear" w:color="auto" w:fill="auto"/>
            <w:vAlign w:val="center"/>
          </w:tcPr>
          <w:p w14:paraId="3946C3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按实际生产路线识别各类生产批次及其所在工艺环节；短路线不补建不存在的层级；共享设备按路线和物料隔离。</w:t>
            </w:r>
          </w:p>
        </w:tc>
        <w:tc>
          <w:tcPr>
            <w:tcW w:w="1088" w:type="dxa"/>
            <w:tcBorders>
              <w:top w:val="nil"/>
              <w:left w:val="nil"/>
              <w:bottom w:val="nil"/>
              <w:right w:val="nil"/>
            </w:tcBorders>
            <w:shd w:val="clear" w:color="auto" w:fill="auto"/>
            <w:vAlign w:val="center"/>
          </w:tcPr>
          <w:p w14:paraId="6DD36D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节点级批次对象清单</w:t>
            </w:r>
          </w:p>
        </w:tc>
        <w:tc>
          <w:tcPr>
            <w:tcW w:w="1460" w:type="dxa"/>
            <w:tcBorders>
              <w:top w:val="nil"/>
              <w:left w:val="nil"/>
              <w:bottom w:val="nil"/>
              <w:right w:val="nil"/>
            </w:tcBorders>
            <w:shd w:val="clear" w:color="auto" w:fill="auto"/>
            <w:vAlign w:val="center"/>
          </w:tcPr>
          <w:p w14:paraId="3B74A4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05912C7">
        <w:trPr>
          <w:cantSplit/>
          <w:trHeight w:val="0" w:hRule="atLeast"/>
          <w:jc w:val="center"/>
        </w:trPr>
        <w:tc>
          <w:tcPr>
            <w:tcW w:w="2944" w:type="dxa"/>
            <w:tcBorders>
              <w:top w:val="nil"/>
              <w:left w:val="nil"/>
              <w:bottom w:val="nil"/>
              <w:right w:val="nil"/>
            </w:tcBorders>
            <w:shd w:val="clear" w:color="auto" w:fill="auto"/>
            <w:vAlign w:val="center"/>
          </w:tcPr>
          <w:p w14:paraId="71E6D3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P-ZLTC-SCOS-FYCB-001-40-001</w:t>
            </w:r>
          </w:p>
        </w:tc>
        <w:tc>
          <w:tcPr>
            <w:tcW w:w="945" w:type="dxa"/>
            <w:tcBorders>
              <w:top w:val="nil"/>
              <w:left w:val="nil"/>
              <w:bottom w:val="nil"/>
              <w:right w:val="nil"/>
            </w:tcBorders>
            <w:shd w:val="clear" w:color="auto" w:fill="auto"/>
            <w:vAlign w:val="center"/>
          </w:tcPr>
          <w:p w14:paraId="3B13CC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计算批次边界和投入产出量规则</w:t>
            </w:r>
          </w:p>
        </w:tc>
        <w:tc>
          <w:tcPr>
            <w:tcW w:w="966" w:type="dxa"/>
            <w:tcBorders>
              <w:top w:val="nil"/>
              <w:left w:val="nil"/>
              <w:bottom w:val="nil"/>
              <w:right w:val="nil"/>
            </w:tcBorders>
            <w:shd w:val="clear" w:color="auto" w:fill="auto"/>
            <w:vAlign w:val="center"/>
          </w:tcPr>
          <w:p w14:paraId="66C8A1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1EC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D7280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节点级批次对象清单形成后</w:t>
            </w:r>
          </w:p>
        </w:tc>
        <w:tc>
          <w:tcPr>
            <w:tcW w:w="1406" w:type="dxa"/>
            <w:tcBorders>
              <w:top w:val="nil"/>
              <w:left w:val="nil"/>
              <w:bottom w:val="nil"/>
              <w:right w:val="nil"/>
            </w:tcBorders>
            <w:shd w:val="clear" w:color="auto" w:fill="auto"/>
            <w:vAlign w:val="center"/>
          </w:tcPr>
          <w:p w14:paraId="6FC21F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连续段按切换、停机和动态到达时间划窗；停流不累计；估算边界和数量时记录方法、参数与可信度。</w:t>
            </w:r>
          </w:p>
        </w:tc>
        <w:tc>
          <w:tcPr>
            <w:tcW w:w="1088" w:type="dxa"/>
            <w:tcBorders>
              <w:top w:val="nil"/>
              <w:left w:val="nil"/>
              <w:bottom w:val="nil"/>
              <w:right w:val="nil"/>
            </w:tcBorders>
            <w:shd w:val="clear" w:color="auto" w:fill="auto"/>
            <w:vAlign w:val="center"/>
          </w:tcPr>
          <w:p w14:paraId="29D1D6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候选批次边界、投入量、产出量和合格量</w:t>
            </w:r>
          </w:p>
        </w:tc>
        <w:tc>
          <w:tcPr>
            <w:tcW w:w="1460" w:type="dxa"/>
            <w:tcBorders>
              <w:top w:val="nil"/>
              <w:left w:val="nil"/>
              <w:bottom w:val="nil"/>
              <w:right w:val="nil"/>
            </w:tcBorders>
            <w:shd w:val="clear" w:color="auto" w:fill="auto"/>
            <w:vAlign w:val="center"/>
          </w:tcPr>
          <w:p w14:paraId="6DB715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001D2">
        <w:trPr>
          <w:cantSplit/>
          <w:trHeight w:val="0" w:hRule="atLeast"/>
          <w:jc w:val="center"/>
        </w:trPr>
        <w:tc>
          <w:tcPr>
            <w:tcW w:w="2944" w:type="dxa"/>
            <w:tcBorders>
              <w:top w:val="nil"/>
              <w:left w:val="nil"/>
              <w:bottom w:val="nil"/>
              <w:right w:val="nil"/>
            </w:tcBorders>
            <w:shd w:val="clear" w:color="auto" w:fill="auto"/>
            <w:vAlign w:val="center"/>
          </w:tcPr>
          <w:p w14:paraId="67BAED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P-ZLTC-SCOS-FYCB-001-50-001</w:t>
            </w:r>
          </w:p>
        </w:tc>
        <w:tc>
          <w:tcPr>
            <w:tcW w:w="945" w:type="dxa"/>
            <w:tcBorders>
              <w:top w:val="nil"/>
              <w:left w:val="nil"/>
              <w:bottom w:val="nil"/>
              <w:right w:val="nil"/>
            </w:tcBorders>
            <w:shd w:val="clear" w:color="auto" w:fill="auto"/>
            <w:vAlign w:val="center"/>
          </w:tcPr>
          <w:p w14:paraId="26BE73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判断批次完整性和一致性规则</w:t>
            </w:r>
          </w:p>
        </w:tc>
        <w:tc>
          <w:tcPr>
            <w:tcW w:w="966" w:type="dxa"/>
            <w:tcBorders>
              <w:top w:val="nil"/>
              <w:left w:val="nil"/>
              <w:bottom w:val="nil"/>
              <w:right w:val="nil"/>
            </w:tcBorders>
            <w:shd w:val="clear" w:color="auto" w:fill="auto"/>
            <w:vAlign w:val="center"/>
          </w:tcPr>
          <w:p w14:paraId="03F81F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2C58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54E369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候选批次边界、投入量、产出量和合格量形成后</w:t>
            </w:r>
          </w:p>
        </w:tc>
        <w:tc>
          <w:tcPr>
            <w:tcW w:w="1406" w:type="dxa"/>
            <w:tcBorders>
              <w:top w:val="nil"/>
              <w:left w:val="nil"/>
              <w:bottom w:val="nil"/>
              <w:right w:val="nil"/>
            </w:tcBorders>
            <w:shd w:val="clear" w:color="auto" w:fill="auto"/>
            <w:vAlign w:val="center"/>
          </w:tcPr>
          <w:p w14:paraId="60A9F8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检查编码唯一性、时间连续性、设备占用、容量、数量平衡；未通过时补充事实；通过后生成结果。</w:t>
            </w:r>
          </w:p>
        </w:tc>
        <w:tc>
          <w:tcPr>
            <w:tcW w:w="1088" w:type="dxa"/>
            <w:tcBorders>
              <w:top w:val="nil"/>
              <w:left w:val="nil"/>
              <w:bottom w:val="nil"/>
              <w:right w:val="nil"/>
            </w:tcBorders>
            <w:shd w:val="clear" w:color="auto" w:fill="auto"/>
            <w:vAlign w:val="center"/>
          </w:tcPr>
          <w:p w14:paraId="52E543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完整性检查结果</w:t>
            </w:r>
          </w:p>
        </w:tc>
        <w:tc>
          <w:tcPr>
            <w:tcW w:w="1460" w:type="dxa"/>
            <w:tcBorders>
              <w:top w:val="nil"/>
              <w:left w:val="nil"/>
              <w:bottom w:val="nil"/>
              <w:right w:val="nil"/>
            </w:tcBorders>
            <w:shd w:val="clear" w:color="auto" w:fill="auto"/>
            <w:vAlign w:val="center"/>
          </w:tcPr>
          <w:p w14:paraId="01F690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DEE0AD">
        <w:trPr>
          <w:cantSplit/>
          <w:trHeight w:val="0" w:hRule="atLeast"/>
          <w:jc w:val="center"/>
        </w:trPr>
        <w:tc>
          <w:tcPr>
            <w:tcW w:w="2944" w:type="dxa"/>
            <w:tcBorders>
              <w:top w:val="nil"/>
              <w:left w:val="nil"/>
              <w:bottom w:val="nil"/>
              <w:right w:val="nil"/>
            </w:tcBorders>
            <w:shd w:val="clear" w:color="auto" w:fill="auto"/>
            <w:vAlign w:val="center"/>
          </w:tcPr>
          <w:p w14:paraId="6D6765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P-ZLTC-SCOS-FYCB-001-60-001</w:t>
            </w:r>
          </w:p>
        </w:tc>
        <w:tc>
          <w:tcPr>
            <w:tcW w:w="945" w:type="dxa"/>
            <w:tcBorders>
              <w:top w:val="nil"/>
              <w:left w:val="nil"/>
              <w:bottom w:val="nil"/>
              <w:right w:val="nil"/>
            </w:tcBorders>
            <w:shd w:val="clear" w:color="auto" w:fill="auto"/>
            <w:vAlign w:val="center"/>
          </w:tcPr>
          <w:p w14:paraId="0B9E64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补充异常批次业务事实规则</w:t>
            </w:r>
          </w:p>
        </w:tc>
        <w:tc>
          <w:tcPr>
            <w:tcW w:w="966" w:type="dxa"/>
            <w:tcBorders>
              <w:top w:val="nil"/>
              <w:left w:val="nil"/>
              <w:bottom w:val="nil"/>
              <w:right w:val="nil"/>
            </w:tcBorders>
            <w:shd w:val="clear" w:color="auto" w:fill="auto"/>
            <w:vAlign w:val="center"/>
          </w:tcPr>
          <w:p w14:paraId="5598AD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F7C5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0BC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判断批次完整性和一致性未通过时</w:t>
            </w:r>
          </w:p>
        </w:tc>
        <w:tc>
          <w:tcPr>
            <w:tcW w:w="1406" w:type="dxa"/>
            <w:tcBorders>
              <w:top w:val="nil"/>
              <w:left w:val="nil"/>
              <w:bottom w:val="nil"/>
              <w:right w:val="nil"/>
            </w:tcBorders>
            <w:shd w:val="clear" w:color="auto" w:fill="auto"/>
            <w:vAlign w:val="center"/>
          </w:tcPr>
          <w:p w14:paraId="4C55FE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生产负责人在SCOS查看证据并补充实际业务事实；无可靠依据的批次保持待确认，不进入正式参考结果。</w:t>
            </w:r>
          </w:p>
        </w:tc>
        <w:tc>
          <w:tcPr>
            <w:tcW w:w="1088" w:type="dxa"/>
            <w:tcBorders>
              <w:top w:val="nil"/>
              <w:left w:val="nil"/>
              <w:bottom w:val="nil"/>
              <w:right w:val="nil"/>
            </w:tcBorders>
            <w:shd w:val="clear" w:color="auto" w:fill="auto"/>
            <w:vAlign w:val="center"/>
          </w:tcPr>
          <w:p w14:paraId="08B92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停机、旁路、清洗、切换、罐底或返工注入说明</w:t>
            </w:r>
          </w:p>
        </w:tc>
        <w:tc>
          <w:tcPr>
            <w:tcW w:w="1460" w:type="dxa"/>
            <w:tcBorders>
              <w:top w:val="nil"/>
              <w:left w:val="nil"/>
              <w:bottom w:val="nil"/>
              <w:right w:val="nil"/>
            </w:tcBorders>
            <w:shd w:val="clear" w:color="auto" w:fill="auto"/>
            <w:vAlign w:val="center"/>
          </w:tcPr>
          <w:p w14:paraId="52CDA70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22A361">
        <w:trPr>
          <w:cantSplit/>
          <w:trHeight w:val="0" w:hRule="atLeast"/>
          <w:jc w:val="center"/>
        </w:trPr>
        <w:tc>
          <w:tcPr>
            <w:tcW w:w="2944" w:type="dxa"/>
            <w:tcBorders>
              <w:top w:val="nil"/>
              <w:left w:val="nil"/>
              <w:bottom w:val="nil"/>
              <w:right w:val="nil"/>
            </w:tcBorders>
            <w:shd w:val="clear" w:color="auto" w:fill="auto"/>
            <w:vAlign w:val="center"/>
          </w:tcPr>
          <w:p w14:paraId="2A3C96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P-ZLTC-SCOS-FYCB-001-70-001</w:t>
            </w:r>
          </w:p>
        </w:tc>
        <w:tc>
          <w:tcPr>
            <w:tcW w:w="945" w:type="dxa"/>
            <w:tcBorders>
              <w:top w:val="nil"/>
              <w:left w:val="nil"/>
              <w:bottom w:val="nil"/>
              <w:right w:val="nil"/>
            </w:tcBorders>
            <w:shd w:val="clear" w:color="auto" w:fill="auto"/>
            <w:vAlign w:val="center"/>
          </w:tcPr>
          <w:p w14:paraId="7163EA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生成当月生产批次结果规则</w:t>
            </w:r>
          </w:p>
        </w:tc>
        <w:tc>
          <w:tcPr>
            <w:tcW w:w="966" w:type="dxa"/>
            <w:tcBorders>
              <w:top w:val="nil"/>
              <w:left w:val="nil"/>
              <w:bottom w:val="nil"/>
              <w:right w:val="nil"/>
            </w:tcBorders>
            <w:shd w:val="clear" w:color="auto" w:fill="auto"/>
            <w:vAlign w:val="center"/>
          </w:tcPr>
          <w:p w14:paraId="5084DA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A2D7B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DA87D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判断批次完整性和一致性通过时</w:t>
            </w:r>
          </w:p>
        </w:tc>
        <w:tc>
          <w:tcPr>
            <w:tcW w:w="1406" w:type="dxa"/>
            <w:tcBorders>
              <w:top w:val="nil"/>
              <w:left w:val="nil"/>
              <w:bottom w:val="nil"/>
              <w:right w:val="nil"/>
            </w:tcBorders>
            <w:shd w:val="clear" w:color="auto" w:fill="auto"/>
            <w:vAlign w:val="center"/>
          </w:tcPr>
          <w:p w14:paraId="0B947A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汇总批次编码、类型、时间边界、数量、状态及规则版本等信息；低可信度但允许保留的批次单独标识，不与已确认批次混淆。</w:t>
            </w:r>
          </w:p>
        </w:tc>
        <w:tc>
          <w:tcPr>
            <w:tcW w:w="1088" w:type="dxa"/>
            <w:tcBorders>
              <w:top w:val="nil"/>
              <w:left w:val="nil"/>
              <w:bottom w:val="nil"/>
              <w:right w:val="nil"/>
            </w:tcBorders>
            <w:shd w:val="clear" w:color="auto" w:fill="auto"/>
            <w:vAlign w:val="center"/>
          </w:tcPr>
          <w:p w14:paraId="7D47E7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当月生产批次结果</w:t>
            </w:r>
          </w:p>
        </w:tc>
        <w:tc>
          <w:tcPr>
            <w:tcW w:w="1460" w:type="dxa"/>
            <w:tcBorders>
              <w:top w:val="nil"/>
              <w:left w:val="nil"/>
              <w:bottom w:val="nil"/>
              <w:right w:val="nil"/>
            </w:tcBorders>
            <w:shd w:val="clear" w:color="auto" w:fill="auto"/>
            <w:vAlign w:val="center"/>
          </w:tcPr>
          <w:p w14:paraId="436BAF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C6F89B">
        <w:trPr>
          <w:cantSplit/>
          <w:trHeight w:val="0" w:hRule="atLeast"/>
          <w:jc w:val="center"/>
        </w:trPr>
        <w:tc>
          <w:tcPr>
            <w:tcW w:w="2944" w:type="dxa"/>
            <w:tcBorders>
              <w:top w:val="nil"/>
              <w:left w:val="nil"/>
              <w:bottom w:val="nil"/>
              <w:right w:val="nil"/>
            </w:tcBorders>
            <w:shd w:val="clear" w:color="auto" w:fill="auto"/>
            <w:vAlign w:val="center"/>
          </w:tcPr>
          <w:p w14:paraId="3E0F3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P-ZLTC-SCOS-FYCB-001-80-001</w:t>
            </w:r>
          </w:p>
        </w:tc>
        <w:tc>
          <w:tcPr>
            <w:tcW w:w="945" w:type="dxa"/>
            <w:tcBorders>
              <w:top w:val="nil"/>
              <w:left w:val="nil"/>
              <w:bottom w:val="nil"/>
              <w:right w:val="nil"/>
            </w:tcBorders>
            <w:shd w:val="clear" w:color="auto" w:fill="auto"/>
            <w:vAlign w:val="center"/>
          </w:tcPr>
          <w:p w14:paraId="1F8EA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保存当月批次主数据规则</w:t>
            </w:r>
          </w:p>
        </w:tc>
        <w:tc>
          <w:tcPr>
            <w:tcW w:w="966" w:type="dxa"/>
            <w:tcBorders>
              <w:top w:val="nil"/>
              <w:left w:val="nil"/>
              <w:bottom w:val="nil"/>
              <w:right w:val="nil"/>
            </w:tcBorders>
            <w:shd w:val="clear" w:color="auto" w:fill="auto"/>
            <w:vAlign w:val="center"/>
          </w:tcPr>
          <w:p w14:paraId="0453B1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A9796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F5E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当月生产批次结果形成后</w:t>
            </w:r>
          </w:p>
        </w:tc>
        <w:tc>
          <w:tcPr>
            <w:tcW w:w="1406" w:type="dxa"/>
            <w:tcBorders>
              <w:top w:val="nil"/>
              <w:left w:val="nil"/>
              <w:bottom w:val="nil"/>
              <w:right w:val="nil"/>
            </w:tcBorders>
            <w:shd w:val="clear" w:color="auto" w:fill="auto"/>
            <w:vAlign w:val="center"/>
          </w:tcPr>
          <w:p w14:paraId="1C01BD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保存批次结果及版本关系，提供给谱系关联和成本追溯使用；更正时新增替代版本并保留旧版本引用。</w:t>
            </w:r>
          </w:p>
        </w:tc>
        <w:tc>
          <w:tcPr>
            <w:tcW w:w="1088" w:type="dxa"/>
            <w:tcBorders>
              <w:top w:val="nil"/>
              <w:left w:val="nil"/>
              <w:bottom w:val="nil"/>
              <w:right w:val="nil"/>
            </w:tcBorders>
            <w:shd w:val="clear" w:color="auto" w:fill="auto"/>
            <w:vAlign w:val="center"/>
          </w:tcPr>
          <w:p w14:paraId="1F6985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当月批次主数据版本</w:t>
            </w:r>
          </w:p>
        </w:tc>
        <w:tc>
          <w:tcPr>
            <w:tcW w:w="1460" w:type="dxa"/>
            <w:tcBorders>
              <w:top w:val="nil"/>
              <w:left w:val="nil"/>
              <w:bottom w:val="nil"/>
              <w:right w:val="nil"/>
            </w:tcBorders>
            <w:shd w:val="clear" w:color="auto" w:fill="auto"/>
            <w:vAlign w:val="center"/>
          </w:tcPr>
          <w:p w14:paraId="6C4FA4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203FBC">
        <w:trPr>
          <w:cantSplit/>
          <w:trHeight w:val="0" w:hRule="atLeast"/>
          <w:jc w:val="center"/>
        </w:trPr>
        <w:tc>
          <w:tcPr>
            <w:tcW w:w="2944" w:type="dxa"/>
            <w:tcBorders>
              <w:top w:val="nil"/>
              <w:left w:val="nil"/>
              <w:bottom w:val="nil"/>
              <w:right w:val="nil"/>
            </w:tcBorders>
            <w:shd w:val="clear" w:color="auto" w:fill="auto"/>
            <w:vAlign w:val="center"/>
          </w:tcPr>
          <w:p w14:paraId="79310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P-ZLTC-SCOS-FYCB-002-10-001</w:t>
            </w:r>
          </w:p>
        </w:tc>
        <w:tc>
          <w:tcPr>
            <w:tcW w:w="945" w:type="dxa"/>
            <w:tcBorders>
              <w:top w:val="nil"/>
              <w:left w:val="nil"/>
              <w:bottom w:val="nil"/>
              <w:right w:val="nil"/>
            </w:tcBorders>
            <w:shd w:val="clear" w:color="auto" w:fill="auto"/>
            <w:vAlign w:val="center"/>
          </w:tcPr>
          <w:p w14:paraId="485D1D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提供路由和关联证据规则</w:t>
            </w:r>
          </w:p>
        </w:tc>
        <w:tc>
          <w:tcPr>
            <w:tcW w:w="966" w:type="dxa"/>
            <w:tcBorders>
              <w:top w:val="nil"/>
              <w:left w:val="nil"/>
              <w:bottom w:val="nil"/>
              <w:right w:val="nil"/>
            </w:tcBorders>
            <w:shd w:val="clear" w:color="auto" w:fill="auto"/>
            <w:vAlign w:val="center"/>
          </w:tcPr>
          <w:p w14:paraId="6CD5B0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38158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EB848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批次生成完成后由SCOS启动当月谱系关联时</w:t>
            </w:r>
          </w:p>
        </w:tc>
        <w:tc>
          <w:tcPr>
            <w:tcW w:w="1406" w:type="dxa"/>
            <w:tcBorders>
              <w:top w:val="nil"/>
              <w:left w:val="nil"/>
              <w:bottom w:val="nil"/>
              <w:right w:val="nil"/>
            </w:tcBorders>
            <w:shd w:val="clear" w:color="auto" w:fill="auto"/>
            <w:vAlign w:val="center"/>
          </w:tcPr>
          <w:p w14:paraId="7E73F4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按与批次生成一致的时间、单位和版本口径提供关联证据；时钟漂移、计量复位和数据缺口随质量标识返回。</w:t>
            </w:r>
          </w:p>
        </w:tc>
        <w:tc>
          <w:tcPr>
            <w:tcW w:w="1088" w:type="dxa"/>
            <w:tcBorders>
              <w:top w:val="nil"/>
              <w:left w:val="nil"/>
              <w:bottom w:val="nil"/>
              <w:right w:val="nil"/>
            </w:tcBorders>
            <w:shd w:val="clear" w:color="auto" w:fill="auto"/>
            <w:vAlign w:val="center"/>
          </w:tcPr>
          <w:p w14:paraId="4038715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有效路由、阀门、转罐、物流、称重、计量和QC数据</w:t>
            </w:r>
          </w:p>
        </w:tc>
        <w:tc>
          <w:tcPr>
            <w:tcW w:w="1460" w:type="dxa"/>
            <w:tcBorders>
              <w:top w:val="nil"/>
              <w:left w:val="nil"/>
              <w:bottom w:val="nil"/>
              <w:right w:val="nil"/>
            </w:tcBorders>
            <w:shd w:val="clear" w:color="auto" w:fill="auto"/>
            <w:vAlign w:val="center"/>
          </w:tcPr>
          <w:p w14:paraId="7B5505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53CE2E4">
        <w:trPr>
          <w:cantSplit/>
          <w:trHeight w:val="0" w:hRule="atLeast"/>
          <w:jc w:val="center"/>
        </w:trPr>
        <w:tc>
          <w:tcPr>
            <w:tcW w:w="2944" w:type="dxa"/>
            <w:tcBorders>
              <w:top w:val="nil"/>
              <w:left w:val="nil"/>
              <w:bottom w:val="nil"/>
              <w:right w:val="nil"/>
            </w:tcBorders>
            <w:shd w:val="clear" w:color="auto" w:fill="auto"/>
            <w:vAlign w:val="center"/>
          </w:tcPr>
          <w:p w14:paraId="69EEBE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P-ZLTC-SCOS-FYCB-002-20-001</w:t>
            </w:r>
          </w:p>
        </w:tc>
        <w:tc>
          <w:tcPr>
            <w:tcW w:w="945" w:type="dxa"/>
            <w:tcBorders>
              <w:top w:val="nil"/>
              <w:left w:val="nil"/>
              <w:bottom w:val="nil"/>
              <w:right w:val="nil"/>
            </w:tcBorders>
            <w:shd w:val="clear" w:color="auto" w:fill="auto"/>
            <w:vAlign w:val="center"/>
          </w:tcPr>
          <w:p w14:paraId="70475B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加载有效路由并统一事件口径规则</w:t>
            </w:r>
          </w:p>
        </w:tc>
        <w:tc>
          <w:tcPr>
            <w:tcW w:w="966" w:type="dxa"/>
            <w:tcBorders>
              <w:top w:val="nil"/>
              <w:left w:val="nil"/>
              <w:bottom w:val="nil"/>
              <w:right w:val="nil"/>
            </w:tcBorders>
            <w:shd w:val="clear" w:color="auto" w:fill="auto"/>
            <w:vAlign w:val="center"/>
          </w:tcPr>
          <w:p w14:paraId="1969AA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9631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76D78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有效路由、阀门、转罐、物流、称重、计量和QC数据形成后</w:t>
            </w:r>
          </w:p>
        </w:tc>
        <w:tc>
          <w:tcPr>
            <w:tcW w:w="1406" w:type="dxa"/>
            <w:tcBorders>
              <w:top w:val="nil"/>
              <w:left w:val="nil"/>
              <w:bottom w:val="nil"/>
              <w:right w:val="nil"/>
            </w:tcBorders>
            <w:shd w:val="clear" w:color="auto" w:fill="auto"/>
            <w:vAlign w:val="center"/>
          </w:tcPr>
          <w:p w14:paraId="0A1EF9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按事件时间加载路由版本，统一时区、单位和事件顺序；跨版本事件不直接相连，先标记异常。</w:t>
            </w:r>
          </w:p>
        </w:tc>
        <w:tc>
          <w:tcPr>
            <w:tcW w:w="1088" w:type="dxa"/>
            <w:tcBorders>
              <w:top w:val="nil"/>
              <w:left w:val="nil"/>
              <w:bottom w:val="nil"/>
              <w:right w:val="nil"/>
            </w:tcBorders>
            <w:shd w:val="clear" w:color="auto" w:fill="auto"/>
            <w:vAlign w:val="center"/>
          </w:tcPr>
          <w:p w14:paraId="45F48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事件时点有效路由及标准化事件</w:t>
            </w:r>
          </w:p>
        </w:tc>
        <w:tc>
          <w:tcPr>
            <w:tcW w:w="1460" w:type="dxa"/>
            <w:tcBorders>
              <w:top w:val="nil"/>
              <w:left w:val="nil"/>
              <w:bottom w:val="nil"/>
              <w:right w:val="nil"/>
            </w:tcBorders>
            <w:shd w:val="clear" w:color="auto" w:fill="auto"/>
            <w:vAlign w:val="center"/>
          </w:tcPr>
          <w:p w14:paraId="680F7A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98FB22">
        <w:trPr>
          <w:cantSplit/>
          <w:trHeight w:val="0" w:hRule="atLeast"/>
          <w:jc w:val="center"/>
        </w:trPr>
        <w:tc>
          <w:tcPr>
            <w:tcW w:w="2944" w:type="dxa"/>
            <w:tcBorders>
              <w:top w:val="nil"/>
              <w:left w:val="nil"/>
              <w:bottom w:val="nil"/>
              <w:right w:val="nil"/>
            </w:tcBorders>
            <w:shd w:val="clear" w:color="auto" w:fill="auto"/>
            <w:vAlign w:val="center"/>
          </w:tcPr>
          <w:p w14:paraId="37462D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P-ZLTC-SCOS-FYCB-002-30-001</w:t>
            </w:r>
          </w:p>
        </w:tc>
        <w:tc>
          <w:tcPr>
            <w:tcW w:w="945" w:type="dxa"/>
            <w:tcBorders>
              <w:top w:val="nil"/>
              <w:left w:val="nil"/>
              <w:bottom w:val="nil"/>
              <w:right w:val="nil"/>
            </w:tcBorders>
            <w:shd w:val="clear" w:color="auto" w:fill="auto"/>
            <w:vAlign w:val="center"/>
          </w:tcPr>
          <w:p w14:paraId="57FDD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计算上游物料动态到达区间规则</w:t>
            </w:r>
          </w:p>
        </w:tc>
        <w:tc>
          <w:tcPr>
            <w:tcW w:w="966" w:type="dxa"/>
            <w:tcBorders>
              <w:top w:val="nil"/>
              <w:left w:val="nil"/>
              <w:bottom w:val="nil"/>
              <w:right w:val="nil"/>
            </w:tcBorders>
            <w:shd w:val="clear" w:color="auto" w:fill="auto"/>
            <w:vAlign w:val="center"/>
          </w:tcPr>
          <w:p w14:paraId="51E712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DC3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1DC4E0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事件时点有效路由及标准化事件形成后</w:t>
            </w:r>
          </w:p>
        </w:tc>
        <w:tc>
          <w:tcPr>
            <w:tcW w:w="1406" w:type="dxa"/>
            <w:tcBorders>
              <w:top w:val="nil"/>
              <w:left w:val="nil"/>
              <w:bottom w:val="nil"/>
              <w:right w:val="nil"/>
            </w:tcBorders>
            <w:shd w:val="clear" w:color="auto" w:fill="auto"/>
            <w:vAlign w:val="center"/>
          </w:tcPr>
          <w:p w14:paraId="40A215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连续段采用实际流量积分传递边界；固定时长仅作已维护的降级估算并降低可信度。</w:t>
            </w:r>
          </w:p>
        </w:tc>
        <w:tc>
          <w:tcPr>
            <w:tcW w:w="1088" w:type="dxa"/>
            <w:tcBorders>
              <w:top w:val="nil"/>
              <w:left w:val="nil"/>
              <w:bottom w:val="nil"/>
              <w:right w:val="nil"/>
            </w:tcBorders>
            <w:shd w:val="clear" w:color="auto" w:fill="auto"/>
            <w:vAlign w:val="center"/>
          </w:tcPr>
          <w:p w14:paraId="0D975F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各路由边到达区间</w:t>
            </w:r>
          </w:p>
        </w:tc>
        <w:tc>
          <w:tcPr>
            <w:tcW w:w="1460" w:type="dxa"/>
            <w:tcBorders>
              <w:top w:val="nil"/>
              <w:left w:val="nil"/>
              <w:bottom w:val="nil"/>
              <w:right w:val="nil"/>
            </w:tcBorders>
            <w:shd w:val="clear" w:color="auto" w:fill="auto"/>
            <w:vAlign w:val="center"/>
          </w:tcPr>
          <w:p w14:paraId="5B8EB5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4C5ADA">
        <w:trPr>
          <w:cantSplit/>
          <w:trHeight w:val="0" w:hRule="atLeast"/>
          <w:jc w:val="center"/>
        </w:trPr>
        <w:tc>
          <w:tcPr>
            <w:tcW w:w="2944" w:type="dxa"/>
            <w:tcBorders>
              <w:top w:val="nil"/>
              <w:left w:val="nil"/>
              <w:bottom w:val="nil"/>
              <w:right w:val="nil"/>
            </w:tcBorders>
            <w:shd w:val="clear" w:color="auto" w:fill="auto"/>
            <w:vAlign w:val="center"/>
          </w:tcPr>
          <w:p w14:paraId="04712F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P-ZLTC-SCOS-FYCB-002-40-001</w:t>
            </w:r>
          </w:p>
        </w:tc>
        <w:tc>
          <w:tcPr>
            <w:tcW w:w="945" w:type="dxa"/>
            <w:tcBorders>
              <w:top w:val="nil"/>
              <w:left w:val="nil"/>
              <w:bottom w:val="nil"/>
              <w:right w:val="nil"/>
            </w:tcBorders>
            <w:shd w:val="clear" w:color="auto" w:fill="auto"/>
            <w:vAlign w:val="center"/>
          </w:tcPr>
          <w:p w14:paraId="74EC0B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筛选路线连通的待确认的关联关系规则</w:t>
            </w:r>
          </w:p>
        </w:tc>
        <w:tc>
          <w:tcPr>
            <w:tcW w:w="966" w:type="dxa"/>
            <w:tcBorders>
              <w:top w:val="nil"/>
              <w:left w:val="nil"/>
              <w:bottom w:val="nil"/>
              <w:right w:val="nil"/>
            </w:tcBorders>
            <w:shd w:val="clear" w:color="auto" w:fill="auto"/>
            <w:vAlign w:val="center"/>
          </w:tcPr>
          <w:p w14:paraId="718160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38473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70DDA1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各路由边到达区间形成后</w:t>
            </w:r>
          </w:p>
        </w:tc>
        <w:tc>
          <w:tcPr>
            <w:tcW w:w="1406" w:type="dxa"/>
            <w:tcBorders>
              <w:top w:val="nil"/>
              <w:left w:val="nil"/>
              <w:bottom w:val="nil"/>
              <w:right w:val="nil"/>
            </w:tcBorders>
            <w:shd w:val="clear" w:color="auto" w:fill="auto"/>
            <w:vAlign w:val="center"/>
          </w:tcPr>
          <w:p w14:paraId="263FF0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筛选同时符合路线、物料、设备占用和时间条件的上下游批次关系；时间重叠仅筛选候选，不直接代表数量归属。</w:t>
            </w:r>
          </w:p>
        </w:tc>
        <w:tc>
          <w:tcPr>
            <w:tcW w:w="1088" w:type="dxa"/>
            <w:tcBorders>
              <w:top w:val="nil"/>
              <w:left w:val="nil"/>
              <w:bottom w:val="nil"/>
              <w:right w:val="nil"/>
            </w:tcBorders>
            <w:shd w:val="clear" w:color="auto" w:fill="auto"/>
            <w:vAlign w:val="center"/>
          </w:tcPr>
          <w:p w14:paraId="69F7F9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候选上下游关系</w:t>
            </w:r>
          </w:p>
        </w:tc>
        <w:tc>
          <w:tcPr>
            <w:tcW w:w="1460" w:type="dxa"/>
            <w:tcBorders>
              <w:top w:val="nil"/>
              <w:left w:val="nil"/>
              <w:bottom w:val="nil"/>
              <w:right w:val="nil"/>
            </w:tcBorders>
            <w:shd w:val="clear" w:color="auto" w:fill="auto"/>
            <w:vAlign w:val="center"/>
          </w:tcPr>
          <w:p w14:paraId="2879D0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D8AA9B">
        <w:trPr>
          <w:cantSplit/>
          <w:trHeight w:val="0" w:hRule="atLeast"/>
          <w:jc w:val="center"/>
        </w:trPr>
        <w:tc>
          <w:tcPr>
            <w:tcW w:w="2944" w:type="dxa"/>
            <w:tcBorders>
              <w:top w:val="nil"/>
              <w:left w:val="nil"/>
              <w:bottom w:val="nil"/>
              <w:right w:val="nil"/>
            </w:tcBorders>
            <w:shd w:val="clear" w:color="auto" w:fill="auto"/>
            <w:vAlign w:val="center"/>
          </w:tcPr>
          <w:p w14:paraId="158FFB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P-ZLTC-SCOS-FYCB-002-50-001</w:t>
            </w:r>
          </w:p>
        </w:tc>
        <w:tc>
          <w:tcPr>
            <w:tcW w:w="945" w:type="dxa"/>
            <w:tcBorders>
              <w:top w:val="nil"/>
              <w:left w:val="nil"/>
              <w:bottom w:val="nil"/>
              <w:right w:val="nil"/>
            </w:tcBorders>
            <w:shd w:val="clear" w:color="auto" w:fill="auto"/>
            <w:vAlign w:val="center"/>
          </w:tcPr>
          <w:p w14:paraId="309B0F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计算关系数量占比和转化率规则</w:t>
            </w:r>
          </w:p>
        </w:tc>
        <w:tc>
          <w:tcPr>
            <w:tcW w:w="966" w:type="dxa"/>
            <w:tcBorders>
              <w:top w:val="nil"/>
              <w:left w:val="nil"/>
              <w:bottom w:val="nil"/>
              <w:right w:val="nil"/>
            </w:tcBorders>
            <w:shd w:val="clear" w:color="auto" w:fill="auto"/>
            <w:vAlign w:val="center"/>
          </w:tcPr>
          <w:p w14:paraId="4ECFC2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6B82D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99B46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候选上下游关系形成后</w:t>
            </w:r>
          </w:p>
        </w:tc>
        <w:tc>
          <w:tcPr>
            <w:tcW w:w="1406" w:type="dxa"/>
            <w:tcBorders>
              <w:top w:val="nil"/>
              <w:left w:val="nil"/>
              <w:bottom w:val="nil"/>
              <w:right w:val="nil"/>
            </w:tcBorders>
            <w:shd w:val="clear" w:color="auto" w:fill="auto"/>
            <w:vAlign w:val="center"/>
          </w:tcPr>
          <w:p w14:paraId="316C6B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优先按支路和接收点实测质量定量；不以标准配方或固定收率改写实际谱系。</w:t>
            </w:r>
          </w:p>
        </w:tc>
        <w:tc>
          <w:tcPr>
            <w:tcW w:w="1088" w:type="dxa"/>
            <w:tcBorders>
              <w:top w:val="nil"/>
              <w:left w:val="nil"/>
              <w:bottom w:val="nil"/>
              <w:right w:val="nil"/>
            </w:tcBorders>
            <w:shd w:val="clear" w:color="auto" w:fill="auto"/>
            <w:vAlign w:val="center"/>
          </w:tcPr>
          <w:p w14:paraId="4FF6C7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转出量、接收量、去向占比、来源占比和转化率</w:t>
            </w:r>
          </w:p>
        </w:tc>
        <w:tc>
          <w:tcPr>
            <w:tcW w:w="1460" w:type="dxa"/>
            <w:tcBorders>
              <w:top w:val="nil"/>
              <w:left w:val="nil"/>
              <w:bottom w:val="nil"/>
              <w:right w:val="nil"/>
            </w:tcBorders>
            <w:shd w:val="clear" w:color="auto" w:fill="auto"/>
            <w:vAlign w:val="center"/>
          </w:tcPr>
          <w:p w14:paraId="155568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AAD4DD9">
        <w:trPr>
          <w:cantSplit/>
          <w:trHeight w:val="0" w:hRule="atLeast"/>
          <w:jc w:val="center"/>
        </w:trPr>
        <w:tc>
          <w:tcPr>
            <w:tcW w:w="2944" w:type="dxa"/>
            <w:tcBorders>
              <w:top w:val="nil"/>
              <w:left w:val="nil"/>
              <w:bottom w:val="nil"/>
              <w:right w:val="nil"/>
            </w:tcBorders>
            <w:shd w:val="clear" w:color="auto" w:fill="auto"/>
            <w:vAlign w:val="center"/>
          </w:tcPr>
          <w:p w14:paraId="475F67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P-ZLTC-SCOS-FYCB-002-60-001</w:t>
            </w:r>
          </w:p>
        </w:tc>
        <w:tc>
          <w:tcPr>
            <w:tcW w:w="945" w:type="dxa"/>
            <w:tcBorders>
              <w:top w:val="nil"/>
              <w:left w:val="nil"/>
              <w:bottom w:val="nil"/>
              <w:right w:val="nil"/>
            </w:tcBorders>
            <w:shd w:val="clear" w:color="auto" w:fill="auto"/>
            <w:vAlign w:val="center"/>
          </w:tcPr>
          <w:p w14:paraId="57A4ED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判断谱系关系是否可追溯规则</w:t>
            </w:r>
          </w:p>
        </w:tc>
        <w:tc>
          <w:tcPr>
            <w:tcW w:w="966" w:type="dxa"/>
            <w:tcBorders>
              <w:top w:val="nil"/>
              <w:left w:val="nil"/>
              <w:bottom w:val="nil"/>
              <w:right w:val="nil"/>
            </w:tcBorders>
            <w:shd w:val="clear" w:color="auto" w:fill="auto"/>
            <w:vAlign w:val="center"/>
          </w:tcPr>
          <w:p w14:paraId="784356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B846A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4F57EB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转出量、接收量、去向占比、来源占比和转化率形成后</w:t>
            </w:r>
          </w:p>
        </w:tc>
        <w:tc>
          <w:tcPr>
            <w:tcW w:w="1406" w:type="dxa"/>
            <w:tcBorders>
              <w:top w:val="nil"/>
              <w:left w:val="nil"/>
              <w:bottom w:val="nil"/>
              <w:right w:val="nil"/>
            </w:tcBorders>
            <w:shd w:val="clear" w:color="auto" w:fill="auto"/>
            <w:vAlign w:val="center"/>
          </w:tcPr>
          <w:p w14:paraId="0A449B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校验分流汇流数量、共享设备占用、质量放行及返工来源；谱系关系不可追溯时补充事实；谱系关系可追溯时生成结果。</w:t>
            </w:r>
          </w:p>
        </w:tc>
        <w:tc>
          <w:tcPr>
            <w:tcW w:w="1088" w:type="dxa"/>
            <w:tcBorders>
              <w:top w:val="nil"/>
              <w:left w:val="nil"/>
              <w:bottom w:val="nil"/>
              <w:right w:val="nil"/>
            </w:tcBorders>
            <w:shd w:val="clear" w:color="auto" w:fill="auto"/>
            <w:vAlign w:val="center"/>
          </w:tcPr>
          <w:p w14:paraId="03FB039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路线、重量、容量、顺序、配方、QC和返工校验结果</w:t>
            </w:r>
          </w:p>
        </w:tc>
        <w:tc>
          <w:tcPr>
            <w:tcW w:w="1460" w:type="dxa"/>
            <w:tcBorders>
              <w:top w:val="nil"/>
              <w:left w:val="nil"/>
              <w:bottom w:val="nil"/>
              <w:right w:val="nil"/>
            </w:tcBorders>
            <w:shd w:val="clear" w:color="auto" w:fill="auto"/>
            <w:vAlign w:val="center"/>
          </w:tcPr>
          <w:p w14:paraId="6639B3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C46A6A">
        <w:trPr>
          <w:cantSplit/>
          <w:trHeight w:val="0" w:hRule="atLeast"/>
          <w:jc w:val="center"/>
        </w:trPr>
        <w:tc>
          <w:tcPr>
            <w:tcW w:w="2944" w:type="dxa"/>
            <w:tcBorders>
              <w:top w:val="nil"/>
              <w:left w:val="nil"/>
              <w:bottom w:val="nil"/>
              <w:right w:val="nil"/>
            </w:tcBorders>
            <w:shd w:val="clear" w:color="auto" w:fill="auto"/>
            <w:vAlign w:val="center"/>
          </w:tcPr>
          <w:p w14:paraId="414532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P-ZLTC-SCOS-FYCB-002-70-001</w:t>
            </w:r>
          </w:p>
        </w:tc>
        <w:tc>
          <w:tcPr>
            <w:tcW w:w="945" w:type="dxa"/>
            <w:tcBorders>
              <w:top w:val="nil"/>
              <w:left w:val="nil"/>
              <w:bottom w:val="nil"/>
              <w:right w:val="nil"/>
            </w:tcBorders>
            <w:shd w:val="clear" w:color="auto" w:fill="auto"/>
            <w:vAlign w:val="center"/>
          </w:tcPr>
          <w:p w14:paraId="61891C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补充异常关系业务事实规则</w:t>
            </w:r>
          </w:p>
        </w:tc>
        <w:tc>
          <w:tcPr>
            <w:tcW w:w="966" w:type="dxa"/>
            <w:tcBorders>
              <w:top w:val="nil"/>
              <w:left w:val="nil"/>
              <w:bottom w:val="nil"/>
              <w:right w:val="nil"/>
            </w:tcBorders>
            <w:shd w:val="clear" w:color="auto" w:fill="auto"/>
            <w:vAlign w:val="center"/>
          </w:tcPr>
          <w:p w14:paraId="5BDDFC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89DFA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57D4BF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谱系关系不可追溯时</w:t>
            </w:r>
          </w:p>
        </w:tc>
        <w:tc>
          <w:tcPr>
            <w:tcW w:w="1406" w:type="dxa"/>
            <w:tcBorders>
              <w:top w:val="nil"/>
              <w:left w:val="nil"/>
              <w:bottom w:val="nil"/>
              <w:right w:val="nil"/>
            </w:tcBorders>
            <w:shd w:val="clear" w:color="auto" w:fill="auto"/>
            <w:vAlign w:val="center"/>
          </w:tcPr>
          <w:p w14:paraId="119443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生产负责人在SCOS核对异常关系并补充现场事实；无可靠依据的关系保持候选状态。</w:t>
            </w:r>
          </w:p>
        </w:tc>
        <w:tc>
          <w:tcPr>
            <w:tcW w:w="1088" w:type="dxa"/>
            <w:tcBorders>
              <w:top w:val="nil"/>
              <w:left w:val="nil"/>
              <w:bottom w:val="nil"/>
              <w:right w:val="nil"/>
            </w:tcBorders>
            <w:shd w:val="clear" w:color="auto" w:fill="auto"/>
            <w:vAlign w:val="center"/>
          </w:tcPr>
          <w:p w14:paraId="1F42E7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旁路、停机、切换、返工和实际操作说明</w:t>
            </w:r>
          </w:p>
        </w:tc>
        <w:tc>
          <w:tcPr>
            <w:tcW w:w="1460" w:type="dxa"/>
            <w:tcBorders>
              <w:top w:val="nil"/>
              <w:left w:val="nil"/>
              <w:bottom w:val="nil"/>
              <w:right w:val="nil"/>
            </w:tcBorders>
            <w:shd w:val="clear" w:color="auto" w:fill="auto"/>
            <w:vAlign w:val="center"/>
          </w:tcPr>
          <w:p w14:paraId="28C00C4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E3E5D8">
        <w:trPr>
          <w:cantSplit/>
          <w:trHeight w:val="0" w:hRule="atLeast"/>
          <w:jc w:val="center"/>
        </w:trPr>
        <w:tc>
          <w:tcPr>
            <w:tcW w:w="2944" w:type="dxa"/>
            <w:tcBorders>
              <w:top w:val="nil"/>
              <w:left w:val="nil"/>
              <w:bottom w:val="nil"/>
              <w:right w:val="nil"/>
            </w:tcBorders>
            <w:shd w:val="clear" w:color="auto" w:fill="auto"/>
            <w:vAlign w:val="center"/>
          </w:tcPr>
          <w:p w14:paraId="76407A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P-ZLTC-SCOS-FYCB-002-80-001</w:t>
            </w:r>
          </w:p>
        </w:tc>
        <w:tc>
          <w:tcPr>
            <w:tcW w:w="945" w:type="dxa"/>
            <w:tcBorders>
              <w:top w:val="nil"/>
              <w:left w:val="nil"/>
              <w:bottom w:val="nil"/>
              <w:right w:val="nil"/>
            </w:tcBorders>
            <w:shd w:val="clear" w:color="auto" w:fill="auto"/>
            <w:vAlign w:val="center"/>
          </w:tcPr>
          <w:p w14:paraId="3DECB6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生成当月批次谱系结果规则</w:t>
            </w:r>
          </w:p>
        </w:tc>
        <w:tc>
          <w:tcPr>
            <w:tcW w:w="966" w:type="dxa"/>
            <w:tcBorders>
              <w:top w:val="nil"/>
              <w:left w:val="nil"/>
              <w:bottom w:val="nil"/>
              <w:right w:val="nil"/>
            </w:tcBorders>
            <w:shd w:val="clear" w:color="auto" w:fill="auto"/>
            <w:vAlign w:val="center"/>
          </w:tcPr>
          <w:p w14:paraId="3664D5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4615E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0073A9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谱系关系可追溯时</w:t>
            </w:r>
          </w:p>
        </w:tc>
        <w:tc>
          <w:tcPr>
            <w:tcW w:w="1406" w:type="dxa"/>
            <w:tcBorders>
              <w:top w:val="nil"/>
              <w:left w:val="nil"/>
              <w:bottom w:val="nil"/>
              <w:right w:val="nil"/>
            </w:tcBorders>
            <w:shd w:val="clear" w:color="auto" w:fill="auto"/>
            <w:vAlign w:val="center"/>
          </w:tcPr>
          <w:p w14:paraId="6B66B9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形成上下游批次关系，记录数量、占比、依据和可信状态；候选、确认和低可信度关系分状态输出。</w:t>
            </w:r>
          </w:p>
        </w:tc>
        <w:tc>
          <w:tcPr>
            <w:tcW w:w="1088" w:type="dxa"/>
            <w:tcBorders>
              <w:top w:val="nil"/>
              <w:left w:val="nil"/>
              <w:bottom w:val="nil"/>
              <w:right w:val="nil"/>
            </w:tcBorders>
            <w:shd w:val="clear" w:color="auto" w:fill="auto"/>
            <w:vAlign w:val="center"/>
          </w:tcPr>
          <w:p w14:paraId="3383ED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当月批次谱系结果</w:t>
            </w:r>
          </w:p>
        </w:tc>
        <w:tc>
          <w:tcPr>
            <w:tcW w:w="1460" w:type="dxa"/>
            <w:tcBorders>
              <w:top w:val="nil"/>
              <w:left w:val="nil"/>
              <w:bottom w:val="nil"/>
              <w:right w:val="nil"/>
            </w:tcBorders>
            <w:shd w:val="clear" w:color="auto" w:fill="auto"/>
            <w:vAlign w:val="center"/>
          </w:tcPr>
          <w:p w14:paraId="7D7B7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CEA535">
        <w:trPr>
          <w:cantSplit/>
          <w:trHeight w:val="0" w:hRule="atLeast"/>
          <w:jc w:val="center"/>
        </w:trPr>
        <w:tc>
          <w:tcPr>
            <w:tcW w:w="2944" w:type="dxa"/>
            <w:tcBorders>
              <w:top w:val="nil"/>
              <w:left w:val="nil"/>
              <w:bottom w:val="nil"/>
              <w:right w:val="nil"/>
            </w:tcBorders>
            <w:shd w:val="clear" w:color="auto" w:fill="auto"/>
            <w:vAlign w:val="center"/>
          </w:tcPr>
          <w:p w14:paraId="78CEE3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P-ZLTC-SCOS-FYCB-002-90-001</w:t>
            </w:r>
          </w:p>
        </w:tc>
        <w:tc>
          <w:tcPr>
            <w:tcW w:w="945" w:type="dxa"/>
            <w:tcBorders>
              <w:top w:val="nil"/>
              <w:left w:val="nil"/>
              <w:bottom w:val="nil"/>
              <w:right w:val="nil"/>
            </w:tcBorders>
            <w:shd w:val="clear" w:color="auto" w:fill="auto"/>
            <w:vAlign w:val="center"/>
          </w:tcPr>
          <w:p w14:paraId="0BD9D6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保存当月批次谱系规则</w:t>
            </w:r>
          </w:p>
        </w:tc>
        <w:tc>
          <w:tcPr>
            <w:tcW w:w="966" w:type="dxa"/>
            <w:tcBorders>
              <w:top w:val="nil"/>
              <w:left w:val="nil"/>
              <w:bottom w:val="nil"/>
              <w:right w:val="nil"/>
            </w:tcBorders>
            <w:shd w:val="clear" w:color="auto" w:fill="auto"/>
            <w:vAlign w:val="center"/>
          </w:tcPr>
          <w:p w14:paraId="29D539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0B85C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6CC423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当月批次谱系结果形成后</w:t>
            </w:r>
          </w:p>
        </w:tc>
        <w:tc>
          <w:tcPr>
            <w:tcW w:w="1406" w:type="dxa"/>
            <w:tcBorders>
              <w:top w:val="nil"/>
              <w:left w:val="nil"/>
              <w:bottom w:val="nil"/>
              <w:right w:val="nil"/>
            </w:tcBorders>
            <w:shd w:val="clear" w:color="auto" w:fill="auto"/>
            <w:vAlign w:val="center"/>
          </w:tcPr>
          <w:p w14:paraId="00CB89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保存关系结果和受影响后代索引，支持成本计算与双向追溯；迟到或更正数据形成替代版本，不覆盖历史。</w:t>
            </w:r>
          </w:p>
        </w:tc>
        <w:tc>
          <w:tcPr>
            <w:tcW w:w="1088" w:type="dxa"/>
            <w:tcBorders>
              <w:top w:val="nil"/>
              <w:left w:val="nil"/>
              <w:bottom w:val="nil"/>
              <w:right w:val="nil"/>
            </w:tcBorders>
            <w:shd w:val="clear" w:color="auto" w:fill="auto"/>
            <w:vAlign w:val="center"/>
          </w:tcPr>
          <w:p w14:paraId="1AAC893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月度批次谱系版本</w:t>
            </w:r>
          </w:p>
        </w:tc>
        <w:tc>
          <w:tcPr>
            <w:tcW w:w="1460" w:type="dxa"/>
            <w:tcBorders>
              <w:top w:val="nil"/>
              <w:left w:val="nil"/>
              <w:bottom w:val="nil"/>
              <w:right w:val="nil"/>
            </w:tcBorders>
            <w:shd w:val="clear" w:color="auto" w:fill="auto"/>
            <w:vAlign w:val="center"/>
          </w:tcPr>
          <w:p w14:paraId="37162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5980DFC">
        <w:trPr>
          <w:cantSplit/>
          <w:trHeight w:val="0" w:hRule="atLeast"/>
          <w:jc w:val="center"/>
        </w:trPr>
        <w:tc>
          <w:tcPr>
            <w:tcW w:w="2944" w:type="dxa"/>
            <w:tcBorders>
              <w:top w:val="nil"/>
              <w:left w:val="nil"/>
              <w:bottom w:val="nil"/>
              <w:right w:val="nil"/>
            </w:tcBorders>
            <w:shd w:val="clear" w:color="auto" w:fill="auto"/>
            <w:vAlign w:val="center"/>
          </w:tcPr>
          <w:p w14:paraId="15F2E9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P-ZLTC-SCOS-FYCB-003-10-001</w:t>
            </w:r>
          </w:p>
        </w:tc>
        <w:tc>
          <w:tcPr>
            <w:tcW w:w="945" w:type="dxa"/>
            <w:tcBorders>
              <w:top w:val="nil"/>
              <w:left w:val="nil"/>
              <w:bottom w:val="nil"/>
              <w:right w:val="nil"/>
            </w:tcBorders>
            <w:shd w:val="clear" w:color="auto" w:fill="auto"/>
            <w:vAlign w:val="center"/>
          </w:tcPr>
          <w:p w14:paraId="412701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提供当月成本事实数据规则</w:t>
            </w:r>
          </w:p>
        </w:tc>
        <w:tc>
          <w:tcPr>
            <w:tcW w:w="966" w:type="dxa"/>
            <w:tcBorders>
              <w:top w:val="nil"/>
              <w:left w:val="nil"/>
              <w:bottom w:val="nil"/>
              <w:right w:val="nil"/>
            </w:tcBorders>
            <w:shd w:val="clear" w:color="auto" w:fill="auto"/>
            <w:vAlign w:val="center"/>
          </w:tcPr>
          <w:p w14:paraId="2A474A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16731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B418F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谱系可用后由SCOS启动直接成本归集时</w:t>
            </w:r>
          </w:p>
        </w:tc>
        <w:tc>
          <w:tcPr>
            <w:tcW w:w="1406" w:type="dxa"/>
            <w:tcBorders>
              <w:top w:val="nil"/>
              <w:left w:val="nil"/>
              <w:bottom w:val="nil"/>
              <w:right w:val="nil"/>
            </w:tcBorders>
            <w:shd w:val="clear" w:color="auto" w:fill="auto"/>
            <w:vAlign w:val="center"/>
          </w:tcPr>
          <w:p w14:paraId="761EA7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提供成本记录的来源、时间、数量、单价、金额及税额；缺失、重复或期间外记录携带数据质量标识。</w:t>
            </w:r>
          </w:p>
        </w:tc>
        <w:tc>
          <w:tcPr>
            <w:tcW w:w="1088" w:type="dxa"/>
            <w:tcBorders>
              <w:top w:val="nil"/>
              <w:left w:val="nil"/>
              <w:bottom w:val="nil"/>
              <w:right w:val="nil"/>
            </w:tcBorders>
            <w:shd w:val="clear" w:color="auto" w:fill="auto"/>
            <w:vAlign w:val="center"/>
          </w:tcPr>
          <w:p w14:paraId="77CFD7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采购、领料、能源、维修、检验、包装和运输成本事实</w:t>
            </w:r>
          </w:p>
        </w:tc>
        <w:tc>
          <w:tcPr>
            <w:tcW w:w="1460" w:type="dxa"/>
            <w:tcBorders>
              <w:top w:val="nil"/>
              <w:left w:val="nil"/>
              <w:bottom w:val="nil"/>
              <w:right w:val="nil"/>
            </w:tcBorders>
            <w:shd w:val="clear" w:color="auto" w:fill="auto"/>
            <w:vAlign w:val="center"/>
          </w:tcPr>
          <w:p w14:paraId="7CBB8F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81D461">
        <w:trPr>
          <w:cantSplit/>
          <w:trHeight w:val="0" w:hRule="atLeast"/>
          <w:jc w:val="center"/>
        </w:trPr>
        <w:tc>
          <w:tcPr>
            <w:tcW w:w="2944" w:type="dxa"/>
            <w:tcBorders>
              <w:top w:val="nil"/>
              <w:left w:val="nil"/>
              <w:bottom w:val="nil"/>
              <w:right w:val="nil"/>
            </w:tcBorders>
            <w:shd w:val="clear" w:color="auto" w:fill="auto"/>
            <w:vAlign w:val="center"/>
          </w:tcPr>
          <w:p w14:paraId="1B7230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P-ZLTC-SCOS-FYCB-003-20-001</w:t>
            </w:r>
          </w:p>
        </w:tc>
        <w:tc>
          <w:tcPr>
            <w:tcW w:w="945" w:type="dxa"/>
            <w:tcBorders>
              <w:top w:val="nil"/>
              <w:left w:val="nil"/>
              <w:bottom w:val="nil"/>
              <w:right w:val="nil"/>
            </w:tcBorders>
            <w:shd w:val="clear" w:color="auto" w:fill="auto"/>
            <w:vAlign w:val="center"/>
          </w:tcPr>
          <w:p w14:paraId="2032FD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标准化并去重成本事实规则</w:t>
            </w:r>
          </w:p>
        </w:tc>
        <w:tc>
          <w:tcPr>
            <w:tcW w:w="966" w:type="dxa"/>
            <w:tcBorders>
              <w:top w:val="nil"/>
              <w:left w:val="nil"/>
              <w:bottom w:val="nil"/>
              <w:right w:val="nil"/>
            </w:tcBorders>
            <w:shd w:val="clear" w:color="auto" w:fill="auto"/>
            <w:vAlign w:val="center"/>
          </w:tcPr>
          <w:p w14:paraId="4CE77C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515C8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73F444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采购、领料、能源、维修、检验、包装和运输成本事实形成后</w:t>
            </w:r>
          </w:p>
        </w:tc>
        <w:tc>
          <w:tcPr>
            <w:tcW w:w="1406" w:type="dxa"/>
            <w:tcBorders>
              <w:top w:val="nil"/>
              <w:left w:val="nil"/>
              <w:bottom w:val="nil"/>
              <w:right w:val="nil"/>
            </w:tcBorders>
            <w:shd w:val="clear" w:color="auto" w:fill="auto"/>
            <w:vAlign w:val="center"/>
          </w:tcPr>
          <w:p w14:paraId="6849F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统一期间、币种、税口径、数量单位和成本要素；重复记录拒绝进入后续计算；暂估与实际保留关联。</w:t>
            </w:r>
          </w:p>
        </w:tc>
        <w:tc>
          <w:tcPr>
            <w:tcW w:w="1088" w:type="dxa"/>
            <w:tcBorders>
              <w:top w:val="nil"/>
              <w:left w:val="nil"/>
              <w:bottom w:val="nil"/>
              <w:right w:val="nil"/>
            </w:tcBorders>
            <w:shd w:val="clear" w:color="auto" w:fill="auto"/>
            <w:vAlign w:val="center"/>
          </w:tcPr>
          <w:p w14:paraId="41646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标准化且唯一的成本记录</w:t>
            </w:r>
          </w:p>
        </w:tc>
        <w:tc>
          <w:tcPr>
            <w:tcW w:w="1460" w:type="dxa"/>
            <w:tcBorders>
              <w:top w:val="nil"/>
              <w:left w:val="nil"/>
              <w:bottom w:val="nil"/>
              <w:right w:val="nil"/>
            </w:tcBorders>
            <w:shd w:val="clear" w:color="auto" w:fill="auto"/>
            <w:vAlign w:val="center"/>
          </w:tcPr>
          <w:p w14:paraId="3D5065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54B727">
        <w:trPr>
          <w:cantSplit/>
          <w:trHeight w:val="0" w:hRule="atLeast"/>
          <w:jc w:val="center"/>
        </w:trPr>
        <w:tc>
          <w:tcPr>
            <w:tcW w:w="2944" w:type="dxa"/>
            <w:tcBorders>
              <w:top w:val="nil"/>
              <w:left w:val="nil"/>
              <w:bottom w:val="nil"/>
              <w:right w:val="nil"/>
            </w:tcBorders>
            <w:shd w:val="clear" w:color="auto" w:fill="auto"/>
            <w:vAlign w:val="center"/>
          </w:tcPr>
          <w:p w14:paraId="3455F7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P-ZLTC-SCOS-FYCB-003-30-001</w:t>
            </w:r>
          </w:p>
        </w:tc>
        <w:tc>
          <w:tcPr>
            <w:tcW w:w="945" w:type="dxa"/>
            <w:tcBorders>
              <w:top w:val="nil"/>
              <w:left w:val="nil"/>
              <w:bottom w:val="nil"/>
              <w:right w:val="nil"/>
            </w:tcBorders>
            <w:shd w:val="clear" w:color="auto" w:fill="auto"/>
            <w:vAlign w:val="center"/>
          </w:tcPr>
          <w:p w14:paraId="2EDC62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识别直接计批与待分摊费用规则</w:t>
            </w:r>
          </w:p>
        </w:tc>
        <w:tc>
          <w:tcPr>
            <w:tcW w:w="966" w:type="dxa"/>
            <w:tcBorders>
              <w:top w:val="nil"/>
              <w:left w:val="nil"/>
              <w:bottom w:val="nil"/>
              <w:right w:val="nil"/>
            </w:tcBorders>
            <w:shd w:val="clear" w:color="auto" w:fill="auto"/>
            <w:vAlign w:val="center"/>
          </w:tcPr>
          <w:p w14:paraId="538D7C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34E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0F775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标准化且唯一的成本记录形成后</w:t>
            </w:r>
          </w:p>
        </w:tc>
        <w:tc>
          <w:tcPr>
            <w:tcW w:w="1406" w:type="dxa"/>
            <w:tcBorders>
              <w:top w:val="nil"/>
              <w:left w:val="nil"/>
              <w:bottom w:val="nil"/>
              <w:right w:val="nil"/>
            </w:tcBorders>
            <w:shd w:val="clear" w:color="auto" w:fill="auto"/>
            <w:vAlign w:val="center"/>
          </w:tcPr>
          <w:p w14:paraId="0F35B5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检查产线环节、批次范围、数量金额及费用归属是否明确；不能可靠定位的成本进入待确认费用池，不强行平均。</w:t>
            </w:r>
          </w:p>
        </w:tc>
        <w:tc>
          <w:tcPr>
            <w:tcW w:w="1088" w:type="dxa"/>
            <w:tcBorders>
              <w:top w:val="nil"/>
              <w:left w:val="nil"/>
              <w:bottom w:val="nil"/>
              <w:right w:val="nil"/>
            </w:tcBorders>
            <w:shd w:val="clear" w:color="auto" w:fill="auto"/>
            <w:vAlign w:val="center"/>
          </w:tcPr>
          <w:p w14:paraId="15DBA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可直接计批记录和待确认费用池记录</w:t>
            </w:r>
          </w:p>
        </w:tc>
        <w:tc>
          <w:tcPr>
            <w:tcW w:w="1460" w:type="dxa"/>
            <w:tcBorders>
              <w:top w:val="nil"/>
              <w:left w:val="nil"/>
              <w:bottom w:val="nil"/>
              <w:right w:val="nil"/>
            </w:tcBorders>
            <w:shd w:val="clear" w:color="auto" w:fill="auto"/>
            <w:vAlign w:val="center"/>
          </w:tcPr>
          <w:p w14:paraId="494758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0B5A67">
        <w:trPr>
          <w:cantSplit/>
          <w:trHeight w:val="0" w:hRule="atLeast"/>
          <w:jc w:val="center"/>
        </w:trPr>
        <w:tc>
          <w:tcPr>
            <w:tcW w:w="2944" w:type="dxa"/>
            <w:tcBorders>
              <w:top w:val="nil"/>
              <w:left w:val="nil"/>
              <w:bottom w:val="nil"/>
              <w:right w:val="nil"/>
            </w:tcBorders>
            <w:shd w:val="clear" w:color="auto" w:fill="auto"/>
            <w:vAlign w:val="center"/>
          </w:tcPr>
          <w:p w14:paraId="040C23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P-ZLTC-SCOS-FYCB-003-40-001</w:t>
            </w:r>
          </w:p>
        </w:tc>
        <w:tc>
          <w:tcPr>
            <w:tcW w:w="945" w:type="dxa"/>
            <w:tcBorders>
              <w:top w:val="nil"/>
              <w:left w:val="nil"/>
              <w:bottom w:val="nil"/>
              <w:right w:val="nil"/>
            </w:tcBorders>
            <w:shd w:val="clear" w:color="auto" w:fill="auto"/>
            <w:vAlign w:val="center"/>
          </w:tcPr>
          <w:p w14:paraId="1BF234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计算批次直接成本规则</w:t>
            </w:r>
          </w:p>
        </w:tc>
        <w:tc>
          <w:tcPr>
            <w:tcW w:w="966" w:type="dxa"/>
            <w:tcBorders>
              <w:top w:val="nil"/>
              <w:left w:val="nil"/>
              <w:bottom w:val="nil"/>
              <w:right w:val="nil"/>
            </w:tcBorders>
            <w:shd w:val="clear" w:color="auto" w:fill="auto"/>
            <w:vAlign w:val="center"/>
          </w:tcPr>
          <w:p w14:paraId="7A26C1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C53D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8F065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可直接计批记录和待确认费用池记录形成后</w:t>
            </w:r>
          </w:p>
        </w:tc>
        <w:tc>
          <w:tcPr>
            <w:tcW w:w="1406" w:type="dxa"/>
            <w:tcBorders>
              <w:top w:val="nil"/>
              <w:left w:val="nil"/>
              <w:bottom w:val="nil"/>
              <w:right w:val="nil"/>
            </w:tcBorders>
            <w:shd w:val="clear" w:color="auto" w:fill="auto"/>
            <w:vAlign w:val="center"/>
          </w:tcPr>
          <w:p w14:paraId="478A14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按实际业务数量拆分金额，计入成本实际发生节点；发票未到时保留采购批暂估，实际到达后形成差异版本。</w:t>
            </w:r>
          </w:p>
        </w:tc>
        <w:tc>
          <w:tcPr>
            <w:tcW w:w="1088" w:type="dxa"/>
            <w:tcBorders>
              <w:top w:val="nil"/>
              <w:left w:val="nil"/>
              <w:bottom w:val="nil"/>
              <w:right w:val="nil"/>
            </w:tcBorders>
            <w:shd w:val="clear" w:color="auto" w:fill="auto"/>
            <w:vAlign w:val="center"/>
          </w:tcPr>
          <w:p w14:paraId="7B8233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批次直接成本明细</w:t>
            </w:r>
          </w:p>
        </w:tc>
        <w:tc>
          <w:tcPr>
            <w:tcW w:w="1460" w:type="dxa"/>
            <w:tcBorders>
              <w:top w:val="nil"/>
              <w:left w:val="nil"/>
              <w:bottom w:val="nil"/>
              <w:right w:val="nil"/>
            </w:tcBorders>
            <w:shd w:val="clear" w:color="auto" w:fill="auto"/>
            <w:vAlign w:val="center"/>
          </w:tcPr>
          <w:p w14:paraId="4F8D9F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B8C59D">
        <w:trPr>
          <w:cantSplit/>
          <w:trHeight w:val="0" w:hRule="atLeast"/>
          <w:jc w:val="center"/>
        </w:trPr>
        <w:tc>
          <w:tcPr>
            <w:tcW w:w="2944" w:type="dxa"/>
            <w:tcBorders>
              <w:top w:val="nil"/>
              <w:left w:val="nil"/>
              <w:bottom w:val="nil"/>
              <w:right w:val="nil"/>
            </w:tcBorders>
            <w:shd w:val="clear" w:color="auto" w:fill="auto"/>
            <w:vAlign w:val="center"/>
          </w:tcPr>
          <w:p w14:paraId="3E75BD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P-ZLTC-SCOS-FYCB-003-50-001</w:t>
            </w:r>
          </w:p>
        </w:tc>
        <w:tc>
          <w:tcPr>
            <w:tcW w:w="945" w:type="dxa"/>
            <w:tcBorders>
              <w:top w:val="nil"/>
              <w:left w:val="nil"/>
              <w:bottom w:val="nil"/>
              <w:right w:val="nil"/>
            </w:tcBorders>
            <w:shd w:val="clear" w:color="auto" w:fill="auto"/>
            <w:vAlign w:val="center"/>
          </w:tcPr>
          <w:p w14:paraId="496FA0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判断来源和追溯链是否完整规则</w:t>
            </w:r>
          </w:p>
        </w:tc>
        <w:tc>
          <w:tcPr>
            <w:tcW w:w="966" w:type="dxa"/>
            <w:tcBorders>
              <w:top w:val="nil"/>
              <w:left w:val="nil"/>
              <w:bottom w:val="nil"/>
              <w:right w:val="nil"/>
            </w:tcBorders>
            <w:shd w:val="clear" w:color="auto" w:fill="auto"/>
            <w:vAlign w:val="center"/>
          </w:tcPr>
          <w:p w14:paraId="506156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FB019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38AC9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批次直接成本明细形成后</w:t>
            </w:r>
          </w:p>
        </w:tc>
        <w:tc>
          <w:tcPr>
            <w:tcW w:w="1406" w:type="dxa"/>
            <w:tcBorders>
              <w:top w:val="nil"/>
              <w:left w:val="nil"/>
              <w:bottom w:val="nil"/>
              <w:right w:val="nil"/>
            </w:tcBorders>
            <w:shd w:val="clear" w:color="auto" w:fill="auto"/>
            <w:vAlign w:val="center"/>
          </w:tcPr>
          <w:p w14:paraId="25B571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确认每笔成本可回到来源记录、只进入一种归集结果；来源和追溯链不完整时补充成本口径；来源和追溯链完整时生成结果。</w:t>
            </w:r>
          </w:p>
        </w:tc>
        <w:tc>
          <w:tcPr>
            <w:tcW w:w="1088" w:type="dxa"/>
            <w:tcBorders>
              <w:top w:val="nil"/>
              <w:left w:val="nil"/>
              <w:bottom w:val="nil"/>
              <w:right w:val="nil"/>
            </w:tcBorders>
            <w:shd w:val="clear" w:color="auto" w:fill="auto"/>
            <w:vAlign w:val="center"/>
          </w:tcPr>
          <w:p w14:paraId="0F50A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来源唯一性、分类完整性和追溯链检查结果</w:t>
            </w:r>
          </w:p>
        </w:tc>
        <w:tc>
          <w:tcPr>
            <w:tcW w:w="1460" w:type="dxa"/>
            <w:tcBorders>
              <w:top w:val="nil"/>
              <w:left w:val="nil"/>
              <w:bottom w:val="nil"/>
              <w:right w:val="nil"/>
            </w:tcBorders>
            <w:shd w:val="clear" w:color="auto" w:fill="auto"/>
            <w:vAlign w:val="center"/>
          </w:tcPr>
          <w:p w14:paraId="032A8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350F82">
        <w:trPr>
          <w:cantSplit/>
          <w:trHeight w:val="0" w:hRule="atLeast"/>
          <w:jc w:val="center"/>
        </w:trPr>
        <w:tc>
          <w:tcPr>
            <w:tcW w:w="2944" w:type="dxa"/>
            <w:tcBorders>
              <w:top w:val="nil"/>
              <w:left w:val="nil"/>
              <w:bottom w:val="nil"/>
              <w:right w:val="nil"/>
            </w:tcBorders>
            <w:shd w:val="clear" w:color="auto" w:fill="auto"/>
            <w:vAlign w:val="center"/>
          </w:tcPr>
          <w:p w14:paraId="222BF1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P-ZLTC-SCOS-FYCB-003-60-001</w:t>
            </w:r>
          </w:p>
        </w:tc>
        <w:tc>
          <w:tcPr>
            <w:tcW w:w="945" w:type="dxa"/>
            <w:tcBorders>
              <w:top w:val="nil"/>
              <w:left w:val="nil"/>
              <w:bottom w:val="nil"/>
              <w:right w:val="nil"/>
            </w:tcBorders>
            <w:shd w:val="clear" w:color="auto" w:fill="auto"/>
            <w:vAlign w:val="center"/>
          </w:tcPr>
          <w:p w14:paraId="12A8A5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补充成本口径和异常分类规则</w:t>
            </w:r>
          </w:p>
        </w:tc>
        <w:tc>
          <w:tcPr>
            <w:tcW w:w="966" w:type="dxa"/>
            <w:tcBorders>
              <w:top w:val="nil"/>
              <w:left w:val="nil"/>
              <w:bottom w:val="nil"/>
              <w:right w:val="nil"/>
            </w:tcBorders>
            <w:shd w:val="clear" w:color="auto" w:fill="auto"/>
            <w:vAlign w:val="center"/>
          </w:tcPr>
          <w:p w14:paraId="366565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663F7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0B6A8B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来源和追溯链不完整时</w:t>
            </w:r>
          </w:p>
        </w:tc>
        <w:tc>
          <w:tcPr>
            <w:tcW w:w="1406" w:type="dxa"/>
            <w:tcBorders>
              <w:top w:val="nil"/>
              <w:left w:val="nil"/>
              <w:bottom w:val="nil"/>
              <w:right w:val="nil"/>
            </w:tcBorders>
            <w:shd w:val="clear" w:color="auto" w:fill="auto"/>
            <w:vAlign w:val="center"/>
          </w:tcPr>
          <w:p w14:paraId="428E7C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财务负责人在SCOS核对业务事实并维护参考映射或说明；修正后由SCOS重新分类和计算；无依据记录保持待处理。</w:t>
            </w:r>
          </w:p>
        </w:tc>
        <w:tc>
          <w:tcPr>
            <w:tcW w:w="1088" w:type="dxa"/>
            <w:tcBorders>
              <w:top w:val="nil"/>
              <w:left w:val="nil"/>
              <w:bottom w:val="nil"/>
              <w:right w:val="nil"/>
            </w:tcBorders>
            <w:shd w:val="clear" w:color="auto" w:fill="auto"/>
            <w:vAlign w:val="center"/>
          </w:tcPr>
          <w:p w14:paraId="15A33E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成本要素映射和分类说明</w:t>
            </w:r>
          </w:p>
        </w:tc>
        <w:tc>
          <w:tcPr>
            <w:tcW w:w="1460" w:type="dxa"/>
            <w:tcBorders>
              <w:top w:val="nil"/>
              <w:left w:val="nil"/>
              <w:bottom w:val="nil"/>
              <w:right w:val="nil"/>
            </w:tcBorders>
            <w:shd w:val="clear" w:color="auto" w:fill="auto"/>
            <w:vAlign w:val="center"/>
          </w:tcPr>
          <w:p w14:paraId="4CD7D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D26B6E">
        <w:trPr>
          <w:cantSplit/>
          <w:trHeight w:val="0" w:hRule="atLeast"/>
          <w:jc w:val="center"/>
        </w:trPr>
        <w:tc>
          <w:tcPr>
            <w:tcW w:w="2944" w:type="dxa"/>
            <w:tcBorders>
              <w:top w:val="nil"/>
              <w:left w:val="nil"/>
              <w:bottom w:val="nil"/>
              <w:right w:val="nil"/>
            </w:tcBorders>
            <w:shd w:val="clear" w:color="auto" w:fill="auto"/>
            <w:vAlign w:val="center"/>
          </w:tcPr>
          <w:p w14:paraId="202C84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P-ZLTC-SCOS-FYCB-003-70-001</w:t>
            </w:r>
          </w:p>
        </w:tc>
        <w:tc>
          <w:tcPr>
            <w:tcW w:w="945" w:type="dxa"/>
            <w:tcBorders>
              <w:top w:val="nil"/>
              <w:left w:val="nil"/>
              <w:bottom w:val="nil"/>
              <w:right w:val="nil"/>
            </w:tcBorders>
            <w:shd w:val="clear" w:color="auto" w:fill="auto"/>
            <w:vAlign w:val="center"/>
          </w:tcPr>
          <w:p w14:paraId="391E97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生成批次直接成本结果规则</w:t>
            </w:r>
          </w:p>
        </w:tc>
        <w:tc>
          <w:tcPr>
            <w:tcW w:w="966" w:type="dxa"/>
            <w:tcBorders>
              <w:top w:val="nil"/>
              <w:left w:val="nil"/>
              <w:bottom w:val="nil"/>
              <w:right w:val="nil"/>
            </w:tcBorders>
            <w:shd w:val="clear" w:color="auto" w:fill="auto"/>
            <w:vAlign w:val="center"/>
          </w:tcPr>
          <w:p w14:paraId="1B9B1A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C0A25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54C4AB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来源和追溯链完整时</w:t>
            </w:r>
          </w:p>
        </w:tc>
        <w:tc>
          <w:tcPr>
            <w:tcW w:w="1406" w:type="dxa"/>
            <w:tcBorders>
              <w:top w:val="nil"/>
              <w:left w:val="nil"/>
              <w:bottom w:val="nil"/>
              <w:right w:val="nil"/>
            </w:tcBorders>
            <w:shd w:val="clear" w:color="auto" w:fill="auto"/>
            <w:vAlign w:val="center"/>
          </w:tcPr>
          <w:p w14:paraId="2FA2B3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形成批次直接成本明细，记录来源、成本要素、金额和暂估状态；待处理差异单列，不阻断其他可追溯成本。</w:t>
            </w:r>
          </w:p>
        </w:tc>
        <w:tc>
          <w:tcPr>
            <w:tcW w:w="1088" w:type="dxa"/>
            <w:tcBorders>
              <w:top w:val="nil"/>
              <w:left w:val="nil"/>
              <w:bottom w:val="nil"/>
              <w:right w:val="nil"/>
            </w:tcBorders>
            <w:shd w:val="clear" w:color="auto" w:fill="auto"/>
            <w:vAlign w:val="center"/>
          </w:tcPr>
          <w:p w14:paraId="7BD498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批次直接成本结果</w:t>
            </w:r>
          </w:p>
        </w:tc>
        <w:tc>
          <w:tcPr>
            <w:tcW w:w="1460" w:type="dxa"/>
            <w:tcBorders>
              <w:top w:val="nil"/>
              <w:left w:val="nil"/>
              <w:bottom w:val="nil"/>
              <w:right w:val="nil"/>
            </w:tcBorders>
            <w:shd w:val="clear" w:color="auto" w:fill="auto"/>
            <w:vAlign w:val="center"/>
          </w:tcPr>
          <w:p w14:paraId="184811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A5605A">
        <w:trPr>
          <w:cantSplit/>
          <w:trHeight w:val="0" w:hRule="atLeast"/>
          <w:jc w:val="center"/>
        </w:trPr>
        <w:tc>
          <w:tcPr>
            <w:tcW w:w="2944" w:type="dxa"/>
            <w:tcBorders>
              <w:top w:val="nil"/>
              <w:left w:val="nil"/>
              <w:bottom w:val="nil"/>
              <w:right w:val="nil"/>
            </w:tcBorders>
            <w:shd w:val="clear" w:color="auto" w:fill="auto"/>
            <w:vAlign w:val="center"/>
          </w:tcPr>
          <w:p w14:paraId="28D68C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P-ZLTC-SCOS-FYCB-003-80-001</w:t>
            </w:r>
          </w:p>
        </w:tc>
        <w:tc>
          <w:tcPr>
            <w:tcW w:w="945" w:type="dxa"/>
            <w:tcBorders>
              <w:top w:val="nil"/>
              <w:left w:val="nil"/>
              <w:bottom w:val="nil"/>
              <w:right w:val="nil"/>
            </w:tcBorders>
            <w:shd w:val="clear" w:color="auto" w:fill="auto"/>
            <w:vAlign w:val="center"/>
          </w:tcPr>
          <w:p w14:paraId="3CCBA4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保存批次直接成本结果规则</w:t>
            </w:r>
          </w:p>
        </w:tc>
        <w:tc>
          <w:tcPr>
            <w:tcW w:w="966" w:type="dxa"/>
            <w:tcBorders>
              <w:top w:val="nil"/>
              <w:left w:val="nil"/>
              <w:bottom w:val="nil"/>
              <w:right w:val="nil"/>
            </w:tcBorders>
            <w:shd w:val="clear" w:color="auto" w:fill="auto"/>
            <w:vAlign w:val="center"/>
          </w:tcPr>
          <w:p w14:paraId="2B1746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6857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6C7EAA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批次直接成本结果形成后</w:t>
            </w:r>
          </w:p>
        </w:tc>
        <w:tc>
          <w:tcPr>
            <w:tcW w:w="1406" w:type="dxa"/>
            <w:tcBorders>
              <w:top w:val="nil"/>
              <w:left w:val="nil"/>
              <w:bottom w:val="nil"/>
              <w:right w:val="nil"/>
            </w:tcBorders>
            <w:shd w:val="clear" w:color="auto" w:fill="auto"/>
            <w:vAlign w:val="center"/>
          </w:tcPr>
          <w:p w14:paraId="1B104F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保存直接成本、待确认费用池和来源引用；结果用于经营分析参考，不替代财务实际核算。</w:t>
            </w:r>
          </w:p>
        </w:tc>
        <w:tc>
          <w:tcPr>
            <w:tcW w:w="1088" w:type="dxa"/>
            <w:tcBorders>
              <w:top w:val="nil"/>
              <w:left w:val="nil"/>
              <w:bottom w:val="nil"/>
              <w:right w:val="nil"/>
            </w:tcBorders>
            <w:shd w:val="clear" w:color="auto" w:fill="auto"/>
            <w:vAlign w:val="center"/>
          </w:tcPr>
          <w:p w14:paraId="5E27A50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批次直接成本参考版本</w:t>
            </w:r>
          </w:p>
        </w:tc>
        <w:tc>
          <w:tcPr>
            <w:tcW w:w="1460" w:type="dxa"/>
            <w:tcBorders>
              <w:top w:val="nil"/>
              <w:left w:val="nil"/>
              <w:bottom w:val="nil"/>
              <w:right w:val="nil"/>
            </w:tcBorders>
            <w:shd w:val="clear" w:color="auto" w:fill="auto"/>
            <w:vAlign w:val="center"/>
          </w:tcPr>
          <w:p w14:paraId="176800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03A46C">
        <w:trPr>
          <w:cantSplit/>
          <w:trHeight w:val="0" w:hRule="atLeast"/>
          <w:jc w:val="center"/>
        </w:trPr>
        <w:tc>
          <w:tcPr>
            <w:tcW w:w="2944" w:type="dxa"/>
            <w:tcBorders>
              <w:top w:val="nil"/>
              <w:left w:val="nil"/>
              <w:bottom w:val="nil"/>
              <w:right w:val="nil"/>
            </w:tcBorders>
            <w:shd w:val="clear" w:color="auto" w:fill="auto"/>
            <w:vAlign w:val="center"/>
          </w:tcPr>
          <w:p w14:paraId="46F82A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P-ZLTC-SCOS-FYCB-004-10-001</w:t>
            </w:r>
          </w:p>
        </w:tc>
        <w:tc>
          <w:tcPr>
            <w:tcW w:w="945" w:type="dxa"/>
            <w:tcBorders>
              <w:top w:val="nil"/>
              <w:left w:val="nil"/>
              <w:bottom w:val="nil"/>
              <w:right w:val="nil"/>
            </w:tcBorders>
            <w:shd w:val="clear" w:color="auto" w:fill="auto"/>
            <w:vAlign w:val="center"/>
          </w:tcPr>
          <w:p w14:paraId="55D4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提供费用金额和动因数据规则</w:t>
            </w:r>
          </w:p>
        </w:tc>
        <w:tc>
          <w:tcPr>
            <w:tcW w:w="966" w:type="dxa"/>
            <w:tcBorders>
              <w:top w:val="nil"/>
              <w:left w:val="nil"/>
              <w:bottom w:val="nil"/>
              <w:right w:val="nil"/>
            </w:tcBorders>
            <w:shd w:val="clear" w:color="auto" w:fill="auto"/>
            <w:vAlign w:val="center"/>
          </w:tcPr>
          <w:p w14:paraId="077309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424F0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587F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直接成本分类完成后由SCOS启动费用池分摊时</w:t>
            </w:r>
          </w:p>
        </w:tc>
        <w:tc>
          <w:tcPr>
            <w:tcW w:w="1406" w:type="dxa"/>
            <w:tcBorders>
              <w:top w:val="nil"/>
              <w:left w:val="nil"/>
              <w:bottom w:val="nil"/>
              <w:right w:val="nil"/>
            </w:tcBorders>
            <w:shd w:val="clear" w:color="auto" w:fill="auto"/>
            <w:vAlign w:val="center"/>
          </w:tcPr>
          <w:p w14:paraId="1DDE54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按期间和费用类型提供费用总额、直接计入额及待分摊额；数据缺失时明确缺失范围，不自动补零。</w:t>
            </w:r>
          </w:p>
        </w:tc>
        <w:tc>
          <w:tcPr>
            <w:tcW w:w="1088" w:type="dxa"/>
            <w:tcBorders>
              <w:top w:val="nil"/>
              <w:left w:val="nil"/>
              <w:bottom w:val="nil"/>
              <w:right w:val="nil"/>
            </w:tcBorders>
            <w:shd w:val="clear" w:color="auto" w:fill="auto"/>
            <w:vAlign w:val="center"/>
          </w:tcPr>
          <w:p w14:paraId="51C697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期间费用、工时、设备占用、能耗、处理量、绝干量和发运数据</w:t>
            </w:r>
          </w:p>
        </w:tc>
        <w:tc>
          <w:tcPr>
            <w:tcW w:w="1460" w:type="dxa"/>
            <w:tcBorders>
              <w:top w:val="nil"/>
              <w:left w:val="nil"/>
              <w:bottom w:val="nil"/>
              <w:right w:val="nil"/>
            </w:tcBorders>
            <w:shd w:val="clear" w:color="auto" w:fill="auto"/>
            <w:vAlign w:val="center"/>
          </w:tcPr>
          <w:p w14:paraId="0D541C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F77AE36">
        <w:trPr>
          <w:cantSplit/>
          <w:trHeight w:val="0" w:hRule="atLeast"/>
          <w:jc w:val="center"/>
        </w:trPr>
        <w:tc>
          <w:tcPr>
            <w:tcW w:w="2944" w:type="dxa"/>
            <w:tcBorders>
              <w:top w:val="nil"/>
              <w:left w:val="nil"/>
              <w:bottom w:val="nil"/>
              <w:right w:val="nil"/>
            </w:tcBorders>
            <w:shd w:val="clear" w:color="auto" w:fill="auto"/>
            <w:vAlign w:val="center"/>
          </w:tcPr>
          <w:p w14:paraId="1EAD6D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P-ZLTC-SCOS-FYCB-004-20-001</w:t>
            </w:r>
          </w:p>
        </w:tc>
        <w:tc>
          <w:tcPr>
            <w:tcW w:w="945" w:type="dxa"/>
            <w:tcBorders>
              <w:top w:val="nil"/>
              <w:left w:val="nil"/>
              <w:bottom w:val="nil"/>
              <w:right w:val="nil"/>
            </w:tcBorders>
            <w:shd w:val="clear" w:color="auto" w:fill="auto"/>
            <w:vAlign w:val="center"/>
          </w:tcPr>
          <w:p w14:paraId="289D9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维护费用池范围和动因规则</w:t>
            </w:r>
          </w:p>
        </w:tc>
        <w:tc>
          <w:tcPr>
            <w:tcW w:w="966" w:type="dxa"/>
            <w:tcBorders>
              <w:top w:val="nil"/>
              <w:left w:val="nil"/>
              <w:bottom w:val="nil"/>
              <w:right w:val="nil"/>
            </w:tcBorders>
            <w:shd w:val="clear" w:color="auto" w:fill="auto"/>
            <w:vAlign w:val="center"/>
          </w:tcPr>
          <w:p w14:paraId="7EABC8A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E086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A4BC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期间费用、工时、设备占用、能耗、处理量、绝干量和发运数据形成后</w:t>
            </w:r>
          </w:p>
        </w:tc>
        <w:tc>
          <w:tcPr>
            <w:tcW w:w="1406" w:type="dxa"/>
            <w:tcBorders>
              <w:top w:val="nil"/>
              <w:left w:val="nil"/>
              <w:bottom w:val="nil"/>
              <w:right w:val="nil"/>
            </w:tcBorders>
            <w:shd w:val="clear" w:color="auto" w:fill="auto"/>
            <w:vAlign w:val="center"/>
          </w:tcPr>
          <w:p w14:paraId="2DDBCF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财务负责人在SCOS维护人工、折旧、公共能源、维修；共享设备按实际占用或处理量定义受益范围。</w:t>
            </w:r>
          </w:p>
        </w:tc>
        <w:tc>
          <w:tcPr>
            <w:tcW w:w="1088" w:type="dxa"/>
            <w:tcBorders>
              <w:top w:val="nil"/>
              <w:left w:val="nil"/>
              <w:bottom w:val="nil"/>
              <w:right w:val="nil"/>
            </w:tcBorders>
            <w:shd w:val="clear" w:color="auto" w:fill="auto"/>
            <w:vAlign w:val="center"/>
          </w:tcPr>
          <w:p w14:paraId="1A49B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受益范围、首选和备选动因</w:t>
            </w:r>
          </w:p>
        </w:tc>
        <w:tc>
          <w:tcPr>
            <w:tcW w:w="1460" w:type="dxa"/>
            <w:tcBorders>
              <w:top w:val="nil"/>
              <w:left w:val="nil"/>
              <w:bottom w:val="nil"/>
              <w:right w:val="nil"/>
            </w:tcBorders>
            <w:shd w:val="clear" w:color="auto" w:fill="auto"/>
            <w:vAlign w:val="center"/>
          </w:tcPr>
          <w:p w14:paraId="387A8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1E238">
        <w:trPr>
          <w:cantSplit/>
          <w:trHeight w:val="0" w:hRule="atLeast"/>
          <w:jc w:val="center"/>
        </w:trPr>
        <w:tc>
          <w:tcPr>
            <w:tcW w:w="2944" w:type="dxa"/>
            <w:tcBorders>
              <w:top w:val="nil"/>
              <w:left w:val="nil"/>
              <w:bottom w:val="nil"/>
              <w:right w:val="nil"/>
            </w:tcBorders>
            <w:shd w:val="clear" w:color="auto" w:fill="auto"/>
            <w:vAlign w:val="center"/>
          </w:tcPr>
          <w:p w14:paraId="086592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P-ZLTC-SCOS-FYCB-004-30-001</w:t>
            </w:r>
          </w:p>
        </w:tc>
        <w:tc>
          <w:tcPr>
            <w:tcW w:w="945" w:type="dxa"/>
            <w:tcBorders>
              <w:top w:val="nil"/>
              <w:left w:val="nil"/>
              <w:bottom w:val="nil"/>
              <w:right w:val="nil"/>
            </w:tcBorders>
            <w:shd w:val="clear" w:color="auto" w:fill="auto"/>
            <w:vAlign w:val="center"/>
          </w:tcPr>
          <w:p w14:paraId="26D053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计算费用池可分摊金额规则</w:t>
            </w:r>
          </w:p>
        </w:tc>
        <w:tc>
          <w:tcPr>
            <w:tcW w:w="966" w:type="dxa"/>
            <w:tcBorders>
              <w:top w:val="nil"/>
              <w:left w:val="nil"/>
              <w:bottom w:val="nil"/>
              <w:right w:val="nil"/>
            </w:tcBorders>
            <w:shd w:val="clear" w:color="auto" w:fill="auto"/>
            <w:vAlign w:val="center"/>
          </w:tcPr>
          <w:p w14:paraId="7E0E76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68BC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E668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受益范围、首选和备选动因形成后</w:t>
            </w:r>
          </w:p>
        </w:tc>
        <w:tc>
          <w:tcPr>
            <w:tcW w:w="1406" w:type="dxa"/>
            <w:tcBorders>
              <w:top w:val="nil"/>
              <w:left w:val="nil"/>
              <w:bottom w:val="nil"/>
              <w:right w:val="nil"/>
            </w:tcBorders>
            <w:shd w:val="clear" w:color="auto" w:fill="auto"/>
            <w:vAlign w:val="center"/>
          </w:tcPr>
          <w:p w14:paraId="116203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按期间、成本中心、成本要素和费用池计算可分摊净额；重复来源或扣减项不清时保持待处理。</w:t>
            </w:r>
          </w:p>
        </w:tc>
        <w:tc>
          <w:tcPr>
            <w:tcW w:w="1088" w:type="dxa"/>
            <w:tcBorders>
              <w:top w:val="nil"/>
              <w:left w:val="nil"/>
              <w:bottom w:val="nil"/>
              <w:right w:val="nil"/>
            </w:tcBorders>
            <w:shd w:val="clear" w:color="auto" w:fill="auto"/>
            <w:vAlign w:val="center"/>
          </w:tcPr>
          <w:p w14:paraId="5A8EA4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费用池可分摊金额</w:t>
            </w:r>
          </w:p>
        </w:tc>
        <w:tc>
          <w:tcPr>
            <w:tcW w:w="1460" w:type="dxa"/>
            <w:tcBorders>
              <w:top w:val="nil"/>
              <w:left w:val="nil"/>
              <w:bottom w:val="nil"/>
              <w:right w:val="nil"/>
            </w:tcBorders>
            <w:shd w:val="clear" w:color="auto" w:fill="auto"/>
            <w:vAlign w:val="center"/>
          </w:tcPr>
          <w:p w14:paraId="006E9E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C02C40">
        <w:trPr>
          <w:cantSplit/>
          <w:trHeight w:val="0" w:hRule="atLeast"/>
          <w:jc w:val="center"/>
        </w:trPr>
        <w:tc>
          <w:tcPr>
            <w:tcW w:w="2944" w:type="dxa"/>
            <w:tcBorders>
              <w:top w:val="nil"/>
              <w:left w:val="nil"/>
              <w:bottom w:val="nil"/>
              <w:right w:val="nil"/>
            </w:tcBorders>
            <w:shd w:val="clear" w:color="auto" w:fill="auto"/>
            <w:vAlign w:val="center"/>
          </w:tcPr>
          <w:p w14:paraId="70A365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P-ZLTC-SCOS-FYCB-004-40-001</w:t>
            </w:r>
          </w:p>
        </w:tc>
        <w:tc>
          <w:tcPr>
            <w:tcW w:w="945" w:type="dxa"/>
            <w:tcBorders>
              <w:top w:val="nil"/>
              <w:left w:val="nil"/>
              <w:bottom w:val="nil"/>
              <w:right w:val="nil"/>
            </w:tcBorders>
            <w:shd w:val="clear" w:color="auto" w:fill="auto"/>
            <w:vAlign w:val="center"/>
          </w:tcPr>
          <w:p w14:paraId="7210CF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识别受益批次并计算分母规则</w:t>
            </w:r>
          </w:p>
        </w:tc>
        <w:tc>
          <w:tcPr>
            <w:tcW w:w="966" w:type="dxa"/>
            <w:tcBorders>
              <w:top w:val="nil"/>
              <w:left w:val="nil"/>
              <w:bottom w:val="nil"/>
              <w:right w:val="nil"/>
            </w:tcBorders>
            <w:shd w:val="clear" w:color="auto" w:fill="auto"/>
            <w:vAlign w:val="center"/>
          </w:tcPr>
          <w:p w14:paraId="557828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A1980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7CE0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费用池可分摊金额形成后</w:t>
            </w:r>
          </w:p>
        </w:tc>
        <w:tc>
          <w:tcPr>
            <w:tcW w:w="1406" w:type="dxa"/>
            <w:tcBorders>
              <w:top w:val="nil"/>
              <w:left w:val="nil"/>
              <w:bottom w:val="nil"/>
              <w:right w:val="nil"/>
            </w:tcBorders>
            <w:shd w:val="clear" w:color="auto" w:fill="auto"/>
            <w:vAlign w:val="center"/>
          </w:tcPr>
          <w:p w14:paraId="30AE5C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按期间和服务边界筛选受益批次；首选动因缺失时仅使用已维护的备选动因。</w:t>
            </w:r>
          </w:p>
        </w:tc>
        <w:tc>
          <w:tcPr>
            <w:tcW w:w="1088" w:type="dxa"/>
            <w:tcBorders>
              <w:top w:val="nil"/>
              <w:left w:val="nil"/>
              <w:bottom w:val="nil"/>
              <w:right w:val="nil"/>
            </w:tcBorders>
            <w:shd w:val="clear" w:color="auto" w:fill="auto"/>
            <w:vAlign w:val="center"/>
          </w:tcPr>
          <w:p w14:paraId="4EDDAB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受益批次、批次动因量和有效分母</w:t>
            </w:r>
          </w:p>
        </w:tc>
        <w:tc>
          <w:tcPr>
            <w:tcW w:w="1460" w:type="dxa"/>
            <w:tcBorders>
              <w:top w:val="nil"/>
              <w:left w:val="nil"/>
              <w:bottom w:val="nil"/>
              <w:right w:val="nil"/>
            </w:tcBorders>
            <w:shd w:val="clear" w:color="auto" w:fill="auto"/>
            <w:vAlign w:val="center"/>
          </w:tcPr>
          <w:p w14:paraId="4B51701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8ED211">
        <w:trPr>
          <w:cantSplit/>
          <w:trHeight w:val="0" w:hRule="atLeast"/>
          <w:jc w:val="center"/>
        </w:trPr>
        <w:tc>
          <w:tcPr>
            <w:tcW w:w="2944" w:type="dxa"/>
            <w:tcBorders>
              <w:top w:val="nil"/>
              <w:left w:val="nil"/>
              <w:bottom w:val="nil"/>
              <w:right w:val="nil"/>
            </w:tcBorders>
            <w:shd w:val="clear" w:color="auto" w:fill="auto"/>
            <w:vAlign w:val="center"/>
          </w:tcPr>
          <w:p w14:paraId="45051C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P-ZLTC-SCOS-FYCB-004-50-001</w:t>
            </w:r>
          </w:p>
        </w:tc>
        <w:tc>
          <w:tcPr>
            <w:tcW w:w="945" w:type="dxa"/>
            <w:tcBorders>
              <w:top w:val="nil"/>
              <w:left w:val="nil"/>
              <w:bottom w:val="nil"/>
              <w:right w:val="nil"/>
            </w:tcBorders>
            <w:shd w:val="clear" w:color="auto" w:fill="auto"/>
            <w:vAlign w:val="center"/>
          </w:tcPr>
          <w:p w14:paraId="64683D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判断分摊依据是否有效规则</w:t>
            </w:r>
          </w:p>
        </w:tc>
        <w:tc>
          <w:tcPr>
            <w:tcW w:w="966" w:type="dxa"/>
            <w:tcBorders>
              <w:top w:val="nil"/>
              <w:left w:val="nil"/>
              <w:bottom w:val="nil"/>
              <w:right w:val="nil"/>
            </w:tcBorders>
            <w:shd w:val="clear" w:color="auto" w:fill="auto"/>
            <w:vAlign w:val="center"/>
          </w:tcPr>
          <w:p w14:paraId="106DE50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B2C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生产费用分摊依据校验</w:t>
            </w:r>
          </w:p>
        </w:tc>
        <w:tc>
          <w:tcPr>
            <w:tcW w:w="1098" w:type="dxa"/>
            <w:tcBorders>
              <w:top w:val="nil"/>
              <w:left w:val="nil"/>
              <w:bottom w:val="nil"/>
              <w:right w:val="nil"/>
            </w:tcBorders>
            <w:shd w:val="clear" w:color="auto" w:fill="auto"/>
            <w:vAlign w:val="center"/>
          </w:tcPr>
          <w:p w14:paraId="25E61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受益批次、批次动因量和有效分母形成后</w:t>
            </w:r>
          </w:p>
        </w:tc>
        <w:tc>
          <w:tcPr>
            <w:tcW w:w="1406" w:type="dxa"/>
            <w:tcBorders>
              <w:top w:val="nil"/>
              <w:left w:val="nil"/>
              <w:bottom w:val="nil"/>
              <w:right w:val="nil"/>
            </w:tcBorders>
            <w:shd w:val="clear" w:color="auto" w:fill="auto"/>
            <w:vAlign w:val="center"/>
          </w:tcPr>
          <w:p w14:paraId="61A612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检查分母大于零、动因口径一致、受益范围非空且期间匹配；分摊依据无效时选择处理方式；分摊依据有效时计算分摊。</w:t>
            </w:r>
          </w:p>
        </w:tc>
        <w:tc>
          <w:tcPr>
            <w:tcW w:w="1088" w:type="dxa"/>
            <w:tcBorders>
              <w:top w:val="nil"/>
              <w:left w:val="nil"/>
              <w:bottom w:val="nil"/>
              <w:right w:val="nil"/>
            </w:tcBorders>
            <w:shd w:val="clear" w:color="auto" w:fill="auto"/>
            <w:vAlign w:val="center"/>
          </w:tcPr>
          <w:p w14:paraId="386E19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动因可用性判断</w:t>
            </w:r>
          </w:p>
        </w:tc>
        <w:tc>
          <w:tcPr>
            <w:tcW w:w="1460" w:type="dxa"/>
            <w:tcBorders>
              <w:top w:val="nil"/>
              <w:left w:val="nil"/>
              <w:bottom w:val="nil"/>
              <w:right w:val="nil"/>
            </w:tcBorders>
            <w:shd w:val="clear" w:color="auto" w:fill="auto"/>
            <w:vAlign w:val="center"/>
          </w:tcPr>
          <w:p w14:paraId="77CA01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650293">
        <w:trPr>
          <w:cantSplit/>
          <w:trHeight w:val="0" w:hRule="atLeast"/>
          <w:jc w:val="center"/>
        </w:trPr>
        <w:tc>
          <w:tcPr>
            <w:tcW w:w="2944" w:type="dxa"/>
            <w:tcBorders>
              <w:top w:val="nil"/>
              <w:left w:val="nil"/>
              <w:bottom w:val="nil"/>
              <w:right w:val="nil"/>
            </w:tcBorders>
            <w:shd w:val="clear" w:color="auto" w:fill="auto"/>
            <w:vAlign w:val="center"/>
          </w:tcPr>
          <w:p w14:paraId="185733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P-ZLTC-SCOS-FYCB-004-60-001</w:t>
            </w:r>
          </w:p>
        </w:tc>
        <w:tc>
          <w:tcPr>
            <w:tcW w:w="945" w:type="dxa"/>
            <w:tcBorders>
              <w:top w:val="nil"/>
              <w:left w:val="nil"/>
              <w:bottom w:val="nil"/>
              <w:right w:val="nil"/>
            </w:tcBorders>
            <w:shd w:val="clear" w:color="auto" w:fill="auto"/>
            <w:vAlign w:val="center"/>
          </w:tcPr>
          <w:p w14:paraId="3406D7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处理缺失动因和无效分母规则</w:t>
            </w:r>
          </w:p>
        </w:tc>
        <w:tc>
          <w:tcPr>
            <w:tcW w:w="966" w:type="dxa"/>
            <w:tcBorders>
              <w:top w:val="nil"/>
              <w:left w:val="nil"/>
              <w:bottom w:val="nil"/>
              <w:right w:val="nil"/>
            </w:tcBorders>
            <w:shd w:val="clear" w:color="auto" w:fill="auto"/>
            <w:vAlign w:val="center"/>
          </w:tcPr>
          <w:p w14:paraId="462016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A98A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B58BF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分摊依据无效时</w:t>
            </w:r>
          </w:p>
        </w:tc>
        <w:tc>
          <w:tcPr>
            <w:tcW w:w="1406" w:type="dxa"/>
            <w:tcBorders>
              <w:top w:val="nil"/>
              <w:left w:val="nil"/>
              <w:bottom w:val="nil"/>
              <w:right w:val="nil"/>
            </w:tcBorders>
            <w:shd w:val="clear" w:color="auto" w:fill="auto"/>
            <w:vAlign w:val="center"/>
          </w:tcPr>
          <w:p w14:paraId="228035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选用已确认的备选分摊依据；仍无可靠依据的费用暂不分配给生产批次。</w:t>
            </w:r>
          </w:p>
        </w:tc>
        <w:tc>
          <w:tcPr>
            <w:tcW w:w="1088" w:type="dxa"/>
            <w:tcBorders>
              <w:top w:val="nil"/>
              <w:left w:val="nil"/>
              <w:bottom w:val="nil"/>
              <w:right w:val="nil"/>
            </w:tcBorders>
            <w:shd w:val="clear" w:color="auto" w:fill="auto"/>
            <w:vAlign w:val="center"/>
          </w:tcPr>
          <w:p w14:paraId="1A688D6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备选动因、停工闲置或未分摊说明</w:t>
            </w:r>
          </w:p>
        </w:tc>
        <w:tc>
          <w:tcPr>
            <w:tcW w:w="1460" w:type="dxa"/>
            <w:tcBorders>
              <w:top w:val="nil"/>
              <w:left w:val="nil"/>
              <w:bottom w:val="nil"/>
              <w:right w:val="nil"/>
            </w:tcBorders>
            <w:shd w:val="clear" w:color="auto" w:fill="auto"/>
            <w:vAlign w:val="center"/>
          </w:tcPr>
          <w:p w14:paraId="7EC137D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CCB030">
        <w:trPr>
          <w:cantSplit/>
          <w:trHeight w:val="0" w:hRule="atLeast"/>
          <w:jc w:val="center"/>
        </w:trPr>
        <w:tc>
          <w:tcPr>
            <w:tcW w:w="2944" w:type="dxa"/>
            <w:tcBorders>
              <w:top w:val="nil"/>
              <w:left w:val="nil"/>
              <w:bottom w:val="nil"/>
              <w:right w:val="nil"/>
            </w:tcBorders>
            <w:shd w:val="clear" w:color="auto" w:fill="auto"/>
            <w:vAlign w:val="center"/>
          </w:tcPr>
          <w:p w14:paraId="2D330F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P-ZLTC-SCOS-FYCB-004-70-001</w:t>
            </w:r>
          </w:p>
        </w:tc>
        <w:tc>
          <w:tcPr>
            <w:tcW w:w="945" w:type="dxa"/>
            <w:tcBorders>
              <w:top w:val="nil"/>
              <w:left w:val="nil"/>
              <w:bottom w:val="nil"/>
              <w:right w:val="nil"/>
            </w:tcBorders>
            <w:shd w:val="clear" w:color="auto" w:fill="auto"/>
            <w:vAlign w:val="center"/>
          </w:tcPr>
          <w:p w14:paraId="01CDD3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计算分摊率批次金额和尾差规则</w:t>
            </w:r>
          </w:p>
        </w:tc>
        <w:tc>
          <w:tcPr>
            <w:tcW w:w="966" w:type="dxa"/>
            <w:tcBorders>
              <w:top w:val="nil"/>
              <w:left w:val="nil"/>
              <w:bottom w:val="nil"/>
              <w:right w:val="nil"/>
            </w:tcBorders>
            <w:shd w:val="clear" w:color="auto" w:fill="auto"/>
            <w:vAlign w:val="center"/>
          </w:tcPr>
          <w:p w14:paraId="7D5B36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E0A7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5DCE8A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分摊依据有效时</w:t>
            </w:r>
          </w:p>
        </w:tc>
        <w:tc>
          <w:tcPr>
            <w:tcW w:w="1406" w:type="dxa"/>
            <w:tcBorders>
              <w:top w:val="nil"/>
              <w:left w:val="nil"/>
              <w:bottom w:val="nil"/>
              <w:right w:val="nil"/>
            </w:tcBorders>
            <w:shd w:val="clear" w:color="auto" w:fill="auto"/>
            <w:vAlign w:val="center"/>
          </w:tcPr>
          <w:p w14:paraId="7541EF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按动因量计算各批次参考金额；无可靠动因的数据保持未分摊。</w:t>
            </w:r>
          </w:p>
        </w:tc>
        <w:tc>
          <w:tcPr>
            <w:tcW w:w="1088" w:type="dxa"/>
            <w:tcBorders>
              <w:top w:val="nil"/>
              <w:left w:val="nil"/>
              <w:bottom w:val="nil"/>
              <w:right w:val="nil"/>
            </w:tcBorders>
            <w:shd w:val="clear" w:color="auto" w:fill="auto"/>
            <w:vAlign w:val="center"/>
          </w:tcPr>
          <w:p w14:paraId="53E9FC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分摊率、批次金额、尾差和未分摊项</w:t>
            </w:r>
          </w:p>
        </w:tc>
        <w:tc>
          <w:tcPr>
            <w:tcW w:w="1460" w:type="dxa"/>
            <w:tcBorders>
              <w:top w:val="nil"/>
              <w:left w:val="nil"/>
              <w:bottom w:val="nil"/>
              <w:right w:val="nil"/>
            </w:tcBorders>
            <w:shd w:val="clear" w:color="auto" w:fill="auto"/>
            <w:vAlign w:val="center"/>
          </w:tcPr>
          <w:p w14:paraId="5E11B8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C58F16">
        <w:trPr>
          <w:cantSplit/>
          <w:trHeight w:val="0" w:hRule="atLeast"/>
          <w:jc w:val="center"/>
        </w:trPr>
        <w:tc>
          <w:tcPr>
            <w:tcW w:w="2944" w:type="dxa"/>
            <w:tcBorders>
              <w:top w:val="nil"/>
              <w:left w:val="nil"/>
              <w:bottom w:val="nil"/>
              <w:right w:val="nil"/>
            </w:tcBorders>
            <w:shd w:val="clear" w:color="auto" w:fill="auto"/>
            <w:vAlign w:val="center"/>
          </w:tcPr>
          <w:p w14:paraId="12684A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P-ZLTC-SCOS-FYCB-004-80-001</w:t>
            </w:r>
          </w:p>
        </w:tc>
        <w:tc>
          <w:tcPr>
            <w:tcW w:w="945" w:type="dxa"/>
            <w:tcBorders>
              <w:top w:val="nil"/>
              <w:left w:val="nil"/>
              <w:bottom w:val="nil"/>
              <w:right w:val="nil"/>
            </w:tcBorders>
            <w:shd w:val="clear" w:color="auto" w:fill="auto"/>
            <w:vAlign w:val="center"/>
          </w:tcPr>
          <w:p w14:paraId="36B349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生成费用池分摊结果规则</w:t>
            </w:r>
          </w:p>
        </w:tc>
        <w:tc>
          <w:tcPr>
            <w:tcW w:w="966" w:type="dxa"/>
            <w:tcBorders>
              <w:top w:val="nil"/>
              <w:left w:val="nil"/>
              <w:bottom w:val="nil"/>
              <w:right w:val="nil"/>
            </w:tcBorders>
            <w:shd w:val="clear" w:color="auto" w:fill="auto"/>
            <w:vAlign w:val="center"/>
          </w:tcPr>
          <w:p w14:paraId="1CC7AD6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BDDCA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6FCAE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分摊率、批次金额、尾差和未分摊项形成后</w:t>
            </w:r>
          </w:p>
        </w:tc>
        <w:tc>
          <w:tcPr>
            <w:tcW w:w="1406" w:type="dxa"/>
            <w:tcBorders>
              <w:top w:val="nil"/>
              <w:left w:val="nil"/>
              <w:bottom w:val="nil"/>
              <w:right w:val="nil"/>
            </w:tcBorders>
            <w:shd w:val="clear" w:color="auto" w:fill="auto"/>
            <w:vAlign w:val="center"/>
          </w:tcPr>
          <w:p w14:paraId="24E730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汇总费用池、受益批次、分摊依据、分摊率和金额；结果仅用于成本追溯和经营分析。</w:t>
            </w:r>
          </w:p>
        </w:tc>
        <w:tc>
          <w:tcPr>
            <w:tcW w:w="1088" w:type="dxa"/>
            <w:tcBorders>
              <w:top w:val="nil"/>
              <w:left w:val="nil"/>
              <w:bottom w:val="nil"/>
              <w:right w:val="nil"/>
            </w:tcBorders>
            <w:shd w:val="clear" w:color="auto" w:fill="auto"/>
            <w:vAlign w:val="center"/>
          </w:tcPr>
          <w:p w14:paraId="68AA15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w:t>
            </w:r>
          </w:p>
        </w:tc>
        <w:tc>
          <w:tcPr>
            <w:tcW w:w="1460" w:type="dxa"/>
            <w:tcBorders>
              <w:top w:val="nil"/>
              <w:left w:val="nil"/>
              <w:bottom w:val="nil"/>
              <w:right w:val="nil"/>
            </w:tcBorders>
            <w:shd w:val="clear" w:color="auto" w:fill="auto"/>
            <w:vAlign w:val="center"/>
          </w:tcPr>
          <w:p w14:paraId="564E6F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61D63B">
        <w:trPr>
          <w:cantSplit/>
          <w:trHeight w:val="0" w:hRule="atLeast"/>
          <w:jc w:val="center"/>
        </w:trPr>
        <w:tc>
          <w:tcPr>
            <w:tcW w:w="2944" w:type="dxa"/>
            <w:tcBorders>
              <w:top w:val="nil"/>
              <w:left w:val="nil"/>
              <w:bottom w:val="nil"/>
              <w:right w:val="nil"/>
            </w:tcBorders>
            <w:shd w:val="clear" w:color="auto" w:fill="auto"/>
            <w:vAlign w:val="center"/>
          </w:tcPr>
          <w:p w14:paraId="48E812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P-ZLTC-SCOS-FYCB-004-90-001</w:t>
            </w:r>
          </w:p>
        </w:tc>
        <w:tc>
          <w:tcPr>
            <w:tcW w:w="945" w:type="dxa"/>
            <w:tcBorders>
              <w:top w:val="nil"/>
              <w:left w:val="nil"/>
              <w:bottom w:val="nil"/>
              <w:right w:val="nil"/>
            </w:tcBorders>
            <w:shd w:val="clear" w:color="auto" w:fill="auto"/>
            <w:vAlign w:val="center"/>
          </w:tcPr>
          <w:p w14:paraId="380707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保存费用池分摊结果规则</w:t>
            </w:r>
          </w:p>
        </w:tc>
        <w:tc>
          <w:tcPr>
            <w:tcW w:w="966" w:type="dxa"/>
            <w:tcBorders>
              <w:top w:val="nil"/>
              <w:left w:val="nil"/>
              <w:bottom w:val="nil"/>
              <w:right w:val="nil"/>
            </w:tcBorders>
            <w:shd w:val="clear" w:color="auto" w:fill="auto"/>
            <w:vAlign w:val="center"/>
          </w:tcPr>
          <w:p w14:paraId="20417A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5A7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29E8E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费用池分摊结果形成后</w:t>
            </w:r>
          </w:p>
        </w:tc>
        <w:tc>
          <w:tcPr>
            <w:tcW w:w="1406" w:type="dxa"/>
            <w:tcBorders>
              <w:top w:val="nil"/>
              <w:left w:val="nil"/>
              <w:bottom w:val="nil"/>
              <w:right w:val="nil"/>
            </w:tcBorders>
            <w:shd w:val="clear" w:color="auto" w:fill="auto"/>
            <w:vAlign w:val="center"/>
          </w:tcPr>
          <w:p w14:paraId="060C01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保存分摊结果及计算依据，供批次成本和订单成本计算使用；不生成实际财务结算凭证。</w:t>
            </w:r>
          </w:p>
        </w:tc>
        <w:tc>
          <w:tcPr>
            <w:tcW w:w="1088" w:type="dxa"/>
            <w:tcBorders>
              <w:top w:val="nil"/>
              <w:left w:val="nil"/>
              <w:bottom w:val="nil"/>
              <w:right w:val="nil"/>
            </w:tcBorders>
            <w:shd w:val="clear" w:color="auto" w:fill="auto"/>
            <w:vAlign w:val="center"/>
          </w:tcPr>
          <w:p w14:paraId="442BEE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费用池分摊结果版本</w:t>
            </w:r>
          </w:p>
        </w:tc>
        <w:tc>
          <w:tcPr>
            <w:tcW w:w="1460" w:type="dxa"/>
            <w:tcBorders>
              <w:top w:val="nil"/>
              <w:left w:val="nil"/>
              <w:bottom w:val="nil"/>
              <w:right w:val="nil"/>
            </w:tcBorders>
            <w:shd w:val="clear" w:color="auto" w:fill="auto"/>
            <w:vAlign w:val="center"/>
          </w:tcPr>
          <w:p w14:paraId="0065B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8112F65">
        <w:trPr>
          <w:cantSplit/>
          <w:trHeight w:val="0" w:hRule="atLeast"/>
          <w:jc w:val="center"/>
        </w:trPr>
        <w:tc>
          <w:tcPr>
            <w:tcW w:w="2944" w:type="dxa"/>
            <w:tcBorders>
              <w:top w:val="nil"/>
              <w:left w:val="nil"/>
              <w:bottom w:val="nil"/>
              <w:right w:val="nil"/>
            </w:tcBorders>
            <w:shd w:val="clear" w:color="auto" w:fill="auto"/>
            <w:vAlign w:val="center"/>
          </w:tcPr>
          <w:p w14:paraId="60E165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P-ZLTC-SCOS-FYCB-005-10-001</w:t>
            </w:r>
          </w:p>
        </w:tc>
        <w:tc>
          <w:tcPr>
            <w:tcW w:w="945" w:type="dxa"/>
            <w:tcBorders>
              <w:top w:val="nil"/>
              <w:left w:val="nil"/>
              <w:bottom w:val="nil"/>
              <w:right w:val="nil"/>
            </w:tcBorders>
            <w:shd w:val="clear" w:color="auto" w:fill="auto"/>
            <w:vAlign w:val="center"/>
          </w:tcPr>
          <w:p w14:paraId="575ACC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提供生产订单和报工数据规则</w:t>
            </w:r>
          </w:p>
        </w:tc>
        <w:tc>
          <w:tcPr>
            <w:tcW w:w="966" w:type="dxa"/>
            <w:tcBorders>
              <w:top w:val="nil"/>
              <w:left w:val="nil"/>
              <w:bottom w:val="nil"/>
              <w:right w:val="nil"/>
            </w:tcBorders>
            <w:shd w:val="clear" w:color="auto" w:fill="auto"/>
            <w:vAlign w:val="center"/>
          </w:tcPr>
          <w:p w14:paraId="2DBA4E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9F34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2473D8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批次成本更新后由SCOS启动生产订单聚合时</w:t>
            </w:r>
          </w:p>
        </w:tc>
        <w:tc>
          <w:tcPr>
            <w:tcW w:w="1406" w:type="dxa"/>
            <w:tcBorders>
              <w:top w:val="nil"/>
              <w:left w:val="nil"/>
              <w:bottom w:val="nil"/>
              <w:right w:val="nil"/>
            </w:tcBorders>
            <w:shd w:val="clear" w:color="auto" w:fill="auto"/>
            <w:vAlign w:val="center"/>
          </w:tcPr>
          <w:p w14:paraId="01B6E0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提供生产订单与实际批次、投料和产出的映射数据；映射缺失时标记待补充，不用计划量替代实际。</w:t>
            </w:r>
          </w:p>
        </w:tc>
        <w:tc>
          <w:tcPr>
            <w:tcW w:w="1088" w:type="dxa"/>
            <w:tcBorders>
              <w:top w:val="nil"/>
              <w:left w:val="nil"/>
              <w:bottom w:val="nil"/>
              <w:right w:val="nil"/>
            </w:tcBorders>
            <w:shd w:val="clear" w:color="auto" w:fill="auto"/>
            <w:vAlign w:val="center"/>
          </w:tcPr>
          <w:p w14:paraId="4AE307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工单、产品、路线、投料、产出、报工和状态数据</w:t>
            </w:r>
          </w:p>
        </w:tc>
        <w:tc>
          <w:tcPr>
            <w:tcW w:w="1460" w:type="dxa"/>
            <w:tcBorders>
              <w:top w:val="nil"/>
              <w:left w:val="nil"/>
              <w:bottom w:val="nil"/>
              <w:right w:val="nil"/>
            </w:tcBorders>
            <w:shd w:val="clear" w:color="auto" w:fill="auto"/>
            <w:vAlign w:val="center"/>
          </w:tcPr>
          <w:p w14:paraId="34E8483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6BF4080">
        <w:trPr>
          <w:cantSplit/>
          <w:trHeight w:val="0" w:hRule="atLeast"/>
          <w:jc w:val="center"/>
        </w:trPr>
        <w:tc>
          <w:tcPr>
            <w:tcW w:w="2944" w:type="dxa"/>
            <w:tcBorders>
              <w:top w:val="nil"/>
              <w:left w:val="nil"/>
              <w:bottom w:val="nil"/>
              <w:right w:val="nil"/>
            </w:tcBorders>
            <w:shd w:val="clear" w:color="auto" w:fill="auto"/>
            <w:vAlign w:val="center"/>
          </w:tcPr>
          <w:p w14:paraId="66B19E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P-ZLTC-SCOS-FYCB-005-20-001</w:t>
            </w:r>
          </w:p>
        </w:tc>
        <w:tc>
          <w:tcPr>
            <w:tcW w:w="945" w:type="dxa"/>
            <w:tcBorders>
              <w:top w:val="nil"/>
              <w:left w:val="nil"/>
              <w:bottom w:val="nil"/>
              <w:right w:val="nil"/>
            </w:tcBorders>
            <w:shd w:val="clear" w:color="auto" w:fill="auto"/>
            <w:vAlign w:val="center"/>
          </w:tcPr>
          <w:p w14:paraId="6159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校验订单批次映射和成本版本规则</w:t>
            </w:r>
          </w:p>
        </w:tc>
        <w:tc>
          <w:tcPr>
            <w:tcW w:w="966" w:type="dxa"/>
            <w:tcBorders>
              <w:top w:val="nil"/>
              <w:left w:val="nil"/>
              <w:bottom w:val="nil"/>
              <w:right w:val="nil"/>
            </w:tcBorders>
            <w:shd w:val="clear" w:color="auto" w:fill="auto"/>
            <w:vAlign w:val="center"/>
          </w:tcPr>
          <w:p w14:paraId="63013C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FC57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37E9B9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工单、产品、路线、投料、产出、报工和状态数据形成后</w:t>
            </w:r>
          </w:p>
        </w:tc>
        <w:tc>
          <w:tcPr>
            <w:tcW w:w="1406" w:type="dxa"/>
            <w:tcBorders>
              <w:top w:val="nil"/>
              <w:left w:val="nil"/>
              <w:bottom w:val="nil"/>
              <w:right w:val="nil"/>
            </w:tcBorders>
            <w:shd w:val="clear" w:color="auto" w:fill="auto"/>
            <w:vAlign w:val="center"/>
          </w:tcPr>
          <w:p w14:paraId="029774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检查订单路线、批次状态、映射数量、成本版本和谱系版本；对版本不一致或待确认的关联关系单独标识，不混入已确认结果。</w:t>
            </w:r>
          </w:p>
        </w:tc>
        <w:tc>
          <w:tcPr>
            <w:tcW w:w="1088" w:type="dxa"/>
            <w:tcBorders>
              <w:top w:val="nil"/>
              <w:left w:val="nil"/>
              <w:bottom w:val="nil"/>
              <w:right w:val="nil"/>
            </w:tcBorders>
            <w:shd w:val="clear" w:color="auto" w:fill="auto"/>
            <w:vAlign w:val="center"/>
          </w:tcPr>
          <w:p w14:paraId="40FFAF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可聚合订单范围</w:t>
            </w:r>
          </w:p>
        </w:tc>
        <w:tc>
          <w:tcPr>
            <w:tcW w:w="1460" w:type="dxa"/>
            <w:tcBorders>
              <w:top w:val="nil"/>
              <w:left w:val="nil"/>
              <w:bottom w:val="nil"/>
              <w:right w:val="nil"/>
            </w:tcBorders>
            <w:shd w:val="clear" w:color="auto" w:fill="auto"/>
            <w:vAlign w:val="center"/>
          </w:tcPr>
          <w:p w14:paraId="64E716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7FB115">
        <w:trPr>
          <w:cantSplit/>
          <w:trHeight w:val="0" w:hRule="atLeast"/>
          <w:jc w:val="center"/>
        </w:trPr>
        <w:tc>
          <w:tcPr>
            <w:tcW w:w="2944" w:type="dxa"/>
            <w:tcBorders>
              <w:top w:val="nil"/>
              <w:left w:val="nil"/>
              <w:bottom w:val="nil"/>
              <w:right w:val="nil"/>
            </w:tcBorders>
            <w:shd w:val="clear" w:color="auto" w:fill="auto"/>
            <w:vAlign w:val="center"/>
          </w:tcPr>
          <w:p w14:paraId="012BF9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P-ZLTC-SCOS-FYCB-005-30-001</w:t>
            </w:r>
          </w:p>
        </w:tc>
        <w:tc>
          <w:tcPr>
            <w:tcW w:w="945" w:type="dxa"/>
            <w:tcBorders>
              <w:top w:val="nil"/>
              <w:left w:val="nil"/>
              <w:bottom w:val="nil"/>
              <w:right w:val="nil"/>
            </w:tcBorders>
            <w:shd w:val="clear" w:color="auto" w:fill="auto"/>
            <w:vAlign w:val="center"/>
          </w:tcPr>
          <w:p w14:paraId="4CA7E8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汇总订单关联批次成本规则</w:t>
            </w:r>
          </w:p>
        </w:tc>
        <w:tc>
          <w:tcPr>
            <w:tcW w:w="966" w:type="dxa"/>
            <w:tcBorders>
              <w:top w:val="nil"/>
              <w:left w:val="nil"/>
              <w:bottom w:val="nil"/>
              <w:right w:val="nil"/>
            </w:tcBorders>
            <w:shd w:val="clear" w:color="auto" w:fill="auto"/>
            <w:vAlign w:val="center"/>
          </w:tcPr>
          <w:p w14:paraId="68F213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42A07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2B96E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可聚合订单范围形成后</w:t>
            </w:r>
          </w:p>
        </w:tc>
        <w:tc>
          <w:tcPr>
            <w:tcW w:w="1406" w:type="dxa"/>
            <w:tcBorders>
              <w:top w:val="nil"/>
              <w:left w:val="nil"/>
              <w:bottom w:val="nil"/>
              <w:right w:val="nil"/>
            </w:tcBorders>
            <w:shd w:val="clear" w:color="auto" w:fill="auto"/>
            <w:vAlign w:val="center"/>
          </w:tcPr>
          <w:p w14:paraId="1BBBF1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沿实际批次关系按成本要素汇总；重复批次成本通过版本和唯一键排除。</w:t>
            </w:r>
          </w:p>
        </w:tc>
        <w:tc>
          <w:tcPr>
            <w:tcW w:w="1088" w:type="dxa"/>
            <w:tcBorders>
              <w:top w:val="nil"/>
              <w:left w:val="nil"/>
              <w:bottom w:val="nil"/>
              <w:right w:val="nil"/>
            </w:tcBorders>
            <w:shd w:val="clear" w:color="auto" w:fill="auto"/>
            <w:vAlign w:val="center"/>
          </w:tcPr>
          <w:p w14:paraId="2FEA67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订单传入、直接、费用池和调整成本</w:t>
            </w:r>
          </w:p>
        </w:tc>
        <w:tc>
          <w:tcPr>
            <w:tcW w:w="1460" w:type="dxa"/>
            <w:tcBorders>
              <w:top w:val="nil"/>
              <w:left w:val="nil"/>
              <w:bottom w:val="nil"/>
              <w:right w:val="nil"/>
            </w:tcBorders>
            <w:shd w:val="clear" w:color="auto" w:fill="auto"/>
            <w:vAlign w:val="center"/>
          </w:tcPr>
          <w:p w14:paraId="7B8FB0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AFEC6B">
        <w:trPr>
          <w:cantSplit/>
          <w:trHeight w:val="0" w:hRule="atLeast"/>
          <w:jc w:val="center"/>
        </w:trPr>
        <w:tc>
          <w:tcPr>
            <w:tcW w:w="2944" w:type="dxa"/>
            <w:tcBorders>
              <w:top w:val="nil"/>
              <w:left w:val="nil"/>
              <w:bottom w:val="nil"/>
              <w:right w:val="nil"/>
            </w:tcBorders>
            <w:shd w:val="clear" w:color="auto" w:fill="auto"/>
            <w:vAlign w:val="center"/>
          </w:tcPr>
          <w:p w14:paraId="64DD9A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P-ZLTC-SCOS-FYCB-005-40-001</w:t>
            </w:r>
          </w:p>
        </w:tc>
        <w:tc>
          <w:tcPr>
            <w:tcW w:w="945" w:type="dxa"/>
            <w:tcBorders>
              <w:top w:val="nil"/>
              <w:left w:val="nil"/>
              <w:bottom w:val="nil"/>
              <w:right w:val="nil"/>
            </w:tcBorders>
            <w:shd w:val="clear" w:color="auto" w:fill="auto"/>
            <w:vAlign w:val="center"/>
          </w:tcPr>
          <w:p w14:paraId="5965E1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拆分完工在制库存和损失成本规则</w:t>
            </w:r>
          </w:p>
        </w:tc>
        <w:tc>
          <w:tcPr>
            <w:tcW w:w="966" w:type="dxa"/>
            <w:tcBorders>
              <w:top w:val="nil"/>
              <w:left w:val="nil"/>
              <w:bottom w:val="nil"/>
              <w:right w:val="nil"/>
            </w:tcBorders>
            <w:shd w:val="clear" w:color="auto" w:fill="auto"/>
            <w:vAlign w:val="center"/>
          </w:tcPr>
          <w:p w14:paraId="06F9B7C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5E63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6665B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订单传入、直接、费用池和调整成本形成后</w:t>
            </w:r>
          </w:p>
        </w:tc>
        <w:tc>
          <w:tcPr>
            <w:tcW w:w="1406" w:type="dxa"/>
            <w:tcBorders>
              <w:top w:val="nil"/>
              <w:left w:val="nil"/>
              <w:bottom w:val="nil"/>
              <w:right w:val="nil"/>
            </w:tcBorders>
            <w:shd w:val="clear" w:color="auto" w:fill="auto"/>
            <w:vAlign w:val="center"/>
          </w:tcPr>
          <w:p w14:paraId="399508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已转出成本按实际关系量进入产出；不为月末展示将未转出余额全部计入完工产出。</w:t>
            </w:r>
          </w:p>
        </w:tc>
        <w:tc>
          <w:tcPr>
            <w:tcW w:w="1088" w:type="dxa"/>
            <w:tcBorders>
              <w:top w:val="nil"/>
              <w:left w:val="nil"/>
              <w:bottom w:val="nil"/>
              <w:right w:val="nil"/>
            </w:tcBorders>
            <w:shd w:val="clear" w:color="auto" w:fill="auto"/>
            <w:vAlign w:val="center"/>
          </w:tcPr>
          <w:p w14:paraId="167927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完工、在制、库存、正常损耗和异常损失成本</w:t>
            </w:r>
          </w:p>
        </w:tc>
        <w:tc>
          <w:tcPr>
            <w:tcW w:w="1460" w:type="dxa"/>
            <w:tcBorders>
              <w:top w:val="nil"/>
              <w:left w:val="nil"/>
              <w:bottom w:val="nil"/>
              <w:right w:val="nil"/>
            </w:tcBorders>
            <w:shd w:val="clear" w:color="auto" w:fill="auto"/>
            <w:vAlign w:val="center"/>
          </w:tcPr>
          <w:p w14:paraId="0052B05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8F0262">
        <w:trPr>
          <w:cantSplit/>
          <w:trHeight w:val="0" w:hRule="atLeast"/>
          <w:jc w:val="center"/>
        </w:trPr>
        <w:tc>
          <w:tcPr>
            <w:tcW w:w="2944" w:type="dxa"/>
            <w:tcBorders>
              <w:top w:val="nil"/>
              <w:left w:val="nil"/>
              <w:bottom w:val="nil"/>
              <w:right w:val="nil"/>
            </w:tcBorders>
            <w:shd w:val="clear" w:color="auto" w:fill="auto"/>
            <w:vAlign w:val="center"/>
          </w:tcPr>
          <w:p w14:paraId="7A0976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P-ZLTC-SCOS-FYCB-005-50-001</w:t>
            </w:r>
          </w:p>
        </w:tc>
        <w:tc>
          <w:tcPr>
            <w:tcW w:w="945" w:type="dxa"/>
            <w:tcBorders>
              <w:top w:val="nil"/>
              <w:left w:val="nil"/>
              <w:bottom w:val="nil"/>
              <w:right w:val="nil"/>
            </w:tcBorders>
            <w:shd w:val="clear" w:color="auto" w:fill="auto"/>
            <w:vAlign w:val="center"/>
          </w:tcPr>
          <w:p w14:paraId="72A5FB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计算订单总成本和单位成本规则</w:t>
            </w:r>
          </w:p>
        </w:tc>
        <w:tc>
          <w:tcPr>
            <w:tcW w:w="966" w:type="dxa"/>
            <w:tcBorders>
              <w:top w:val="nil"/>
              <w:left w:val="nil"/>
              <w:bottom w:val="nil"/>
              <w:right w:val="nil"/>
            </w:tcBorders>
            <w:shd w:val="clear" w:color="auto" w:fill="auto"/>
            <w:vAlign w:val="center"/>
          </w:tcPr>
          <w:p w14:paraId="2FFB5DD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D7024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124687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完工、在制、库存、正常损耗和异常损失成本形成后</w:t>
            </w:r>
          </w:p>
        </w:tc>
        <w:tc>
          <w:tcPr>
            <w:tcW w:w="1406" w:type="dxa"/>
            <w:tcBorders>
              <w:top w:val="nil"/>
              <w:left w:val="nil"/>
              <w:bottom w:val="nil"/>
              <w:right w:val="nil"/>
            </w:tcBorders>
            <w:shd w:val="clear" w:color="auto" w:fill="auto"/>
            <w:vAlign w:val="center"/>
          </w:tcPr>
          <w:p w14:paraId="543D2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按订单有效产出计算单位成本；分母为空或为零时单位成本显示不可用。</w:t>
            </w:r>
          </w:p>
        </w:tc>
        <w:tc>
          <w:tcPr>
            <w:tcW w:w="1088" w:type="dxa"/>
            <w:tcBorders>
              <w:top w:val="nil"/>
              <w:left w:val="nil"/>
              <w:bottom w:val="nil"/>
              <w:right w:val="nil"/>
            </w:tcBorders>
            <w:shd w:val="clear" w:color="auto" w:fill="auto"/>
            <w:vAlign w:val="center"/>
          </w:tcPr>
          <w:p w14:paraId="342F70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总成本、湿基单位成本和绝干单位成本</w:t>
            </w:r>
          </w:p>
        </w:tc>
        <w:tc>
          <w:tcPr>
            <w:tcW w:w="1460" w:type="dxa"/>
            <w:tcBorders>
              <w:top w:val="nil"/>
              <w:left w:val="nil"/>
              <w:bottom w:val="nil"/>
              <w:right w:val="nil"/>
            </w:tcBorders>
            <w:shd w:val="clear" w:color="auto" w:fill="auto"/>
            <w:vAlign w:val="center"/>
          </w:tcPr>
          <w:p w14:paraId="0B71CE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A97B41">
        <w:trPr>
          <w:cantSplit/>
          <w:trHeight w:val="0" w:hRule="atLeast"/>
          <w:jc w:val="center"/>
        </w:trPr>
        <w:tc>
          <w:tcPr>
            <w:tcW w:w="2944" w:type="dxa"/>
            <w:tcBorders>
              <w:top w:val="nil"/>
              <w:left w:val="nil"/>
              <w:bottom w:val="nil"/>
              <w:right w:val="nil"/>
            </w:tcBorders>
            <w:shd w:val="clear" w:color="auto" w:fill="auto"/>
            <w:vAlign w:val="center"/>
          </w:tcPr>
          <w:p w14:paraId="735411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P-ZLTC-SCOS-FYCB-005-60-001</w:t>
            </w:r>
          </w:p>
        </w:tc>
        <w:tc>
          <w:tcPr>
            <w:tcW w:w="945" w:type="dxa"/>
            <w:tcBorders>
              <w:top w:val="nil"/>
              <w:left w:val="nil"/>
              <w:bottom w:val="nil"/>
              <w:right w:val="nil"/>
            </w:tcBorders>
            <w:shd w:val="clear" w:color="auto" w:fill="auto"/>
            <w:vAlign w:val="center"/>
          </w:tcPr>
          <w:p w14:paraId="6FBDA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查看订单成本追溯并补充说明规则</w:t>
            </w:r>
          </w:p>
        </w:tc>
        <w:tc>
          <w:tcPr>
            <w:tcW w:w="966" w:type="dxa"/>
            <w:tcBorders>
              <w:top w:val="nil"/>
              <w:left w:val="nil"/>
              <w:bottom w:val="nil"/>
              <w:right w:val="nil"/>
            </w:tcBorders>
            <w:shd w:val="clear" w:color="auto" w:fill="auto"/>
            <w:vAlign w:val="center"/>
          </w:tcPr>
          <w:p w14:paraId="3742B70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D9D9B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24782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总成本、湿基单位成本和绝干单位成本形成后</w:t>
            </w:r>
          </w:p>
        </w:tc>
        <w:tc>
          <w:tcPr>
            <w:tcW w:w="1406" w:type="dxa"/>
            <w:tcBorders>
              <w:top w:val="nil"/>
              <w:left w:val="nil"/>
              <w:bottom w:val="nil"/>
              <w:right w:val="nil"/>
            </w:tcBorders>
            <w:shd w:val="clear" w:color="auto" w:fill="auto"/>
            <w:vAlign w:val="center"/>
          </w:tcPr>
          <w:p w14:paraId="2BD578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生产负责人在SCOS查看批次贡献和成本变化；说明不直接改写底层计算；需修正数据时进入新版本。</w:t>
            </w:r>
          </w:p>
        </w:tc>
        <w:tc>
          <w:tcPr>
            <w:tcW w:w="1088" w:type="dxa"/>
            <w:tcBorders>
              <w:top w:val="nil"/>
              <w:left w:val="nil"/>
              <w:bottom w:val="nil"/>
              <w:right w:val="nil"/>
            </w:tcBorders>
            <w:shd w:val="clear" w:color="auto" w:fill="auto"/>
            <w:vAlign w:val="center"/>
          </w:tcPr>
          <w:p w14:paraId="26AEA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停机、返工、工艺或收率差异说明</w:t>
            </w:r>
          </w:p>
        </w:tc>
        <w:tc>
          <w:tcPr>
            <w:tcW w:w="1460" w:type="dxa"/>
            <w:tcBorders>
              <w:top w:val="nil"/>
              <w:left w:val="nil"/>
              <w:bottom w:val="nil"/>
              <w:right w:val="nil"/>
            </w:tcBorders>
            <w:shd w:val="clear" w:color="auto" w:fill="auto"/>
            <w:vAlign w:val="center"/>
          </w:tcPr>
          <w:p w14:paraId="6A3FD6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7B26DF">
        <w:trPr>
          <w:cantSplit/>
          <w:trHeight w:val="0" w:hRule="atLeast"/>
          <w:jc w:val="center"/>
        </w:trPr>
        <w:tc>
          <w:tcPr>
            <w:tcW w:w="2944" w:type="dxa"/>
            <w:tcBorders>
              <w:top w:val="nil"/>
              <w:left w:val="nil"/>
              <w:bottom w:val="nil"/>
              <w:right w:val="nil"/>
            </w:tcBorders>
            <w:shd w:val="clear" w:color="auto" w:fill="auto"/>
            <w:vAlign w:val="center"/>
          </w:tcPr>
          <w:p w14:paraId="3629B0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P-ZLTC-SCOS-FYCB-005-70-001</w:t>
            </w:r>
          </w:p>
        </w:tc>
        <w:tc>
          <w:tcPr>
            <w:tcW w:w="945" w:type="dxa"/>
            <w:tcBorders>
              <w:top w:val="nil"/>
              <w:left w:val="nil"/>
              <w:bottom w:val="nil"/>
              <w:right w:val="nil"/>
            </w:tcBorders>
            <w:shd w:val="clear" w:color="auto" w:fill="auto"/>
            <w:vAlign w:val="center"/>
          </w:tcPr>
          <w:p w14:paraId="3A7007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生成生产订单成本结果规则</w:t>
            </w:r>
          </w:p>
        </w:tc>
        <w:tc>
          <w:tcPr>
            <w:tcW w:w="966" w:type="dxa"/>
            <w:tcBorders>
              <w:top w:val="nil"/>
              <w:left w:val="nil"/>
              <w:bottom w:val="nil"/>
              <w:right w:val="nil"/>
            </w:tcBorders>
            <w:shd w:val="clear" w:color="auto" w:fill="auto"/>
            <w:vAlign w:val="center"/>
          </w:tcPr>
          <w:p w14:paraId="77B5709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0282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679FA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停机、返工、工艺或收率差异说明形成后</w:t>
            </w:r>
          </w:p>
        </w:tc>
        <w:tc>
          <w:tcPr>
            <w:tcW w:w="1406" w:type="dxa"/>
            <w:tcBorders>
              <w:top w:val="nil"/>
              <w:left w:val="nil"/>
              <w:bottom w:val="nil"/>
              <w:right w:val="nil"/>
            </w:tcBorders>
            <w:shd w:val="clear" w:color="auto" w:fill="auto"/>
            <w:vAlign w:val="center"/>
          </w:tcPr>
          <w:p w14:paraId="6C0A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形成订单总成本、单位成本、在制余额、损失、批次追溯；待确认关系和不可用指标保留状态标识。</w:t>
            </w:r>
          </w:p>
        </w:tc>
        <w:tc>
          <w:tcPr>
            <w:tcW w:w="1088" w:type="dxa"/>
            <w:tcBorders>
              <w:top w:val="nil"/>
              <w:left w:val="nil"/>
              <w:bottom w:val="nil"/>
              <w:right w:val="nil"/>
            </w:tcBorders>
            <w:shd w:val="clear" w:color="auto" w:fill="auto"/>
            <w:vAlign w:val="center"/>
          </w:tcPr>
          <w:p w14:paraId="0EAD75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生产订单成本结果</w:t>
            </w:r>
          </w:p>
        </w:tc>
        <w:tc>
          <w:tcPr>
            <w:tcW w:w="1460" w:type="dxa"/>
            <w:tcBorders>
              <w:top w:val="nil"/>
              <w:left w:val="nil"/>
              <w:bottom w:val="nil"/>
              <w:right w:val="nil"/>
            </w:tcBorders>
            <w:shd w:val="clear" w:color="auto" w:fill="auto"/>
            <w:vAlign w:val="center"/>
          </w:tcPr>
          <w:p w14:paraId="1E4A9B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00B1C5">
        <w:trPr>
          <w:cantSplit/>
          <w:trHeight w:val="0" w:hRule="atLeast"/>
          <w:jc w:val="center"/>
        </w:trPr>
        <w:tc>
          <w:tcPr>
            <w:tcW w:w="2944" w:type="dxa"/>
            <w:tcBorders>
              <w:top w:val="nil"/>
              <w:left w:val="nil"/>
              <w:bottom w:val="nil"/>
              <w:right w:val="nil"/>
            </w:tcBorders>
            <w:shd w:val="clear" w:color="auto" w:fill="auto"/>
            <w:vAlign w:val="center"/>
          </w:tcPr>
          <w:p w14:paraId="190192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P-ZLTC-SCOS-FYCB-005-80-001</w:t>
            </w:r>
          </w:p>
        </w:tc>
        <w:tc>
          <w:tcPr>
            <w:tcW w:w="945" w:type="dxa"/>
            <w:tcBorders>
              <w:top w:val="nil"/>
              <w:left w:val="nil"/>
              <w:bottom w:val="nil"/>
              <w:right w:val="nil"/>
            </w:tcBorders>
            <w:shd w:val="clear" w:color="auto" w:fill="auto"/>
            <w:vAlign w:val="center"/>
          </w:tcPr>
          <w:p w14:paraId="70BD6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保存生产订单成本结果规则</w:t>
            </w:r>
          </w:p>
        </w:tc>
        <w:tc>
          <w:tcPr>
            <w:tcW w:w="966" w:type="dxa"/>
            <w:tcBorders>
              <w:top w:val="nil"/>
              <w:left w:val="nil"/>
              <w:bottom w:val="nil"/>
              <w:right w:val="nil"/>
            </w:tcBorders>
            <w:shd w:val="clear" w:color="auto" w:fill="auto"/>
            <w:vAlign w:val="center"/>
          </w:tcPr>
          <w:p w14:paraId="2C6487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AAEB2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F9908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生产订单成本结果形成后</w:t>
            </w:r>
          </w:p>
        </w:tc>
        <w:tc>
          <w:tcPr>
            <w:tcW w:w="1406" w:type="dxa"/>
            <w:tcBorders>
              <w:top w:val="nil"/>
              <w:left w:val="nil"/>
              <w:bottom w:val="nil"/>
              <w:right w:val="nil"/>
            </w:tcBorders>
            <w:shd w:val="clear" w:color="auto" w:fill="auto"/>
            <w:vAlign w:val="center"/>
          </w:tcPr>
          <w:p w14:paraId="13792B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保存订单结果及批次追溯明细；底层批次成本更新时生成替代版本。</w:t>
            </w:r>
          </w:p>
        </w:tc>
        <w:tc>
          <w:tcPr>
            <w:tcW w:w="1088" w:type="dxa"/>
            <w:tcBorders>
              <w:top w:val="nil"/>
              <w:left w:val="nil"/>
              <w:bottom w:val="nil"/>
              <w:right w:val="nil"/>
            </w:tcBorders>
            <w:shd w:val="clear" w:color="auto" w:fill="auto"/>
            <w:vAlign w:val="center"/>
          </w:tcPr>
          <w:p w14:paraId="147BCC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生产订单成本参考版本</w:t>
            </w:r>
          </w:p>
        </w:tc>
        <w:tc>
          <w:tcPr>
            <w:tcW w:w="1460" w:type="dxa"/>
            <w:tcBorders>
              <w:top w:val="nil"/>
              <w:left w:val="nil"/>
              <w:bottom w:val="nil"/>
              <w:right w:val="nil"/>
            </w:tcBorders>
            <w:shd w:val="clear" w:color="auto" w:fill="auto"/>
            <w:vAlign w:val="center"/>
          </w:tcPr>
          <w:p w14:paraId="45B5C6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6EF2EA5">
        <w:trPr>
          <w:cantSplit/>
          <w:trHeight w:val="0" w:hRule="atLeast"/>
          <w:jc w:val="center"/>
        </w:trPr>
        <w:tc>
          <w:tcPr>
            <w:tcW w:w="2944" w:type="dxa"/>
            <w:tcBorders>
              <w:top w:val="nil"/>
              <w:left w:val="nil"/>
              <w:bottom w:val="nil"/>
              <w:right w:val="nil"/>
            </w:tcBorders>
            <w:shd w:val="clear" w:color="auto" w:fill="auto"/>
            <w:vAlign w:val="center"/>
          </w:tcPr>
          <w:p w14:paraId="5D3DD2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P-ZLTC-SCOS-FYCB-006-10-001</w:t>
            </w:r>
          </w:p>
        </w:tc>
        <w:tc>
          <w:tcPr>
            <w:tcW w:w="945" w:type="dxa"/>
            <w:tcBorders>
              <w:top w:val="nil"/>
              <w:left w:val="nil"/>
              <w:bottom w:val="nil"/>
              <w:right w:val="nil"/>
            </w:tcBorders>
            <w:shd w:val="clear" w:color="auto" w:fill="auto"/>
            <w:vAlign w:val="center"/>
          </w:tcPr>
          <w:p w14:paraId="5E1A85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提供销售订单和发运数据规则</w:t>
            </w:r>
          </w:p>
        </w:tc>
        <w:tc>
          <w:tcPr>
            <w:tcW w:w="966" w:type="dxa"/>
            <w:tcBorders>
              <w:top w:val="nil"/>
              <w:left w:val="nil"/>
              <w:bottom w:val="nil"/>
              <w:right w:val="nil"/>
            </w:tcBorders>
            <w:shd w:val="clear" w:color="auto" w:fill="auto"/>
            <w:vAlign w:val="center"/>
          </w:tcPr>
          <w:p w14:paraId="1C0D24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E7BA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41CC60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生产订单成本可用后由SCOS启动销售订单聚合时</w:t>
            </w:r>
          </w:p>
        </w:tc>
        <w:tc>
          <w:tcPr>
            <w:tcW w:w="1406" w:type="dxa"/>
            <w:tcBorders>
              <w:top w:val="nil"/>
              <w:left w:val="nil"/>
              <w:bottom w:val="nil"/>
              <w:right w:val="nil"/>
            </w:tcBorders>
            <w:shd w:val="clear" w:color="auto" w:fill="auto"/>
            <w:vAlign w:val="center"/>
          </w:tcPr>
          <w:p w14:paraId="158E1FD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提供销售订单、实际发运、装载来源、运输和签收数量；订单、车次或来源批缺失时标记待补充。</w:t>
            </w:r>
          </w:p>
        </w:tc>
        <w:tc>
          <w:tcPr>
            <w:tcW w:w="1088" w:type="dxa"/>
            <w:tcBorders>
              <w:top w:val="nil"/>
              <w:left w:val="nil"/>
              <w:bottom w:val="nil"/>
              <w:right w:val="nil"/>
            </w:tcBorders>
            <w:shd w:val="clear" w:color="auto" w:fill="auto"/>
            <w:vAlign w:val="center"/>
          </w:tcPr>
          <w:p w14:paraId="391478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销售单、客户、发运批、来源库存批、车辆、装载量、签收和交付费用</w:t>
            </w:r>
          </w:p>
        </w:tc>
        <w:tc>
          <w:tcPr>
            <w:tcW w:w="1460" w:type="dxa"/>
            <w:tcBorders>
              <w:top w:val="nil"/>
              <w:left w:val="nil"/>
              <w:bottom w:val="nil"/>
              <w:right w:val="nil"/>
            </w:tcBorders>
            <w:shd w:val="clear" w:color="auto" w:fill="auto"/>
            <w:vAlign w:val="center"/>
          </w:tcPr>
          <w:p w14:paraId="68471D9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D445B27">
        <w:trPr>
          <w:cantSplit/>
          <w:trHeight w:val="0" w:hRule="atLeast"/>
          <w:jc w:val="center"/>
        </w:trPr>
        <w:tc>
          <w:tcPr>
            <w:tcW w:w="2944" w:type="dxa"/>
            <w:tcBorders>
              <w:top w:val="nil"/>
              <w:left w:val="nil"/>
              <w:bottom w:val="nil"/>
              <w:right w:val="nil"/>
            </w:tcBorders>
            <w:shd w:val="clear" w:color="auto" w:fill="auto"/>
            <w:vAlign w:val="center"/>
          </w:tcPr>
          <w:p w14:paraId="203A18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P-ZLTC-SCOS-FYCB-006-20-001</w:t>
            </w:r>
          </w:p>
        </w:tc>
        <w:tc>
          <w:tcPr>
            <w:tcW w:w="945" w:type="dxa"/>
            <w:tcBorders>
              <w:top w:val="nil"/>
              <w:left w:val="nil"/>
              <w:bottom w:val="nil"/>
              <w:right w:val="nil"/>
            </w:tcBorders>
            <w:shd w:val="clear" w:color="auto" w:fill="auto"/>
            <w:vAlign w:val="center"/>
          </w:tcPr>
          <w:p w14:paraId="790E24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校验订单发运和来源批映射规则</w:t>
            </w:r>
          </w:p>
        </w:tc>
        <w:tc>
          <w:tcPr>
            <w:tcW w:w="966" w:type="dxa"/>
            <w:tcBorders>
              <w:top w:val="nil"/>
              <w:left w:val="nil"/>
              <w:bottom w:val="nil"/>
              <w:right w:val="nil"/>
            </w:tcBorders>
            <w:shd w:val="clear" w:color="auto" w:fill="auto"/>
            <w:vAlign w:val="center"/>
          </w:tcPr>
          <w:p w14:paraId="3B2327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319E0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31788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销售单、客户、发运批、来源库存批、车辆、装载量、签收和交付费用形成后</w:t>
            </w:r>
          </w:p>
        </w:tc>
        <w:tc>
          <w:tcPr>
            <w:tcW w:w="1406" w:type="dxa"/>
            <w:tcBorders>
              <w:top w:val="nil"/>
              <w:left w:val="nil"/>
              <w:bottom w:val="nil"/>
              <w:right w:val="nil"/>
            </w:tcBorders>
            <w:shd w:val="clear" w:color="auto" w:fill="auto"/>
            <w:vAlign w:val="center"/>
          </w:tcPr>
          <w:p w14:paraId="1CA1500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检查一单多车、一车多批、来源库存批及装载量关系；来源缺失时不使用全月平均成本替代。</w:t>
            </w:r>
          </w:p>
        </w:tc>
        <w:tc>
          <w:tcPr>
            <w:tcW w:w="1088" w:type="dxa"/>
            <w:tcBorders>
              <w:top w:val="nil"/>
              <w:left w:val="nil"/>
              <w:bottom w:val="nil"/>
              <w:right w:val="nil"/>
            </w:tcBorders>
            <w:shd w:val="clear" w:color="auto" w:fill="auto"/>
            <w:vAlign w:val="center"/>
          </w:tcPr>
          <w:p w14:paraId="3E508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可计算销售订单范围</w:t>
            </w:r>
          </w:p>
        </w:tc>
        <w:tc>
          <w:tcPr>
            <w:tcW w:w="1460" w:type="dxa"/>
            <w:tcBorders>
              <w:top w:val="nil"/>
              <w:left w:val="nil"/>
              <w:bottom w:val="nil"/>
              <w:right w:val="nil"/>
            </w:tcBorders>
            <w:shd w:val="clear" w:color="auto" w:fill="auto"/>
            <w:vAlign w:val="center"/>
          </w:tcPr>
          <w:p w14:paraId="4AD86B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FC5D3">
        <w:trPr>
          <w:cantSplit/>
          <w:trHeight w:val="0" w:hRule="atLeast"/>
          <w:jc w:val="center"/>
        </w:trPr>
        <w:tc>
          <w:tcPr>
            <w:tcW w:w="2944" w:type="dxa"/>
            <w:tcBorders>
              <w:top w:val="nil"/>
              <w:left w:val="nil"/>
              <w:bottom w:val="nil"/>
              <w:right w:val="nil"/>
            </w:tcBorders>
            <w:shd w:val="clear" w:color="auto" w:fill="auto"/>
            <w:vAlign w:val="center"/>
          </w:tcPr>
          <w:p w14:paraId="2FDDED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P-ZLTC-SCOS-FYCB-006-30-001</w:t>
            </w:r>
          </w:p>
        </w:tc>
        <w:tc>
          <w:tcPr>
            <w:tcW w:w="945" w:type="dxa"/>
            <w:tcBorders>
              <w:top w:val="nil"/>
              <w:left w:val="nil"/>
              <w:bottom w:val="nil"/>
              <w:right w:val="nil"/>
            </w:tcBorders>
            <w:shd w:val="clear" w:color="auto" w:fill="auto"/>
            <w:vAlign w:val="center"/>
          </w:tcPr>
          <w:p w14:paraId="13E466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追溯发运对应生产订单成本规则</w:t>
            </w:r>
          </w:p>
        </w:tc>
        <w:tc>
          <w:tcPr>
            <w:tcW w:w="966" w:type="dxa"/>
            <w:tcBorders>
              <w:top w:val="nil"/>
              <w:left w:val="nil"/>
              <w:bottom w:val="nil"/>
              <w:right w:val="nil"/>
            </w:tcBorders>
            <w:shd w:val="clear" w:color="auto" w:fill="auto"/>
            <w:vAlign w:val="center"/>
          </w:tcPr>
          <w:p w14:paraId="0615A1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D64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C0EFD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可计算销售订单范围形成后</w:t>
            </w:r>
          </w:p>
        </w:tc>
        <w:tc>
          <w:tcPr>
            <w:tcW w:w="1406" w:type="dxa"/>
            <w:tcBorders>
              <w:top w:val="nil"/>
              <w:left w:val="nil"/>
              <w:bottom w:val="nil"/>
              <w:right w:val="nil"/>
            </w:tcBorders>
            <w:shd w:val="clear" w:color="auto" w:fill="auto"/>
            <w:vAlign w:val="center"/>
          </w:tcPr>
          <w:p w14:paraId="560900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从发运批反向追溯库存批、生产批和生产订单；候选谱系和低可信度来源单独标识。</w:t>
            </w:r>
          </w:p>
        </w:tc>
        <w:tc>
          <w:tcPr>
            <w:tcW w:w="1088" w:type="dxa"/>
            <w:tcBorders>
              <w:top w:val="nil"/>
              <w:left w:val="nil"/>
              <w:bottom w:val="nil"/>
              <w:right w:val="nil"/>
            </w:tcBorders>
            <w:shd w:val="clear" w:color="auto" w:fill="auto"/>
            <w:vAlign w:val="center"/>
          </w:tcPr>
          <w:p w14:paraId="26548A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来源生产批和制造成本贡献</w:t>
            </w:r>
          </w:p>
        </w:tc>
        <w:tc>
          <w:tcPr>
            <w:tcW w:w="1460" w:type="dxa"/>
            <w:tcBorders>
              <w:top w:val="nil"/>
              <w:left w:val="nil"/>
              <w:bottom w:val="nil"/>
              <w:right w:val="nil"/>
            </w:tcBorders>
            <w:shd w:val="clear" w:color="auto" w:fill="auto"/>
            <w:vAlign w:val="center"/>
          </w:tcPr>
          <w:p w14:paraId="79E6EE6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CE407E">
        <w:trPr>
          <w:cantSplit/>
          <w:trHeight w:val="0" w:hRule="atLeast"/>
          <w:jc w:val="center"/>
        </w:trPr>
        <w:tc>
          <w:tcPr>
            <w:tcW w:w="2944" w:type="dxa"/>
            <w:tcBorders>
              <w:top w:val="nil"/>
              <w:left w:val="nil"/>
              <w:bottom w:val="nil"/>
              <w:right w:val="nil"/>
            </w:tcBorders>
            <w:shd w:val="clear" w:color="auto" w:fill="auto"/>
            <w:vAlign w:val="center"/>
          </w:tcPr>
          <w:p w14:paraId="19E2BB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P-ZLTC-SCOS-FYCB-006-40-001</w:t>
            </w:r>
          </w:p>
        </w:tc>
        <w:tc>
          <w:tcPr>
            <w:tcW w:w="945" w:type="dxa"/>
            <w:tcBorders>
              <w:top w:val="nil"/>
              <w:left w:val="nil"/>
              <w:bottom w:val="nil"/>
              <w:right w:val="nil"/>
            </w:tcBorders>
            <w:shd w:val="clear" w:color="auto" w:fill="auto"/>
            <w:vAlign w:val="center"/>
          </w:tcPr>
          <w:p w14:paraId="4D5E34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按实际装载量分配制造成本规则</w:t>
            </w:r>
          </w:p>
        </w:tc>
        <w:tc>
          <w:tcPr>
            <w:tcW w:w="966" w:type="dxa"/>
            <w:tcBorders>
              <w:top w:val="nil"/>
              <w:left w:val="nil"/>
              <w:bottom w:val="nil"/>
              <w:right w:val="nil"/>
            </w:tcBorders>
            <w:shd w:val="clear" w:color="auto" w:fill="auto"/>
            <w:vAlign w:val="center"/>
          </w:tcPr>
          <w:p w14:paraId="0968AB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EDA69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销售订单制造成本归集</w:t>
            </w:r>
          </w:p>
        </w:tc>
        <w:tc>
          <w:tcPr>
            <w:tcW w:w="1098" w:type="dxa"/>
            <w:tcBorders>
              <w:top w:val="nil"/>
              <w:left w:val="nil"/>
              <w:bottom w:val="nil"/>
              <w:right w:val="nil"/>
            </w:tcBorders>
            <w:shd w:val="clear" w:color="auto" w:fill="auto"/>
            <w:vAlign w:val="center"/>
          </w:tcPr>
          <w:p w14:paraId="3CBEB6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来源生产批和制造成本贡献形成后</w:t>
            </w:r>
          </w:p>
        </w:tc>
        <w:tc>
          <w:tcPr>
            <w:tcW w:w="1406" w:type="dxa"/>
            <w:tcBorders>
              <w:top w:val="nil"/>
              <w:left w:val="nil"/>
              <w:bottom w:val="nil"/>
              <w:right w:val="nil"/>
            </w:tcBorders>
            <w:shd w:val="clear" w:color="auto" w:fill="auto"/>
            <w:vAlign w:val="center"/>
          </w:tcPr>
          <w:p w14:paraId="356104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同一来源批服务多订单时按实际装载质量拆分；退货、补发或更正形成独立调整版本。</w:t>
            </w:r>
          </w:p>
        </w:tc>
        <w:tc>
          <w:tcPr>
            <w:tcW w:w="1088" w:type="dxa"/>
            <w:tcBorders>
              <w:top w:val="nil"/>
              <w:left w:val="nil"/>
              <w:bottom w:val="nil"/>
              <w:right w:val="nil"/>
            </w:tcBorders>
            <w:shd w:val="clear" w:color="auto" w:fill="auto"/>
            <w:vAlign w:val="center"/>
          </w:tcPr>
          <w:p w14:paraId="018B87B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销售订单承接制造成本</w:t>
            </w:r>
          </w:p>
        </w:tc>
        <w:tc>
          <w:tcPr>
            <w:tcW w:w="1460" w:type="dxa"/>
            <w:tcBorders>
              <w:top w:val="nil"/>
              <w:left w:val="nil"/>
              <w:bottom w:val="nil"/>
              <w:right w:val="nil"/>
            </w:tcBorders>
            <w:shd w:val="clear" w:color="auto" w:fill="auto"/>
            <w:vAlign w:val="center"/>
          </w:tcPr>
          <w:p w14:paraId="1D7DE2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5C9913">
        <w:trPr>
          <w:cantSplit/>
          <w:trHeight w:val="0" w:hRule="atLeast"/>
          <w:jc w:val="center"/>
        </w:trPr>
        <w:tc>
          <w:tcPr>
            <w:tcW w:w="2944" w:type="dxa"/>
            <w:tcBorders>
              <w:top w:val="nil"/>
              <w:left w:val="nil"/>
              <w:bottom w:val="nil"/>
              <w:right w:val="nil"/>
            </w:tcBorders>
            <w:shd w:val="clear" w:color="auto" w:fill="auto"/>
            <w:vAlign w:val="center"/>
          </w:tcPr>
          <w:p w14:paraId="6521A1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P-ZLTC-SCOS-FYCB-006-50-001</w:t>
            </w:r>
          </w:p>
        </w:tc>
        <w:tc>
          <w:tcPr>
            <w:tcW w:w="945" w:type="dxa"/>
            <w:tcBorders>
              <w:top w:val="nil"/>
              <w:left w:val="nil"/>
              <w:bottom w:val="nil"/>
              <w:right w:val="nil"/>
            </w:tcBorders>
            <w:shd w:val="clear" w:color="auto" w:fill="auto"/>
            <w:vAlign w:val="center"/>
          </w:tcPr>
          <w:p w14:paraId="1FF79E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叠加交付成本并形成成本视图规则</w:t>
            </w:r>
          </w:p>
        </w:tc>
        <w:tc>
          <w:tcPr>
            <w:tcW w:w="966" w:type="dxa"/>
            <w:tcBorders>
              <w:top w:val="nil"/>
              <w:left w:val="nil"/>
              <w:bottom w:val="nil"/>
              <w:right w:val="nil"/>
            </w:tcBorders>
            <w:shd w:val="clear" w:color="auto" w:fill="auto"/>
            <w:vAlign w:val="center"/>
          </w:tcPr>
          <w:p w14:paraId="6B327A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B59F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销售订单交付成本归集</w:t>
            </w:r>
          </w:p>
        </w:tc>
        <w:tc>
          <w:tcPr>
            <w:tcW w:w="1098" w:type="dxa"/>
            <w:tcBorders>
              <w:top w:val="nil"/>
              <w:left w:val="nil"/>
              <w:bottom w:val="nil"/>
              <w:right w:val="nil"/>
            </w:tcBorders>
            <w:shd w:val="clear" w:color="auto" w:fill="auto"/>
            <w:vAlign w:val="center"/>
          </w:tcPr>
          <w:p w14:paraId="093767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销售订单承接制造成本形成后</w:t>
            </w:r>
          </w:p>
        </w:tc>
        <w:tc>
          <w:tcPr>
            <w:tcW w:w="1406" w:type="dxa"/>
            <w:tcBorders>
              <w:top w:val="nil"/>
              <w:left w:val="nil"/>
              <w:bottom w:val="nil"/>
              <w:right w:val="nil"/>
            </w:tcBorders>
            <w:shd w:val="clear" w:color="auto" w:fill="auto"/>
            <w:vAlign w:val="center"/>
          </w:tcPr>
          <w:p w14:paraId="5A34F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可定位订单和车次的费用直接计入；经营期间费用只在完整成本视图展示，不回写生产工序成本。</w:t>
            </w:r>
          </w:p>
        </w:tc>
        <w:tc>
          <w:tcPr>
            <w:tcW w:w="1088" w:type="dxa"/>
            <w:tcBorders>
              <w:top w:val="nil"/>
              <w:left w:val="nil"/>
              <w:bottom w:val="nil"/>
              <w:right w:val="nil"/>
            </w:tcBorders>
            <w:shd w:val="clear" w:color="auto" w:fill="auto"/>
            <w:vAlign w:val="center"/>
          </w:tcPr>
          <w:p w14:paraId="0B293ED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制造成本、交付成本和完整成本视图</w:t>
            </w:r>
          </w:p>
        </w:tc>
        <w:tc>
          <w:tcPr>
            <w:tcW w:w="1460" w:type="dxa"/>
            <w:tcBorders>
              <w:top w:val="nil"/>
              <w:left w:val="nil"/>
              <w:bottom w:val="nil"/>
              <w:right w:val="nil"/>
            </w:tcBorders>
            <w:shd w:val="clear" w:color="auto" w:fill="auto"/>
            <w:vAlign w:val="center"/>
          </w:tcPr>
          <w:p w14:paraId="71786C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3DDD25">
        <w:trPr>
          <w:cantSplit/>
          <w:trHeight w:val="0" w:hRule="atLeast"/>
          <w:jc w:val="center"/>
        </w:trPr>
        <w:tc>
          <w:tcPr>
            <w:tcW w:w="2944" w:type="dxa"/>
            <w:tcBorders>
              <w:top w:val="nil"/>
              <w:left w:val="nil"/>
              <w:bottom w:val="nil"/>
              <w:right w:val="nil"/>
            </w:tcBorders>
            <w:shd w:val="clear" w:color="auto" w:fill="auto"/>
            <w:vAlign w:val="center"/>
          </w:tcPr>
          <w:p w14:paraId="290D83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P-ZLTC-SCOS-FYCB-006-60-001</w:t>
            </w:r>
          </w:p>
        </w:tc>
        <w:tc>
          <w:tcPr>
            <w:tcW w:w="945" w:type="dxa"/>
            <w:tcBorders>
              <w:top w:val="nil"/>
              <w:left w:val="nil"/>
              <w:bottom w:val="nil"/>
              <w:right w:val="nil"/>
            </w:tcBorders>
            <w:shd w:val="clear" w:color="auto" w:fill="auto"/>
            <w:vAlign w:val="center"/>
          </w:tcPr>
          <w:p w14:paraId="2CB9A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查看销售订单成本并补充说明规则</w:t>
            </w:r>
          </w:p>
        </w:tc>
        <w:tc>
          <w:tcPr>
            <w:tcW w:w="966" w:type="dxa"/>
            <w:tcBorders>
              <w:top w:val="nil"/>
              <w:left w:val="nil"/>
              <w:bottom w:val="nil"/>
              <w:right w:val="nil"/>
            </w:tcBorders>
            <w:shd w:val="clear" w:color="auto" w:fill="auto"/>
            <w:vAlign w:val="center"/>
          </w:tcPr>
          <w:p w14:paraId="00CFB5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5CD70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21758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制造成本、交付成本和完整成本视图形成后</w:t>
            </w:r>
          </w:p>
        </w:tc>
        <w:tc>
          <w:tcPr>
            <w:tcW w:w="1406" w:type="dxa"/>
            <w:tcBorders>
              <w:top w:val="nil"/>
              <w:left w:val="nil"/>
              <w:bottom w:val="nil"/>
              <w:right w:val="nil"/>
            </w:tcBorders>
            <w:shd w:val="clear" w:color="auto" w:fill="auto"/>
            <w:vAlign w:val="center"/>
          </w:tcPr>
          <w:p w14:paraId="2294D9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销售负责人在SCOS查看制造成本、交付成本、单位成本；说明用于经营分析，不替代实际销售结算。</w:t>
            </w:r>
          </w:p>
        </w:tc>
        <w:tc>
          <w:tcPr>
            <w:tcW w:w="1088" w:type="dxa"/>
            <w:tcBorders>
              <w:top w:val="nil"/>
              <w:left w:val="nil"/>
              <w:bottom w:val="nil"/>
              <w:right w:val="nil"/>
            </w:tcBorders>
            <w:shd w:val="clear" w:color="auto" w:fill="auto"/>
            <w:vAlign w:val="center"/>
          </w:tcPr>
          <w:p w14:paraId="191C50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订单或运输差异说明</w:t>
            </w:r>
          </w:p>
        </w:tc>
        <w:tc>
          <w:tcPr>
            <w:tcW w:w="1460" w:type="dxa"/>
            <w:tcBorders>
              <w:top w:val="nil"/>
              <w:left w:val="nil"/>
              <w:bottom w:val="nil"/>
              <w:right w:val="nil"/>
            </w:tcBorders>
            <w:shd w:val="clear" w:color="auto" w:fill="auto"/>
            <w:vAlign w:val="center"/>
          </w:tcPr>
          <w:p w14:paraId="7C2FE0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9F037C">
        <w:trPr>
          <w:cantSplit/>
          <w:trHeight w:val="0" w:hRule="atLeast"/>
          <w:jc w:val="center"/>
        </w:trPr>
        <w:tc>
          <w:tcPr>
            <w:tcW w:w="2944" w:type="dxa"/>
            <w:tcBorders>
              <w:top w:val="nil"/>
              <w:left w:val="nil"/>
              <w:bottom w:val="nil"/>
              <w:right w:val="nil"/>
            </w:tcBorders>
            <w:shd w:val="clear" w:color="auto" w:fill="auto"/>
            <w:vAlign w:val="center"/>
          </w:tcPr>
          <w:p w14:paraId="14C7FC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P-ZLTC-SCOS-FYCB-006-70-001</w:t>
            </w:r>
          </w:p>
        </w:tc>
        <w:tc>
          <w:tcPr>
            <w:tcW w:w="945" w:type="dxa"/>
            <w:tcBorders>
              <w:top w:val="nil"/>
              <w:left w:val="nil"/>
              <w:bottom w:val="nil"/>
              <w:right w:val="nil"/>
            </w:tcBorders>
            <w:shd w:val="clear" w:color="auto" w:fill="auto"/>
            <w:vAlign w:val="center"/>
          </w:tcPr>
          <w:p w14:paraId="153A6A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生成销售订单成本结果规则</w:t>
            </w:r>
          </w:p>
        </w:tc>
        <w:tc>
          <w:tcPr>
            <w:tcW w:w="966" w:type="dxa"/>
            <w:tcBorders>
              <w:top w:val="nil"/>
              <w:left w:val="nil"/>
              <w:bottom w:val="nil"/>
              <w:right w:val="nil"/>
            </w:tcBorders>
            <w:shd w:val="clear" w:color="auto" w:fill="auto"/>
            <w:vAlign w:val="center"/>
          </w:tcPr>
          <w:p w14:paraId="5F08ED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E606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4603F2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订单或运输差异说明形成后</w:t>
            </w:r>
          </w:p>
        </w:tc>
        <w:tc>
          <w:tcPr>
            <w:tcW w:w="1406" w:type="dxa"/>
            <w:tcBorders>
              <w:top w:val="nil"/>
              <w:left w:val="nil"/>
              <w:bottom w:val="nil"/>
              <w:right w:val="nil"/>
            </w:tcBorders>
            <w:shd w:val="clear" w:color="auto" w:fill="auto"/>
            <w:vAlign w:val="center"/>
          </w:tcPr>
          <w:p w14:paraId="55BEAD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形成订单总成本、单位成本及来源订单和批次的追溯关系；底层成本或发运数据更正时生成新版本。</w:t>
            </w:r>
          </w:p>
        </w:tc>
        <w:tc>
          <w:tcPr>
            <w:tcW w:w="1088" w:type="dxa"/>
            <w:tcBorders>
              <w:top w:val="nil"/>
              <w:left w:val="nil"/>
              <w:bottom w:val="nil"/>
              <w:right w:val="nil"/>
            </w:tcBorders>
            <w:shd w:val="clear" w:color="auto" w:fill="auto"/>
            <w:vAlign w:val="center"/>
          </w:tcPr>
          <w:p w14:paraId="22A358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销售订单成本结果</w:t>
            </w:r>
          </w:p>
        </w:tc>
        <w:tc>
          <w:tcPr>
            <w:tcW w:w="1460" w:type="dxa"/>
            <w:tcBorders>
              <w:top w:val="nil"/>
              <w:left w:val="nil"/>
              <w:bottom w:val="nil"/>
              <w:right w:val="nil"/>
            </w:tcBorders>
            <w:shd w:val="clear" w:color="auto" w:fill="auto"/>
            <w:vAlign w:val="center"/>
          </w:tcPr>
          <w:p w14:paraId="1DE7F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5EB2D9">
        <w:trPr>
          <w:cantSplit/>
          <w:trHeight w:val="0" w:hRule="atLeast"/>
          <w:jc w:val="center"/>
        </w:trPr>
        <w:tc>
          <w:tcPr>
            <w:tcW w:w="2944" w:type="dxa"/>
            <w:tcBorders>
              <w:top w:val="nil"/>
              <w:left w:val="nil"/>
              <w:bottom w:val="nil"/>
              <w:right w:val="nil"/>
            </w:tcBorders>
            <w:shd w:val="clear" w:color="auto" w:fill="auto"/>
            <w:vAlign w:val="center"/>
          </w:tcPr>
          <w:p w14:paraId="29A2AD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P-ZLTC-SCOS-FYCB-006-80-001</w:t>
            </w:r>
          </w:p>
        </w:tc>
        <w:tc>
          <w:tcPr>
            <w:tcW w:w="945" w:type="dxa"/>
            <w:tcBorders>
              <w:top w:val="nil"/>
              <w:left w:val="nil"/>
              <w:bottom w:val="nil"/>
              <w:right w:val="nil"/>
            </w:tcBorders>
            <w:shd w:val="clear" w:color="auto" w:fill="auto"/>
            <w:vAlign w:val="center"/>
          </w:tcPr>
          <w:p w14:paraId="59F433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保存销售订单成本结果规则</w:t>
            </w:r>
          </w:p>
        </w:tc>
        <w:tc>
          <w:tcPr>
            <w:tcW w:w="966" w:type="dxa"/>
            <w:tcBorders>
              <w:top w:val="nil"/>
              <w:left w:val="nil"/>
              <w:bottom w:val="nil"/>
              <w:right w:val="nil"/>
            </w:tcBorders>
            <w:shd w:val="clear" w:color="auto" w:fill="auto"/>
            <w:vAlign w:val="center"/>
          </w:tcPr>
          <w:p w14:paraId="7DE4B8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9C292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2BA9BD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销售订单成本结果形成后</w:t>
            </w:r>
          </w:p>
        </w:tc>
        <w:tc>
          <w:tcPr>
            <w:tcW w:w="1406" w:type="dxa"/>
            <w:tcBorders>
              <w:top w:val="nil"/>
              <w:left w:val="nil"/>
              <w:bottom w:val="nil"/>
              <w:right w:val="nil"/>
            </w:tcBorders>
            <w:shd w:val="clear" w:color="auto" w:fill="auto"/>
            <w:vAlign w:val="center"/>
          </w:tcPr>
          <w:p w14:paraId="0EC99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保存销售订单结果和追溯明细，供多维成本分析使用；历史版本保留，不原地覆盖。</w:t>
            </w:r>
          </w:p>
        </w:tc>
        <w:tc>
          <w:tcPr>
            <w:tcW w:w="1088" w:type="dxa"/>
            <w:tcBorders>
              <w:top w:val="nil"/>
              <w:left w:val="nil"/>
              <w:bottom w:val="nil"/>
              <w:right w:val="nil"/>
            </w:tcBorders>
            <w:shd w:val="clear" w:color="auto" w:fill="auto"/>
            <w:vAlign w:val="center"/>
          </w:tcPr>
          <w:p w14:paraId="0A58C4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销售订单成本参考版本</w:t>
            </w:r>
          </w:p>
        </w:tc>
        <w:tc>
          <w:tcPr>
            <w:tcW w:w="1460" w:type="dxa"/>
            <w:tcBorders>
              <w:top w:val="nil"/>
              <w:left w:val="nil"/>
              <w:bottom w:val="nil"/>
              <w:right w:val="nil"/>
            </w:tcBorders>
            <w:shd w:val="clear" w:color="auto" w:fill="auto"/>
            <w:vAlign w:val="center"/>
          </w:tcPr>
          <w:p w14:paraId="5F2C115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FCF424">
        <w:trPr>
          <w:cantSplit/>
          <w:trHeight w:val="0" w:hRule="atLeast"/>
          <w:jc w:val="center"/>
        </w:trPr>
        <w:tc>
          <w:tcPr>
            <w:tcW w:w="2944" w:type="dxa"/>
            <w:tcBorders>
              <w:top w:val="nil"/>
              <w:left w:val="nil"/>
              <w:bottom w:val="nil"/>
              <w:right w:val="nil"/>
            </w:tcBorders>
            <w:shd w:val="clear" w:color="auto" w:fill="auto"/>
            <w:vAlign w:val="center"/>
          </w:tcPr>
          <w:p w14:paraId="42858B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P-ZLTC-SCOS-FYCB-007-10-001</w:t>
            </w:r>
          </w:p>
        </w:tc>
        <w:tc>
          <w:tcPr>
            <w:tcW w:w="945" w:type="dxa"/>
            <w:tcBorders>
              <w:top w:val="nil"/>
              <w:left w:val="nil"/>
              <w:bottom w:val="nil"/>
              <w:right w:val="nil"/>
            </w:tcBorders>
            <w:shd w:val="clear" w:color="auto" w:fill="auto"/>
            <w:vAlign w:val="center"/>
          </w:tcPr>
          <w:p w14:paraId="4FD342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生成并分发多维成本分析数据集规则</w:t>
            </w:r>
          </w:p>
        </w:tc>
        <w:tc>
          <w:tcPr>
            <w:tcW w:w="966" w:type="dxa"/>
            <w:tcBorders>
              <w:top w:val="nil"/>
              <w:left w:val="nil"/>
              <w:bottom w:val="nil"/>
              <w:right w:val="nil"/>
            </w:tcBorders>
            <w:shd w:val="clear" w:color="auto" w:fill="auto"/>
            <w:vAlign w:val="center"/>
          </w:tcPr>
          <w:p w14:paraId="0A95A8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778A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152D9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SCOS按用户查询或月度更新启动多维分析时</w:t>
            </w:r>
          </w:p>
        </w:tc>
        <w:tc>
          <w:tcPr>
            <w:tcW w:w="1406" w:type="dxa"/>
            <w:tcBorders>
              <w:top w:val="nil"/>
              <w:left w:val="nil"/>
              <w:bottom w:val="nil"/>
              <w:right w:val="nil"/>
            </w:tcBorders>
            <w:shd w:val="clear" w:color="auto" w:fill="auto"/>
            <w:vAlign w:val="center"/>
          </w:tcPr>
          <w:p w14:paraId="7D013C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按同一时间范围、成本版本和维度口径汇集数据；维度映射缺失时单列待映射；三个角色接收的数据版本一致。</w:t>
            </w:r>
          </w:p>
        </w:tc>
        <w:tc>
          <w:tcPr>
            <w:tcW w:w="1088" w:type="dxa"/>
            <w:tcBorders>
              <w:top w:val="nil"/>
              <w:left w:val="nil"/>
              <w:bottom w:val="nil"/>
              <w:right w:val="nil"/>
            </w:tcBorders>
            <w:shd w:val="clear" w:color="auto" w:fill="auto"/>
            <w:vAlign w:val="center"/>
          </w:tcPr>
          <w:p w14:paraId="2158AB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统一多维成本分析数据集</w:t>
            </w:r>
          </w:p>
        </w:tc>
        <w:tc>
          <w:tcPr>
            <w:tcW w:w="1460" w:type="dxa"/>
            <w:tcBorders>
              <w:top w:val="nil"/>
              <w:left w:val="nil"/>
              <w:bottom w:val="nil"/>
              <w:right w:val="nil"/>
            </w:tcBorders>
            <w:shd w:val="clear" w:color="auto" w:fill="auto"/>
            <w:vAlign w:val="center"/>
          </w:tcPr>
          <w:p w14:paraId="2865EE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E89E8EF">
        <w:trPr>
          <w:cantSplit/>
          <w:trHeight w:val="0" w:hRule="atLeast"/>
          <w:jc w:val="center"/>
        </w:trPr>
        <w:tc>
          <w:tcPr>
            <w:tcW w:w="2944" w:type="dxa"/>
            <w:tcBorders>
              <w:top w:val="nil"/>
              <w:left w:val="nil"/>
              <w:bottom w:val="nil"/>
              <w:right w:val="nil"/>
            </w:tcBorders>
            <w:shd w:val="clear" w:color="auto" w:fill="auto"/>
            <w:vAlign w:val="center"/>
          </w:tcPr>
          <w:p w14:paraId="2885BA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P-ZLTC-SCOS-FYCB-007-20-001</w:t>
            </w:r>
          </w:p>
        </w:tc>
        <w:tc>
          <w:tcPr>
            <w:tcW w:w="945" w:type="dxa"/>
            <w:tcBorders>
              <w:top w:val="nil"/>
              <w:left w:val="nil"/>
              <w:bottom w:val="nil"/>
              <w:right w:val="nil"/>
            </w:tcBorders>
            <w:shd w:val="clear" w:color="auto" w:fill="auto"/>
            <w:vAlign w:val="center"/>
          </w:tcPr>
          <w:p w14:paraId="39CA10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接收生产批次和产品成本视图规则</w:t>
            </w:r>
          </w:p>
        </w:tc>
        <w:tc>
          <w:tcPr>
            <w:tcW w:w="966" w:type="dxa"/>
            <w:tcBorders>
              <w:top w:val="nil"/>
              <w:left w:val="nil"/>
              <w:bottom w:val="nil"/>
              <w:right w:val="nil"/>
            </w:tcBorders>
            <w:shd w:val="clear" w:color="auto" w:fill="auto"/>
            <w:vAlign w:val="center"/>
          </w:tcPr>
          <w:p w14:paraId="2062EB2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2BC06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0D4A8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统一多维成本分析数据集形成后</w:t>
            </w:r>
          </w:p>
        </w:tc>
        <w:tc>
          <w:tcPr>
            <w:tcW w:w="1406" w:type="dxa"/>
            <w:tcBorders>
              <w:top w:val="nil"/>
              <w:left w:val="nil"/>
              <w:bottom w:val="nil"/>
              <w:right w:val="nil"/>
            </w:tcBorders>
            <w:shd w:val="clear" w:color="auto" w:fill="auto"/>
            <w:vAlign w:val="center"/>
          </w:tcPr>
          <w:p w14:paraId="4E052D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生产负责人在SCOS选择产品、产线、生产订单和批次；单位成本分母为空时显示不可用。</w:t>
            </w:r>
          </w:p>
        </w:tc>
        <w:tc>
          <w:tcPr>
            <w:tcW w:w="1088" w:type="dxa"/>
            <w:tcBorders>
              <w:top w:val="nil"/>
              <w:left w:val="nil"/>
              <w:bottom w:val="nil"/>
              <w:right w:val="nil"/>
            </w:tcBorders>
            <w:shd w:val="clear" w:color="auto" w:fill="auto"/>
            <w:vAlign w:val="center"/>
          </w:tcPr>
          <w:p w14:paraId="35F057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产品、生产订单、批次、原料、能耗和损耗分析条件</w:t>
            </w:r>
          </w:p>
        </w:tc>
        <w:tc>
          <w:tcPr>
            <w:tcW w:w="1460" w:type="dxa"/>
            <w:tcBorders>
              <w:top w:val="nil"/>
              <w:left w:val="nil"/>
              <w:bottom w:val="nil"/>
              <w:right w:val="nil"/>
            </w:tcBorders>
            <w:shd w:val="clear" w:color="auto" w:fill="auto"/>
            <w:vAlign w:val="center"/>
          </w:tcPr>
          <w:p w14:paraId="3FCC9E2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EE9378">
        <w:trPr>
          <w:cantSplit/>
          <w:trHeight w:val="0" w:hRule="atLeast"/>
          <w:jc w:val="center"/>
        </w:trPr>
        <w:tc>
          <w:tcPr>
            <w:tcW w:w="2944" w:type="dxa"/>
            <w:tcBorders>
              <w:top w:val="nil"/>
              <w:left w:val="nil"/>
              <w:bottom w:val="nil"/>
              <w:right w:val="nil"/>
            </w:tcBorders>
            <w:shd w:val="clear" w:color="auto" w:fill="auto"/>
            <w:vAlign w:val="center"/>
          </w:tcPr>
          <w:p w14:paraId="61F64A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P-ZLTC-SCOS-FYCB-007-30-001</w:t>
            </w:r>
          </w:p>
        </w:tc>
        <w:tc>
          <w:tcPr>
            <w:tcW w:w="945" w:type="dxa"/>
            <w:tcBorders>
              <w:top w:val="nil"/>
              <w:left w:val="nil"/>
              <w:bottom w:val="nil"/>
              <w:right w:val="nil"/>
            </w:tcBorders>
            <w:shd w:val="clear" w:color="auto" w:fill="auto"/>
            <w:vAlign w:val="center"/>
          </w:tcPr>
          <w:p w14:paraId="0CC976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接收订单客户和产品成本视图规则</w:t>
            </w:r>
          </w:p>
        </w:tc>
        <w:tc>
          <w:tcPr>
            <w:tcW w:w="966" w:type="dxa"/>
            <w:tcBorders>
              <w:top w:val="nil"/>
              <w:left w:val="nil"/>
              <w:bottom w:val="nil"/>
              <w:right w:val="nil"/>
            </w:tcBorders>
            <w:shd w:val="clear" w:color="auto" w:fill="auto"/>
            <w:vAlign w:val="center"/>
          </w:tcPr>
          <w:p w14:paraId="628C7A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F0162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E866B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产品、生产订单、批次、原料、能耗和损耗分析条件形成后</w:t>
            </w:r>
          </w:p>
        </w:tc>
        <w:tc>
          <w:tcPr>
            <w:tcW w:w="1406" w:type="dxa"/>
            <w:tcBorders>
              <w:top w:val="nil"/>
              <w:left w:val="nil"/>
              <w:bottom w:val="nil"/>
              <w:right w:val="nil"/>
            </w:tcBorders>
            <w:shd w:val="clear" w:color="auto" w:fill="auto"/>
            <w:vAlign w:val="center"/>
          </w:tcPr>
          <w:p w14:paraId="51D3A1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销售负责人在SCOS查看订单、客户和产品的制造成本；退货或跨期订单按有效事件和版本展示。</w:t>
            </w:r>
          </w:p>
        </w:tc>
        <w:tc>
          <w:tcPr>
            <w:tcW w:w="1088" w:type="dxa"/>
            <w:tcBorders>
              <w:top w:val="nil"/>
              <w:left w:val="nil"/>
              <w:bottom w:val="nil"/>
              <w:right w:val="nil"/>
            </w:tcBorders>
            <w:shd w:val="clear" w:color="auto" w:fill="auto"/>
            <w:vAlign w:val="center"/>
          </w:tcPr>
          <w:p w14:paraId="10AD45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销售订单、客户、产品、交付和来源生产成本分析条件</w:t>
            </w:r>
          </w:p>
        </w:tc>
        <w:tc>
          <w:tcPr>
            <w:tcW w:w="1460" w:type="dxa"/>
            <w:tcBorders>
              <w:top w:val="nil"/>
              <w:left w:val="nil"/>
              <w:bottom w:val="nil"/>
              <w:right w:val="nil"/>
            </w:tcBorders>
            <w:shd w:val="clear" w:color="auto" w:fill="auto"/>
            <w:vAlign w:val="center"/>
          </w:tcPr>
          <w:p w14:paraId="56BC7D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83F930">
        <w:trPr>
          <w:cantSplit/>
          <w:trHeight w:val="0" w:hRule="atLeast"/>
          <w:jc w:val="center"/>
        </w:trPr>
        <w:tc>
          <w:tcPr>
            <w:tcW w:w="2944" w:type="dxa"/>
            <w:tcBorders>
              <w:top w:val="nil"/>
              <w:left w:val="nil"/>
              <w:bottom w:val="nil"/>
              <w:right w:val="nil"/>
            </w:tcBorders>
            <w:shd w:val="clear" w:color="auto" w:fill="auto"/>
            <w:vAlign w:val="center"/>
          </w:tcPr>
          <w:p w14:paraId="4DCB18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P-ZLTC-SCOS-FYCB-007-40-001</w:t>
            </w:r>
          </w:p>
        </w:tc>
        <w:tc>
          <w:tcPr>
            <w:tcW w:w="945" w:type="dxa"/>
            <w:tcBorders>
              <w:top w:val="nil"/>
              <w:left w:val="nil"/>
              <w:bottom w:val="nil"/>
              <w:right w:val="nil"/>
            </w:tcBorders>
            <w:shd w:val="clear" w:color="auto" w:fill="auto"/>
            <w:vAlign w:val="center"/>
          </w:tcPr>
          <w:p w14:paraId="1B593C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接收供应商和采购成本视图规则</w:t>
            </w:r>
          </w:p>
        </w:tc>
        <w:tc>
          <w:tcPr>
            <w:tcW w:w="966" w:type="dxa"/>
            <w:tcBorders>
              <w:top w:val="nil"/>
              <w:left w:val="nil"/>
              <w:bottom w:val="nil"/>
              <w:right w:val="nil"/>
            </w:tcBorders>
            <w:shd w:val="clear" w:color="auto" w:fill="auto"/>
            <w:vAlign w:val="center"/>
          </w:tcPr>
          <w:p w14:paraId="157DF0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9DDF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72BAA9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销售订单、客户、产品、交付和来源生产成本分析条件形成后</w:t>
            </w:r>
          </w:p>
        </w:tc>
        <w:tc>
          <w:tcPr>
            <w:tcW w:w="1406" w:type="dxa"/>
            <w:tcBorders>
              <w:top w:val="nil"/>
              <w:left w:val="nil"/>
              <w:bottom w:val="nil"/>
              <w:right w:val="nil"/>
            </w:tcBorders>
            <w:shd w:val="clear" w:color="auto" w:fill="auto"/>
            <w:vAlign w:val="center"/>
          </w:tcPr>
          <w:p w14:paraId="14D885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分析供应商及采购批次对生产与销售成本的影响；供应商贡献按实际采购批次和谱系计算。</w:t>
            </w:r>
          </w:p>
        </w:tc>
        <w:tc>
          <w:tcPr>
            <w:tcW w:w="1088" w:type="dxa"/>
            <w:tcBorders>
              <w:top w:val="nil"/>
              <w:left w:val="nil"/>
              <w:bottom w:val="nil"/>
              <w:right w:val="nil"/>
            </w:tcBorders>
            <w:shd w:val="clear" w:color="auto" w:fill="auto"/>
            <w:vAlign w:val="center"/>
          </w:tcPr>
          <w:p w14:paraId="752060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供应商、原料、采购批次、采购价格和成本贡献分析条件</w:t>
            </w:r>
          </w:p>
        </w:tc>
        <w:tc>
          <w:tcPr>
            <w:tcW w:w="1460" w:type="dxa"/>
            <w:tcBorders>
              <w:top w:val="nil"/>
              <w:left w:val="nil"/>
              <w:bottom w:val="nil"/>
              <w:right w:val="nil"/>
            </w:tcBorders>
            <w:shd w:val="clear" w:color="auto" w:fill="auto"/>
            <w:vAlign w:val="center"/>
          </w:tcPr>
          <w:p w14:paraId="1A2D4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05744">
        <w:trPr>
          <w:cantSplit/>
          <w:trHeight w:val="0" w:hRule="atLeast"/>
          <w:jc w:val="center"/>
        </w:trPr>
        <w:tc>
          <w:tcPr>
            <w:tcW w:w="2944" w:type="dxa"/>
            <w:tcBorders>
              <w:top w:val="nil"/>
              <w:left w:val="nil"/>
              <w:bottom w:val="nil"/>
              <w:right w:val="nil"/>
            </w:tcBorders>
            <w:shd w:val="clear" w:color="auto" w:fill="auto"/>
            <w:vAlign w:val="center"/>
          </w:tcPr>
          <w:p w14:paraId="0ECAA4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P-ZLTC-SCOS-FYCB-007-50-001</w:t>
            </w:r>
          </w:p>
        </w:tc>
        <w:tc>
          <w:tcPr>
            <w:tcW w:w="945" w:type="dxa"/>
            <w:tcBorders>
              <w:top w:val="nil"/>
              <w:left w:val="nil"/>
              <w:bottom w:val="nil"/>
              <w:right w:val="nil"/>
            </w:tcBorders>
            <w:shd w:val="clear" w:color="auto" w:fill="auto"/>
            <w:vAlign w:val="center"/>
          </w:tcPr>
          <w:p w14:paraId="3B80E9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执行跨维度钻取和差异分析规则</w:t>
            </w:r>
          </w:p>
        </w:tc>
        <w:tc>
          <w:tcPr>
            <w:tcW w:w="966" w:type="dxa"/>
            <w:tcBorders>
              <w:top w:val="nil"/>
              <w:left w:val="nil"/>
              <w:bottom w:val="nil"/>
              <w:right w:val="nil"/>
            </w:tcBorders>
            <w:shd w:val="clear" w:color="auto" w:fill="auto"/>
            <w:vAlign w:val="center"/>
          </w:tcPr>
          <w:p w14:paraId="182586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10104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4EC428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供应商、原料、采购批次、采购价格和成本贡献分析条件形成后</w:t>
            </w:r>
          </w:p>
        </w:tc>
        <w:tc>
          <w:tcPr>
            <w:tcW w:w="1406" w:type="dxa"/>
            <w:tcBorders>
              <w:top w:val="nil"/>
              <w:left w:val="nil"/>
              <w:bottom w:val="nil"/>
              <w:right w:val="nil"/>
            </w:tcBorders>
            <w:shd w:val="clear" w:color="auto" w:fill="auto"/>
            <w:vAlign w:val="center"/>
          </w:tcPr>
          <w:p w14:paraId="31874F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汇合三个角色的分析条件；筛选条件只改变展示范围，不改变底层成本结果。</w:t>
            </w:r>
          </w:p>
        </w:tc>
        <w:tc>
          <w:tcPr>
            <w:tcW w:w="1088" w:type="dxa"/>
            <w:tcBorders>
              <w:top w:val="nil"/>
              <w:left w:val="nil"/>
              <w:bottom w:val="nil"/>
              <w:right w:val="nil"/>
            </w:tcBorders>
            <w:shd w:val="clear" w:color="auto" w:fill="auto"/>
            <w:vAlign w:val="center"/>
          </w:tcPr>
          <w:p w14:paraId="5CC15F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订单、客户、供应商、产品和成本要素组合指标</w:t>
            </w:r>
          </w:p>
        </w:tc>
        <w:tc>
          <w:tcPr>
            <w:tcW w:w="1460" w:type="dxa"/>
            <w:tcBorders>
              <w:top w:val="nil"/>
              <w:left w:val="nil"/>
              <w:bottom w:val="nil"/>
              <w:right w:val="nil"/>
            </w:tcBorders>
            <w:shd w:val="clear" w:color="auto" w:fill="auto"/>
            <w:vAlign w:val="center"/>
          </w:tcPr>
          <w:p w14:paraId="37E9A4A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FDD61C">
        <w:trPr>
          <w:cantSplit/>
          <w:trHeight w:val="0" w:hRule="atLeast"/>
          <w:jc w:val="center"/>
        </w:trPr>
        <w:tc>
          <w:tcPr>
            <w:tcW w:w="2944" w:type="dxa"/>
            <w:tcBorders>
              <w:top w:val="nil"/>
              <w:left w:val="nil"/>
              <w:bottom w:val="nil"/>
              <w:right w:val="nil"/>
            </w:tcBorders>
            <w:shd w:val="clear" w:color="auto" w:fill="auto"/>
            <w:vAlign w:val="center"/>
          </w:tcPr>
          <w:p w14:paraId="3B6A51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P-ZLTC-SCOS-FYCB-007-60-001</w:t>
            </w:r>
          </w:p>
        </w:tc>
        <w:tc>
          <w:tcPr>
            <w:tcW w:w="945" w:type="dxa"/>
            <w:tcBorders>
              <w:top w:val="nil"/>
              <w:left w:val="nil"/>
              <w:bottom w:val="nil"/>
              <w:right w:val="nil"/>
            </w:tcBorders>
            <w:shd w:val="clear" w:color="auto" w:fill="auto"/>
            <w:vAlign w:val="center"/>
          </w:tcPr>
          <w:p w14:paraId="44B2D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生成多维成本分析结果规则</w:t>
            </w:r>
          </w:p>
        </w:tc>
        <w:tc>
          <w:tcPr>
            <w:tcW w:w="966" w:type="dxa"/>
            <w:tcBorders>
              <w:top w:val="nil"/>
              <w:left w:val="nil"/>
              <w:bottom w:val="nil"/>
              <w:right w:val="nil"/>
            </w:tcBorders>
            <w:shd w:val="clear" w:color="auto" w:fill="auto"/>
            <w:vAlign w:val="center"/>
          </w:tcPr>
          <w:p w14:paraId="4662B1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AF412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0ABDDA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订单、客户、供应商、产品和成本要素组合指标形成后</w:t>
            </w:r>
          </w:p>
        </w:tc>
        <w:tc>
          <w:tcPr>
            <w:tcW w:w="1406" w:type="dxa"/>
            <w:tcBorders>
              <w:top w:val="nil"/>
              <w:left w:val="nil"/>
              <w:bottom w:val="nil"/>
              <w:right w:val="nil"/>
            </w:tcBorders>
            <w:shd w:val="clear" w:color="auto" w:fill="auto"/>
            <w:vAlign w:val="center"/>
          </w:tcPr>
          <w:p w14:paraId="1F79263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生成生产、销售和采购视角的成本分析及差异指标；待映射维度与不可用指标单独展示。</w:t>
            </w:r>
          </w:p>
        </w:tc>
        <w:tc>
          <w:tcPr>
            <w:tcW w:w="1088" w:type="dxa"/>
            <w:tcBorders>
              <w:top w:val="nil"/>
              <w:left w:val="nil"/>
              <w:bottom w:val="nil"/>
              <w:right w:val="nil"/>
            </w:tcBorders>
            <w:shd w:val="clear" w:color="auto" w:fill="auto"/>
            <w:vAlign w:val="center"/>
          </w:tcPr>
          <w:p w14:paraId="3E93C6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多维成本分析结果</w:t>
            </w:r>
          </w:p>
        </w:tc>
        <w:tc>
          <w:tcPr>
            <w:tcW w:w="1460" w:type="dxa"/>
            <w:tcBorders>
              <w:top w:val="nil"/>
              <w:left w:val="nil"/>
              <w:bottom w:val="nil"/>
              <w:right w:val="nil"/>
            </w:tcBorders>
            <w:shd w:val="clear" w:color="auto" w:fill="auto"/>
            <w:vAlign w:val="center"/>
          </w:tcPr>
          <w:p w14:paraId="5DCD38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5C9B30">
        <w:trPr>
          <w:cantSplit/>
          <w:trHeight w:val="0" w:hRule="atLeast"/>
          <w:jc w:val="center"/>
        </w:trPr>
        <w:tc>
          <w:tcPr>
            <w:tcW w:w="2944" w:type="dxa"/>
            <w:tcBorders>
              <w:top w:val="nil"/>
              <w:left w:val="nil"/>
              <w:bottom w:val="nil"/>
              <w:right w:val="nil"/>
            </w:tcBorders>
            <w:shd w:val="clear" w:color="auto" w:fill="auto"/>
            <w:vAlign w:val="center"/>
          </w:tcPr>
          <w:p w14:paraId="50A77A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P-ZLTC-SCOS-FYCB-007-70-001</w:t>
            </w:r>
          </w:p>
        </w:tc>
        <w:tc>
          <w:tcPr>
            <w:tcW w:w="945" w:type="dxa"/>
            <w:tcBorders>
              <w:top w:val="nil"/>
              <w:left w:val="nil"/>
              <w:bottom w:val="nil"/>
              <w:right w:val="nil"/>
            </w:tcBorders>
            <w:shd w:val="clear" w:color="auto" w:fill="auto"/>
            <w:vAlign w:val="center"/>
          </w:tcPr>
          <w:p w14:paraId="1DADF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保存分析快照和导出记录规则</w:t>
            </w:r>
          </w:p>
        </w:tc>
        <w:tc>
          <w:tcPr>
            <w:tcW w:w="966" w:type="dxa"/>
            <w:tcBorders>
              <w:top w:val="nil"/>
              <w:left w:val="nil"/>
              <w:bottom w:val="nil"/>
              <w:right w:val="nil"/>
            </w:tcBorders>
            <w:shd w:val="clear" w:color="auto" w:fill="auto"/>
            <w:vAlign w:val="center"/>
          </w:tcPr>
          <w:p w14:paraId="201FF3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8AF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21204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多维成本分析结果形成后</w:t>
            </w:r>
          </w:p>
        </w:tc>
        <w:tc>
          <w:tcPr>
            <w:tcW w:w="1406" w:type="dxa"/>
            <w:tcBorders>
              <w:top w:val="nil"/>
              <w:left w:val="nil"/>
              <w:bottom w:val="nil"/>
              <w:right w:val="nil"/>
            </w:tcBorders>
            <w:shd w:val="clear" w:color="auto" w:fill="auto"/>
            <w:vAlign w:val="center"/>
          </w:tcPr>
          <w:p w14:paraId="7A13DD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保存分析条件、数据版本、指标结果和导出记录；底层成本更新后生成新快照并保留历史引用。</w:t>
            </w:r>
          </w:p>
        </w:tc>
        <w:tc>
          <w:tcPr>
            <w:tcW w:w="1088" w:type="dxa"/>
            <w:tcBorders>
              <w:top w:val="nil"/>
              <w:left w:val="nil"/>
              <w:bottom w:val="nil"/>
              <w:right w:val="nil"/>
            </w:tcBorders>
            <w:shd w:val="clear" w:color="auto" w:fill="auto"/>
            <w:vAlign w:val="center"/>
          </w:tcPr>
          <w:p w14:paraId="43E41F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分析快照、看板和导出记录</w:t>
            </w:r>
          </w:p>
        </w:tc>
        <w:tc>
          <w:tcPr>
            <w:tcW w:w="1460" w:type="dxa"/>
            <w:tcBorders>
              <w:top w:val="nil"/>
              <w:left w:val="nil"/>
              <w:bottom w:val="nil"/>
              <w:right w:val="nil"/>
            </w:tcBorders>
            <w:shd w:val="clear" w:color="auto" w:fill="auto"/>
            <w:vAlign w:val="center"/>
          </w:tcPr>
          <w:p w14:paraId="3535E3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C6D6894">
        <w:trPr>
          <w:cantSplit/>
          <w:trHeight w:val="0" w:hRule="atLeast"/>
          <w:jc w:val="center"/>
        </w:trPr>
        <w:tc>
          <w:tcPr>
            <w:tcW w:w="2944" w:type="dxa"/>
            <w:tcBorders>
              <w:top w:val="nil"/>
              <w:left w:val="nil"/>
              <w:bottom w:val="nil"/>
              <w:right w:val="nil"/>
            </w:tcBorders>
            <w:shd w:val="clear" w:color="auto" w:fill="auto"/>
            <w:vAlign w:val="center"/>
          </w:tcPr>
          <w:p w14:paraId="42CE7B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P-ZLTC-SCOS-FYCB-008-10-001</w:t>
            </w:r>
          </w:p>
        </w:tc>
        <w:tc>
          <w:tcPr>
            <w:tcW w:w="945" w:type="dxa"/>
            <w:tcBorders>
              <w:top w:val="nil"/>
              <w:left w:val="nil"/>
              <w:bottom w:val="nil"/>
              <w:right w:val="nil"/>
            </w:tcBorders>
            <w:shd w:val="clear" w:color="auto" w:fill="auto"/>
            <w:vAlign w:val="center"/>
          </w:tcPr>
          <w:p w14:paraId="3FEE35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提供更正数据和补充证据规则</w:t>
            </w:r>
          </w:p>
        </w:tc>
        <w:tc>
          <w:tcPr>
            <w:tcW w:w="966" w:type="dxa"/>
            <w:tcBorders>
              <w:top w:val="nil"/>
              <w:left w:val="nil"/>
              <w:bottom w:val="nil"/>
              <w:right w:val="nil"/>
            </w:tcBorders>
            <w:shd w:val="clear" w:color="auto" w:fill="auto"/>
            <w:vAlign w:val="center"/>
          </w:tcPr>
          <w:p w14:paraId="65C39C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0FC3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28634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SCOS在批次、谱系或成本计算中发现异常时</w:t>
            </w:r>
          </w:p>
        </w:tc>
        <w:tc>
          <w:tcPr>
            <w:tcW w:w="1406" w:type="dxa"/>
            <w:tcBorders>
              <w:top w:val="nil"/>
              <w:left w:val="nil"/>
              <w:bottom w:val="nil"/>
              <w:right w:val="nil"/>
            </w:tcBorders>
            <w:shd w:val="clear" w:color="auto" w:fill="auto"/>
            <w:vAlign w:val="center"/>
          </w:tcPr>
          <w:p w14:paraId="1514C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按原数据版本返回更正记录、来源时间和替代关系；无法补充时明确缺失范围和数据质量。</w:t>
            </w:r>
          </w:p>
        </w:tc>
        <w:tc>
          <w:tcPr>
            <w:tcW w:w="1088" w:type="dxa"/>
            <w:tcBorders>
              <w:top w:val="nil"/>
              <w:left w:val="nil"/>
              <w:bottom w:val="nil"/>
              <w:right w:val="nil"/>
            </w:tcBorders>
            <w:shd w:val="clear" w:color="auto" w:fill="auto"/>
            <w:vAlign w:val="center"/>
          </w:tcPr>
          <w:p w14:paraId="3B95B8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更正事件、计量、主数据或成本事实</w:t>
            </w:r>
          </w:p>
        </w:tc>
        <w:tc>
          <w:tcPr>
            <w:tcW w:w="1460" w:type="dxa"/>
            <w:tcBorders>
              <w:top w:val="nil"/>
              <w:left w:val="nil"/>
              <w:bottom w:val="nil"/>
              <w:right w:val="nil"/>
            </w:tcBorders>
            <w:shd w:val="clear" w:color="auto" w:fill="auto"/>
            <w:vAlign w:val="center"/>
          </w:tcPr>
          <w:p w14:paraId="109874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825CB8F">
        <w:trPr>
          <w:cantSplit/>
          <w:trHeight w:val="0" w:hRule="atLeast"/>
          <w:jc w:val="center"/>
        </w:trPr>
        <w:tc>
          <w:tcPr>
            <w:tcW w:w="2944" w:type="dxa"/>
            <w:tcBorders>
              <w:top w:val="nil"/>
              <w:left w:val="nil"/>
              <w:bottom w:val="nil"/>
              <w:right w:val="nil"/>
            </w:tcBorders>
            <w:shd w:val="clear" w:color="auto" w:fill="auto"/>
            <w:vAlign w:val="center"/>
          </w:tcPr>
          <w:p w14:paraId="106CC5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P-ZLTC-SCOS-FYCB-008-20-001</w:t>
            </w:r>
          </w:p>
        </w:tc>
        <w:tc>
          <w:tcPr>
            <w:tcW w:w="945" w:type="dxa"/>
            <w:tcBorders>
              <w:top w:val="nil"/>
              <w:left w:val="nil"/>
              <w:bottom w:val="nil"/>
              <w:right w:val="nil"/>
            </w:tcBorders>
            <w:shd w:val="clear" w:color="auto" w:fill="auto"/>
            <w:vAlign w:val="center"/>
          </w:tcPr>
          <w:p w14:paraId="407BD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比对原结果和更正数据版本规则</w:t>
            </w:r>
          </w:p>
        </w:tc>
        <w:tc>
          <w:tcPr>
            <w:tcW w:w="966" w:type="dxa"/>
            <w:tcBorders>
              <w:top w:val="nil"/>
              <w:left w:val="nil"/>
              <w:bottom w:val="nil"/>
              <w:right w:val="nil"/>
            </w:tcBorders>
            <w:shd w:val="clear" w:color="auto" w:fill="auto"/>
            <w:vAlign w:val="center"/>
          </w:tcPr>
          <w:p w14:paraId="2DC9F0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29894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D90F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更正事件、计量、主数据或成本事实形成后</w:t>
            </w:r>
          </w:p>
        </w:tc>
        <w:tc>
          <w:tcPr>
            <w:tcW w:w="1406" w:type="dxa"/>
            <w:tcBorders>
              <w:top w:val="nil"/>
              <w:left w:val="nil"/>
              <w:bottom w:val="nil"/>
              <w:right w:val="nil"/>
            </w:tcBorders>
            <w:shd w:val="clear" w:color="auto" w:fill="auto"/>
            <w:vAlign w:val="center"/>
          </w:tcPr>
          <w:p w14:paraId="372AC4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核对事件、计量、主数据、成本事实和规则的变更项；无实质变化的数据不触发全链重算。</w:t>
            </w:r>
          </w:p>
        </w:tc>
        <w:tc>
          <w:tcPr>
            <w:tcW w:w="1088" w:type="dxa"/>
            <w:tcBorders>
              <w:top w:val="nil"/>
              <w:left w:val="nil"/>
              <w:bottom w:val="nil"/>
              <w:right w:val="nil"/>
            </w:tcBorders>
            <w:shd w:val="clear" w:color="auto" w:fill="auto"/>
            <w:vAlign w:val="center"/>
          </w:tcPr>
          <w:p w14:paraId="02967F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字段差异、时间边界差异和版本关系</w:t>
            </w:r>
          </w:p>
        </w:tc>
        <w:tc>
          <w:tcPr>
            <w:tcW w:w="1460" w:type="dxa"/>
            <w:tcBorders>
              <w:top w:val="nil"/>
              <w:left w:val="nil"/>
              <w:bottom w:val="nil"/>
              <w:right w:val="nil"/>
            </w:tcBorders>
            <w:shd w:val="clear" w:color="auto" w:fill="auto"/>
            <w:vAlign w:val="center"/>
          </w:tcPr>
          <w:p w14:paraId="37F3E1C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AC43B7">
        <w:trPr>
          <w:cantSplit/>
          <w:trHeight w:val="0" w:hRule="atLeast"/>
          <w:jc w:val="center"/>
        </w:trPr>
        <w:tc>
          <w:tcPr>
            <w:tcW w:w="2944" w:type="dxa"/>
            <w:tcBorders>
              <w:top w:val="nil"/>
              <w:left w:val="nil"/>
              <w:bottom w:val="nil"/>
              <w:right w:val="nil"/>
            </w:tcBorders>
            <w:shd w:val="clear" w:color="auto" w:fill="auto"/>
            <w:vAlign w:val="center"/>
          </w:tcPr>
          <w:p w14:paraId="5A799E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P-ZLTC-SCOS-FYCB-008-30-001</w:t>
            </w:r>
          </w:p>
        </w:tc>
        <w:tc>
          <w:tcPr>
            <w:tcW w:w="945" w:type="dxa"/>
            <w:tcBorders>
              <w:top w:val="nil"/>
              <w:left w:val="nil"/>
              <w:bottom w:val="nil"/>
              <w:right w:val="nil"/>
            </w:tcBorders>
            <w:shd w:val="clear" w:color="auto" w:fill="auto"/>
            <w:vAlign w:val="center"/>
          </w:tcPr>
          <w:p w14:paraId="3DA917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识别异常类型和影响范围规则</w:t>
            </w:r>
          </w:p>
        </w:tc>
        <w:tc>
          <w:tcPr>
            <w:tcW w:w="966" w:type="dxa"/>
            <w:tcBorders>
              <w:top w:val="nil"/>
              <w:left w:val="nil"/>
              <w:bottom w:val="nil"/>
              <w:right w:val="nil"/>
            </w:tcBorders>
            <w:shd w:val="clear" w:color="auto" w:fill="auto"/>
            <w:vAlign w:val="center"/>
          </w:tcPr>
          <w:p w14:paraId="2F78E0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0EDE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407BF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字段差异、时间边界差异和版本关系形成后</w:t>
            </w:r>
          </w:p>
        </w:tc>
        <w:tc>
          <w:tcPr>
            <w:tcW w:w="1406" w:type="dxa"/>
            <w:tcBorders>
              <w:top w:val="nil"/>
              <w:left w:val="nil"/>
              <w:bottom w:val="nil"/>
              <w:right w:val="nil"/>
            </w:tcBorders>
            <w:shd w:val="clear" w:color="auto" w:fill="auto"/>
            <w:vAlign w:val="center"/>
          </w:tcPr>
          <w:p w14:paraId="5D995F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区分时间、路线、计量、批次、分摊依据及成本映射等异常类型；未受影响结果继续可用，异常范围标记待更新。</w:t>
            </w:r>
          </w:p>
        </w:tc>
        <w:tc>
          <w:tcPr>
            <w:tcW w:w="1088" w:type="dxa"/>
            <w:tcBorders>
              <w:top w:val="nil"/>
              <w:left w:val="nil"/>
              <w:bottom w:val="nil"/>
              <w:right w:val="nil"/>
            </w:tcBorders>
            <w:shd w:val="clear" w:color="auto" w:fill="auto"/>
            <w:vAlign w:val="center"/>
          </w:tcPr>
          <w:p w14:paraId="62722E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异常批次、关系、费用池、订单和受影响后代</w:t>
            </w:r>
          </w:p>
        </w:tc>
        <w:tc>
          <w:tcPr>
            <w:tcW w:w="1460" w:type="dxa"/>
            <w:tcBorders>
              <w:top w:val="nil"/>
              <w:left w:val="nil"/>
              <w:bottom w:val="nil"/>
              <w:right w:val="nil"/>
            </w:tcBorders>
            <w:shd w:val="clear" w:color="auto" w:fill="auto"/>
            <w:vAlign w:val="center"/>
          </w:tcPr>
          <w:p w14:paraId="13BB513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EA2B31">
        <w:trPr>
          <w:cantSplit/>
          <w:trHeight w:val="0" w:hRule="atLeast"/>
          <w:jc w:val="center"/>
        </w:trPr>
        <w:tc>
          <w:tcPr>
            <w:tcW w:w="2944" w:type="dxa"/>
            <w:tcBorders>
              <w:top w:val="nil"/>
              <w:left w:val="nil"/>
              <w:bottom w:val="nil"/>
              <w:right w:val="nil"/>
            </w:tcBorders>
            <w:shd w:val="clear" w:color="auto" w:fill="auto"/>
            <w:vAlign w:val="center"/>
          </w:tcPr>
          <w:p w14:paraId="3F512F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P-ZLTC-SCOS-FYCB-008-40-001</w:t>
            </w:r>
          </w:p>
        </w:tc>
        <w:tc>
          <w:tcPr>
            <w:tcW w:w="945" w:type="dxa"/>
            <w:tcBorders>
              <w:top w:val="nil"/>
              <w:left w:val="nil"/>
              <w:bottom w:val="nil"/>
              <w:right w:val="nil"/>
            </w:tcBorders>
            <w:shd w:val="clear" w:color="auto" w:fill="auto"/>
            <w:vAlign w:val="center"/>
          </w:tcPr>
          <w:p w14:paraId="5FADB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判断证据和规则是否足以重算规则</w:t>
            </w:r>
          </w:p>
        </w:tc>
        <w:tc>
          <w:tcPr>
            <w:tcW w:w="966" w:type="dxa"/>
            <w:tcBorders>
              <w:top w:val="nil"/>
              <w:left w:val="nil"/>
              <w:bottom w:val="nil"/>
              <w:right w:val="nil"/>
            </w:tcBorders>
            <w:shd w:val="clear" w:color="auto" w:fill="auto"/>
            <w:vAlign w:val="center"/>
          </w:tcPr>
          <w:p w14:paraId="622E0A7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C491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4BC1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异常批次、关系、费用池、订单和受影响后代形成后</w:t>
            </w:r>
          </w:p>
        </w:tc>
        <w:tc>
          <w:tcPr>
            <w:tcW w:w="1406" w:type="dxa"/>
            <w:tcBorders>
              <w:top w:val="nil"/>
              <w:left w:val="nil"/>
              <w:bottom w:val="nil"/>
              <w:right w:val="nil"/>
            </w:tcBorders>
            <w:shd w:val="clear" w:color="auto" w:fill="auto"/>
            <w:vAlign w:val="center"/>
          </w:tcPr>
          <w:p w14:paraId="7AE00E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按已确认的计量、转罐、罐差和密度等依据判断能否重算；证据和规则不足以重算时补充口径；证据和规则足以重算时重算。</w:t>
            </w:r>
          </w:p>
        </w:tc>
        <w:tc>
          <w:tcPr>
            <w:tcW w:w="1088" w:type="dxa"/>
            <w:tcBorders>
              <w:top w:val="nil"/>
              <w:left w:val="nil"/>
              <w:bottom w:val="nil"/>
              <w:right w:val="nil"/>
            </w:tcBorders>
            <w:shd w:val="clear" w:color="auto" w:fill="auto"/>
            <w:vAlign w:val="center"/>
          </w:tcPr>
          <w:p w14:paraId="6EC01E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可重算判断及证据优先级</w:t>
            </w:r>
          </w:p>
        </w:tc>
        <w:tc>
          <w:tcPr>
            <w:tcW w:w="1460" w:type="dxa"/>
            <w:tcBorders>
              <w:top w:val="nil"/>
              <w:left w:val="nil"/>
              <w:bottom w:val="nil"/>
              <w:right w:val="nil"/>
            </w:tcBorders>
            <w:shd w:val="clear" w:color="auto" w:fill="auto"/>
            <w:vAlign w:val="center"/>
          </w:tcPr>
          <w:p w14:paraId="76F8270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BFE78">
        <w:trPr>
          <w:cantSplit/>
          <w:trHeight w:val="0" w:hRule="atLeast"/>
          <w:jc w:val="center"/>
        </w:trPr>
        <w:tc>
          <w:tcPr>
            <w:tcW w:w="2944" w:type="dxa"/>
            <w:tcBorders>
              <w:top w:val="nil"/>
              <w:left w:val="nil"/>
              <w:bottom w:val="nil"/>
              <w:right w:val="nil"/>
            </w:tcBorders>
            <w:shd w:val="clear" w:color="auto" w:fill="auto"/>
            <w:vAlign w:val="center"/>
          </w:tcPr>
          <w:p w14:paraId="3E8ABF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P-ZLTC-SCOS-FYCB-008-50-001</w:t>
            </w:r>
          </w:p>
        </w:tc>
        <w:tc>
          <w:tcPr>
            <w:tcW w:w="945" w:type="dxa"/>
            <w:tcBorders>
              <w:top w:val="nil"/>
              <w:left w:val="nil"/>
              <w:bottom w:val="nil"/>
              <w:right w:val="nil"/>
            </w:tcBorders>
            <w:shd w:val="clear" w:color="auto" w:fill="auto"/>
            <w:vAlign w:val="center"/>
          </w:tcPr>
          <w:p w14:paraId="616BE2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补充业务事实或维护参考规则</w:t>
            </w:r>
          </w:p>
        </w:tc>
        <w:tc>
          <w:tcPr>
            <w:tcW w:w="966" w:type="dxa"/>
            <w:tcBorders>
              <w:top w:val="nil"/>
              <w:left w:val="nil"/>
              <w:bottom w:val="nil"/>
              <w:right w:val="nil"/>
            </w:tcBorders>
            <w:shd w:val="clear" w:color="auto" w:fill="auto"/>
            <w:vAlign w:val="center"/>
          </w:tcPr>
          <w:p w14:paraId="339A86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5EC7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6999BF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证据和规则不足以重算时</w:t>
            </w:r>
          </w:p>
        </w:tc>
        <w:tc>
          <w:tcPr>
            <w:tcW w:w="1406" w:type="dxa"/>
            <w:tcBorders>
              <w:top w:val="nil"/>
              <w:left w:val="nil"/>
              <w:bottom w:val="nil"/>
              <w:right w:val="nil"/>
            </w:tcBorders>
            <w:shd w:val="clear" w:color="auto" w:fill="auto"/>
            <w:vAlign w:val="center"/>
          </w:tcPr>
          <w:p w14:paraId="03435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财务负责人在SCOS维护成本映射和费用池参考口径；仍不足时保持待确认，不强行计算。</w:t>
            </w:r>
          </w:p>
        </w:tc>
        <w:tc>
          <w:tcPr>
            <w:tcW w:w="1088" w:type="dxa"/>
            <w:tcBorders>
              <w:top w:val="nil"/>
              <w:left w:val="nil"/>
              <w:bottom w:val="nil"/>
              <w:right w:val="nil"/>
            </w:tcBorders>
            <w:shd w:val="clear" w:color="auto" w:fill="auto"/>
            <w:vAlign w:val="center"/>
          </w:tcPr>
          <w:p w14:paraId="67A727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成本映射、备选动因或继续待确认说明</w:t>
            </w:r>
          </w:p>
        </w:tc>
        <w:tc>
          <w:tcPr>
            <w:tcW w:w="1460" w:type="dxa"/>
            <w:tcBorders>
              <w:top w:val="nil"/>
              <w:left w:val="nil"/>
              <w:bottom w:val="nil"/>
              <w:right w:val="nil"/>
            </w:tcBorders>
            <w:shd w:val="clear" w:color="auto" w:fill="auto"/>
            <w:vAlign w:val="center"/>
          </w:tcPr>
          <w:p w14:paraId="26344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BA7C32">
        <w:trPr>
          <w:cantSplit/>
          <w:trHeight w:val="0" w:hRule="atLeast"/>
          <w:jc w:val="center"/>
        </w:trPr>
        <w:tc>
          <w:tcPr>
            <w:tcW w:w="2944" w:type="dxa"/>
            <w:tcBorders>
              <w:top w:val="nil"/>
              <w:left w:val="nil"/>
              <w:bottom w:val="nil"/>
              <w:right w:val="nil"/>
            </w:tcBorders>
            <w:shd w:val="clear" w:color="auto" w:fill="auto"/>
            <w:vAlign w:val="center"/>
          </w:tcPr>
          <w:p w14:paraId="1912CA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P-ZLTC-SCOS-FYCB-008-60-001</w:t>
            </w:r>
          </w:p>
        </w:tc>
        <w:tc>
          <w:tcPr>
            <w:tcW w:w="945" w:type="dxa"/>
            <w:tcBorders>
              <w:top w:val="nil"/>
              <w:left w:val="nil"/>
              <w:bottom w:val="nil"/>
              <w:right w:val="nil"/>
            </w:tcBorders>
            <w:shd w:val="clear" w:color="auto" w:fill="auto"/>
            <w:vAlign w:val="center"/>
          </w:tcPr>
          <w:p w14:paraId="1EF24E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从最早受影响节点重新计算规则</w:t>
            </w:r>
          </w:p>
        </w:tc>
        <w:tc>
          <w:tcPr>
            <w:tcW w:w="966" w:type="dxa"/>
            <w:tcBorders>
              <w:top w:val="nil"/>
              <w:left w:val="nil"/>
              <w:bottom w:val="nil"/>
              <w:right w:val="nil"/>
            </w:tcBorders>
            <w:shd w:val="clear" w:color="auto" w:fill="auto"/>
            <w:vAlign w:val="center"/>
          </w:tcPr>
          <w:p w14:paraId="7BC2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4395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0C2423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证据和规则足以重算时</w:t>
            </w:r>
          </w:p>
        </w:tc>
        <w:tc>
          <w:tcPr>
            <w:tcW w:w="1406" w:type="dxa"/>
            <w:tcBorders>
              <w:top w:val="nil"/>
              <w:left w:val="nil"/>
              <w:bottom w:val="nil"/>
              <w:right w:val="nil"/>
            </w:tcBorders>
            <w:shd w:val="clear" w:color="auto" w:fill="auto"/>
            <w:vAlign w:val="center"/>
          </w:tcPr>
          <w:p w14:paraId="2DA36A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从最早受影响的批次或成本环节重新计算，并保留原版本；重算失败时保留上一可用版本并记录原因。</w:t>
            </w:r>
          </w:p>
        </w:tc>
        <w:tc>
          <w:tcPr>
            <w:tcW w:w="1088" w:type="dxa"/>
            <w:tcBorders>
              <w:top w:val="nil"/>
              <w:left w:val="nil"/>
              <w:bottom w:val="nil"/>
              <w:right w:val="nil"/>
            </w:tcBorders>
            <w:shd w:val="clear" w:color="auto" w:fill="auto"/>
            <w:vAlign w:val="center"/>
          </w:tcPr>
          <w:p w14:paraId="034560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新批次、谱系、批次成本和订单成本</w:t>
            </w:r>
          </w:p>
        </w:tc>
        <w:tc>
          <w:tcPr>
            <w:tcW w:w="1460" w:type="dxa"/>
            <w:tcBorders>
              <w:top w:val="nil"/>
              <w:left w:val="nil"/>
              <w:bottom w:val="nil"/>
              <w:right w:val="nil"/>
            </w:tcBorders>
            <w:shd w:val="clear" w:color="auto" w:fill="auto"/>
            <w:vAlign w:val="center"/>
          </w:tcPr>
          <w:p w14:paraId="23B627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046D13">
        <w:trPr>
          <w:cantSplit/>
          <w:trHeight w:val="0" w:hRule="atLeast"/>
          <w:jc w:val="center"/>
        </w:trPr>
        <w:tc>
          <w:tcPr>
            <w:tcW w:w="2944" w:type="dxa"/>
            <w:tcBorders>
              <w:top w:val="nil"/>
              <w:left w:val="nil"/>
              <w:bottom w:val="nil"/>
              <w:right w:val="nil"/>
            </w:tcBorders>
            <w:shd w:val="clear" w:color="auto" w:fill="auto"/>
            <w:vAlign w:val="center"/>
          </w:tcPr>
          <w:p w14:paraId="7AFB50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P-ZLTC-SCOS-FYCB-008-70-001</w:t>
            </w:r>
          </w:p>
        </w:tc>
        <w:tc>
          <w:tcPr>
            <w:tcW w:w="945" w:type="dxa"/>
            <w:tcBorders>
              <w:top w:val="nil"/>
              <w:left w:val="nil"/>
              <w:bottom w:val="nil"/>
              <w:right w:val="nil"/>
            </w:tcBorders>
            <w:shd w:val="clear" w:color="auto" w:fill="auto"/>
            <w:vAlign w:val="center"/>
          </w:tcPr>
          <w:p w14:paraId="6DB39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校验重算差异和影响后代规则</w:t>
            </w:r>
          </w:p>
        </w:tc>
        <w:tc>
          <w:tcPr>
            <w:tcW w:w="966" w:type="dxa"/>
            <w:tcBorders>
              <w:top w:val="nil"/>
              <w:left w:val="nil"/>
              <w:bottom w:val="nil"/>
              <w:right w:val="nil"/>
            </w:tcBorders>
            <w:shd w:val="clear" w:color="auto" w:fill="auto"/>
            <w:vAlign w:val="center"/>
          </w:tcPr>
          <w:p w14:paraId="49CE52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6ED9C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71A143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新批次、谱系、批次成本和订单成本形成后</w:t>
            </w:r>
          </w:p>
        </w:tc>
        <w:tc>
          <w:tcPr>
            <w:tcW w:w="1406" w:type="dxa"/>
            <w:tcBorders>
              <w:top w:val="nil"/>
              <w:left w:val="nil"/>
              <w:bottom w:val="nil"/>
              <w:right w:val="nil"/>
            </w:tcBorders>
            <w:shd w:val="clear" w:color="auto" w:fill="auto"/>
            <w:vAlign w:val="center"/>
          </w:tcPr>
          <w:p w14:paraId="4A1864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校验重算范围、数量及成本差异，确认无关对象未被改动；超出预期范围时重新定位。</w:t>
            </w:r>
          </w:p>
        </w:tc>
        <w:tc>
          <w:tcPr>
            <w:tcW w:w="1088" w:type="dxa"/>
            <w:tcBorders>
              <w:top w:val="nil"/>
              <w:left w:val="nil"/>
              <w:bottom w:val="nil"/>
              <w:right w:val="nil"/>
            </w:tcBorders>
            <w:shd w:val="clear" w:color="auto" w:fill="auto"/>
            <w:vAlign w:val="center"/>
          </w:tcPr>
          <w:p w14:paraId="47E99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数量差异、成本差异、状态变化和后代覆盖检查</w:t>
            </w:r>
          </w:p>
        </w:tc>
        <w:tc>
          <w:tcPr>
            <w:tcW w:w="1460" w:type="dxa"/>
            <w:tcBorders>
              <w:top w:val="nil"/>
              <w:left w:val="nil"/>
              <w:bottom w:val="nil"/>
              <w:right w:val="nil"/>
            </w:tcBorders>
            <w:shd w:val="clear" w:color="auto" w:fill="auto"/>
            <w:vAlign w:val="center"/>
          </w:tcPr>
          <w:p w14:paraId="3DBCDE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7EA07B">
        <w:trPr>
          <w:cantSplit/>
          <w:trHeight w:val="0" w:hRule="atLeast"/>
          <w:jc w:val="center"/>
        </w:trPr>
        <w:tc>
          <w:tcPr>
            <w:tcW w:w="2944" w:type="dxa"/>
            <w:tcBorders>
              <w:top w:val="nil"/>
              <w:left w:val="nil"/>
              <w:bottom w:val="nil"/>
              <w:right w:val="nil"/>
            </w:tcBorders>
            <w:shd w:val="clear" w:color="auto" w:fill="auto"/>
            <w:vAlign w:val="center"/>
          </w:tcPr>
          <w:p w14:paraId="7CD296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P-ZLTC-SCOS-FYCB-008-80-001</w:t>
            </w:r>
          </w:p>
        </w:tc>
        <w:tc>
          <w:tcPr>
            <w:tcW w:w="945" w:type="dxa"/>
            <w:tcBorders>
              <w:top w:val="nil"/>
              <w:left w:val="nil"/>
              <w:bottom w:val="nil"/>
              <w:right w:val="nil"/>
            </w:tcBorders>
            <w:shd w:val="clear" w:color="auto" w:fill="auto"/>
            <w:vAlign w:val="center"/>
          </w:tcPr>
          <w:p w14:paraId="074E1E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生成成本规则修正结果规则</w:t>
            </w:r>
          </w:p>
        </w:tc>
        <w:tc>
          <w:tcPr>
            <w:tcW w:w="966" w:type="dxa"/>
            <w:tcBorders>
              <w:top w:val="nil"/>
              <w:left w:val="nil"/>
              <w:bottom w:val="nil"/>
              <w:right w:val="nil"/>
            </w:tcBorders>
            <w:shd w:val="clear" w:color="auto" w:fill="auto"/>
            <w:vAlign w:val="center"/>
          </w:tcPr>
          <w:p w14:paraId="135CEA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DE04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0105C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数量差异、成本差异、状态变化和后代覆盖检查形成后</w:t>
            </w:r>
          </w:p>
        </w:tc>
        <w:tc>
          <w:tcPr>
            <w:tcW w:w="1406" w:type="dxa"/>
            <w:tcBorders>
              <w:top w:val="nil"/>
              <w:left w:val="nil"/>
              <w:bottom w:val="nil"/>
              <w:right w:val="nil"/>
            </w:tcBorders>
            <w:shd w:val="clear" w:color="auto" w:fill="auto"/>
            <w:vAlign w:val="center"/>
          </w:tcPr>
          <w:p w14:paraId="710D90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形成规则调整前后对比、影响范围、差异及新版结果；不生成实际财务调整凭证。</w:t>
            </w:r>
          </w:p>
        </w:tc>
        <w:tc>
          <w:tcPr>
            <w:tcW w:w="1088" w:type="dxa"/>
            <w:tcBorders>
              <w:top w:val="nil"/>
              <w:left w:val="nil"/>
              <w:bottom w:val="nil"/>
              <w:right w:val="nil"/>
            </w:tcBorders>
            <w:shd w:val="clear" w:color="auto" w:fill="auto"/>
            <w:vAlign w:val="center"/>
          </w:tcPr>
          <w:p w14:paraId="113C41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规则调整、替代关系和成本修正结果</w:t>
            </w:r>
          </w:p>
        </w:tc>
        <w:tc>
          <w:tcPr>
            <w:tcW w:w="1460" w:type="dxa"/>
            <w:tcBorders>
              <w:top w:val="nil"/>
              <w:left w:val="nil"/>
              <w:bottom w:val="nil"/>
              <w:right w:val="nil"/>
            </w:tcBorders>
            <w:shd w:val="clear" w:color="auto" w:fill="auto"/>
            <w:vAlign w:val="center"/>
          </w:tcPr>
          <w:p w14:paraId="35CEB4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140785">
        <w:trPr>
          <w:cantSplit/>
          <w:trHeight w:val="0" w:hRule="atLeast"/>
          <w:jc w:val="center"/>
        </w:trPr>
        <w:tc>
          <w:tcPr>
            <w:tcW w:w="2944" w:type="dxa"/>
            <w:tcBorders>
              <w:top w:val="nil"/>
              <w:left w:val="nil"/>
              <w:bottom w:val="nil"/>
              <w:right w:val="nil"/>
            </w:tcBorders>
            <w:shd w:val="clear" w:color="auto" w:fill="auto"/>
            <w:vAlign w:val="center"/>
          </w:tcPr>
          <w:p w14:paraId="7BB2A2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P-ZLTC-SCOS-FYCB-008-90-001</w:t>
            </w:r>
          </w:p>
        </w:tc>
        <w:tc>
          <w:tcPr>
            <w:tcW w:w="945" w:type="dxa"/>
            <w:tcBorders>
              <w:top w:val="nil"/>
              <w:left w:val="nil"/>
              <w:bottom w:val="nil"/>
              <w:right w:val="nil"/>
            </w:tcBorders>
            <w:shd w:val="clear" w:color="auto" w:fill="auto"/>
            <w:vAlign w:val="center"/>
          </w:tcPr>
          <w:p w14:paraId="22BAA3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保存规则调整和结果版本规则</w:t>
            </w:r>
          </w:p>
        </w:tc>
        <w:tc>
          <w:tcPr>
            <w:tcW w:w="966" w:type="dxa"/>
            <w:tcBorders>
              <w:top w:val="nil"/>
              <w:left w:val="nil"/>
              <w:bottom w:val="nil"/>
              <w:right w:val="nil"/>
            </w:tcBorders>
            <w:shd w:val="clear" w:color="auto" w:fill="auto"/>
            <w:vAlign w:val="center"/>
          </w:tcPr>
          <w:p w14:paraId="122986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5C09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577F4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规则调整、替代关系和成本修正结果形成后</w:t>
            </w:r>
          </w:p>
        </w:tc>
        <w:tc>
          <w:tcPr>
            <w:tcW w:w="1406" w:type="dxa"/>
            <w:tcBorders>
              <w:top w:val="nil"/>
              <w:left w:val="nil"/>
              <w:bottom w:val="nil"/>
              <w:right w:val="nil"/>
            </w:tcBorders>
            <w:shd w:val="clear" w:color="auto" w:fill="auto"/>
            <w:vAlign w:val="center"/>
          </w:tcPr>
          <w:p w14:paraId="196CB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保存修正结果、新旧版本关系及受影响对象索引；历史结果只读保留，不原地覆盖。</w:t>
            </w:r>
          </w:p>
        </w:tc>
        <w:tc>
          <w:tcPr>
            <w:tcW w:w="1088" w:type="dxa"/>
            <w:tcBorders>
              <w:top w:val="nil"/>
              <w:left w:val="nil"/>
              <w:bottom w:val="nil"/>
              <w:right w:val="nil"/>
            </w:tcBorders>
            <w:shd w:val="clear" w:color="auto" w:fill="auto"/>
            <w:vAlign w:val="center"/>
          </w:tcPr>
          <w:p w14:paraId="4FDDA9E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规则调整和成本参考版本</w:t>
            </w:r>
          </w:p>
        </w:tc>
        <w:tc>
          <w:tcPr>
            <w:tcW w:w="1460" w:type="dxa"/>
            <w:tcBorders>
              <w:top w:val="nil"/>
              <w:left w:val="nil"/>
              <w:bottom w:val="nil"/>
              <w:right w:val="nil"/>
            </w:tcBorders>
            <w:shd w:val="clear" w:color="auto" w:fill="auto"/>
            <w:vAlign w:val="center"/>
          </w:tcPr>
          <w:p w14:paraId="716989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C2940BB">
        <w:trPr>
          <w:cantSplit/>
          <w:trHeight w:val="0" w:hRule="atLeast"/>
          <w:jc w:val="center"/>
        </w:trPr>
        <w:tc>
          <w:tcPr>
            <w:tcW w:w="2944" w:type="dxa"/>
            <w:tcBorders>
              <w:top w:val="nil"/>
              <w:left w:val="nil"/>
              <w:bottom w:val="nil"/>
              <w:right w:val="nil"/>
            </w:tcBorders>
            <w:shd w:val="clear" w:color="auto" w:fill="auto"/>
            <w:vAlign w:val="center"/>
          </w:tcPr>
          <w:p w14:paraId="1566C0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P-ZLTC-SCOS-FYCB-009-10-001</w:t>
            </w:r>
          </w:p>
        </w:tc>
        <w:tc>
          <w:tcPr>
            <w:tcW w:w="945" w:type="dxa"/>
            <w:tcBorders>
              <w:top w:val="nil"/>
              <w:left w:val="nil"/>
              <w:bottom w:val="nil"/>
              <w:right w:val="nil"/>
            </w:tcBorders>
            <w:shd w:val="clear" w:color="auto" w:fill="auto"/>
            <w:vAlign w:val="center"/>
          </w:tcPr>
          <w:p w14:paraId="3C54C8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加载成本版本和预警规则</w:t>
            </w:r>
          </w:p>
        </w:tc>
        <w:tc>
          <w:tcPr>
            <w:tcW w:w="966" w:type="dxa"/>
            <w:tcBorders>
              <w:top w:val="nil"/>
              <w:left w:val="nil"/>
              <w:bottom w:val="nil"/>
              <w:right w:val="nil"/>
            </w:tcBorders>
            <w:shd w:val="clear" w:color="auto" w:fill="auto"/>
            <w:vAlign w:val="center"/>
          </w:tcPr>
          <w:p w14:paraId="1C3837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34602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755A8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SCOS在成本结果更新或周期任务触发时</w:t>
            </w:r>
          </w:p>
        </w:tc>
        <w:tc>
          <w:tcPr>
            <w:tcW w:w="1406" w:type="dxa"/>
            <w:tcBorders>
              <w:top w:val="nil"/>
              <w:left w:val="nil"/>
              <w:bottom w:val="nil"/>
              <w:right w:val="nil"/>
            </w:tcBorders>
            <w:shd w:val="clear" w:color="auto" w:fill="auto"/>
            <w:vAlign w:val="center"/>
          </w:tcPr>
          <w:p w14:paraId="792B0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锁定本次监测使用的成本版本、对象、期间和比较基线；阈值未维护时只计算变化，不自动判定异常。</w:t>
            </w:r>
          </w:p>
        </w:tc>
        <w:tc>
          <w:tcPr>
            <w:tcW w:w="1088" w:type="dxa"/>
            <w:tcBorders>
              <w:top w:val="nil"/>
              <w:left w:val="nil"/>
              <w:bottom w:val="nil"/>
              <w:right w:val="nil"/>
            </w:tcBorders>
            <w:shd w:val="clear" w:color="auto" w:fill="auto"/>
            <w:vAlign w:val="center"/>
          </w:tcPr>
          <w:p w14:paraId="6620745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监测范围与基准</w:t>
            </w:r>
          </w:p>
        </w:tc>
        <w:tc>
          <w:tcPr>
            <w:tcW w:w="1460" w:type="dxa"/>
            <w:tcBorders>
              <w:top w:val="nil"/>
              <w:left w:val="nil"/>
              <w:bottom w:val="nil"/>
              <w:right w:val="nil"/>
            </w:tcBorders>
            <w:shd w:val="clear" w:color="auto" w:fill="auto"/>
            <w:vAlign w:val="center"/>
          </w:tcPr>
          <w:p w14:paraId="602310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EBE4FF7">
        <w:trPr>
          <w:cantSplit/>
          <w:trHeight w:val="0" w:hRule="atLeast"/>
          <w:jc w:val="center"/>
        </w:trPr>
        <w:tc>
          <w:tcPr>
            <w:tcW w:w="2944" w:type="dxa"/>
            <w:tcBorders>
              <w:top w:val="nil"/>
              <w:left w:val="nil"/>
              <w:bottom w:val="nil"/>
              <w:right w:val="nil"/>
            </w:tcBorders>
            <w:shd w:val="clear" w:color="auto" w:fill="auto"/>
            <w:vAlign w:val="center"/>
          </w:tcPr>
          <w:p w14:paraId="640E3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P-ZLTC-SCOS-FYCB-009-20-001</w:t>
            </w:r>
          </w:p>
        </w:tc>
        <w:tc>
          <w:tcPr>
            <w:tcW w:w="945" w:type="dxa"/>
            <w:tcBorders>
              <w:top w:val="nil"/>
              <w:left w:val="nil"/>
              <w:bottom w:val="nil"/>
              <w:right w:val="nil"/>
            </w:tcBorders>
            <w:shd w:val="clear" w:color="auto" w:fill="auto"/>
            <w:vAlign w:val="center"/>
          </w:tcPr>
          <w:p w14:paraId="0A8A757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计算成本变化和异常指标规则</w:t>
            </w:r>
          </w:p>
        </w:tc>
        <w:tc>
          <w:tcPr>
            <w:tcW w:w="966" w:type="dxa"/>
            <w:tcBorders>
              <w:top w:val="nil"/>
              <w:left w:val="nil"/>
              <w:bottom w:val="nil"/>
              <w:right w:val="nil"/>
            </w:tcBorders>
            <w:shd w:val="clear" w:color="auto" w:fill="auto"/>
            <w:vAlign w:val="center"/>
          </w:tcPr>
          <w:p w14:paraId="122211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0EBA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3FCB45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监测范围与基准形成后</w:t>
            </w:r>
          </w:p>
        </w:tc>
        <w:tc>
          <w:tcPr>
            <w:tcW w:w="1406" w:type="dxa"/>
            <w:tcBorders>
              <w:top w:val="nil"/>
              <w:left w:val="nil"/>
              <w:bottom w:val="nil"/>
              <w:right w:val="nil"/>
            </w:tcBorders>
            <w:shd w:val="clear" w:color="auto" w:fill="auto"/>
            <w:vAlign w:val="center"/>
          </w:tcPr>
          <w:p w14:paraId="78569F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按统一口径比较当前结果与历史基线；低可信度关系和不可用单位成本单独标识。</w:t>
            </w:r>
          </w:p>
        </w:tc>
        <w:tc>
          <w:tcPr>
            <w:tcW w:w="1088" w:type="dxa"/>
            <w:tcBorders>
              <w:top w:val="nil"/>
              <w:left w:val="nil"/>
              <w:bottom w:val="nil"/>
              <w:right w:val="nil"/>
            </w:tcBorders>
            <w:shd w:val="clear" w:color="auto" w:fill="auto"/>
            <w:vAlign w:val="center"/>
          </w:tcPr>
          <w:p w14:paraId="38548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价格、用量、收率、能耗、单位成本和分摊变化</w:t>
            </w:r>
          </w:p>
        </w:tc>
        <w:tc>
          <w:tcPr>
            <w:tcW w:w="1460" w:type="dxa"/>
            <w:tcBorders>
              <w:top w:val="nil"/>
              <w:left w:val="nil"/>
              <w:bottom w:val="nil"/>
              <w:right w:val="nil"/>
            </w:tcBorders>
            <w:shd w:val="clear" w:color="auto" w:fill="auto"/>
            <w:vAlign w:val="center"/>
          </w:tcPr>
          <w:p w14:paraId="09CEB2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554A39">
        <w:trPr>
          <w:cantSplit/>
          <w:trHeight w:val="0" w:hRule="atLeast"/>
          <w:jc w:val="center"/>
        </w:trPr>
        <w:tc>
          <w:tcPr>
            <w:tcW w:w="2944" w:type="dxa"/>
            <w:tcBorders>
              <w:top w:val="nil"/>
              <w:left w:val="nil"/>
              <w:bottom w:val="nil"/>
              <w:right w:val="nil"/>
            </w:tcBorders>
            <w:shd w:val="clear" w:color="auto" w:fill="auto"/>
            <w:vAlign w:val="center"/>
          </w:tcPr>
          <w:p w14:paraId="7B2E76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P-ZLTC-SCOS-FYCB-009-30-001</w:t>
            </w:r>
          </w:p>
        </w:tc>
        <w:tc>
          <w:tcPr>
            <w:tcW w:w="945" w:type="dxa"/>
            <w:tcBorders>
              <w:top w:val="nil"/>
              <w:left w:val="nil"/>
              <w:bottom w:val="nil"/>
              <w:right w:val="nil"/>
            </w:tcBorders>
            <w:shd w:val="clear" w:color="auto" w:fill="auto"/>
            <w:vAlign w:val="center"/>
          </w:tcPr>
          <w:p w14:paraId="600956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判断是否形成成本预警规则</w:t>
            </w:r>
          </w:p>
        </w:tc>
        <w:tc>
          <w:tcPr>
            <w:tcW w:w="966" w:type="dxa"/>
            <w:tcBorders>
              <w:top w:val="nil"/>
              <w:left w:val="nil"/>
              <w:bottom w:val="nil"/>
              <w:right w:val="nil"/>
            </w:tcBorders>
            <w:shd w:val="clear" w:color="auto" w:fill="auto"/>
            <w:vAlign w:val="center"/>
          </w:tcPr>
          <w:p w14:paraId="424EBE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0DF9F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02D883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价格、用量、收率、能耗、单位成本和分摊变化形成后</w:t>
            </w:r>
          </w:p>
        </w:tc>
        <w:tc>
          <w:tcPr>
            <w:tcW w:w="1406" w:type="dxa"/>
            <w:tcBorders>
              <w:top w:val="nil"/>
              <w:left w:val="nil"/>
              <w:bottom w:val="nil"/>
              <w:right w:val="nil"/>
            </w:tcBorders>
            <w:shd w:val="clear" w:color="auto" w:fill="auto"/>
            <w:vAlign w:val="center"/>
          </w:tcPr>
          <w:p w14:paraId="57AACD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识别成本突变、未分摊费用、低可信度关系及单位成本异常；形成成本预警时定位异常；未形成成本预警时生成无预警监测结果。</w:t>
            </w:r>
          </w:p>
        </w:tc>
        <w:tc>
          <w:tcPr>
            <w:tcW w:w="1088" w:type="dxa"/>
            <w:tcBorders>
              <w:top w:val="nil"/>
              <w:left w:val="nil"/>
              <w:bottom w:val="nil"/>
              <w:right w:val="nil"/>
            </w:tcBorders>
            <w:shd w:val="clear" w:color="auto" w:fill="auto"/>
            <w:vAlign w:val="center"/>
          </w:tcPr>
          <w:p w14:paraId="24417B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预警判断和初始等级</w:t>
            </w:r>
          </w:p>
        </w:tc>
        <w:tc>
          <w:tcPr>
            <w:tcW w:w="1460" w:type="dxa"/>
            <w:tcBorders>
              <w:top w:val="nil"/>
              <w:left w:val="nil"/>
              <w:bottom w:val="nil"/>
              <w:right w:val="nil"/>
            </w:tcBorders>
            <w:shd w:val="clear" w:color="auto" w:fill="auto"/>
            <w:vAlign w:val="center"/>
          </w:tcPr>
          <w:p w14:paraId="203926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5B8F20">
        <w:trPr>
          <w:cantSplit/>
          <w:trHeight w:val="0" w:hRule="atLeast"/>
          <w:jc w:val="center"/>
        </w:trPr>
        <w:tc>
          <w:tcPr>
            <w:tcW w:w="2944" w:type="dxa"/>
            <w:tcBorders>
              <w:top w:val="nil"/>
              <w:left w:val="nil"/>
              <w:bottom w:val="nil"/>
              <w:right w:val="nil"/>
            </w:tcBorders>
            <w:shd w:val="clear" w:color="auto" w:fill="auto"/>
            <w:vAlign w:val="center"/>
          </w:tcPr>
          <w:p w14:paraId="4BEFBA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P-ZLTC-SCOS-FYCB-009-40-001</w:t>
            </w:r>
          </w:p>
        </w:tc>
        <w:tc>
          <w:tcPr>
            <w:tcW w:w="945" w:type="dxa"/>
            <w:tcBorders>
              <w:top w:val="nil"/>
              <w:left w:val="nil"/>
              <w:bottom w:val="nil"/>
              <w:right w:val="nil"/>
            </w:tcBorders>
            <w:shd w:val="clear" w:color="auto" w:fill="auto"/>
            <w:vAlign w:val="center"/>
          </w:tcPr>
          <w:p w14:paraId="7773FD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定位异常来源和影响对象规则</w:t>
            </w:r>
          </w:p>
        </w:tc>
        <w:tc>
          <w:tcPr>
            <w:tcW w:w="966" w:type="dxa"/>
            <w:tcBorders>
              <w:top w:val="nil"/>
              <w:left w:val="nil"/>
              <w:bottom w:val="nil"/>
              <w:right w:val="nil"/>
            </w:tcBorders>
            <w:shd w:val="clear" w:color="auto" w:fill="auto"/>
            <w:vAlign w:val="center"/>
          </w:tcPr>
          <w:p w14:paraId="6ABC05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C2E57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B7EF7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形成成本预警时</w:t>
            </w:r>
          </w:p>
        </w:tc>
        <w:tc>
          <w:tcPr>
            <w:tcW w:w="1406" w:type="dxa"/>
            <w:tcBorders>
              <w:top w:val="nil"/>
              <w:left w:val="nil"/>
              <w:bottom w:val="nil"/>
              <w:right w:val="nil"/>
            </w:tcBorders>
            <w:shd w:val="clear" w:color="auto" w:fill="auto"/>
            <w:vAlign w:val="center"/>
          </w:tcPr>
          <w:p w14:paraId="1A2CC9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分析原料价格、用量、收率、能耗和费用等异常来源；无法定位时标记待分析，不输出确定性责任结论。</w:t>
            </w:r>
          </w:p>
        </w:tc>
        <w:tc>
          <w:tcPr>
            <w:tcW w:w="1088" w:type="dxa"/>
            <w:tcBorders>
              <w:top w:val="nil"/>
              <w:left w:val="nil"/>
              <w:bottom w:val="nil"/>
              <w:right w:val="nil"/>
            </w:tcBorders>
            <w:shd w:val="clear" w:color="auto" w:fill="auto"/>
            <w:vAlign w:val="center"/>
          </w:tcPr>
          <w:p w14:paraId="2F6B65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异常来源、受影响批次、产品、订单、客户和供应商</w:t>
            </w:r>
          </w:p>
        </w:tc>
        <w:tc>
          <w:tcPr>
            <w:tcW w:w="1460" w:type="dxa"/>
            <w:tcBorders>
              <w:top w:val="nil"/>
              <w:left w:val="nil"/>
              <w:bottom w:val="nil"/>
              <w:right w:val="nil"/>
            </w:tcBorders>
            <w:shd w:val="clear" w:color="auto" w:fill="auto"/>
            <w:vAlign w:val="center"/>
          </w:tcPr>
          <w:p w14:paraId="20EAC9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5032EC">
        <w:trPr>
          <w:cantSplit/>
          <w:trHeight w:val="0" w:hRule="atLeast"/>
          <w:jc w:val="center"/>
        </w:trPr>
        <w:tc>
          <w:tcPr>
            <w:tcW w:w="2944" w:type="dxa"/>
            <w:tcBorders>
              <w:top w:val="nil"/>
              <w:left w:val="nil"/>
              <w:bottom w:val="nil"/>
              <w:right w:val="nil"/>
            </w:tcBorders>
            <w:shd w:val="clear" w:color="auto" w:fill="auto"/>
            <w:vAlign w:val="center"/>
          </w:tcPr>
          <w:p w14:paraId="778D27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P-ZLTC-SCOS-FYCB-009-50-001</w:t>
            </w:r>
          </w:p>
        </w:tc>
        <w:tc>
          <w:tcPr>
            <w:tcW w:w="945" w:type="dxa"/>
            <w:tcBorders>
              <w:top w:val="nil"/>
              <w:left w:val="nil"/>
              <w:bottom w:val="nil"/>
              <w:right w:val="nil"/>
            </w:tcBorders>
            <w:shd w:val="clear" w:color="auto" w:fill="auto"/>
            <w:vAlign w:val="center"/>
          </w:tcPr>
          <w:p w14:paraId="0C4FB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生成角色化成本预警内容规则</w:t>
            </w:r>
          </w:p>
        </w:tc>
        <w:tc>
          <w:tcPr>
            <w:tcW w:w="966" w:type="dxa"/>
            <w:tcBorders>
              <w:top w:val="nil"/>
              <w:left w:val="nil"/>
              <w:bottom w:val="nil"/>
              <w:right w:val="nil"/>
            </w:tcBorders>
            <w:shd w:val="clear" w:color="auto" w:fill="auto"/>
            <w:vAlign w:val="center"/>
          </w:tcPr>
          <w:p w14:paraId="505B2A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D03A1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3B5EA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异常来源、受影响批次、产品、订单、客户和供应商形成后</w:t>
            </w:r>
          </w:p>
        </w:tc>
        <w:tc>
          <w:tcPr>
            <w:tcW w:w="1406" w:type="dxa"/>
            <w:tcBorders>
              <w:top w:val="nil"/>
              <w:left w:val="nil"/>
              <w:bottom w:val="nil"/>
              <w:right w:val="nil"/>
            </w:tcBorders>
            <w:shd w:val="clear" w:color="auto" w:fill="auto"/>
            <w:vAlign w:val="center"/>
          </w:tcPr>
          <w:p w14:paraId="56F0F7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按异常对象生成角色化提示；提示只用于关注和追溯，不自动认定损失。</w:t>
            </w:r>
          </w:p>
        </w:tc>
        <w:tc>
          <w:tcPr>
            <w:tcW w:w="1088" w:type="dxa"/>
            <w:tcBorders>
              <w:top w:val="nil"/>
              <w:left w:val="nil"/>
              <w:bottom w:val="nil"/>
              <w:right w:val="nil"/>
            </w:tcBorders>
            <w:shd w:val="clear" w:color="auto" w:fill="auto"/>
            <w:vAlign w:val="center"/>
          </w:tcPr>
          <w:p w14:paraId="66AC25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生产、销售、采购和财务关注的预警内容及追溯入口</w:t>
            </w:r>
          </w:p>
        </w:tc>
        <w:tc>
          <w:tcPr>
            <w:tcW w:w="1460" w:type="dxa"/>
            <w:tcBorders>
              <w:top w:val="nil"/>
              <w:left w:val="nil"/>
              <w:bottom w:val="nil"/>
              <w:right w:val="nil"/>
            </w:tcBorders>
            <w:shd w:val="clear" w:color="auto" w:fill="auto"/>
            <w:vAlign w:val="center"/>
          </w:tcPr>
          <w:p w14:paraId="7935DAF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172727">
        <w:trPr>
          <w:cantSplit/>
          <w:trHeight w:val="0" w:hRule="atLeast"/>
          <w:jc w:val="center"/>
        </w:trPr>
        <w:tc>
          <w:tcPr>
            <w:tcW w:w="2944" w:type="dxa"/>
            <w:tcBorders>
              <w:top w:val="nil"/>
              <w:left w:val="nil"/>
              <w:bottom w:val="nil"/>
              <w:right w:val="nil"/>
            </w:tcBorders>
            <w:shd w:val="clear" w:color="auto" w:fill="auto"/>
            <w:vAlign w:val="center"/>
          </w:tcPr>
          <w:p w14:paraId="4DF918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P-ZLTC-SCOS-FYCB-009-60-001</w:t>
            </w:r>
          </w:p>
        </w:tc>
        <w:tc>
          <w:tcPr>
            <w:tcW w:w="945" w:type="dxa"/>
            <w:tcBorders>
              <w:top w:val="nil"/>
              <w:left w:val="nil"/>
              <w:bottom w:val="nil"/>
              <w:right w:val="nil"/>
            </w:tcBorders>
            <w:shd w:val="clear" w:color="auto" w:fill="auto"/>
            <w:vAlign w:val="center"/>
          </w:tcPr>
          <w:p w14:paraId="00CB46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生成成本监测和预警结果规则</w:t>
            </w:r>
          </w:p>
        </w:tc>
        <w:tc>
          <w:tcPr>
            <w:tcW w:w="966" w:type="dxa"/>
            <w:tcBorders>
              <w:top w:val="nil"/>
              <w:left w:val="nil"/>
              <w:bottom w:val="nil"/>
              <w:right w:val="nil"/>
            </w:tcBorders>
            <w:shd w:val="clear" w:color="auto" w:fill="auto"/>
            <w:vAlign w:val="center"/>
          </w:tcPr>
          <w:p w14:paraId="4CF669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629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5CDB7E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未形成成本预警时</w:t>
            </w:r>
          </w:p>
        </w:tc>
        <w:tc>
          <w:tcPr>
            <w:tcW w:w="1406" w:type="dxa"/>
            <w:tcBorders>
              <w:top w:val="nil"/>
              <w:left w:val="nil"/>
              <w:bottom w:val="nil"/>
              <w:right w:val="nil"/>
            </w:tcBorders>
            <w:shd w:val="clear" w:color="auto" w:fill="auto"/>
            <w:vAlign w:val="center"/>
          </w:tcPr>
          <w:p w14:paraId="0EC20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汇总监测批次、指标、预警等级、异常对象和责任角色；无预警时保存正常监测结果，有预警时保存开放预警。</w:t>
            </w:r>
          </w:p>
        </w:tc>
        <w:tc>
          <w:tcPr>
            <w:tcW w:w="1088" w:type="dxa"/>
            <w:tcBorders>
              <w:top w:val="nil"/>
              <w:left w:val="nil"/>
              <w:bottom w:val="nil"/>
              <w:right w:val="nil"/>
            </w:tcBorders>
            <w:shd w:val="clear" w:color="auto" w:fill="auto"/>
            <w:vAlign w:val="center"/>
          </w:tcPr>
          <w:p w14:paraId="7D46AC1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本轮监测结果、预警状态和追溯入口</w:t>
            </w:r>
          </w:p>
        </w:tc>
        <w:tc>
          <w:tcPr>
            <w:tcW w:w="1460" w:type="dxa"/>
            <w:tcBorders>
              <w:top w:val="nil"/>
              <w:left w:val="nil"/>
              <w:bottom w:val="nil"/>
              <w:right w:val="nil"/>
            </w:tcBorders>
            <w:shd w:val="clear" w:color="auto" w:fill="auto"/>
            <w:vAlign w:val="center"/>
          </w:tcPr>
          <w:p w14:paraId="09CB62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A3CD7A0">
        <w:trPr>
          <w:cantSplit/>
          <w:trHeight w:val="0" w:hRule="atLeast"/>
          <w:jc w:val="center"/>
        </w:trPr>
        <w:tc>
          <w:tcPr>
            <w:tcW w:w="2944" w:type="dxa"/>
            <w:tcBorders>
              <w:top w:val="nil"/>
              <w:left w:val="nil"/>
              <w:bottom w:val="nil"/>
              <w:right w:val="nil"/>
            </w:tcBorders>
            <w:shd w:val="clear" w:color="auto" w:fill="auto"/>
            <w:vAlign w:val="center"/>
          </w:tcPr>
          <w:p w14:paraId="0FF02E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P-ZLTC-SCOS-FYCB-009-70-001</w:t>
            </w:r>
          </w:p>
        </w:tc>
        <w:tc>
          <w:tcPr>
            <w:tcW w:w="945" w:type="dxa"/>
            <w:tcBorders>
              <w:top w:val="nil"/>
              <w:left w:val="nil"/>
              <w:bottom w:val="nil"/>
              <w:right w:val="nil"/>
            </w:tcBorders>
            <w:shd w:val="clear" w:color="auto" w:fill="auto"/>
            <w:vAlign w:val="center"/>
          </w:tcPr>
          <w:p w14:paraId="63BAC4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保存成本监测预警结果规则</w:t>
            </w:r>
          </w:p>
        </w:tc>
        <w:tc>
          <w:tcPr>
            <w:tcW w:w="966" w:type="dxa"/>
            <w:tcBorders>
              <w:top w:val="nil"/>
              <w:left w:val="nil"/>
              <w:bottom w:val="nil"/>
              <w:right w:val="nil"/>
            </w:tcBorders>
            <w:shd w:val="clear" w:color="auto" w:fill="auto"/>
            <w:vAlign w:val="center"/>
          </w:tcPr>
          <w:p w14:paraId="0062EC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BDDA9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19580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本轮监测结果、预警状态和追溯入口形成后</w:t>
            </w:r>
          </w:p>
        </w:tc>
        <w:tc>
          <w:tcPr>
            <w:tcW w:w="1406" w:type="dxa"/>
            <w:tcBorders>
              <w:top w:val="nil"/>
              <w:left w:val="nil"/>
              <w:bottom w:val="nil"/>
              <w:right w:val="nil"/>
            </w:tcBorders>
            <w:shd w:val="clear" w:color="auto" w:fill="auto"/>
            <w:vAlign w:val="center"/>
          </w:tcPr>
          <w:p w14:paraId="6D9BA6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保存指标快照、预警主记录、角色视图、状态和历史变化；状态变化形成新记录，不覆盖历史结果。</w:t>
            </w:r>
          </w:p>
        </w:tc>
        <w:tc>
          <w:tcPr>
            <w:tcW w:w="1088" w:type="dxa"/>
            <w:tcBorders>
              <w:top w:val="nil"/>
              <w:left w:val="nil"/>
              <w:bottom w:val="nil"/>
              <w:right w:val="nil"/>
            </w:tcBorders>
            <w:shd w:val="clear" w:color="auto" w:fill="auto"/>
            <w:vAlign w:val="center"/>
          </w:tcPr>
          <w:p w14:paraId="7213D7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监测结果及预警版本</w:t>
            </w:r>
          </w:p>
        </w:tc>
        <w:tc>
          <w:tcPr>
            <w:tcW w:w="1460" w:type="dxa"/>
            <w:tcBorders>
              <w:top w:val="nil"/>
              <w:left w:val="nil"/>
              <w:bottom w:val="nil"/>
              <w:right w:val="nil"/>
            </w:tcBorders>
            <w:shd w:val="clear" w:color="auto" w:fill="auto"/>
            <w:vAlign w:val="center"/>
          </w:tcPr>
          <w:p w14:paraId="599C6C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bl>
    <w:p w14:paraId="6E0722CB">
      <w:pPr>
        <w:rPr>
          <w:rFonts w:hint="default"/>
          <w:lang w:val="en-US" w:eastAsia="zh-CN"/>
        </w:rPr>
      </w:pPr>
    </w:p>
    <w:p w14:paraId="027D9FE4">
      <w:pPr>
        <w:pStyle w:val="2"/>
        <w:bidi w:val="0"/>
        <w:rPr>
          <w:rFonts w:hint="eastAsia" w:ascii="黑体" w:hAnsi="黑体" w:eastAsia="黑体" w:cs="黑体"/>
        </w:rPr>
      </w:pPr>
      <w:bookmarkStart w:id="30" w:name="_Toc828266247"/>
      <w:r>
        <w:rPr>
          <w:rFonts w:hint="eastAsia" w:ascii="黑体" w:hAnsi="黑体" w:eastAsia="黑体" w:cs="黑体"/>
        </w:rPr>
        <w:t>SCOS智能化应用场景说明书</w:t>
      </w:r>
      <w:bookmarkEnd w:id="30"/>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46004128">
        <w:trPr>
          <w:cantSplit/>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112A4B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2FBAAF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B7964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78D204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526ABF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1F67AAE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70BEF3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考核</w:t>
            </w:r>
          </w:p>
        </w:tc>
      </w:tr>
      <w:tr w14:paraId="724D2367">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73883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7D2FA3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15DA39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3B70A22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4332B1B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3B353B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32AB38B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F5F0B54">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6C4969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1BAC7A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3E18C2C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2E583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577325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E778F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2671E4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73495188">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08F7B9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FA124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0D9B9D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4AA7A0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7A8AF8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75D97F7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49FC52B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691CE0DE">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417C60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31316C1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39ECCC80">
            <w:pPr>
              <w:keepNext w:val="0"/>
              <w:keepLines w:val="0"/>
              <w:suppressLineNumbers w:val="0"/>
              <w:spacing w:before="0" w:beforeAutospacing="0" w:after="0" w:afterAutospacing="0" w:line="240" w:lineRule="auto"/>
              <w:ind w:left="0" w:right="0"/>
              <w:jc w:val="center"/>
              <w:rPr>
                <w:rFonts w:hint="default" w:eastAsia="宋体"/>
                <w:sz w:val="20"/>
                <w:szCs w:val="20"/>
                <w:lang w:val="en-US" w:eastAsia="zh-CN"/>
              </w:rPr>
            </w:pPr>
            <w:r>
              <w:rPr>
                <w:rFonts w:hint="eastAsia"/>
                <w:sz w:val="20"/>
                <w:szCs w:val="20"/>
                <w:lang w:val="en-US" w:eastAsia="zh-CN"/>
              </w:rPr>
              <w:t>参考精益排程部分</w:t>
            </w:r>
          </w:p>
        </w:tc>
        <w:tc>
          <w:tcPr>
            <w:tcW w:w="1657" w:type="dxa"/>
            <w:tcBorders>
              <w:top w:val="nil"/>
              <w:left w:val="nil"/>
              <w:bottom w:val="nil"/>
              <w:right w:val="nil"/>
            </w:tcBorders>
            <w:noWrap w:val="0"/>
            <w:tcMar>
              <w:top w:w="-1" w:type="dxa"/>
              <w:left w:w="-1" w:type="dxa"/>
              <w:bottom w:w="-1" w:type="dxa"/>
              <w:right w:w="-1" w:type="dxa"/>
            </w:tcMar>
            <w:vAlign w:val="center"/>
          </w:tcPr>
          <w:p w14:paraId="5E104316">
            <w:pPr>
              <w:keepNext w:val="0"/>
              <w:keepLines w:val="0"/>
              <w:suppressLineNumbers w:val="0"/>
              <w:spacing w:before="0" w:beforeAutospacing="0" w:after="0" w:afterAutospacing="0" w:line="240" w:lineRule="auto"/>
              <w:ind w:left="0" w:right="0"/>
              <w:jc w:val="center"/>
              <w:rPr>
                <w:rFonts w:hint="default"/>
                <w:szCs w:val="22"/>
              </w:rPr>
            </w:pPr>
          </w:p>
        </w:tc>
        <w:tc>
          <w:tcPr>
            <w:tcW w:w="1428" w:type="dxa"/>
            <w:tcBorders>
              <w:top w:val="nil"/>
              <w:left w:val="nil"/>
              <w:bottom w:val="nil"/>
              <w:right w:val="nil"/>
            </w:tcBorders>
            <w:noWrap w:val="0"/>
            <w:tcMar>
              <w:top w:w="-1" w:type="dxa"/>
              <w:left w:w="-1" w:type="dxa"/>
              <w:bottom w:w="-1" w:type="dxa"/>
              <w:right w:w="-1" w:type="dxa"/>
            </w:tcMar>
            <w:vAlign w:val="center"/>
          </w:tcPr>
          <w:p w14:paraId="381DC043">
            <w:pPr>
              <w:keepNext w:val="0"/>
              <w:keepLines w:val="0"/>
              <w:suppressLineNumbers w:val="0"/>
              <w:spacing w:before="0" w:beforeAutospacing="0" w:after="0" w:afterAutospacing="0" w:line="240" w:lineRule="auto"/>
              <w:ind w:left="0" w:right="0"/>
              <w:jc w:val="center"/>
              <w:rPr>
                <w:rFonts w:hint="default"/>
                <w:szCs w:val="22"/>
              </w:rPr>
            </w:pPr>
          </w:p>
        </w:tc>
        <w:tc>
          <w:tcPr>
            <w:tcW w:w="1423" w:type="dxa"/>
            <w:tcBorders>
              <w:top w:val="nil"/>
              <w:left w:val="nil"/>
              <w:bottom w:val="nil"/>
              <w:right w:val="nil"/>
            </w:tcBorders>
            <w:noWrap w:val="0"/>
            <w:tcMar>
              <w:top w:w="-1" w:type="dxa"/>
              <w:left w:w="-1" w:type="dxa"/>
              <w:bottom w:w="-1" w:type="dxa"/>
              <w:right w:w="-1" w:type="dxa"/>
            </w:tcMar>
            <w:vAlign w:val="center"/>
          </w:tcPr>
          <w:p w14:paraId="293443B8">
            <w:pPr>
              <w:keepNext w:val="0"/>
              <w:keepLines w:val="0"/>
              <w:suppressLineNumbers w:val="0"/>
              <w:spacing w:before="0" w:beforeAutospacing="0" w:after="0" w:afterAutospacing="0" w:line="240" w:lineRule="auto"/>
              <w:ind w:left="0" w:right="0"/>
              <w:jc w:val="center"/>
              <w:rPr>
                <w:rFonts w:hint="default"/>
                <w:szCs w:val="22"/>
              </w:rPr>
            </w:pPr>
          </w:p>
        </w:tc>
        <w:tc>
          <w:tcPr>
            <w:tcW w:w="757" w:type="dxa"/>
            <w:tcBorders>
              <w:top w:val="nil"/>
              <w:left w:val="nil"/>
              <w:bottom w:val="nil"/>
              <w:right w:val="nil"/>
            </w:tcBorders>
            <w:noWrap w:val="0"/>
            <w:tcMar>
              <w:top w:w="-1" w:type="dxa"/>
              <w:left w:w="-1" w:type="dxa"/>
              <w:bottom w:w="-1" w:type="dxa"/>
              <w:right w:w="-1" w:type="dxa"/>
            </w:tcMar>
            <w:vAlign w:val="center"/>
          </w:tcPr>
          <w:p w14:paraId="778971BB">
            <w:pPr>
              <w:keepNext w:val="0"/>
              <w:keepLines w:val="0"/>
              <w:suppressLineNumbers w:val="0"/>
              <w:spacing w:before="0" w:beforeAutospacing="0" w:after="0" w:afterAutospacing="0" w:line="240" w:lineRule="auto"/>
              <w:ind w:left="0" w:right="0"/>
              <w:jc w:val="center"/>
              <w:rPr>
                <w:rFonts w:hint="default"/>
                <w:szCs w:val="22"/>
              </w:rPr>
            </w:pPr>
          </w:p>
        </w:tc>
      </w:tr>
      <w:tr w14:paraId="2224E685">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1BBD8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79C969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5CB8B1F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73CCBC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0743BC4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0B4D43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29E2538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DC73882">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A1A31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04AAD4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32B1D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516A28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844821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16975B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16D55B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CF8367A">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72553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3B8EE5D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75D087C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3C78DC2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26392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79A9DD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176641F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45AF7E0">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46C9384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162ADDE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6D8629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C33A5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5308FA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3FB4DCE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44280F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bl>
    <w:p w14:paraId="12008972">
      <w:pPr>
        <w:rPr>
          <w:rFonts w:hint="eastAsia"/>
        </w:rPr>
      </w:pPr>
    </w:p>
    <w:p w14:paraId="7F36A318"/>
    <w:p w14:paraId="326EDC09">
      <w:pPr>
        <w:pStyle w:val="3"/>
        <w:bidi w:val="0"/>
        <w:rPr>
          <w:rFonts w:hint="eastAsia" w:ascii="黑体" w:hAnsi="黑体" w:eastAsia="黑体" w:cs="黑体"/>
        </w:rPr>
      </w:pPr>
      <w:bookmarkStart w:id="31" w:name="_Toc681813475"/>
      <w:r>
        <w:rPr>
          <w:rFonts w:hint="eastAsia" w:ascii="黑体" w:hAnsi="黑体" w:eastAsia="黑体" w:cs="黑体"/>
        </w:rPr>
        <w:t>智能化场景总体说明</w:t>
      </w:r>
      <w:bookmarkEnd w:id="31"/>
    </w:p>
    <w:p w14:paraId="0831FF5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p w14:paraId="15B7D08F">
      <w:pPr>
        <w:pStyle w:val="3"/>
        <w:rPr>
          <w:rFonts w:hint="eastAsia" w:ascii="黑体" w:hAnsi="黑体" w:eastAsia="黑体" w:cs="黑体"/>
        </w:rPr>
      </w:pPr>
      <w:bookmarkStart w:id="32" w:name="_Toc266333933"/>
      <w:r>
        <w:rPr>
          <w:rFonts w:hint="eastAsia" w:ascii="黑体" w:hAnsi="黑体" w:eastAsia="黑体" w:cs="黑体"/>
        </w:rPr>
        <w:t>供应链驾驶舱态势监测与预警联动</w:t>
      </w:r>
      <w:r>
        <w:rPr>
          <w:rFonts w:hint="eastAsia" w:ascii="黑体" w:hAnsi="黑体" w:eastAsia="黑体" w:cs="黑体"/>
          <w:lang w:val="en-US" w:eastAsia="zh-CN"/>
        </w:rPr>
        <w:t>（F-ZLTC-SCOS-AIZNT-001）</w:t>
      </w:r>
      <w:bookmarkEnd w:id="32"/>
    </w:p>
    <w:p w14:paraId="08E6C7D8">
      <w:pPr>
        <w:rPr>
          <w:rFonts w:hint="eastAsia"/>
        </w:rPr>
      </w:pPr>
      <w:r>
        <w:drawing>
          <wp:inline distT="0" distB="0" distL="114300" distR="114300">
            <wp:extent cx="5261610" cy="2877820"/>
            <wp:effectExtent l="0" t="0" r="21590" b="177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7"/>
                    <a:stretch>
                      <a:fillRect/>
                    </a:stretch>
                  </pic:blipFill>
                  <pic:spPr>
                    <a:xfrm>
                      <a:off x="0" y="0"/>
                      <a:ext cx="5261610" cy="2877820"/>
                    </a:xfrm>
                    <a:prstGeom prst="rect">
                      <a:avLst/>
                    </a:prstGeom>
                    <a:noFill/>
                    <a:ln>
                      <a:noFill/>
                    </a:ln>
                  </pic:spPr>
                </pic:pic>
              </a:graphicData>
            </a:graphic>
          </wp:inline>
        </w:drawing>
      </w:r>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功能</w:t>
      </w:r>
      <w:r>
        <w:rPr>
          <w:rFonts w:hint="eastAsia" w:ascii="宋体" w:hAnsi="宋体" w:eastAsia="宋体" w:cs="宋体"/>
          <w:sz w:val="21"/>
          <w:szCs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kern w:val="2"/>
          <w:sz w:val="21"/>
          <w:szCs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统一数据服务层的主数据和交易数据；实时数据平台的产量、库存、储罐液位、产线状态和车辆位置；SAP财务、资金与成本数据；各SCOS模块计算结果和预警事件。</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时间序列异常检测+规则引擎</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EE9B1F6">
      <w:pPr>
        <w:pStyle w:val="3"/>
        <w:rPr>
          <w:rFonts w:hint="eastAsia" w:ascii="黑体" w:hAnsi="黑体" w:eastAsia="黑体" w:cs="黑体"/>
        </w:rPr>
      </w:pPr>
      <w:bookmarkStart w:id="33" w:name="_Toc918491583"/>
      <w:r>
        <w:rPr>
          <w:rFonts w:hint="eastAsia" w:ascii="黑体" w:hAnsi="黑体" w:eastAsia="黑体" w:cs="黑体"/>
        </w:rPr>
        <w:t>供应链沙盘推演</w:t>
      </w:r>
      <w:r>
        <w:rPr>
          <w:rFonts w:hint="eastAsia" w:ascii="黑体" w:hAnsi="黑体" w:eastAsia="黑体" w:cs="黑体"/>
          <w:lang w:val="en-US" w:eastAsia="zh-CN"/>
        </w:rPr>
        <w:t>（F-ZLTC-SCOS-AIZNT-002）</w:t>
      </w:r>
      <w:bookmarkEnd w:id="33"/>
    </w:p>
    <w:p w14:paraId="6D39AD88">
      <w:r>
        <w:drawing>
          <wp:inline distT="0" distB="0" distL="114300" distR="114300">
            <wp:extent cx="5261610" cy="2877820"/>
            <wp:effectExtent l="0" t="0" r="21590" b="177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8"/>
                    <a:stretch>
                      <a:fillRect/>
                    </a:stretch>
                  </pic:blipFill>
                  <pic:spPr>
                    <a:xfrm>
                      <a:off x="0" y="0"/>
                      <a:ext cx="5261610" cy="2877820"/>
                    </a:xfrm>
                    <a:prstGeom prst="rect">
                      <a:avLst/>
                    </a:prstGeom>
                    <a:noFill/>
                    <a:ln>
                      <a:noFill/>
                    </a:ln>
                  </pic:spPr>
                </pic:pic>
              </a:graphicData>
            </a:graphic>
          </wp:inline>
        </w:drawing>
      </w:r>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sz w:val="21"/>
          <w:szCs w:val="21"/>
        </w:rPr>
      </w:pPr>
      <w:r>
        <w:rPr>
          <w:rFonts w:ascii="Times New Roman" w:hAnsi="Times New Roman" w:eastAsia="宋体"/>
          <w:sz w:val="21"/>
          <w:szCs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C6C0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default" w:ascii="Times New Roman" w:hAnsi="Times New Roman" w:eastAsia="宋体" w:cs="Times New Roman"/>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与驾驶舱相同时点的数据快照、已发布计划方案、当前库存和采购执行状态；用户输入的大客户订单增减比例、供应商延迟天数、原料价格变化比例等情景参数。</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What-if仿真+敏感性分析</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需求变化对产能、原料、库存和交付日期的影响；供应延迟下的断供风险、备用供应商或排程调整方案；原料价格变化下的采购与总运营成本影响。</w:t>
      </w:r>
    </w:p>
    <w:p w14:paraId="64711EB0">
      <w:pPr>
        <w:pStyle w:val="3"/>
        <w:bidi w:val="0"/>
        <w:rPr>
          <w:rFonts w:hint="eastAsia" w:ascii="黑体" w:hAnsi="黑体" w:eastAsia="黑体" w:cs="黑体"/>
        </w:rPr>
      </w:pPr>
      <w:bookmarkStart w:id="34" w:name="_Toc975580845"/>
      <w:r>
        <w:rPr>
          <w:rFonts w:hint="eastAsia" w:ascii="黑体" w:hAnsi="黑体" w:eastAsia="黑体" w:cs="黑体"/>
        </w:rPr>
        <w:t>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bookmarkEnd w:id="34"/>
    </w:p>
    <w:p w14:paraId="1E62AE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drawing>
          <wp:inline distT="0" distB="0" distL="114300" distR="114300">
            <wp:extent cx="5261610" cy="2877820"/>
            <wp:effectExtent l="0" t="0" r="21590" b="177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69"/>
                    <a:stretch>
                      <a:fillRect/>
                    </a:stretch>
                  </pic:blipFill>
                  <pic:spPr>
                    <a:xfrm>
                      <a:off x="0" y="0"/>
                      <a:ext cx="5261610" cy="2877820"/>
                    </a:xfrm>
                    <a:prstGeom prst="rect">
                      <a:avLst/>
                    </a:prstGeom>
                    <a:noFill/>
                    <a:ln>
                      <a:noFill/>
                    </a:ln>
                  </pic:spPr>
                </pic:pic>
              </a:graphicData>
            </a:graphic>
          </wp:inline>
        </w:drawing>
      </w:r>
    </w:p>
    <w:p w14:paraId="7DADE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7A7DA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650DC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6B811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每月25日根据下月出货计划发布库存策略；每周</w:t>
      </w:r>
      <w:r>
        <w:rPr>
          <w:rFonts w:hint="eastAsia" w:ascii="宋体" w:hAnsi="宋体" w:cs="宋体"/>
          <w:color w:val="000000"/>
          <w:kern w:val="2"/>
          <w:sz w:val="21"/>
          <w:szCs w:val="21"/>
          <w:highlight w:val="none"/>
          <w:lang w:val="en-US" w:eastAsia="zh-CN" w:bidi="ar-SA"/>
        </w:rPr>
        <w:t>生成未来4周计划并保持周内锁定</w:t>
      </w:r>
      <w:r>
        <w:rPr>
          <w:rFonts w:hint="eastAsia" w:ascii="宋体" w:hAnsi="宋体" w:eastAsia="宋体" w:cs="宋体"/>
          <w:color w:val="000000"/>
          <w:kern w:val="2"/>
          <w:sz w:val="21"/>
          <w:szCs w:val="21"/>
          <w:highlight w:val="none"/>
          <w:lang w:val="en-US" w:eastAsia="zh-CN" w:bidi="ar-SA"/>
        </w:rPr>
        <w:t>；每日根据实际出入库</w:t>
      </w:r>
      <w:r>
        <w:rPr>
          <w:rFonts w:hint="eastAsia" w:ascii="宋体" w:hAnsi="宋体" w:cs="宋体"/>
          <w:color w:val="000000"/>
          <w:kern w:val="2"/>
          <w:sz w:val="21"/>
          <w:szCs w:val="21"/>
          <w:highlight w:val="none"/>
          <w:lang w:val="en-US" w:eastAsia="zh-CN" w:bidi="ar-SA"/>
        </w:rPr>
        <w:t>进行</w:t>
      </w:r>
      <w:r>
        <w:rPr>
          <w:rFonts w:hint="eastAsia" w:ascii="宋体" w:hAnsi="宋体" w:eastAsia="宋体" w:cs="宋体"/>
          <w:color w:val="000000"/>
          <w:kern w:val="2"/>
          <w:sz w:val="21"/>
          <w:szCs w:val="21"/>
          <w:highlight w:val="none"/>
          <w:lang w:val="en-US" w:eastAsia="zh-CN" w:bidi="ar-SA"/>
        </w:rPr>
        <w:t>滚动校验；重大需求、设备或储罐异常时预警</w:t>
      </w:r>
      <w:r>
        <w:rPr>
          <w:rFonts w:hint="eastAsia" w:ascii="宋体" w:hAnsi="宋体" w:cs="宋体"/>
          <w:color w:val="000000"/>
          <w:kern w:val="2"/>
          <w:sz w:val="21"/>
          <w:szCs w:val="21"/>
          <w:highlight w:val="none"/>
          <w:lang w:val="en-US" w:eastAsia="zh-CN" w:bidi="ar-SA"/>
        </w:rPr>
        <w:t>和修正</w:t>
      </w:r>
      <w:r>
        <w:rPr>
          <w:rFonts w:hint="eastAsia" w:ascii="宋体" w:hAnsi="宋体" w:eastAsia="宋体" w:cs="宋体"/>
          <w:color w:val="000000"/>
          <w:kern w:val="2"/>
          <w:sz w:val="21"/>
          <w:szCs w:val="21"/>
          <w:highlight w:val="none"/>
          <w:lang w:val="en-US" w:eastAsia="zh-CN" w:bidi="ar-SA"/>
        </w:rPr>
        <w:t>。</w:t>
      </w:r>
    </w:p>
    <w:p w14:paraId="46F55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55438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出货计划、销售订单、成品合格/已分配/冻结/待检/质量异常库存、计划生产入库和待发运量；历史出库波动、生产补充周期及波动；成品-储罐映射、工作容量和可用状态。</w:t>
      </w:r>
    </w:p>
    <w:p w14:paraId="406C8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2754E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（R,s,S）库存模型+滚动库存递推</w:t>
      </w:r>
    </w:p>
    <w:p w14:paraId="4C5EF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B80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3E7A96B2">
      <w:pPr>
        <w:pStyle w:val="3"/>
        <w:bidi w:val="0"/>
        <w:rPr>
          <w:rFonts w:hint="eastAsia" w:ascii="黑体" w:hAnsi="黑体" w:eastAsia="黑体" w:cs="黑体"/>
          <w:color w:val="auto"/>
        </w:rPr>
      </w:pPr>
      <w:bookmarkStart w:id="35" w:name="_Toc549617070"/>
      <w:r>
        <w:rPr>
          <w:rFonts w:hint="eastAsia" w:ascii="黑体" w:hAnsi="黑体" w:eastAsia="黑体" w:cs="黑体"/>
          <w:color w:val="auto"/>
        </w:rPr>
        <w:t>精益生产排程与异常重排</w:t>
      </w:r>
      <w:r>
        <w:rPr>
          <w:rFonts w:hint="eastAsia" w:ascii="黑体" w:hAnsi="黑体" w:eastAsia="黑体" w:cs="黑体"/>
          <w:color w:val="auto"/>
          <w:lang w:eastAsia="zh-CN"/>
        </w:rPr>
        <w:t>（</w:t>
      </w:r>
      <w:r>
        <w:rPr>
          <w:rFonts w:hint="eastAsia" w:ascii="黑体" w:hAnsi="黑体" w:eastAsia="黑体" w:cs="黑体"/>
          <w:color w:val="auto"/>
          <w:lang w:val="en-US" w:eastAsia="zh-CN"/>
        </w:rPr>
        <w:t>参考精益排程部分</w:t>
      </w:r>
      <w:r>
        <w:rPr>
          <w:rFonts w:hint="eastAsia" w:ascii="黑体" w:hAnsi="黑体" w:eastAsia="黑体" w:cs="黑体"/>
          <w:color w:val="auto"/>
          <w:lang w:eastAsia="zh-CN"/>
        </w:rPr>
        <w:t>）</w:t>
      </w:r>
      <w:bookmarkEnd w:id="35"/>
    </w:p>
    <w:p w14:paraId="74099BF0">
      <w:pPr>
        <w:pStyle w:val="3"/>
        <w:rPr>
          <w:rFonts w:hint="eastAsia" w:ascii="黑体" w:hAnsi="黑体" w:eastAsia="黑体" w:cs="黑体"/>
        </w:rPr>
      </w:pPr>
      <w:bookmarkStart w:id="36" w:name="_Toc1086929743"/>
      <w:r>
        <w:rPr>
          <w:rFonts w:hint="eastAsia" w:ascii="黑体" w:hAnsi="黑体" w:eastAsia="黑体" w:cs="黑体"/>
        </w:rPr>
        <w:t>原料采购决策优化</w:t>
      </w:r>
      <w:r>
        <w:rPr>
          <w:rFonts w:hint="eastAsia" w:ascii="黑体" w:hAnsi="黑体" w:eastAsia="黑体" w:cs="黑体"/>
          <w:lang w:val="en-US" w:eastAsia="zh-CN"/>
        </w:rPr>
        <w:t>（F-ZLTC-SCOS-AIZNT-005）</w:t>
      </w:r>
      <w:bookmarkEnd w:id="36"/>
    </w:p>
    <w:p w14:paraId="084A749A">
      <w:r>
        <w:drawing>
          <wp:inline distT="0" distB="0" distL="114300" distR="114300">
            <wp:extent cx="5261610" cy="2877820"/>
            <wp:effectExtent l="0" t="0" r="21590" b="1778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70"/>
                    <a:stretch>
                      <a:fillRect/>
                    </a:stretch>
                  </pic:blipFill>
                  <pic:spPr>
                    <a:xfrm>
                      <a:off x="0" y="0"/>
                      <a:ext cx="5261610" cy="2877820"/>
                    </a:xfrm>
                    <a:prstGeom prst="rect">
                      <a:avLst/>
                    </a:prstGeom>
                    <a:noFill/>
                    <a:ln>
                      <a:noFill/>
                    </a:ln>
                  </pic:spPr>
                </pic:pic>
              </a:graphicData>
            </a:graphic>
          </wp:inline>
        </w:drawing>
      </w:r>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每月根据新发布的原材料需求计划形成月度方案；每周检查需求和采购执行变化；计划版本变更或业务人员主动发起时重新计算未执行部分。</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default"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7104F3AC">
      <w:pPr>
        <w:pStyle w:val="3"/>
        <w:bidi w:val="0"/>
        <w:rPr>
          <w:rFonts w:hint="eastAsia" w:ascii="黑体" w:hAnsi="黑体" w:eastAsia="黑体" w:cs="黑体"/>
          <w:lang w:val="en-US" w:eastAsia="zh-CN"/>
        </w:rPr>
      </w:pPr>
      <w:bookmarkStart w:id="37" w:name="_Toc1532289219"/>
      <w:r>
        <w:rPr>
          <w:rFonts w:hint="eastAsia" w:ascii="黑体" w:hAnsi="黑体" w:eastAsia="黑体" w:cs="黑体"/>
          <w:b/>
          <w:sz w:val="30"/>
        </w:rPr>
        <w:t>原辅包要货决策优化（F-ZLTC-SCOS-AIZNT-00</w:t>
      </w:r>
      <w:r>
        <w:rPr>
          <w:rFonts w:hint="eastAsia" w:ascii="黑体" w:hAnsi="黑体" w:eastAsia="黑体" w:cs="黑体"/>
          <w:b/>
          <w:sz w:val="30"/>
          <w:lang w:val="en-US" w:eastAsia="zh-CN"/>
        </w:rPr>
        <w:t>6</w:t>
      </w:r>
      <w:r>
        <w:rPr>
          <w:rFonts w:hint="eastAsia" w:ascii="黑体" w:hAnsi="黑体" w:eastAsia="黑体" w:cs="黑体"/>
          <w:b/>
          <w:sz w:val="30"/>
        </w:rPr>
        <w:t>）</w:t>
      </w:r>
      <w:bookmarkEnd w:id="37"/>
    </w:p>
    <w:p w14:paraId="67B34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2A107708">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本场景面向原料、辅料和包材的日度要货决策，在既有采购合同和订单范围内，综合生产耗用、可用库存、固定到货、合同余量、供应商可供能力和收货条件，形成可执行的供应商、合同、到货日期与数量建议。系统保护已确认、已下达、在途及人工锁定安排，仅优化受影响的未锁定计划；无法满足时明确提示风险日期、缺口数量和原因。</w:t>
      </w:r>
    </w:p>
    <w:p w14:paraId="2D314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2558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系统按日生成并滚动校验要货方案；需求、库存、预计到货、合同余量、供应能力、禁运或质量状态变化时评估影响；采购计划员也可人工发起重算。</w:t>
      </w:r>
    </w:p>
    <w:p w14:paraId="53640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1A99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精益排程模块提供已发布的日度原辅包需求；WMS提供合格且未冻结的可用库存；SAP/E采提供有效合同、采购订单和余量；TMS及供应商协同平台提供发货、在途和预计到货；QMS/LIMS提供质量状态；采购人员维护可供能力、送货条件、合同顺序和收货约束。</w:t>
      </w:r>
    </w:p>
    <w:p w14:paraId="7DDD4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0DEB8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70799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296B5D4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color w:val="000000"/>
          <w:kern w:val="2"/>
          <w:sz w:val="21"/>
          <w:szCs w:val="21"/>
          <w:highlight w:val="none"/>
          <w:lang w:val="en-US" w:eastAsia="zh-CN" w:bidi="ar-SA"/>
        </w:rPr>
        <w:t>分物料、供应商、合同和日期的要货计划，包含到货数量、替代/补位安排、调整差异、风险日期、缺口数量及原因。经采购计划员确认后下发E采/SAP、TMS或供应商协同平台，执行状态和未消除风险同步供应链驾驶舱；新增合同、外库租赁或生产调整仍由相应业务流程决策。</w:t>
      </w:r>
    </w:p>
    <w:p w14:paraId="1EAA0AC8">
      <w:pPr>
        <w:pStyle w:val="3"/>
        <w:bidi w:val="0"/>
        <w:rPr>
          <w:rFonts w:hint="eastAsia" w:ascii="黑体" w:hAnsi="黑体" w:eastAsia="黑体" w:cs="黑体"/>
        </w:rPr>
      </w:pPr>
      <w:bookmarkStart w:id="38" w:name="_Toc561008909"/>
      <w:r>
        <w:rPr>
          <w:rFonts w:hint="eastAsia" w:ascii="黑体" w:hAnsi="黑体" w:eastAsia="黑体" w:cs="黑体"/>
        </w:rPr>
        <w:t>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bookmarkEnd w:id="38"/>
    </w:p>
    <w:p w14:paraId="30EFD7C5">
      <w:r>
        <w:drawing>
          <wp:inline distT="0" distB="0" distL="114300" distR="114300">
            <wp:extent cx="5261610" cy="2877820"/>
            <wp:effectExtent l="0" t="0" r="21590" b="1778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71"/>
                    <a:stretch>
                      <a:fillRect/>
                    </a:stretch>
                  </pic:blipFill>
                  <pic:spPr>
                    <a:xfrm>
                      <a:off x="0" y="0"/>
                      <a:ext cx="5261610" cy="2877820"/>
                    </a:xfrm>
                    <a:prstGeom prst="rect">
                      <a:avLst/>
                    </a:prstGeom>
                    <a:noFill/>
                    <a:ln>
                      <a:noFill/>
                    </a:ln>
                  </pic:spPr>
                </pic:pic>
              </a:graphicData>
            </a:graphic>
          </wp:inline>
        </w:drawing>
      </w:r>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按月核算周期自动运行；成本数据、产量、销量或分摊规则变更时重算；用户可按产品、客户、</w:t>
      </w:r>
      <w:r>
        <w:rPr>
          <w:rFonts w:hint="eastAsia" w:ascii="宋体" w:hAnsi="宋体" w:cs="宋体"/>
          <w:color w:val="000000"/>
          <w:kern w:val="2"/>
          <w:sz w:val="21"/>
          <w:szCs w:val="21"/>
          <w:highlight w:val="none"/>
          <w:lang w:val="en-US" w:eastAsia="zh-CN" w:bidi="ar-SA"/>
        </w:rPr>
        <w:t>供应商、</w:t>
      </w:r>
      <w:r>
        <w:rPr>
          <w:rFonts w:hint="eastAsia" w:ascii="宋体" w:hAnsi="宋体" w:eastAsia="宋体" w:cs="宋体"/>
          <w:color w:val="000000"/>
          <w:kern w:val="2"/>
          <w:sz w:val="21"/>
          <w:szCs w:val="21"/>
          <w:highlight w:val="none"/>
          <w:lang w:val="en-US" w:eastAsia="zh-CN" w:bidi="ar-SA"/>
        </w:rPr>
        <w:t>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作业成本法（ABC）+差异分析模型</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44546779">
      <w:pPr>
        <w:pStyle w:val="3"/>
        <w:bidi w:val="0"/>
        <w:rPr>
          <w:rFonts w:hint="eastAsia" w:ascii="黑体" w:hAnsi="黑体" w:eastAsia="黑体" w:cs="黑体"/>
        </w:rPr>
      </w:pPr>
      <w:bookmarkStart w:id="39" w:name="_Toc1423523233"/>
      <w:r>
        <w:rPr>
          <w:rFonts w:hint="eastAsia" w:ascii="黑体" w:hAnsi="黑体" w:eastAsia="黑体" w:cs="黑体"/>
        </w:rPr>
        <w:t>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bookmarkEnd w:id="39"/>
    </w:p>
    <w:p w14:paraId="686E1B51">
      <w:r>
        <w:drawing>
          <wp:inline distT="0" distB="0" distL="114300" distR="114300">
            <wp:extent cx="5261610" cy="2877820"/>
            <wp:effectExtent l="0" t="0" r="21590" b="1778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72"/>
                    <a:stretch>
                      <a:fillRect/>
                    </a:stretch>
                  </pic:blipFill>
                  <pic:spPr>
                    <a:xfrm>
                      <a:off x="0" y="0"/>
                      <a:ext cx="5261610" cy="2877820"/>
                    </a:xfrm>
                    <a:prstGeom prst="rect">
                      <a:avLst/>
                    </a:prstGeom>
                    <a:noFill/>
                    <a:ln>
                      <a:noFill/>
                    </a:ln>
                  </pic:spPr>
                </pic:pic>
              </a:graphicData>
            </a:graphic>
          </wp:inline>
        </w:drawing>
      </w:r>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批次知识图谱+图搜索算法</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3F50C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ascii="Times New Roman" w:hAnsi="Times New Roman" w:eastAsia="宋体"/>
          <w:sz w:val="21"/>
        </w:rPr>
      </w:pPr>
      <w:r>
        <w:rPr>
          <w:rFonts w:hint="eastAsia" w:ascii="宋体" w:hAnsi="宋体" w:eastAsia="宋体" w:cs="宋体"/>
          <w:color w:val="000000"/>
          <w:kern w:val="2"/>
          <w:sz w:val="21"/>
          <w:szCs w:val="21"/>
          <w:highlight w:val="none"/>
          <w:lang w:val="en-US" w:eastAsia="zh-CN" w:bidi="ar-SA"/>
        </w:rPr>
        <w:t>正向/反向追溯树、关联单据和检验结果；影响成品、库存、订单、客户和供应商清单；隔离、召回、放行或处置建议；向驾驶舱推送重大质量预警。</w:t>
      </w:r>
    </w:p>
    <w:p w14:paraId="6E448E42">
      <w:pPr>
        <w:pStyle w:val="2"/>
        <w:bidi w:val="0"/>
        <w:rPr>
          <w:rFonts w:hint="eastAsia" w:ascii="黑体" w:hAnsi="黑体" w:eastAsia="黑体" w:cs="黑体"/>
        </w:rPr>
      </w:pPr>
      <w:bookmarkStart w:id="40" w:name="_Toc39665804"/>
      <w:r>
        <w:rPr>
          <w:rFonts w:hint="eastAsia" w:ascii="黑体" w:hAnsi="黑体" w:eastAsia="黑体" w:cs="黑体"/>
        </w:rPr>
        <w:t>SCOS技术蓝图交付物</w:t>
      </w:r>
      <w:bookmarkEnd w:id="40"/>
    </w:p>
    <w:p w14:paraId="195C94E7">
      <w:pPr>
        <w:pStyle w:val="3"/>
        <w:bidi w:val="0"/>
        <w:rPr>
          <w:rFonts w:hint="eastAsia" w:ascii="黑体" w:hAnsi="黑体" w:eastAsia="黑体" w:cs="黑体"/>
          <w:b/>
          <w:bCs w:val="0"/>
        </w:rPr>
      </w:pPr>
      <w:bookmarkStart w:id="41" w:name="_Toc6848"/>
      <w:bookmarkStart w:id="42" w:name="_PLM数据流架构图"/>
      <w:bookmarkStart w:id="43" w:name="_Toc943237258"/>
      <w:bookmarkStart w:id="44" w:name="_SCOS数据流架构图"/>
      <w:r>
        <w:rPr>
          <w:rFonts w:hint="eastAsia" w:ascii="黑体" w:hAnsi="黑体" w:eastAsia="黑体" w:cs="黑体"/>
          <w:b/>
          <w:bCs w:val="0"/>
          <w:lang w:val="en-US" w:eastAsia="zh-CN"/>
        </w:rPr>
        <w:t>SCOS</w:t>
      </w:r>
      <w:r>
        <w:rPr>
          <w:rFonts w:hint="eastAsia" w:ascii="黑体" w:hAnsi="黑体" w:eastAsia="黑体" w:cs="黑体"/>
          <w:b/>
          <w:bCs w:val="0"/>
        </w:rPr>
        <w:t>数据流架构图</w:t>
      </w:r>
      <w:bookmarkEnd w:id="41"/>
      <w:bookmarkEnd w:id="42"/>
      <w:bookmarkEnd w:id="43"/>
    </w:p>
    <w:bookmarkEnd w:id="44"/>
    <w:p w14:paraId="17092E0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SCOS总体架构遵循“数据统一供给、业务模块解耦、模型服务化、结果统一发布、全程可审计”原则。</w:t>
      </w:r>
      <w:r>
        <w:rPr>
          <w:rFonts w:hint="eastAsia" w:ascii="宋体" w:hAnsi="宋体" w:eastAsia="宋体" w:cs="宋体"/>
          <w:sz w:val="21"/>
          <w:szCs w:val="21"/>
          <w:lang w:val="en-US" w:eastAsia="zh-CN"/>
        </w:rPr>
        <w:t>CRM、CON、</w:t>
      </w:r>
      <w:r>
        <w:rPr>
          <w:rFonts w:hint="eastAsia" w:ascii="宋体" w:hAnsi="宋体" w:eastAsia="宋体" w:cs="宋体"/>
          <w:sz w:val="21"/>
          <w:szCs w:val="21"/>
        </w:rPr>
        <w:t>SAP、WMS、TMS、MES、QMS/LIMS、</w:t>
      </w:r>
      <w:r>
        <w:rPr>
          <w:rFonts w:hint="eastAsia" w:ascii="宋体" w:hAnsi="宋体" w:eastAsia="宋体" w:cs="宋体"/>
          <w:sz w:val="21"/>
          <w:szCs w:val="21"/>
          <w:lang w:val="en-US" w:eastAsia="zh-CN"/>
        </w:rPr>
        <w:t>DCS</w:t>
      </w:r>
      <w:r>
        <w:rPr>
          <w:rFonts w:hint="eastAsia" w:ascii="宋体" w:hAnsi="宋体" w:eastAsia="宋体" w:cs="宋体"/>
          <w:sz w:val="21"/>
          <w:szCs w:val="21"/>
        </w:rPr>
        <w:t>是业务事实来源；统一数据服务层将主数据、计划、交易、库存、价格、成本、批次和设备数据形成标准数据服务；SCOS各模块基于这些数据开展计算和协同。</w:t>
      </w:r>
    </w:p>
    <w:p w14:paraId="2D05C50F">
      <w:pPr>
        <w:keepNext/>
        <w:jc w:val="center"/>
      </w:pPr>
      <w:r>
        <w:drawing>
          <wp:inline distT="0" distB="0" distL="114300" distR="114300">
            <wp:extent cx="5275580" cy="2931160"/>
            <wp:effectExtent l="0" t="0" r="7620" b="15240"/>
            <wp:docPr id="15" name="SCOS数据流架构图" descr="SCOS与CRM、CON、SAP、WMS、TMS、MES、DCS、QMS/LIMS之间的数据获取订阅和下发闭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OS数据流架构图" descr="SCOS与CRM、CON、SAP、WMS、TMS、MES、DCS、QMS/LIMS之间的数据获取订阅和下发闭环架构图"/>
                    <pic:cNvPicPr>
                      <a:picLocks noChangeAspect="1"/>
                    </pic:cNvPicPr>
                  </pic:nvPicPr>
                  <pic:blipFill>
                    <a:blip r:embed="rId73"/>
                    <a:stretch>
                      <a:fillRect/>
                    </a:stretch>
                  </pic:blipFill>
                  <pic:spPr>
                    <a:xfrm>
                      <a:off x="0" y="0"/>
                      <a:ext cx="5276088" cy="2931526"/>
                    </a:xfrm>
                    <a:prstGeom prst="rect">
                      <a:avLst/>
                    </a:prstGeom>
                  </pic:spPr>
                </pic:pic>
              </a:graphicData>
            </a:graphic>
          </wp:inline>
        </w:drawing>
      </w:r>
    </w:p>
    <w:p w14:paraId="12279848">
      <w:pPr>
        <w:pStyle w:val="5"/>
        <w:spacing w:after="120"/>
        <w:jc w:val="center"/>
        <w:rPr>
          <w:rFonts w:hint="default" w:ascii="Times New Roman" w:hAnsi="Times New Roman" w:eastAsia="宋体"/>
          <w:sz w:val="18"/>
          <w:lang w:val="en-US" w:eastAsia="zh-CN"/>
        </w:rPr>
      </w:pPr>
      <w:r>
        <w:rPr>
          <w:rFonts w:hint="eastAsia" w:ascii="宋体" w:hAnsi="宋体" w:eastAsia="宋体" w:cs="宋体"/>
          <w:sz w:val="18"/>
        </w:rPr>
        <w:t>图4-1  SCOS</w:t>
      </w:r>
      <w:r>
        <w:rPr>
          <w:rFonts w:hint="eastAsia" w:ascii="宋体" w:hAnsi="宋体" w:eastAsia="宋体" w:cs="宋体"/>
          <w:sz w:val="18"/>
          <w:lang w:val="en-US" w:eastAsia="zh-CN"/>
        </w:rPr>
        <w:t>数据流架构图</w:t>
      </w:r>
    </w:p>
    <w:p w14:paraId="017C2BAB">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【数据获取/订阅接口明细】</w:t>
      </w:r>
    </w:p>
    <w:tbl>
      <w:tblPr>
        <w:tblStyle w:val="31"/>
        <w:tblW w:w="10464" w:type="dxa"/>
        <w:tblInd w:w="-1073" w:type="dxa"/>
        <w:tblLayout w:type="fixed"/>
        <w:tblCellMar>
          <w:top w:w="0" w:type="dxa"/>
          <w:left w:w="108" w:type="dxa"/>
          <w:bottom w:w="0" w:type="dxa"/>
          <w:right w:w="108" w:type="dxa"/>
        </w:tblCellMar>
      </w:tblPr>
      <w:tblGrid>
        <w:gridCol w:w="1576"/>
        <w:gridCol w:w="1238"/>
        <w:gridCol w:w="1237"/>
        <w:gridCol w:w="1155"/>
        <w:gridCol w:w="1120"/>
        <w:gridCol w:w="1153"/>
        <w:gridCol w:w="2985"/>
      </w:tblGrid>
      <w:tr w14:paraId="480862CF">
        <w:trPr>
          <w:cantSplit/>
          <w:trHeight w:val="360" w:hRule="atLeast"/>
          <w:tblHeader/>
        </w:trPr>
        <w:tc>
          <w:tcPr>
            <w:tcW w:w="1576" w:type="dxa"/>
            <w:vAlign w:val="center"/>
          </w:tcPr>
          <w:p w14:paraId="6E8D693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238" w:type="dxa"/>
            <w:vAlign w:val="center"/>
          </w:tcPr>
          <w:p w14:paraId="2C5BF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237" w:type="dxa"/>
            <w:vAlign w:val="center"/>
          </w:tcPr>
          <w:p w14:paraId="3C5721F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获取内容</w:t>
            </w:r>
          </w:p>
        </w:tc>
        <w:tc>
          <w:tcPr>
            <w:tcW w:w="1155" w:type="dxa"/>
            <w:vAlign w:val="center"/>
          </w:tcPr>
          <w:p w14:paraId="3BD3B3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120" w:type="dxa"/>
            <w:vAlign w:val="center"/>
          </w:tcPr>
          <w:p w14:paraId="65C95D8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153" w:type="dxa"/>
            <w:vAlign w:val="center"/>
          </w:tcPr>
          <w:p w14:paraId="2419ED4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2985" w:type="dxa"/>
            <w:vAlign w:val="center"/>
          </w:tcPr>
          <w:p w14:paraId="7D3C2C4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2743F5CA">
        <w:trPr>
          <w:cantSplit/>
          <w:trHeight w:val="400" w:hRule="atLeast"/>
        </w:trPr>
        <w:tc>
          <w:tcPr>
            <w:tcW w:w="1576" w:type="dxa"/>
            <w:vAlign w:val="center"/>
          </w:tcPr>
          <w:p w14:paraId="032A896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SCOS-CRM-001</w:t>
            </w:r>
          </w:p>
        </w:tc>
        <w:tc>
          <w:tcPr>
            <w:tcW w:w="1238" w:type="dxa"/>
            <w:vAlign w:val="center"/>
          </w:tcPr>
          <w:p w14:paraId="017B20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CRM→SCOS</w:t>
            </w:r>
          </w:p>
        </w:tc>
        <w:tc>
          <w:tcPr>
            <w:tcW w:w="1237" w:type="dxa"/>
            <w:vAlign w:val="center"/>
          </w:tcPr>
          <w:p w14:paraId="113CB0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每日出货计划</w:t>
            </w:r>
          </w:p>
        </w:tc>
        <w:tc>
          <w:tcPr>
            <w:tcW w:w="1155" w:type="dxa"/>
            <w:vAlign w:val="center"/>
          </w:tcPr>
          <w:p w14:paraId="1AF9C1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C61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36E1E6B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每日计划发布后</w:t>
            </w:r>
          </w:p>
        </w:tc>
        <w:tc>
          <w:tcPr>
            <w:tcW w:w="2985" w:type="dxa"/>
            <w:vAlign w:val="center"/>
          </w:tcPr>
          <w:p w14:paraId="46FB6D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接收客户、产品和日期维度的成品需求量，作为库存投影、要货计划和供应链态势分析的需求依据。</w:t>
            </w:r>
          </w:p>
        </w:tc>
      </w:tr>
      <w:tr w14:paraId="28D3BB82">
        <w:trPr>
          <w:cantSplit/>
          <w:trHeight w:val="400" w:hRule="atLeast"/>
        </w:trPr>
        <w:tc>
          <w:tcPr>
            <w:tcW w:w="1576" w:type="dxa"/>
            <w:vAlign w:val="center"/>
          </w:tcPr>
          <w:p w14:paraId="3A422F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SCOS-CON-001</w:t>
            </w:r>
          </w:p>
        </w:tc>
        <w:tc>
          <w:tcPr>
            <w:tcW w:w="1238" w:type="dxa"/>
            <w:vAlign w:val="center"/>
          </w:tcPr>
          <w:p w14:paraId="444D30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33C29A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采购合同</w:t>
            </w:r>
          </w:p>
        </w:tc>
        <w:tc>
          <w:tcPr>
            <w:tcW w:w="1155" w:type="dxa"/>
            <w:vAlign w:val="center"/>
          </w:tcPr>
          <w:p w14:paraId="6ECEF65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9909B5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40901D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7C83FCA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接收采购合同、供应商、物料、数量、有效期和交付约定，支撑采购优化及要货条件校验。</w:t>
            </w:r>
          </w:p>
        </w:tc>
      </w:tr>
      <w:tr w14:paraId="26660094">
        <w:trPr>
          <w:cantSplit/>
          <w:trHeight w:val="400" w:hRule="atLeast"/>
        </w:trPr>
        <w:tc>
          <w:tcPr>
            <w:tcW w:w="1576" w:type="dxa"/>
            <w:vAlign w:val="center"/>
          </w:tcPr>
          <w:p w14:paraId="0050C8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SCOS-CON-002</w:t>
            </w:r>
          </w:p>
        </w:tc>
        <w:tc>
          <w:tcPr>
            <w:tcW w:w="1238" w:type="dxa"/>
            <w:vAlign w:val="center"/>
          </w:tcPr>
          <w:p w14:paraId="43C047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404350B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销售合同</w:t>
            </w:r>
          </w:p>
        </w:tc>
        <w:tc>
          <w:tcPr>
            <w:tcW w:w="1155" w:type="dxa"/>
            <w:vAlign w:val="center"/>
          </w:tcPr>
          <w:p w14:paraId="56874E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B7DAB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6EBB8A2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53D9829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接收销售合同及客户交付约定，补充需求优先级、履约约束和驾驶舱合同分析口径。</w:t>
            </w:r>
          </w:p>
        </w:tc>
      </w:tr>
      <w:tr w14:paraId="3C5BD366">
        <w:trPr>
          <w:cantSplit/>
          <w:trHeight w:val="400" w:hRule="atLeast"/>
        </w:trPr>
        <w:tc>
          <w:tcPr>
            <w:tcW w:w="1576" w:type="dxa"/>
            <w:vAlign w:val="center"/>
          </w:tcPr>
          <w:p w14:paraId="648D20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SCOS-SAP-001</w:t>
            </w:r>
          </w:p>
        </w:tc>
        <w:tc>
          <w:tcPr>
            <w:tcW w:w="1238" w:type="dxa"/>
            <w:vAlign w:val="center"/>
          </w:tcPr>
          <w:p w14:paraId="6AC85B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7C7D0D0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主数据</w:t>
            </w:r>
          </w:p>
        </w:tc>
        <w:tc>
          <w:tcPr>
            <w:tcW w:w="1155" w:type="dxa"/>
            <w:vAlign w:val="center"/>
          </w:tcPr>
          <w:p w14:paraId="2964D1A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13991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批量推送+补偿拉取</w:t>
            </w:r>
          </w:p>
        </w:tc>
        <w:tc>
          <w:tcPr>
            <w:tcW w:w="1153" w:type="dxa"/>
            <w:vAlign w:val="center"/>
          </w:tcPr>
          <w:p w14:paraId="4A612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每日T+1</w:t>
            </w:r>
          </w:p>
        </w:tc>
        <w:tc>
          <w:tcPr>
            <w:tcW w:w="2985" w:type="dxa"/>
            <w:vAlign w:val="center"/>
          </w:tcPr>
          <w:p w14:paraId="79DD2B7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接收物料、供应商、客户、组织、仓库、储罐和设备等主数据，统一SCOS编码和业务范围。</w:t>
            </w:r>
          </w:p>
        </w:tc>
      </w:tr>
      <w:tr w14:paraId="44D365DE">
        <w:trPr>
          <w:cantSplit/>
          <w:trHeight w:val="400" w:hRule="atLeast"/>
        </w:trPr>
        <w:tc>
          <w:tcPr>
            <w:tcW w:w="1576" w:type="dxa"/>
            <w:vAlign w:val="center"/>
          </w:tcPr>
          <w:p w14:paraId="15FE818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SCOS-SAP-002</w:t>
            </w:r>
          </w:p>
        </w:tc>
        <w:tc>
          <w:tcPr>
            <w:tcW w:w="1238" w:type="dxa"/>
            <w:vAlign w:val="center"/>
          </w:tcPr>
          <w:p w14:paraId="452E2F0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5AA1AFA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业务数据</w:t>
            </w:r>
          </w:p>
        </w:tc>
        <w:tc>
          <w:tcPr>
            <w:tcW w:w="1155" w:type="dxa"/>
            <w:vAlign w:val="center"/>
          </w:tcPr>
          <w:p w14:paraId="1E5CD8C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BB997C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推送+定时拉取</w:t>
            </w:r>
          </w:p>
        </w:tc>
        <w:tc>
          <w:tcPr>
            <w:tcW w:w="1153" w:type="dxa"/>
            <w:vAlign w:val="center"/>
          </w:tcPr>
          <w:p w14:paraId="2F5A8B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事件触发+每日补偿</w:t>
            </w:r>
          </w:p>
        </w:tc>
        <w:tc>
          <w:tcPr>
            <w:tcW w:w="2985" w:type="dxa"/>
            <w:vAlign w:val="center"/>
          </w:tcPr>
          <w:p w14:paraId="421882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接收订单、交易、价格、BOM、未结采购/生产订单、库存、在途、费用池、应收应付和折旧等数据，支撑六大模块计算与对账。</w:t>
            </w:r>
          </w:p>
        </w:tc>
      </w:tr>
      <w:tr w14:paraId="10ABD574">
        <w:trPr>
          <w:cantSplit/>
          <w:trHeight w:val="400" w:hRule="atLeast"/>
        </w:trPr>
        <w:tc>
          <w:tcPr>
            <w:tcW w:w="1576" w:type="dxa"/>
            <w:vAlign w:val="center"/>
          </w:tcPr>
          <w:p w14:paraId="0047D6D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SCOS-WMS-001</w:t>
            </w:r>
          </w:p>
        </w:tc>
        <w:tc>
          <w:tcPr>
            <w:tcW w:w="1238" w:type="dxa"/>
            <w:vAlign w:val="center"/>
          </w:tcPr>
          <w:p w14:paraId="57822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F0E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原辅包在库量</w:t>
            </w:r>
          </w:p>
        </w:tc>
        <w:tc>
          <w:tcPr>
            <w:tcW w:w="1155" w:type="dxa"/>
            <w:vAlign w:val="center"/>
          </w:tcPr>
          <w:p w14:paraId="2A1A90E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CCE1F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54B11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2F54C03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接收原料、辅料和包材的可用库存、锁定量及库位状态，支撑欠料分析、采购优化和要货计划。</w:t>
            </w:r>
          </w:p>
        </w:tc>
      </w:tr>
      <w:tr w14:paraId="2B95B3E9">
        <w:trPr>
          <w:cantSplit/>
          <w:trHeight w:val="400" w:hRule="atLeast"/>
        </w:trPr>
        <w:tc>
          <w:tcPr>
            <w:tcW w:w="1576" w:type="dxa"/>
            <w:vAlign w:val="center"/>
          </w:tcPr>
          <w:p w14:paraId="34EA23D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SCOS-WMS-002</w:t>
            </w:r>
          </w:p>
        </w:tc>
        <w:tc>
          <w:tcPr>
            <w:tcW w:w="1238" w:type="dxa"/>
            <w:vAlign w:val="center"/>
          </w:tcPr>
          <w:p w14:paraId="7F6F4F1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1538EF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成品库存水位</w:t>
            </w:r>
          </w:p>
        </w:tc>
        <w:tc>
          <w:tcPr>
            <w:tcW w:w="1155" w:type="dxa"/>
            <w:vAlign w:val="center"/>
          </w:tcPr>
          <w:p w14:paraId="6FD31A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38A961F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34AE09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010529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接收成品现存量、可用量和库龄状态，支撑库存投影、风险预警和库存健康度评价。</w:t>
            </w:r>
          </w:p>
        </w:tc>
      </w:tr>
      <w:tr w14:paraId="6A1CF1A4">
        <w:trPr>
          <w:cantSplit/>
          <w:trHeight w:val="400" w:hRule="atLeast"/>
        </w:trPr>
        <w:tc>
          <w:tcPr>
            <w:tcW w:w="1576" w:type="dxa"/>
            <w:vAlign w:val="center"/>
          </w:tcPr>
          <w:p w14:paraId="7831D3E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SCOS-WMS-003</w:t>
            </w:r>
          </w:p>
        </w:tc>
        <w:tc>
          <w:tcPr>
            <w:tcW w:w="1238" w:type="dxa"/>
            <w:vAlign w:val="center"/>
          </w:tcPr>
          <w:p w14:paraId="408FD7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5184BDE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入库原料批次</w:t>
            </w:r>
          </w:p>
        </w:tc>
        <w:tc>
          <w:tcPr>
            <w:tcW w:w="1155" w:type="dxa"/>
            <w:vAlign w:val="center"/>
          </w:tcPr>
          <w:p w14:paraId="2EF6013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A811F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E0CC7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入库确认后</w:t>
            </w:r>
          </w:p>
        </w:tc>
        <w:tc>
          <w:tcPr>
            <w:tcW w:w="2985" w:type="dxa"/>
            <w:vAlign w:val="center"/>
          </w:tcPr>
          <w:p w14:paraId="5B65A8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接收入库批次、物料、数量、时间和库位信息，建立原料批次与成本归集的追溯入口。</w:t>
            </w:r>
          </w:p>
        </w:tc>
      </w:tr>
      <w:tr w14:paraId="61862A81">
        <w:trPr>
          <w:cantSplit/>
          <w:trHeight w:val="400" w:hRule="atLeast"/>
        </w:trPr>
        <w:tc>
          <w:tcPr>
            <w:tcW w:w="1576" w:type="dxa"/>
            <w:vAlign w:val="center"/>
          </w:tcPr>
          <w:p w14:paraId="1F84E7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SCOS-WMS-004</w:t>
            </w:r>
          </w:p>
        </w:tc>
        <w:tc>
          <w:tcPr>
            <w:tcW w:w="1238" w:type="dxa"/>
            <w:vAlign w:val="center"/>
          </w:tcPr>
          <w:p w14:paraId="1C4BC7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DA37BC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在途库存</w:t>
            </w:r>
          </w:p>
        </w:tc>
        <w:tc>
          <w:tcPr>
            <w:tcW w:w="1155" w:type="dxa"/>
            <w:vAlign w:val="center"/>
          </w:tcPr>
          <w:p w14:paraId="5452D7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A54488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562F9CA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状态变更后</w:t>
            </w:r>
          </w:p>
        </w:tc>
        <w:tc>
          <w:tcPr>
            <w:tcW w:w="2985" w:type="dxa"/>
            <w:vAlign w:val="center"/>
          </w:tcPr>
          <w:p w14:paraId="4F262A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接收运输中、生产中及待入库数量和预计到达时间，用于库存优化、要货缺口计算和供应风险判断。</w:t>
            </w:r>
          </w:p>
        </w:tc>
      </w:tr>
      <w:tr w14:paraId="5A1468D8">
        <w:trPr>
          <w:cantSplit/>
          <w:trHeight w:val="400" w:hRule="atLeast"/>
        </w:trPr>
        <w:tc>
          <w:tcPr>
            <w:tcW w:w="1576" w:type="dxa"/>
            <w:vAlign w:val="center"/>
          </w:tcPr>
          <w:p w14:paraId="57EAC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SCOS-TMS-001</w:t>
            </w:r>
          </w:p>
        </w:tc>
        <w:tc>
          <w:tcPr>
            <w:tcW w:w="1238" w:type="dxa"/>
            <w:vAlign w:val="center"/>
          </w:tcPr>
          <w:p w14:paraId="0846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3E00D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原料入场车次批次表</w:t>
            </w:r>
          </w:p>
        </w:tc>
        <w:tc>
          <w:tcPr>
            <w:tcW w:w="1155" w:type="dxa"/>
            <w:vAlign w:val="center"/>
          </w:tcPr>
          <w:p w14:paraId="11DB41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63557F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06C062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车辆入场后</w:t>
            </w:r>
          </w:p>
        </w:tc>
        <w:tc>
          <w:tcPr>
            <w:tcW w:w="2985" w:type="dxa"/>
            <w:vAlign w:val="center"/>
          </w:tcPr>
          <w:p w14:paraId="45243F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接收原料入场车次、供应商、物料、批次和时间，关联入厂物流与后续生产批次。</w:t>
            </w:r>
          </w:p>
        </w:tc>
      </w:tr>
      <w:tr w14:paraId="17C39575">
        <w:trPr>
          <w:cantSplit/>
          <w:trHeight w:val="400" w:hRule="atLeast"/>
        </w:trPr>
        <w:tc>
          <w:tcPr>
            <w:tcW w:w="1576" w:type="dxa"/>
            <w:vAlign w:val="center"/>
          </w:tcPr>
          <w:p w14:paraId="65859E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SCOS-TMS-002</w:t>
            </w:r>
          </w:p>
        </w:tc>
        <w:tc>
          <w:tcPr>
            <w:tcW w:w="1238" w:type="dxa"/>
            <w:vAlign w:val="center"/>
          </w:tcPr>
          <w:p w14:paraId="52928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79D60F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成品出厂批次表</w:t>
            </w:r>
          </w:p>
        </w:tc>
        <w:tc>
          <w:tcPr>
            <w:tcW w:w="1155" w:type="dxa"/>
            <w:vAlign w:val="center"/>
          </w:tcPr>
          <w:p w14:paraId="4129A4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CDB51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7E95D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车辆出厂后</w:t>
            </w:r>
          </w:p>
        </w:tc>
        <w:tc>
          <w:tcPr>
            <w:tcW w:w="2985" w:type="dxa"/>
            <w:vAlign w:val="center"/>
          </w:tcPr>
          <w:p w14:paraId="4E5910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接收成品出厂车次、销售交付及批次信息，关联销售履约和销售订单成本。</w:t>
            </w:r>
          </w:p>
        </w:tc>
      </w:tr>
      <w:tr w14:paraId="359B070F">
        <w:trPr>
          <w:cantSplit/>
          <w:trHeight w:val="400" w:hRule="atLeast"/>
        </w:trPr>
        <w:tc>
          <w:tcPr>
            <w:tcW w:w="1576" w:type="dxa"/>
            <w:vAlign w:val="center"/>
          </w:tcPr>
          <w:p w14:paraId="3F2F726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SCOS-TMS-003</w:t>
            </w:r>
          </w:p>
        </w:tc>
        <w:tc>
          <w:tcPr>
            <w:tcW w:w="1238" w:type="dxa"/>
            <w:vAlign w:val="center"/>
          </w:tcPr>
          <w:p w14:paraId="2D7A04B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43A7A1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物流信息表</w:t>
            </w:r>
          </w:p>
        </w:tc>
        <w:tc>
          <w:tcPr>
            <w:tcW w:w="1155" w:type="dxa"/>
            <w:vAlign w:val="center"/>
          </w:tcPr>
          <w:p w14:paraId="544462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61C261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3995B8D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运输状态变更后</w:t>
            </w:r>
          </w:p>
        </w:tc>
        <w:tc>
          <w:tcPr>
            <w:tcW w:w="2985" w:type="dxa"/>
            <w:vAlign w:val="center"/>
          </w:tcPr>
          <w:p w14:paraId="49F15F4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接收车辆、承运、在途状态和预计到达时间，支撑要货计划滚动调整与异常协调。</w:t>
            </w:r>
          </w:p>
        </w:tc>
      </w:tr>
      <w:tr w14:paraId="5371C8C0">
        <w:trPr>
          <w:cantSplit/>
          <w:trHeight w:val="400" w:hRule="atLeast"/>
        </w:trPr>
        <w:tc>
          <w:tcPr>
            <w:tcW w:w="1576" w:type="dxa"/>
            <w:vAlign w:val="center"/>
          </w:tcPr>
          <w:p w14:paraId="0D299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SCOS-MES-001</w:t>
            </w:r>
          </w:p>
        </w:tc>
        <w:tc>
          <w:tcPr>
            <w:tcW w:w="1238" w:type="dxa"/>
            <w:vAlign w:val="center"/>
          </w:tcPr>
          <w:p w14:paraId="111422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4319DAE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生产进度报工表</w:t>
            </w:r>
          </w:p>
        </w:tc>
        <w:tc>
          <w:tcPr>
            <w:tcW w:w="1155" w:type="dxa"/>
            <w:vAlign w:val="center"/>
          </w:tcPr>
          <w:p w14:paraId="189C3A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2750B1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611E34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报工完成后</w:t>
            </w:r>
          </w:p>
        </w:tc>
        <w:tc>
          <w:tcPr>
            <w:tcW w:w="2985" w:type="dxa"/>
            <w:vAlign w:val="center"/>
          </w:tcPr>
          <w:p w14:paraId="62F6211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接收生产订单、工序、完成量和报工时间，更新库存投影并反馈计划执行状态。</w:t>
            </w:r>
          </w:p>
        </w:tc>
      </w:tr>
      <w:tr w14:paraId="0CB9653B">
        <w:trPr>
          <w:cantSplit/>
          <w:trHeight w:val="400" w:hRule="atLeast"/>
        </w:trPr>
        <w:tc>
          <w:tcPr>
            <w:tcW w:w="1576" w:type="dxa"/>
            <w:vAlign w:val="center"/>
          </w:tcPr>
          <w:p w14:paraId="4BF9F1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SCOS-MES-002</w:t>
            </w:r>
          </w:p>
        </w:tc>
        <w:tc>
          <w:tcPr>
            <w:tcW w:w="1238" w:type="dxa"/>
            <w:vAlign w:val="center"/>
          </w:tcPr>
          <w:p w14:paraId="3E000A5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03401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生产批次表</w:t>
            </w:r>
          </w:p>
        </w:tc>
        <w:tc>
          <w:tcPr>
            <w:tcW w:w="1155" w:type="dxa"/>
            <w:vAlign w:val="center"/>
          </w:tcPr>
          <w:p w14:paraId="3E07AF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464082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16153B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批次创建或完工后</w:t>
            </w:r>
          </w:p>
        </w:tc>
        <w:tc>
          <w:tcPr>
            <w:tcW w:w="2985" w:type="dxa"/>
            <w:vAlign w:val="center"/>
          </w:tcPr>
          <w:p w14:paraId="2BADF2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接收生产批次、订单、物料、产量和时间信息，建立上下游批次关系并支撑成本归集。</w:t>
            </w:r>
          </w:p>
        </w:tc>
      </w:tr>
      <w:tr w14:paraId="3D69E295">
        <w:trPr>
          <w:cantSplit/>
          <w:trHeight w:val="400" w:hRule="atLeast"/>
        </w:trPr>
        <w:tc>
          <w:tcPr>
            <w:tcW w:w="1576" w:type="dxa"/>
            <w:vAlign w:val="center"/>
          </w:tcPr>
          <w:p w14:paraId="650DB51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SCOS-MES-003</w:t>
            </w:r>
          </w:p>
        </w:tc>
        <w:tc>
          <w:tcPr>
            <w:tcW w:w="1238" w:type="dxa"/>
            <w:vAlign w:val="center"/>
          </w:tcPr>
          <w:p w14:paraId="3E653F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33191A3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工艺及原辅料用量成本表</w:t>
            </w:r>
          </w:p>
        </w:tc>
        <w:tc>
          <w:tcPr>
            <w:tcW w:w="1155" w:type="dxa"/>
            <w:vAlign w:val="center"/>
          </w:tcPr>
          <w:p w14:paraId="56CC93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4A9F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0DBABCE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工序报工或日结后</w:t>
            </w:r>
          </w:p>
        </w:tc>
        <w:tc>
          <w:tcPr>
            <w:tcW w:w="2985" w:type="dxa"/>
            <w:vAlign w:val="center"/>
          </w:tcPr>
          <w:p w14:paraId="7DBAF2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接收工艺路线、投入产出、原辅料用量和成本事实，支撑批次成本及生产订单成本计算。</w:t>
            </w:r>
          </w:p>
        </w:tc>
      </w:tr>
      <w:tr w14:paraId="279AC29D">
        <w:trPr>
          <w:cantSplit/>
          <w:trHeight w:val="400" w:hRule="atLeast"/>
        </w:trPr>
        <w:tc>
          <w:tcPr>
            <w:tcW w:w="1576" w:type="dxa"/>
            <w:vAlign w:val="center"/>
          </w:tcPr>
          <w:p w14:paraId="147A8AE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SCOS-DCS-001</w:t>
            </w:r>
          </w:p>
        </w:tc>
        <w:tc>
          <w:tcPr>
            <w:tcW w:w="1238" w:type="dxa"/>
            <w:vAlign w:val="center"/>
          </w:tcPr>
          <w:p w14:paraId="06C5AF9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DCS→SCOS</w:t>
            </w:r>
          </w:p>
        </w:tc>
        <w:tc>
          <w:tcPr>
            <w:tcW w:w="1237" w:type="dxa"/>
            <w:vAlign w:val="center"/>
          </w:tcPr>
          <w:p w14:paraId="461720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自动化设备数据总表</w:t>
            </w:r>
          </w:p>
        </w:tc>
        <w:tc>
          <w:tcPr>
            <w:tcW w:w="1155" w:type="dxa"/>
            <w:vAlign w:val="center"/>
          </w:tcPr>
          <w:p w14:paraId="7185E42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61105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实时推送</w:t>
            </w:r>
          </w:p>
        </w:tc>
        <w:tc>
          <w:tcPr>
            <w:tcW w:w="1153" w:type="dxa"/>
            <w:vAlign w:val="center"/>
          </w:tcPr>
          <w:p w14:paraId="52C6A5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实时/分钟级</w:t>
            </w:r>
          </w:p>
        </w:tc>
        <w:tc>
          <w:tcPr>
            <w:tcW w:w="2985" w:type="dxa"/>
            <w:vAlign w:val="center"/>
          </w:tcPr>
          <w:p w14:paraId="01B412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接收设备运行、计量、能耗和关键过程数据，补充批次边界、产量及成本事实。</w:t>
            </w:r>
          </w:p>
        </w:tc>
      </w:tr>
      <w:tr w14:paraId="3262BCCD">
        <w:trPr>
          <w:cantSplit/>
          <w:trHeight w:val="400" w:hRule="atLeast"/>
        </w:trPr>
        <w:tc>
          <w:tcPr>
            <w:tcW w:w="1576" w:type="dxa"/>
            <w:vAlign w:val="center"/>
          </w:tcPr>
          <w:p w14:paraId="5AC67A7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SCOS-QMS-001</w:t>
            </w:r>
          </w:p>
        </w:tc>
        <w:tc>
          <w:tcPr>
            <w:tcW w:w="1238" w:type="dxa"/>
            <w:vAlign w:val="center"/>
          </w:tcPr>
          <w:p w14:paraId="16E00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QMS/LIMS→SCOS</w:t>
            </w:r>
          </w:p>
        </w:tc>
        <w:tc>
          <w:tcPr>
            <w:tcW w:w="1237" w:type="dxa"/>
            <w:vAlign w:val="center"/>
          </w:tcPr>
          <w:p w14:paraId="08512D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质检结果表</w:t>
            </w:r>
          </w:p>
        </w:tc>
        <w:tc>
          <w:tcPr>
            <w:tcW w:w="1155" w:type="dxa"/>
            <w:vAlign w:val="center"/>
          </w:tcPr>
          <w:p w14:paraId="2CCAA9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218E51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定时拉取+事件补充</w:t>
            </w:r>
          </w:p>
        </w:tc>
        <w:tc>
          <w:tcPr>
            <w:tcW w:w="1153" w:type="dxa"/>
            <w:vAlign w:val="center"/>
          </w:tcPr>
          <w:p w14:paraId="1DF3A5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批次检验完成后</w:t>
            </w:r>
          </w:p>
        </w:tc>
        <w:tc>
          <w:tcPr>
            <w:tcW w:w="2985" w:type="dxa"/>
            <w:vAlign w:val="center"/>
          </w:tcPr>
          <w:p w14:paraId="5826E96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接收检验批、质量状态和判定结果，用于批次合格量、质量追溯及驾驶舱质量指标。</w:t>
            </w:r>
          </w:p>
        </w:tc>
      </w:tr>
    </w:tbl>
    <w:p w14:paraId="262B24B8">
      <w:pPr>
        <w:pStyle w:val="5"/>
        <w:spacing w:after="120"/>
        <w:jc w:val="both"/>
        <w:rPr>
          <w:rFonts w:ascii="Times New Roman" w:hAnsi="Times New Roman" w:eastAsia="宋体"/>
          <w:sz w:val="18"/>
        </w:rPr>
      </w:pPr>
    </w:p>
    <w:p w14:paraId="141173AC">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【数据下发接口明细】</w:t>
      </w:r>
    </w:p>
    <w:tbl>
      <w:tblPr>
        <w:tblStyle w:val="31"/>
        <w:tblW w:w="10464" w:type="dxa"/>
        <w:tblInd w:w="-1073" w:type="dxa"/>
        <w:tblLayout w:type="fixed"/>
        <w:tblCellMar>
          <w:top w:w="0" w:type="dxa"/>
          <w:left w:w="108" w:type="dxa"/>
          <w:bottom w:w="0" w:type="dxa"/>
          <w:right w:w="108" w:type="dxa"/>
        </w:tblCellMar>
      </w:tblPr>
      <w:tblGrid>
        <w:gridCol w:w="1474"/>
        <w:gridCol w:w="1183"/>
        <w:gridCol w:w="1066"/>
        <w:gridCol w:w="1129"/>
        <w:gridCol w:w="1096"/>
        <w:gridCol w:w="1096"/>
        <w:gridCol w:w="3420"/>
      </w:tblGrid>
      <w:tr w14:paraId="0019F11B">
        <w:trPr>
          <w:cantSplit/>
          <w:trHeight w:val="360" w:hRule="atLeast"/>
          <w:tblHeader/>
        </w:trPr>
        <w:tc>
          <w:tcPr>
            <w:tcW w:w="1474" w:type="dxa"/>
            <w:vAlign w:val="center"/>
          </w:tcPr>
          <w:p w14:paraId="11F3B1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183" w:type="dxa"/>
            <w:vAlign w:val="center"/>
          </w:tcPr>
          <w:p w14:paraId="21AA656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066" w:type="dxa"/>
            <w:vAlign w:val="center"/>
          </w:tcPr>
          <w:p w14:paraId="5C016CB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下发内容</w:t>
            </w:r>
          </w:p>
        </w:tc>
        <w:tc>
          <w:tcPr>
            <w:tcW w:w="1129" w:type="dxa"/>
            <w:vAlign w:val="center"/>
          </w:tcPr>
          <w:p w14:paraId="78CF5D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096" w:type="dxa"/>
            <w:vAlign w:val="center"/>
          </w:tcPr>
          <w:p w14:paraId="3660C3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096" w:type="dxa"/>
            <w:vAlign w:val="center"/>
          </w:tcPr>
          <w:p w14:paraId="186EE1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3420" w:type="dxa"/>
            <w:vAlign w:val="center"/>
          </w:tcPr>
          <w:p w14:paraId="18840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53FDD3A0">
        <w:trPr>
          <w:cantSplit/>
          <w:trHeight w:val="400" w:hRule="atLeast"/>
        </w:trPr>
        <w:tc>
          <w:tcPr>
            <w:tcW w:w="1474" w:type="dxa"/>
            <w:vAlign w:val="center"/>
          </w:tcPr>
          <w:p w14:paraId="6564F0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SCOS-CON-003</w:t>
            </w:r>
          </w:p>
        </w:tc>
        <w:tc>
          <w:tcPr>
            <w:tcW w:w="1183" w:type="dxa"/>
            <w:vAlign w:val="center"/>
          </w:tcPr>
          <w:p w14:paraId="3238CC5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w:t>
            </w:r>
          </w:p>
        </w:tc>
        <w:tc>
          <w:tcPr>
            <w:tcW w:w="1066" w:type="dxa"/>
            <w:vAlign w:val="center"/>
          </w:tcPr>
          <w:p w14:paraId="47CE23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原辅包采购需求表</w:t>
            </w:r>
          </w:p>
        </w:tc>
        <w:tc>
          <w:tcPr>
            <w:tcW w:w="1129" w:type="dxa"/>
            <w:vAlign w:val="center"/>
          </w:tcPr>
          <w:p w14:paraId="484A05C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2ECF8F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5CB419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采购方案发布后</w:t>
            </w:r>
          </w:p>
        </w:tc>
        <w:tc>
          <w:tcPr>
            <w:tcW w:w="3420" w:type="dxa"/>
            <w:vAlign w:val="center"/>
          </w:tcPr>
          <w:p w14:paraId="0F671DE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下发已确认的原辅包采购需求，供合同系统形成或调整采购合同并反馈执行状态。</w:t>
            </w:r>
          </w:p>
        </w:tc>
      </w:tr>
      <w:tr w14:paraId="0E5BB6FC">
        <w:trPr>
          <w:cantSplit/>
          <w:trHeight w:val="400" w:hRule="atLeast"/>
        </w:trPr>
        <w:tc>
          <w:tcPr>
            <w:tcW w:w="1474" w:type="dxa"/>
            <w:vAlign w:val="center"/>
          </w:tcPr>
          <w:p w14:paraId="70B7B8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SCOS-SAP-003</w:t>
            </w:r>
          </w:p>
        </w:tc>
        <w:tc>
          <w:tcPr>
            <w:tcW w:w="1183" w:type="dxa"/>
            <w:vAlign w:val="center"/>
          </w:tcPr>
          <w:p w14:paraId="45E33B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2AB8BDA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7847A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1125E58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D19A47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生产计划发布后</w:t>
            </w:r>
          </w:p>
        </w:tc>
        <w:tc>
          <w:tcPr>
            <w:tcW w:w="3420" w:type="dxa"/>
            <w:vAlign w:val="center"/>
          </w:tcPr>
          <w:p w14:paraId="44D66F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下发已确认的生产订单建议，驱动SAP创建正式生产订单并返回业务单号。</w:t>
            </w:r>
          </w:p>
        </w:tc>
      </w:tr>
      <w:tr w14:paraId="23C52A97">
        <w:trPr>
          <w:cantSplit/>
          <w:trHeight w:val="400" w:hRule="atLeast"/>
        </w:trPr>
        <w:tc>
          <w:tcPr>
            <w:tcW w:w="1474" w:type="dxa"/>
            <w:vAlign w:val="center"/>
          </w:tcPr>
          <w:p w14:paraId="582FD03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SCOS-SAP-004</w:t>
            </w:r>
          </w:p>
        </w:tc>
        <w:tc>
          <w:tcPr>
            <w:tcW w:w="1183" w:type="dxa"/>
            <w:vAlign w:val="center"/>
          </w:tcPr>
          <w:p w14:paraId="55C2E3D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1C6096F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2D5E83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7B5926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8D8BF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要货计划确认后</w:t>
            </w:r>
          </w:p>
        </w:tc>
        <w:tc>
          <w:tcPr>
            <w:tcW w:w="3420" w:type="dxa"/>
            <w:vAlign w:val="center"/>
          </w:tcPr>
          <w:p w14:paraId="7FF176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下发已确认的要货计划，作为采购执行、供应商协同和到货跟踪的业务依据。</w:t>
            </w:r>
          </w:p>
        </w:tc>
      </w:tr>
      <w:tr w14:paraId="5E1606B1">
        <w:trPr>
          <w:cantSplit/>
          <w:trHeight w:val="400" w:hRule="atLeast"/>
        </w:trPr>
        <w:tc>
          <w:tcPr>
            <w:tcW w:w="1474" w:type="dxa"/>
            <w:vAlign w:val="center"/>
          </w:tcPr>
          <w:p w14:paraId="1A604F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SCOS-WMS-005</w:t>
            </w:r>
          </w:p>
        </w:tc>
        <w:tc>
          <w:tcPr>
            <w:tcW w:w="1183" w:type="dxa"/>
            <w:vAlign w:val="center"/>
          </w:tcPr>
          <w:p w14:paraId="25DF90C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w:t>
            </w:r>
          </w:p>
        </w:tc>
        <w:tc>
          <w:tcPr>
            <w:tcW w:w="1066" w:type="dxa"/>
            <w:vAlign w:val="center"/>
          </w:tcPr>
          <w:p w14:paraId="38FC274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玉米淀粉日投料需求</w:t>
            </w:r>
          </w:p>
        </w:tc>
        <w:tc>
          <w:tcPr>
            <w:tcW w:w="1129" w:type="dxa"/>
            <w:vAlign w:val="center"/>
          </w:tcPr>
          <w:p w14:paraId="038CAE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B8D46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3BA7D7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每日计划发布或调整后</w:t>
            </w:r>
          </w:p>
        </w:tc>
        <w:tc>
          <w:tcPr>
            <w:tcW w:w="3420" w:type="dxa"/>
            <w:vAlign w:val="center"/>
          </w:tcPr>
          <w:p w14:paraId="4DF996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下发日投料品种、数量和时间要求，驱动仓储备料、投料及执行反馈。</w:t>
            </w:r>
          </w:p>
        </w:tc>
      </w:tr>
      <w:tr w14:paraId="16ECF97C">
        <w:trPr>
          <w:cantSplit/>
          <w:trHeight w:val="400" w:hRule="atLeast"/>
        </w:trPr>
        <w:tc>
          <w:tcPr>
            <w:tcW w:w="1474" w:type="dxa"/>
            <w:vAlign w:val="center"/>
          </w:tcPr>
          <w:p w14:paraId="44D1B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SCOS-TMS-004</w:t>
            </w:r>
          </w:p>
        </w:tc>
        <w:tc>
          <w:tcPr>
            <w:tcW w:w="1183" w:type="dxa"/>
            <w:vAlign w:val="center"/>
          </w:tcPr>
          <w:p w14:paraId="739DBE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w:t>
            </w:r>
          </w:p>
        </w:tc>
        <w:tc>
          <w:tcPr>
            <w:tcW w:w="1066" w:type="dxa"/>
            <w:vAlign w:val="center"/>
          </w:tcPr>
          <w:p w14:paraId="2EE4E1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42715C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884B5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EFAA3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要货计划确认或调整后</w:t>
            </w:r>
          </w:p>
        </w:tc>
        <w:tc>
          <w:tcPr>
            <w:tcW w:w="3420" w:type="dxa"/>
            <w:vAlign w:val="center"/>
          </w:tcPr>
          <w:p w14:paraId="59182A6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下发供应商到厂计划、物料、数量和时间窗，驱动运输计划、车辆调度和到厂反馈。</w:t>
            </w:r>
          </w:p>
        </w:tc>
      </w:tr>
      <w:tr w14:paraId="7CBA203F">
        <w:trPr>
          <w:cantSplit/>
          <w:trHeight w:val="400" w:hRule="atLeast"/>
        </w:trPr>
        <w:tc>
          <w:tcPr>
            <w:tcW w:w="1474" w:type="dxa"/>
            <w:vAlign w:val="center"/>
          </w:tcPr>
          <w:p w14:paraId="7A0B49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SCOS-MES-004</w:t>
            </w:r>
          </w:p>
        </w:tc>
        <w:tc>
          <w:tcPr>
            <w:tcW w:w="1183" w:type="dxa"/>
            <w:vAlign w:val="center"/>
          </w:tcPr>
          <w:p w14:paraId="0741BA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w:t>
            </w:r>
          </w:p>
        </w:tc>
        <w:tc>
          <w:tcPr>
            <w:tcW w:w="1066" w:type="dxa"/>
            <w:vAlign w:val="center"/>
          </w:tcPr>
          <w:p w14:paraId="2D7B24B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42249ED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097C6AD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6F13D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生产订单确认后</w:t>
            </w:r>
          </w:p>
        </w:tc>
        <w:tc>
          <w:tcPr>
            <w:tcW w:w="3420" w:type="dxa"/>
            <w:vAlign w:val="center"/>
          </w:tcPr>
          <w:p w14:paraId="022B823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下发生产订单、物料、数量和计划时间，驱动生产组织并回传进度、产量和批次。</w:t>
            </w:r>
          </w:p>
        </w:tc>
      </w:tr>
    </w:tbl>
    <w:p w14:paraId="606EE4CB">
      <w:pPr>
        <w:pStyle w:val="5"/>
        <w:spacing w:after="120"/>
        <w:jc w:val="both"/>
        <w:rPr>
          <w:rFonts w:ascii="Times New Roman" w:hAnsi="Times New Roman" w:eastAsia="宋体"/>
          <w:sz w:val="18"/>
        </w:rPr>
      </w:pPr>
    </w:p>
    <w:p w14:paraId="1C0988AD">
      <w:pPr>
        <w:pStyle w:val="3"/>
        <w:keepNext/>
        <w:rPr>
          <w:rFonts w:hint="eastAsia" w:ascii="黑体" w:hAnsi="黑体" w:eastAsia="黑体" w:cs="黑体"/>
        </w:rPr>
      </w:pPr>
      <w:bookmarkStart w:id="45" w:name="_Toc25033"/>
      <w:bookmarkStart w:id="46" w:name="_Toc264313052"/>
      <w:bookmarkStart w:id="47" w:name="_SCOS数据实体与字段映射表"/>
      <w:r>
        <w:rPr>
          <w:rFonts w:hint="eastAsia" w:ascii="黑体" w:hAnsi="黑体" w:eastAsia="黑体" w:cs="黑体"/>
          <w:lang w:val="en-US" w:eastAsia="zh-CN"/>
        </w:rPr>
        <w:t>SCOS</w:t>
      </w:r>
      <w:r>
        <w:rPr>
          <w:rFonts w:hint="eastAsia" w:ascii="黑体" w:hAnsi="黑体" w:eastAsia="黑体" w:cs="黑体"/>
        </w:rPr>
        <w:t>数据实体与字段映射表</w:t>
      </w:r>
      <w:bookmarkEnd w:id="45"/>
      <w:bookmarkEnd w:id="46"/>
    </w:p>
    <w:bookmarkEnd w:id="47"/>
    <w:p w14:paraId="0AF72F97">
      <w:pPr>
        <w:spacing w:before="0" w:after="160" w:line="240" w:lineRule="auto"/>
        <w:ind w:firstLine="420" w:firstLineChars="0"/>
        <w:jc w:val="both"/>
        <w:rPr>
          <w:rFonts w:hint="eastAsia" w:ascii="宋体" w:hAnsi="宋体" w:eastAsia="宋体" w:cs="宋体"/>
          <w:sz w:val="21"/>
          <w:szCs w:val="21"/>
        </w:rPr>
      </w:pPr>
      <w:r>
        <w:rPr>
          <w:rFonts w:hint="eastAsia" w:ascii="宋体" w:hAnsi="宋体" w:eastAsia="宋体" w:cs="宋体"/>
          <w:b w:val="0"/>
          <w:sz w:val="21"/>
          <w:szCs w:val="21"/>
        </w:rPr>
        <w:t>本节按当前关键业务流程定义SCOS逻辑数据实体及字段映射，覆盖库存优化、采购优化、要货计划、成本分摊和供应链驾驶舱。来源字段名标注“建议：”的内容为字段级接口对齐前的候选逻辑字段，正式设计时应替换为经源系统确认的物理字段。</w:t>
      </w:r>
    </w:p>
    <w:p w14:paraId="67FE2584">
      <w:pPr>
        <w:pStyle w:val="4"/>
        <w:bidi w:val="0"/>
        <w:rPr>
          <w:rFonts w:hint="eastAsia" w:ascii="黑体" w:hAnsi="黑体" w:eastAsia="黑体" w:cs="黑体"/>
        </w:rPr>
      </w:pPr>
      <w:bookmarkStart w:id="48" w:name="_Toc1313282968"/>
      <w:r>
        <w:rPr>
          <w:rFonts w:hint="eastAsia" w:ascii="黑体" w:hAnsi="黑体" w:eastAsia="黑体" w:cs="黑体"/>
        </w:rPr>
        <w:t>库存优化</w:t>
      </w:r>
      <w:bookmarkEnd w:id="48"/>
    </w:p>
    <w:p w14:paraId="175ED639">
      <w:pPr>
        <w:pStyle w:val="6"/>
        <w:bidi w:val="0"/>
      </w:pPr>
      <w:r>
        <w:t>库存策略版本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DD089D2">
      <w:pPr>
        <w:pStyle w:val="4"/>
        <w:bidi w:val="0"/>
        <w:rPr>
          <w:rFonts w:hint="eastAsia" w:ascii="黑体" w:hAnsi="黑体" w:eastAsia="黑体" w:cs="黑体"/>
        </w:rPr>
      </w:pPr>
      <w:bookmarkStart w:id="49" w:name="_Toc509919310"/>
      <w:r>
        <w:rPr>
          <w:rFonts w:hint="eastAsia" w:ascii="黑体" w:hAnsi="黑体" w:eastAsia="黑体" w:cs="黑体"/>
        </w:rPr>
        <w:t>采购优化</w:t>
      </w:r>
      <w:bookmarkEnd w:id="49"/>
    </w:p>
    <w:p w14:paraId="1C461F29">
      <w:pPr>
        <w:pStyle w:val="6"/>
        <w:bidi w:val="0"/>
      </w:pPr>
      <w:r>
        <w:t>待采购需求</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4"/>
        <w:bidi w:val="0"/>
        <w:rPr>
          <w:rFonts w:hint="eastAsia" w:ascii="黑体" w:hAnsi="黑体" w:eastAsia="黑体" w:cs="黑体"/>
        </w:rPr>
      </w:pPr>
      <w:bookmarkStart w:id="50" w:name="_Toc1754091640"/>
      <w:r>
        <w:rPr>
          <w:rFonts w:hint="eastAsia" w:ascii="黑体" w:hAnsi="黑体" w:eastAsia="黑体" w:cs="黑体"/>
        </w:rPr>
        <w:t>要货计划</w:t>
      </w:r>
      <w:bookmarkEnd w:id="50"/>
    </w:p>
    <w:p w14:paraId="4D1FC362">
      <w:pPr>
        <w:pStyle w:val="6"/>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6"/>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6"/>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6"/>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6"/>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6"/>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6"/>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6"/>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rPr>
          <w:rFonts w:hint="eastAsia" w:ascii="黑体" w:hAnsi="黑体" w:eastAsia="黑体" w:cs="黑体"/>
        </w:rPr>
      </w:pPr>
      <w:bookmarkStart w:id="51" w:name="_Toc362687464"/>
      <w:r>
        <w:rPr>
          <w:rFonts w:hint="eastAsia" w:ascii="黑体" w:hAnsi="黑体" w:eastAsia="黑体" w:cs="黑体"/>
        </w:rPr>
        <w:t>成本分摊</w:t>
      </w:r>
      <w:bookmarkEnd w:id="51"/>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8FAFD0">
      <w:pPr>
        <w:pStyle w:val="4"/>
        <w:bidi w:val="0"/>
        <w:rPr>
          <w:rFonts w:hint="eastAsia" w:ascii="黑体" w:hAnsi="黑体" w:eastAsia="黑体" w:cs="黑体"/>
        </w:rPr>
      </w:pPr>
      <w:bookmarkStart w:id="52" w:name="_Toc1129617262"/>
      <w:r>
        <w:rPr>
          <w:rFonts w:hint="eastAsia" w:ascii="黑体" w:hAnsi="黑体" w:eastAsia="黑体" w:cs="黑体"/>
        </w:rPr>
        <w:t>供应链驾驶舱</w:t>
      </w:r>
      <w:bookmarkEnd w:id="52"/>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5A2334DA">
      <w:pPr>
        <w:pStyle w:val="2"/>
        <w:keepNext/>
        <w:pageBreakBefore/>
        <w:rPr>
          <w:rFonts w:hint="eastAsia" w:ascii="黑体" w:hAnsi="黑体" w:eastAsia="黑体" w:cs="黑体"/>
          <w:color w:val="auto"/>
        </w:rPr>
      </w:pPr>
      <w:bookmarkStart w:id="53" w:name="_Toc1721882954"/>
      <w:bookmarkStart w:id="54" w:name="_【待优化-格式不对】SCOS集成接口规范"/>
      <w:r>
        <w:rPr>
          <w:rFonts w:hint="eastAsia" w:ascii="黑体" w:hAnsi="黑体" w:eastAsia="黑体" w:cs="黑体"/>
          <w:b/>
          <w:color w:val="auto"/>
          <w:sz w:val="32"/>
        </w:rPr>
        <w:t>SCOS集成接口规范</w:t>
      </w:r>
      <w:bookmarkEnd w:id="53"/>
    </w:p>
    <w:tbl>
      <w:tblPr>
        <w:tblStyle w:val="31"/>
        <w:tblW w:w="10496" w:type="dxa"/>
        <w:jc w:val="center"/>
        <w:tblLayout w:type="fixed"/>
        <w:tblCellMar>
          <w:top w:w="0" w:type="dxa"/>
          <w:left w:w="108" w:type="dxa"/>
          <w:bottom w:w="0" w:type="dxa"/>
          <w:right w:w="108" w:type="dxa"/>
        </w:tblCellMar>
      </w:tblPr>
      <w:tblGrid>
        <w:gridCol w:w="714"/>
        <w:gridCol w:w="1095"/>
        <w:gridCol w:w="1200"/>
        <w:gridCol w:w="2055"/>
        <w:gridCol w:w="967"/>
        <w:gridCol w:w="967"/>
        <w:gridCol w:w="1225"/>
        <w:gridCol w:w="1108"/>
        <w:gridCol w:w="1165"/>
      </w:tblGrid>
      <w:tr w14:paraId="20B8A182">
        <w:trPr>
          <w:cantSplit/>
          <w:trHeight w:val="0" w:hRule="atLeast"/>
          <w:tblHeader/>
          <w:jc w:val="center"/>
        </w:trPr>
        <w:tc>
          <w:tcPr>
            <w:tcW w:w="714" w:type="dxa"/>
            <w:vAlign w:val="center"/>
          </w:tcPr>
          <w:p w14:paraId="212A734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序号</w:t>
            </w:r>
          </w:p>
        </w:tc>
        <w:tc>
          <w:tcPr>
            <w:tcW w:w="1095" w:type="dxa"/>
            <w:vAlign w:val="center"/>
          </w:tcPr>
          <w:p w14:paraId="733582C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接口编号</w:t>
            </w:r>
          </w:p>
        </w:tc>
        <w:tc>
          <w:tcPr>
            <w:tcW w:w="1200" w:type="dxa"/>
            <w:vAlign w:val="center"/>
          </w:tcPr>
          <w:p w14:paraId="0C3AB8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接口名称</w:t>
            </w:r>
          </w:p>
        </w:tc>
        <w:tc>
          <w:tcPr>
            <w:tcW w:w="2055" w:type="dxa"/>
            <w:vAlign w:val="center"/>
          </w:tcPr>
          <w:p w14:paraId="7FF8F83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功能描述</w:t>
            </w:r>
          </w:p>
        </w:tc>
        <w:tc>
          <w:tcPr>
            <w:tcW w:w="967" w:type="dxa"/>
            <w:vAlign w:val="center"/>
          </w:tcPr>
          <w:p w14:paraId="5E236A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协议方式</w:t>
            </w:r>
          </w:p>
        </w:tc>
        <w:tc>
          <w:tcPr>
            <w:tcW w:w="967" w:type="dxa"/>
            <w:vAlign w:val="center"/>
          </w:tcPr>
          <w:p w14:paraId="4D68AEB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通信模式</w:t>
            </w:r>
          </w:p>
        </w:tc>
        <w:tc>
          <w:tcPr>
            <w:tcW w:w="1225" w:type="dxa"/>
            <w:vAlign w:val="center"/>
          </w:tcPr>
          <w:p w14:paraId="5F0D24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调用方向</w:t>
            </w:r>
          </w:p>
        </w:tc>
        <w:tc>
          <w:tcPr>
            <w:tcW w:w="1108" w:type="dxa"/>
            <w:vAlign w:val="center"/>
          </w:tcPr>
          <w:p w14:paraId="203F01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地址 / 路由 / Topic 名称</w:t>
            </w:r>
          </w:p>
        </w:tc>
        <w:tc>
          <w:tcPr>
            <w:tcW w:w="1165" w:type="dxa"/>
            <w:vAlign w:val="center"/>
          </w:tcPr>
          <w:p w14:paraId="5CE811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同步条件</w:t>
            </w:r>
          </w:p>
        </w:tc>
      </w:tr>
      <w:tr w14:paraId="0334EBFA">
        <w:trPr>
          <w:cantSplit/>
          <w:jc w:val="center"/>
        </w:trPr>
        <w:tc>
          <w:tcPr>
            <w:tcW w:w="714" w:type="dxa"/>
            <w:vAlign w:val="center"/>
          </w:tcPr>
          <w:p w14:paraId="5E00AF5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w:t>
            </w:r>
          </w:p>
        </w:tc>
        <w:tc>
          <w:tcPr>
            <w:tcW w:w="1095" w:type="dxa"/>
            <w:vAlign w:val="center"/>
          </w:tcPr>
          <w:p w14:paraId="0F08E14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SCOS-CRM-001</w:t>
            </w:r>
          </w:p>
        </w:tc>
        <w:tc>
          <w:tcPr>
            <w:tcW w:w="1200" w:type="dxa"/>
            <w:vAlign w:val="center"/>
          </w:tcPr>
          <w:p w14:paraId="231684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每日出货计划同步</w:t>
            </w:r>
          </w:p>
        </w:tc>
        <w:tc>
          <w:tcPr>
            <w:tcW w:w="2055" w:type="dxa"/>
            <w:vAlign w:val="center"/>
          </w:tcPr>
          <w:p w14:paraId="38C6E0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CRM向SCOS同步每日出货计划，客户、产品和日期维度的成品需求量，作为库存投影、要货计划和供应链态势分析的需求依据。</w:t>
            </w:r>
          </w:p>
        </w:tc>
        <w:tc>
          <w:tcPr>
            <w:tcW w:w="967" w:type="dxa"/>
            <w:vAlign w:val="center"/>
          </w:tcPr>
          <w:p w14:paraId="1B056F2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0084B2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4F7533B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CRM→SCOS</w:t>
            </w:r>
          </w:p>
        </w:tc>
        <w:tc>
          <w:tcPr>
            <w:tcW w:w="1108" w:type="dxa"/>
            <w:vAlign w:val="center"/>
          </w:tcPr>
          <w:p w14:paraId="0ECC51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建议：crm/shipment-plan</w:t>
            </w:r>
          </w:p>
        </w:tc>
        <w:tc>
          <w:tcPr>
            <w:tcW w:w="1165" w:type="dxa"/>
            <w:vAlign w:val="center"/>
          </w:tcPr>
          <w:p w14:paraId="71D80E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每日计划发布后</w:t>
            </w:r>
          </w:p>
        </w:tc>
      </w:tr>
      <w:tr w14:paraId="7FA3CC8F">
        <w:trPr>
          <w:cantSplit/>
          <w:jc w:val="center"/>
        </w:trPr>
        <w:tc>
          <w:tcPr>
            <w:tcW w:w="714" w:type="dxa"/>
            <w:vAlign w:val="center"/>
          </w:tcPr>
          <w:p w14:paraId="7CFF5AD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w:t>
            </w:r>
          </w:p>
        </w:tc>
        <w:tc>
          <w:tcPr>
            <w:tcW w:w="1095" w:type="dxa"/>
            <w:vAlign w:val="center"/>
          </w:tcPr>
          <w:p w14:paraId="5532A5F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SCOS-CON-001</w:t>
            </w:r>
          </w:p>
        </w:tc>
        <w:tc>
          <w:tcPr>
            <w:tcW w:w="1200" w:type="dxa"/>
            <w:vAlign w:val="center"/>
          </w:tcPr>
          <w:p w14:paraId="729FBD0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采购合同同步</w:t>
            </w:r>
          </w:p>
        </w:tc>
        <w:tc>
          <w:tcPr>
            <w:tcW w:w="2055" w:type="dxa"/>
            <w:vAlign w:val="center"/>
          </w:tcPr>
          <w:p w14:paraId="33C0A8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CON向SCOS同步采购合同，采购合同、供应商、物料、数量、有效期和交付约定，支撑采购优化及要货条件校验。</w:t>
            </w:r>
          </w:p>
        </w:tc>
        <w:tc>
          <w:tcPr>
            <w:tcW w:w="967" w:type="dxa"/>
            <w:vAlign w:val="center"/>
          </w:tcPr>
          <w:p w14:paraId="5D4EFA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89ACA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EBD1AE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4701C2F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建议：con/purchase-contract</w:t>
            </w:r>
          </w:p>
        </w:tc>
        <w:tc>
          <w:tcPr>
            <w:tcW w:w="1165" w:type="dxa"/>
            <w:vAlign w:val="center"/>
          </w:tcPr>
          <w:p w14:paraId="191C1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450C63E9">
        <w:trPr>
          <w:cantSplit/>
          <w:jc w:val="center"/>
        </w:trPr>
        <w:tc>
          <w:tcPr>
            <w:tcW w:w="714" w:type="dxa"/>
            <w:vAlign w:val="center"/>
          </w:tcPr>
          <w:p w14:paraId="42F7EA4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3</w:t>
            </w:r>
          </w:p>
        </w:tc>
        <w:tc>
          <w:tcPr>
            <w:tcW w:w="1095" w:type="dxa"/>
            <w:vAlign w:val="center"/>
          </w:tcPr>
          <w:p w14:paraId="33CB362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SCOS-CON-002</w:t>
            </w:r>
          </w:p>
        </w:tc>
        <w:tc>
          <w:tcPr>
            <w:tcW w:w="1200" w:type="dxa"/>
            <w:vAlign w:val="center"/>
          </w:tcPr>
          <w:p w14:paraId="5ACDD13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销售合同同步</w:t>
            </w:r>
          </w:p>
        </w:tc>
        <w:tc>
          <w:tcPr>
            <w:tcW w:w="2055" w:type="dxa"/>
            <w:vAlign w:val="center"/>
          </w:tcPr>
          <w:p w14:paraId="2F0B38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CON向SCOS同步销售合同，销售合同及客户交付约定，补充需求优先级、履约约束和驾驶舱合同分析口径。</w:t>
            </w:r>
          </w:p>
        </w:tc>
        <w:tc>
          <w:tcPr>
            <w:tcW w:w="967" w:type="dxa"/>
            <w:vAlign w:val="center"/>
          </w:tcPr>
          <w:p w14:paraId="013805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307094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B49368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7B586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建议：con/sales-contract</w:t>
            </w:r>
          </w:p>
        </w:tc>
        <w:tc>
          <w:tcPr>
            <w:tcW w:w="1165" w:type="dxa"/>
            <w:vAlign w:val="center"/>
          </w:tcPr>
          <w:p w14:paraId="126851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0F877E62">
        <w:trPr>
          <w:cantSplit/>
          <w:jc w:val="center"/>
        </w:trPr>
        <w:tc>
          <w:tcPr>
            <w:tcW w:w="714" w:type="dxa"/>
            <w:vAlign w:val="center"/>
          </w:tcPr>
          <w:p w14:paraId="2203FE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4</w:t>
            </w:r>
          </w:p>
        </w:tc>
        <w:tc>
          <w:tcPr>
            <w:tcW w:w="1095" w:type="dxa"/>
            <w:vAlign w:val="center"/>
          </w:tcPr>
          <w:p w14:paraId="4B57AA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SCOS-SAP-001</w:t>
            </w:r>
          </w:p>
        </w:tc>
        <w:tc>
          <w:tcPr>
            <w:tcW w:w="1200" w:type="dxa"/>
            <w:vAlign w:val="center"/>
          </w:tcPr>
          <w:p w14:paraId="2C0216C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主数据同步</w:t>
            </w:r>
          </w:p>
        </w:tc>
        <w:tc>
          <w:tcPr>
            <w:tcW w:w="2055" w:type="dxa"/>
            <w:vAlign w:val="center"/>
          </w:tcPr>
          <w:p w14:paraId="134714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SAP向SCOS同步主数据，物料、供应商、客户、组织、仓库、储罐和设备等主数据，统一SCOS编码和业务范围。</w:t>
            </w:r>
          </w:p>
        </w:tc>
        <w:tc>
          <w:tcPr>
            <w:tcW w:w="967" w:type="dxa"/>
            <w:vAlign w:val="center"/>
          </w:tcPr>
          <w:p w14:paraId="646B7E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80775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批量推送+补偿拉取</w:t>
            </w:r>
          </w:p>
        </w:tc>
        <w:tc>
          <w:tcPr>
            <w:tcW w:w="1225" w:type="dxa"/>
            <w:vAlign w:val="center"/>
          </w:tcPr>
          <w:p w14:paraId="744A96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11090D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建议：sap/master-data</w:t>
            </w:r>
          </w:p>
        </w:tc>
        <w:tc>
          <w:tcPr>
            <w:tcW w:w="1165" w:type="dxa"/>
            <w:vAlign w:val="center"/>
          </w:tcPr>
          <w:p w14:paraId="49C1D6D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每日T+1</w:t>
            </w:r>
          </w:p>
        </w:tc>
      </w:tr>
      <w:tr w14:paraId="2C0FFE45">
        <w:trPr>
          <w:cantSplit/>
          <w:jc w:val="center"/>
        </w:trPr>
        <w:tc>
          <w:tcPr>
            <w:tcW w:w="714" w:type="dxa"/>
            <w:vAlign w:val="center"/>
          </w:tcPr>
          <w:p w14:paraId="61A4DA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5</w:t>
            </w:r>
          </w:p>
        </w:tc>
        <w:tc>
          <w:tcPr>
            <w:tcW w:w="1095" w:type="dxa"/>
            <w:vAlign w:val="center"/>
          </w:tcPr>
          <w:p w14:paraId="785158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SCOS-SAP-002</w:t>
            </w:r>
          </w:p>
        </w:tc>
        <w:tc>
          <w:tcPr>
            <w:tcW w:w="1200" w:type="dxa"/>
            <w:vAlign w:val="center"/>
          </w:tcPr>
          <w:p w14:paraId="1E055D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业务数据同步</w:t>
            </w:r>
          </w:p>
        </w:tc>
        <w:tc>
          <w:tcPr>
            <w:tcW w:w="2055" w:type="dxa"/>
            <w:vAlign w:val="center"/>
          </w:tcPr>
          <w:p w14:paraId="2FC45E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SAP向SCOS同步业务数据，订单、交易、价格、BOM、未结采购/生产订单、库存、在途、费用池、应收应付和折旧等数据，支撑六大模块计算与对账。</w:t>
            </w:r>
          </w:p>
        </w:tc>
        <w:tc>
          <w:tcPr>
            <w:tcW w:w="967" w:type="dxa"/>
            <w:vAlign w:val="center"/>
          </w:tcPr>
          <w:p w14:paraId="633326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8A0D9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推送+定时拉取</w:t>
            </w:r>
          </w:p>
        </w:tc>
        <w:tc>
          <w:tcPr>
            <w:tcW w:w="1225" w:type="dxa"/>
            <w:vAlign w:val="center"/>
          </w:tcPr>
          <w:p w14:paraId="4F5245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630483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建议：sap/business-data</w:t>
            </w:r>
          </w:p>
        </w:tc>
        <w:tc>
          <w:tcPr>
            <w:tcW w:w="1165" w:type="dxa"/>
            <w:vAlign w:val="center"/>
          </w:tcPr>
          <w:p w14:paraId="1996B2B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事件触发+每日补偿</w:t>
            </w:r>
          </w:p>
        </w:tc>
      </w:tr>
      <w:tr w14:paraId="54417B0C">
        <w:trPr>
          <w:cantSplit/>
          <w:jc w:val="center"/>
        </w:trPr>
        <w:tc>
          <w:tcPr>
            <w:tcW w:w="714" w:type="dxa"/>
            <w:vAlign w:val="center"/>
          </w:tcPr>
          <w:p w14:paraId="5612B8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6</w:t>
            </w:r>
          </w:p>
        </w:tc>
        <w:tc>
          <w:tcPr>
            <w:tcW w:w="1095" w:type="dxa"/>
            <w:vAlign w:val="center"/>
          </w:tcPr>
          <w:p w14:paraId="592835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SCOS-WMS-001</w:t>
            </w:r>
          </w:p>
        </w:tc>
        <w:tc>
          <w:tcPr>
            <w:tcW w:w="1200" w:type="dxa"/>
            <w:vAlign w:val="center"/>
          </w:tcPr>
          <w:p w14:paraId="0AA581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原辅包在库量同步</w:t>
            </w:r>
          </w:p>
        </w:tc>
        <w:tc>
          <w:tcPr>
            <w:tcW w:w="2055" w:type="dxa"/>
            <w:vAlign w:val="center"/>
          </w:tcPr>
          <w:p w14:paraId="3D40047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WMS向SCOS同步原辅包在库量，原料、辅料和包材的可用库存、锁定量及库位状态，支撑欠料分析、采购优化和要货计划。</w:t>
            </w:r>
          </w:p>
        </w:tc>
        <w:tc>
          <w:tcPr>
            <w:tcW w:w="967" w:type="dxa"/>
            <w:vAlign w:val="center"/>
          </w:tcPr>
          <w:p w14:paraId="5D8446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648E06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127589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35E0E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建议：wms/material-stock</w:t>
            </w:r>
          </w:p>
        </w:tc>
        <w:tc>
          <w:tcPr>
            <w:tcW w:w="1165" w:type="dxa"/>
            <w:vAlign w:val="center"/>
          </w:tcPr>
          <w:p w14:paraId="5498D3A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7F6232E0">
        <w:trPr>
          <w:cantSplit/>
          <w:jc w:val="center"/>
        </w:trPr>
        <w:tc>
          <w:tcPr>
            <w:tcW w:w="714" w:type="dxa"/>
            <w:vAlign w:val="center"/>
          </w:tcPr>
          <w:p w14:paraId="1D51BCE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7</w:t>
            </w:r>
          </w:p>
        </w:tc>
        <w:tc>
          <w:tcPr>
            <w:tcW w:w="1095" w:type="dxa"/>
            <w:vAlign w:val="center"/>
          </w:tcPr>
          <w:p w14:paraId="47B94B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SCOS-WMS-002</w:t>
            </w:r>
          </w:p>
        </w:tc>
        <w:tc>
          <w:tcPr>
            <w:tcW w:w="1200" w:type="dxa"/>
            <w:vAlign w:val="center"/>
          </w:tcPr>
          <w:p w14:paraId="3757DDA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成品库存水位同步</w:t>
            </w:r>
          </w:p>
        </w:tc>
        <w:tc>
          <w:tcPr>
            <w:tcW w:w="2055" w:type="dxa"/>
            <w:vAlign w:val="center"/>
          </w:tcPr>
          <w:p w14:paraId="67E778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WMS向SCOS同步成品库存水位，成品现存量、可用量和库龄状态，支撑库存投影、风险预警和库存健康度评价。</w:t>
            </w:r>
          </w:p>
        </w:tc>
        <w:tc>
          <w:tcPr>
            <w:tcW w:w="967" w:type="dxa"/>
            <w:vAlign w:val="center"/>
          </w:tcPr>
          <w:p w14:paraId="0537C88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604935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152F48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235CAF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建议：wms/product-stock</w:t>
            </w:r>
          </w:p>
        </w:tc>
        <w:tc>
          <w:tcPr>
            <w:tcW w:w="1165" w:type="dxa"/>
            <w:vAlign w:val="center"/>
          </w:tcPr>
          <w:p w14:paraId="22A9A6D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02A908DD">
        <w:trPr>
          <w:cantSplit/>
          <w:jc w:val="center"/>
        </w:trPr>
        <w:tc>
          <w:tcPr>
            <w:tcW w:w="714" w:type="dxa"/>
            <w:vAlign w:val="center"/>
          </w:tcPr>
          <w:p w14:paraId="4294343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8</w:t>
            </w:r>
          </w:p>
        </w:tc>
        <w:tc>
          <w:tcPr>
            <w:tcW w:w="1095" w:type="dxa"/>
            <w:vAlign w:val="center"/>
          </w:tcPr>
          <w:p w14:paraId="55614E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SCOS-WMS-003</w:t>
            </w:r>
          </w:p>
        </w:tc>
        <w:tc>
          <w:tcPr>
            <w:tcW w:w="1200" w:type="dxa"/>
            <w:vAlign w:val="center"/>
          </w:tcPr>
          <w:p w14:paraId="4553869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入库原料批次同步</w:t>
            </w:r>
          </w:p>
        </w:tc>
        <w:tc>
          <w:tcPr>
            <w:tcW w:w="2055" w:type="dxa"/>
            <w:vAlign w:val="center"/>
          </w:tcPr>
          <w:p w14:paraId="5A7929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WMS向SCOS同步入库原料批次，入库批次、物料、数量、时间和库位信息，建立原料批次与成本归集的追溯入口。</w:t>
            </w:r>
          </w:p>
        </w:tc>
        <w:tc>
          <w:tcPr>
            <w:tcW w:w="967" w:type="dxa"/>
            <w:vAlign w:val="center"/>
          </w:tcPr>
          <w:p w14:paraId="082D978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D7AE1B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468CA4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7CB049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建议：wms/inbound-batch</w:t>
            </w:r>
          </w:p>
        </w:tc>
        <w:tc>
          <w:tcPr>
            <w:tcW w:w="1165" w:type="dxa"/>
            <w:vAlign w:val="center"/>
          </w:tcPr>
          <w:p w14:paraId="27AB32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入库确认后</w:t>
            </w:r>
          </w:p>
        </w:tc>
      </w:tr>
      <w:tr w14:paraId="0C06C49D">
        <w:trPr>
          <w:cantSplit/>
          <w:jc w:val="center"/>
        </w:trPr>
        <w:tc>
          <w:tcPr>
            <w:tcW w:w="714" w:type="dxa"/>
            <w:vAlign w:val="center"/>
          </w:tcPr>
          <w:p w14:paraId="6F215F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9</w:t>
            </w:r>
          </w:p>
        </w:tc>
        <w:tc>
          <w:tcPr>
            <w:tcW w:w="1095" w:type="dxa"/>
            <w:vAlign w:val="center"/>
          </w:tcPr>
          <w:p w14:paraId="23B997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SCOS-WMS-004</w:t>
            </w:r>
          </w:p>
        </w:tc>
        <w:tc>
          <w:tcPr>
            <w:tcW w:w="1200" w:type="dxa"/>
            <w:vAlign w:val="center"/>
          </w:tcPr>
          <w:p w14:paraId="1F109D5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在途库存同步</w:t>
            </w:r>
          </w:p>
        </w:tc>
        <w:tc>
          <w:tcPr>
            <w:tcW w:w="2055" w:type="dxa"/>
            <w:vAlign w:val="center"/>
          </w:tcPr>
          <w:p w14:paraId="2FC028A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WMS向SCOS同步在途库存，运输中、生产中及待入库数量和预计到达时间，用于库存优化、要货缺口计算和供应风险判断。</w:t>
            </w:r>
          </w:p>
        </w:tc>
        <w:tc>
          <w:tcPr>
            <w:tcW w:w="967" w:type="dxa"/>
            <w:vAlign w:val="center"/>
          </w:tcPr>
          <w:p w14:paraId="5B45AF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FABDA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B0DCEB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C98891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建议：wms/in-transit-stock</w:t>
            </w:r>
          </w:p>
        </w:tc>
        <w:tc>
          <w:tcPr>
            <w:tcW w:w="1165" w:type="dxa"/>
            <w:vAlign w:val="center"/>
          </w:tcPr>
          <w:p w14:paraId="21B7D7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状态变更后</w:t>
            </w:r>
          </w:p>
        </w:tc>
      </w:tr>
      <w:tr w14:paraId="26261510">
        <w:trPr>
          <w:cantSplit/>
          <w:jc w:val="center"/>
        </w:trPr>
        <w:tc>
          <w:tcPr>
            <w:tcW w:w="714" w:type="dxa"/>
            <w:vAlign w:val="center"/>
          </w:tcPr>
          <w:p w14:paraId="714316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10</w:t>
            </w:r>
          </w:p>
        </w:tc>
        <w:tc>
          <w:tcPr>
            <w:tcW w:w="1095" w:type="dxa"/>
            <w:vAlign w:val="center"/>
          </w:tcPr>
          <w:p w14:paraId="3964BA0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SCOS-TMS-001</w:t>
            </w:r>
          </w:p>
        </w:tc>
        <w:tc>
          <w:tcPr>
            <w:tcW w:w="1200" w:type="dxa"/>
            <w:vAlign w:val="center"/>
          </w:tcPr>
          <w:p w14:paraId="4DF4058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原料入场车次批次同步</w:t>
            </w:r>
          </w:p>
        </w:tc>
        <w:tc>
          <w:tcPr>
            <w:tcW w:w="2055" w:type="dxa"/>
            <w:vAlign w:val="center"/>
          </w:tcPr>
          <w:p w14:paraId="1BDD08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TMS向SCOS同步原料入场车次批次表，原料入场车次、供应商、物料、批次和时间，关联入厂物流与后续生产批次。</w:t>
            </w:r>
          </w:p>
        </w:tc>
        <w:tc>
          <w:tcPr>
            <w:tcW w:w="967" w:type="dxa"/>
            <w:vAlign w:val="center"/>
          </w:tcPr>
          <w:p w14:paraId="2C68C4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BA468E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0B24D7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321E0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建议：tms/inbound-batch</w:t>
            </w:r>
          </w:p>
        </w:tc>
        <w:tc>
          <w:tcPr>
            <w:tcW w:w="1165" w:type="dxa"/>
            <w:vAlign w:val="center"/>
          </w:tcPr>
          <w:p w14:paraId="41A2F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车辆入场后</w:t>
            </w:r>
          </w:p>
        </w:tc>
      </w:tr>
      <w:tr w14:paraId="684F1965">
        <w:trPr>
          <w:cantSplit/>
          <w:jc w:val="center"/>
        </w:trPr>
        <w:tc>
          <w:tcPr>
            <w:tcW w:w="714" w:type="dxa"/>
            <w:vAlign w:val="center"/>
          </w:tcPr>
          <w:p w14:paraId="4A3087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11</w:t>
            </w:r>
          </w:p>
        </w:tc>
        <w:tc>
          <w:tcPr>
            <w:tcW w:w="1095" w:type="dxa"/>
            <w:vAlign w:val="center"/>
          </w:tcPr>
          <w:p w14:paraId="1176D4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SCOS-TMS-002</w:t>
            </w:r>
          </w:p>
        </w:tc>
        <w:tc>
          <w:tcPr>
            <w:tcW w:w="1200" w:type="dxa"/>
            <w:vAlign w:val="center"/>
          </w:tcPr>
          <w:p w14:paraId="396F1B0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成品出厂批次同步</w:t>
            </w:r>
          </w:p>
        </w:tc>
        <w:tc>
          <w:tcPr>
            <w:tcW w:w="2055" w:type="dxa"/>
            <w:vAlign w:val="center"/>
          </w:tcPr>
          <w:p w14:paraId="55CDD69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TMS向SCOS同步成品出厂批次表，成品出厂车次、销售交付及批次信息，关联销售履约和销售订单成本。</w:t>
            </w:r>
          </w:p>
        </w:tc>
        <w:tc>
          <w:tcPr>
            <w:tcW w:w="967" w:type="dxa"/>
            <w:vAlign w:val="center"/>
          </w:tcPr>
          <w:p w14:paraId="354488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54D2B6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90A103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49D9C1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建议：tms/outbound-batch</w:t>
            </w:r>
          </w:p>
        </w:tc>
        <w:tc>
          <w:tcPr>
            <w:tcW w:w="1165" w:type="dxa"/>
            <w:vAlign w:val="center"/>
          </w:tcPr>
          <w:p w14:paraId="13D09FE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车辆出厂后</w:t>
            </w:r>
          </w:p>
        </w:tc>
      </w:tr>
      <w:tr w14:paraId="459C29AF">
        <w:trPr>
          <w:cantSplit/>
          <w:jc w:val="center"/>
        </w:trPr>
        <w:tc>
          <w:tcPr>
            <w:tcW w:w="714" w:type="dxa"/>
            <w:vAlign w:val="center"/>
          </w:tcPr>
          <w:p w14:paraId="12F5FD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12</w:t>
            </w:r>
          </w:p>
        </w:tc>
        <w:tc>
          <w:tcPr>
            <w:tcW w:w="1095" w:type="dxa"/>
            <w:vAlign w:val="center"/>
          </w:tcPr>
          <w:p w14:paraId="7575B7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SCOS-TMS-003</w:t>
            </w:r>
          </w:p>
        </w:tc>
        <w:tc>
          <w:tcPr>
            <w:tcW w:w="1200" w:type="dxa"/>
            <w:vAlign w:val="center"/>
          </w:tcPr>
          <w:p w14:paraId="4594AF8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物流状态同步</w:t>
            </w:r>
          </w:p>
        </w:tc>
        <w:tc>
          <w:tcPr>
            <w:tcW w:w="2055" w:type="dxa"/>
            <w:vAlign w:val="center"/>
          </w:tcPr>
          <w:p w14:paraId="1CD019A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TMS向SCOS同步物流信息表，车辆、承运、在途状态和预计到达时间，支撑要货计划滚动调整与异常协调。</w:t>
            </w:r>
          </w:p>
        </w:tc>
        <w:tc>
          <w:tcPr>
            <w:tcW w:w="967" w:type="dxa"/>
            <w:vAlign w:val="center"/>
          </w:tcPr>
          <w:p w14:paraId="54F984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5EAF6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576C55F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158B3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建议：tms/logistics-status</w:t>
            </w:r>
          </w:p>
        </w:tc>
        <w:tc>
          <w:tcPr>
            <w:tcW w:w="1165" w:type="dxa"/>
            <w:vAlign w:val="center"/>
          </w:tcPr>
          <w:p w14:paraId="6F4CDC1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运输状态变更后</w:t>
            </w:r>
          </w:p>
        </w:tc>
      </w:tr>
      <w:tr w14:paraId="3935C535">
        <w:trPr>
          <w:cantSplit/>
          <w:jc w:val="center"/>
        </w:trPr>
        <w:tc>
          <w:tcPr>
            <w:tcW w:w="714" w:type="dxa"/>
            <w:vAlign w:val="center"/>
          </w:tcPr>
          <w:p w14:paraId="5F0006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13</w:t>
            </w:r>
          </w:p>
        </w:tc>
        <w:tc>
          <w:tcPr>
            <w:tcW w:w="1095" w:type="dxa"/>
            <w:vAlign w:val="center"/>
          </w:tcPr>
          <w:p w14:paraId="6E75D7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SCOS-MES-001</w:t>
            </w:r>
          </w:p>
        </w:tc>
        <w:tc>
          <w:tcPr>
            <w:tcW w:w="1200" w:type="dxa"/>
            <w:vAlign w:val="center"/>
          </w:tcPr>
          <w:p w14:paraId="141E5C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生产进度报工同步</w:t>
            </w:r>
          </w:p>
        </w:tc>
        <w:tc>
          <w:tcPr>
            <w:tcW w:w="2055" w:type="dxa"/>
            <w:vAlign w:val="center"/>
          </w:tcPr>
          <w:p w14:paraId="240C60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MES向SCOS同步生产进度报工表，生产订单、工序、完成量和报工时间，更新库存投影并反馈计划执行状态。</w:t>
            </w:r>
          </w:p>
        </w:tc>
        <w:tc>
          <w:tcPr>
            <w:tcW w:w="967" w:type="dxa"/>
            <w:vAlign w:val="center"/>
          </w:tcPr>
          <w:p w14:paraId="12FBD0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AEC4C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778B0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AA3F3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建议：mes/production-progress</w:t>
            </w:r>
          </w:p>
        </w:tc>
        <w:tc>
          <w:tcPr>
            <w:tcW w:w="1165" w:type="dxa"/>
            <w:vAlign w:val="center"/>
          </w:tcPr>
          <w:p w14:paraId="6153381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报工完成后</w:t>
            </w:r>
          </w:p>
        </w:tc>
      </w:tr>
      <w:tr w14:paraId="7260E9CD">
        <w:trPr>
          <w:cantSplit/>
          <w:jc w:val="center"/>
        </w:trPr>
        <w:tc>
          <w:tcPr>
            <w:tcW w:w="714" w:type="dxa"/>
            <w:vAlign w:val="center"/>
          </w:tcPr>
          <w:p w14:paraId="716E64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14</w:t>
            </w:r>
          </w:p>
        </w:tc>
        <w:tc>
          <w:tcPr>
            <w:tcW w:w="1095" w:type="dxa"/>
            <w:vAlign w:val="center"/>
          </w:tcPr>
          <w:p w14:paraId="5813238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SCOS-MES-002</w:t>
            </w:r>
          </w:p>
        </w:tc>
        <w:tc>
          <w:tcPr>
            <w:tcW w:w="1200" w:type="dxa"/>
            <w:vAlign w:val="center"/>
          </w:tcPr>
          <w:p w14:paraId="615E14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生产批次同步</w:t>
            </w:r>
          </w:p>
        </w:tc>
        <w:tc>
          <w:tcPr>
            <w:tcW w:w="2055" w:type="dxa"/>
            <w:vAlign w:val="center"/>
          </w:tcPr>
          <w:p w14:paraId="52DDF6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MES向SCOS同步生产批次表，生产批次、订单、物料、产量和时间信息，建立上下游批次关系并支撑成本归集。</w:t>
            </w:r>
          </w:p>
        </w:tc>
        <w:tc>
          <w:tcPr>
            <w:tcW w:w="967" w:type="dxa"/>
            <w:vAlign w:val="center"/>
          </w:tcPr>
          <w:p w14:paraId="31F89A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8CD88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536DBB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769AE3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建议：mes/production-batch</w:t>
            </w:r>
          </w:p>
        </w:tc>
        <w:tc>
          <w:tcPr>
            <w:tcW w:w="1165" w:type="dxa"/>
            <w:vAlign w:val="center"/>
          </w:tcPr>
          <w:p w14:paraId="45D52E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批次创建或完工后</w:t>
            </w:r>
          </w:p>
        </w:tc>
      </w:tr>
      <w:tr w14:paraId="6467F294">
        <w:trPr>
          <w:cantSplit/>
          <w:jc w:val="center"/>
        </w:trPr>
        <w:tc>
          <w:tcPr>
            <w:tcW w:w="714" w:type="dxa"/>
            <w:vAlign w:val="center"/>
          </w:tcPr>
          <w:p w14:paraId="44881E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15</w:t>
            </w:r>
          </w:p>
        </w:tc>
        <w:tc>
          <w:tcPr>
            <w:tcW w:w="1095" w:type="dxa"/>
            <w:vAlign w:val="center"/>
          </w:tcPr>
          <w:p w14:paraId="4CD7236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SCOS-MES-003</w:t>
            </w:r>
          </w:p>
        </w:tc>
        <w:tc>
          <w:tcPr>
            <w:tcW w:w="1200" w:type="dxa"/>
            <w:vAlign w:val="center"/>
          </w:tcPr>
          <w:p w14:paraId="2C616A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工艺及原辅料成本同步</w:t>
            </w:r>
          </w:p>
        </w:tc>
        <w:tc>
          <w:tcPr>
            <w:tcW w:w="2055" w:type="dxa"/>
            <w:vAlign w:val="center"/>
          </w:tcPr>
          <w:p w14:paraId="75DDB70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MES向SCOS同步工艺及原辅料用量成本表，工艺路线、投入产出、原辅料用量和成本事实，支撑批次成本及生产订单成本计算。</w:t>
            </w:r>
          </w:p>
        </w:tc>
        <w:tc>
          <w:tcPr>
            <w:tcW w:w="967" w:type="dxa"/>
            <w:vAlign w:val="center"/>
          </w:tcPr>
          <w:p w14:paraId="4DA92CD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3492F9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064EE7B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7B2363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建议：mes/process-cost</w:t>
            </w:r>
          </w:p>
        </w:tc>
        <w:tc>
          <w:tcPr>
            <w:tcW w:w="1165" w:type="dxa"/>
            <w:vAlign w:val="center"/>
          </w:tcPr>
          <w:p w14:paraId="2D8CC92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工序报工或日结后</w:t>
            </w:r>
          </w:p>
        </w:tc>
      </w:tr>
      <w:tr w14:paraId="2DC0653B">
        <w:trPr>
          <w:cantSplit/>
          <w:jc w:val="center"/>
        </w:trPr>
        <w:tc>
          <w:tcPr>
            <w:tcW w:w="714" w:type="dxa"/>
            <w:vAlign w:val="center"/>
          </w:tcPr>
          <w:p w14:paraId="025970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16</w:t>
            </w:r>
          </w:p>
        </w:tc>
        <w:tc>
          <w:tcPr>
            <w:tcW w:w="1095" w:type="dxa"/>
            <w:vAlign w:val="center"/>
          </w:tcPr>
          <w:p w14:paraId="2DAC48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SCOS-DCS-001</w:t>
            </w:r>
          </w:p>
        </w:tc>
        <w:tc>
          <w:tcPr>
            <w:tcW w:w="1200" w:type="dxa"/>
            <w:vAlign w:val="center"/>
          </w:tcPr>
          <w:p w14:paraId="23ADAB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自动化设备数据同步</w:t>
            </w:r>
          </w:p>
        </w:tc>
        <w:tc>
          <w:tcPr>
            <w:tcW w:w="2055" w:type="dxa"/>
            <w:vAlign w:val="center"/>
          </w:tcPr>
          <w:p w14:paraId="2145B54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DCS向SCOS同步自动化设备数据总表，设备运行、计量、能耗和关键过程数据，补充批次边界、产量及成本事实。</w:t>
            </w:r>
          </w:p>
        </w:tc>
        <w:tc>
          <w:tcPr>
            <w:tcW w:w="967" w:type="dxa"/>
            <w:vAlign w:val="center"/>
          </w:tcPr>
          <w:p w14:paraId="3D4411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332F5D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实时推送</w:t>
            </w:r>
          </w:p>
        </w:tc>
        <w:tc>
          <w:tcPr>
            <w:tcW w:w="1225" w:type="dxa"/>
            <w:vAlign w:val="center"/>
          </w:tcPr>
          <w:p w14:paraId="0455BF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DCS→SCOS</w:t>
            </w:r>
          </w:p>
        </w:tc>
        <w:tc>
          <w:tcPr>
            <w:tcW w:w="1108" w:type="dxa"/>
            <w:vAlign w:val="center"/>
          </w:tcPr>
          <w:p w14:paraId="215592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建议：dcs/equipment-data</w:t>
            </w:r>
          </w:p>
        </w:tc>
        <w:tc>
          <w:tcPr>
            <w:tcW w:w="1165" w:type="dxa"/>
            <w:vAlign w:val="center"/>
          </w:tcPr>
          <w:p w14:paraId="4B49B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实时/分钟级</w:t>
            </w:r>
          </w:p>
        </w:tc>
      </w:tr>
      <w:tr w14:paraId="4D7D82D7">
        <w:trPr>
          <w:cantSplit/>
          <w:jc w:val="center"/>
        </w:trPr>
        <w:tc>
          <w:tcPr>
            <w:tcW w:w="714" w:type="dxa"/>
            <w:vAlign w:val="center"/>
          </w:tcPr>
          <w:p w14:paraId="587211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17</w:t>
            </w:r>
          </w:p>
        </w:tc>
        <w:tc>
          <w:tcPr>
            <w:tcW w:w="1095" w:type="dxa"/>
            <w:vAlign w:val="center"/>
          </w:tcPr>
          <w:p w14:paraId="11DC11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SCOS-QMS-001</w:t>
            </w:r>
          </w:p>
        </w:tc>
        <w:tc>
          <w:tcPr>
            <w:tcW w:w="1200" w:type="dxa"/>
            <w:vAlign w:val="center"/>
          </w:tcPr>
          <w:p w14:paraId="5AD2C3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质检结果同步</w:t>
            </w:r>
          </w:p>
        </w:tc>
        <w:tc>
          <w:tcPr>
            <w:tcW w:w="2055" w:type="dxa"/>
            <w:vAlign w:val="center"/>
          </w:tcPr>
          <w:p w14:paraId="356206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QMS/LIMS向SCOS同步质检结果表，检验批、质量状态和判定结果，用于批次合格量、质量追溯及驾驶舱质量指标。</w:t>
            </w:r>
          </w:p>
        </w:tc>
        <w:tc>
          <w:tcPr>
            <w:tcW w:w="967" w:type="dxa"/>
            <w:vAlign w:val="center"/>
          </w:tcPr>
          <w:p w14:paraId="04330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6C4B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定时拉取+事件补充</w:t>
            </w:r>
          </w:p>
        </w:tc>
        <w:tc>
          <w:tcPr>
            <w:tcW w:w="1225" w:type="dxa"/>
            <w:vAlign w:val="center"/>
          </w:tcPr>
          <w:p w14:paraId="0A7065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QMS/LIMS→SCOS</w:t>
            </w:r>
          </w:p>
        </w:tc>
        <w:tc>
          <w:tcPr>
            <w:tcW w:w="1108" w:type="dxa"/>
            <w:vAlign w:val="center"/>
          </w:tcPr>
          <w:p w14:paraId="150F32E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建议：qms/inspection-result</w:t>
            </w:r>
          </w:p>
        </w:tc>
        <w:tc>
          <w:tcPr>
            <w:tcW w:w="1165" w:type="dxa"/>
            <w:vAlign w:val="center"/>
          </w:tcPr>
          <w:p w14:paraId="6A01E91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批次检验完成后</w:t>
            </w:r>
          </w:p>
        </w:tc>
      </w:tr>
      <w:tr w14:paraId="57462040">
        <w:trPr>
          <w:cantSplit/>
          <w:jc w:val="center"/>
        </w:trPr>
        <w:tc>
          <w:tcPr>
            <w:tcW w:w="714" w:type="dxa"/>
            <w:vAlign w:val="center"/>
          </w:tcPr>
          <w:p w14:paraId="6D9CE70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18</w:t>
            </w:r>
          </w:p>
        </w:tc>
        <w:tc>
          <w:tcPr>
            <w:tcW w:w="1095" w:type="dxa"/>
            <w:vAlign w:val="center"/>
          </w:tcPr>
          <w:p w14:paraId="5E8357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SCOS-CON-003</w:t>
            </w:r>
          </w:p>
        </w:tc>
        <w:tc>
          <w:tcPr>
            <w:tcW w:w="1200" w:type="dxa"/>
            <w:vAlign w:val="center"/>
          </w:tcPr>
          <w:p w14:paraId="547D696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原辅包采购需求下发</w:t>
            </w:r>
          </w:p>
        </w:tc>
        <w:tc>
          <w:tcPr>
            <w:tcW w:w="2055" w:type="dxa"/>
            <w:vAlign w:val="center"/>
          </w:tcPr>
          <w:p w14:paraId="61FD540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SCOS向CON下发原辅包采购需求表，供合同系统形成或调整采购合同并反馈执行状态。</w:t>
            </w:r>
          </w:p>
        </w:tc>
        <w:tc>
          <w:tcPr>
            <w:tcW w:w="967" w:type="dxa"/>
            <w:vAlign w:val="center"/>
          </w:tcPr>
          <w:p w14:paraId="285FA9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EFE9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A74AFC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w:t>
            </w:r>
          </w:p>
        </w:tc>
        <w:tc>
          <w:tcPr>
            <w:tcW w:w="1108" w:type="dxa"/>
            <w:vAlign w:val="center"/>
          </w:tcPr>
          <w:p w14:paraId="5228873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建议：con/procurement-demand</w:t>
            </w:r>
          </w:p>
        </w:tc>
        <w:tc>
          <w:tcPr>
            <w:tcW w:w="1165" w:type="dxa"/>
            <w:vAlign w:val="center"/>
          </w:tcPr>
          <w:p w14:paraId="4FA02C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采购方案发布后</w:t>
            </w:r>
          </w:p>
        </w:tc>
      </w:tr>
      <w:tr w14:paraId="25A11EA7">
        <w:trPr>
          <w:cantSplit/>
          <w:jc w:val="center"/>
        </w:trPr>
        <w:tc>
          <w:tcPr>
            <w:tcW w:w="714" w:type="dxa"/>
            <w:vAlign w:val="center"/>
          </w:tcPr>
          <w:p w14:paraId="776DA58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19</w:t>
            </w:r>
          </w:p>
        </w:tc>
        <w:tc>
          <w:tcPr>
            <w:tcW w:w="1095" w:type="dxa"/>
            <w:vAlign w:val="center"/>
          </w:tcPr>
          <w:p w14:paraId="6A46061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SCOS-SAP-003</w:t>
            </w:r>
          </w:p>
        </w:tc>
        <w:tc>
          <w:tcPr>
            <w:tcW w:w="1200" w:type="dxa"/>
            <w:vAlign w:val="center"/>
          </w:tcPr>
          <w:p w14:paraId="3425E4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5945E0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SCOS向SAP下发生产订单，驱动SAP创建正式生产订单并返回业务单号。</w:t>
            </w:r>
          </w:p>
        </w:tc>
        <w:tc>
          <w:tcPr>
            <w:tcW w:w="967" w:type="dxa"/>
            <w:vAlign w:val="center"/>
          </w:tcPr>
          <w:p w14:paraId="1FD5D64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AB401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D5DB7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1DB409E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建议：sap/production-order</w:t>
            </w:r>
          </w:p>
        </w:tc>
        <w:tc>
          <w:tcPr>
            <w:tcW w:w="1165" w:type="dxa"/>
            <w:vAlign w:val="center"/>
          </w:tcPr>
          <w:p w14:paraId="3E4002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生产计划发布后</w:t>
            </w:r>
          </w:p>
        </w:tc>
      </w:tr>
      <w:tr w14:paraId="653B2796">
        <w:trPr>
          <w:cantSplit/>
          <w:jc w:val="center"/>
        </w:trPr>
        <w:tc>
          <w:tcPr>
            <w:tcW w:w="714" w:type="dxa"/>
            <w:vAlign w:val="center"/>
          </w:tcPr>
          <w:p w14:paraId="1EBBD61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20</w:t>
            </w:r>
          </w:p>
        </w:tc>
        <w:tc>
          <w:tcPr>
            <w:tcW w:w="1095" w:type="dxa"/>
            <w:vAlign w:val="center"/>
          </w:tcPr>
          <w:p w14:paraId="3D36A51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SCOS-SAP-004</w:t>
            </w:r>
          </w:p>
        </w:tc>
        <w:tc>
          <w:tcPr>
            <w:tcW w:w="1200" w:type="dxa"/>
            <w:vAlign w:val="center"/>
          </w:tcPr>
          <w:p w14:paraId="03479C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1C0286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SCOS向SAP下发要货计划表，作为采购执行、供应商协同和到货跟踪的业务依据。</w:t>
            </w:r>
          </w:p>
        </w:tc>
        <w:tc>
          <w:tcPr>
            <w:tcW w:w="967" w:type="dxa"/>
            <w:vAlign w:val="center"/>
          </w:tcPr>
          <w:p w14:paraId="5D2CE6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9EE70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6FB9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3683BB8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建议：sap/replenishment-plan</w:t>
            </w:r>
          </w:p>
        </w:tc>
        <w:tc>
          <w:tcPr>
            <w:tcW w:w="1165" w:type="dxa"/>
            <w:vAlign w:val="center"/>
          </w:tcPr>
          <w:p w14:paraId="100168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要货计划确认后</w:t>
            </w:r>
          </w:p>
        </w:tc>
      </w:tr>
      <w:tr w14:paraId="4D39F919">
        <w:trPr>
          <w:cantSplit/>
          <w:jc w:val="center"/>
        </w:trPr>
        <w:tc>
          <w:tcPr>
            <w:tcW w:w="714" w:type="dxa"/>
            <w:vAlign w:val="center"/>
          </w:tcPr>
          <w:p w14:paraId="3AA85D2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21</w:t>
            </w:r>
          </w:p>
        </w:tc>
        <w:tc>
          <w:tcPr>
            <w:tcW w:w="1095" w:type="dxa"/>
            <w:vAlign w:val="center"/>
          </w:tcPr>
          <w:p w14:paraId="2B3A81D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SCOS-WMS-005</w:t>
            </w:r>
          </w:p>
        </w:tc>
        <w:tc>
          <w:tcPr>
            <w:tcW w:w="1200" w:type="dxa"/>
            <w:vAlign w:val="center"/>
          </w:tcPr>
          <w:p w14:paraId="72B62DC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日投料需求下发</w:t>
            </w:r>
          </w:p>
        </w:tc>
        <w:tc>
          <w:tcPr>
            <w:tcW w:w="2055" w:type="dxa"/>
            <w:vAlign w:val="center"/>
          </w:tcPr>
          <w:p w14:paraId="452864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SCOS向WMS下发玉米淀粉日投料需求，驱动仓储备料、投料及执行反馈。</w:t>
            </w:r>
          </w:p>
        </w:tc>
        <w:tc>
          <w:tcPr>
            <w:tcW w:w="967" w:type="dxa"/>
            <w:vAlign w:val="center"/>
          </w:tcPr>
          <w:p w14:paraId="619A5DF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DD6277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92EF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w:t>
            </w:r>
          </w:p>
        </w:tc>
        <w:tc>
          <w:tcPr>
            <w:tcW w:w="1108" w:type="dxa"/>
            <w:vAlign w:val="center"/>
          </w:tcPr>
          <w:p w14:paraId="58FCAAD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建议：wms/daily-feeding</w:t>
            </w:r>
          </w:p>
        </w:tc>
        <w:tc>
          <w:tcPr>
            <w:tcW w:w="1165" w:type="dxa"/>
            <w:vAlign w:val="center"/>
          </w:tcPr>
          <w:p w14:paraId="388E220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每日计划发布或调整后</w:t>
            </w:r>
          </w:p>
        </w:tc>
      </w:tr>
      <w:tr w14:paraId="1F1589F3">
        <w:trPr>
          <w:cantSplit/>
          <w:jc w:val="center"/>
        </w:trPr>
        <w:tc>
          <w:tcPr>
            <w:tcW w:w="714" w:type="dxa"/>
            <w:vAlign w:val="center"/>
          </w:tcPr>
          <w:p w14:paraId="2F569A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22</w:t>
            </w:r>
          </w:p>
        </w:tc>
        <w:tc>
          <w:tcPr>
            <w:tcW w:w="1095" w:type="dxa"/>
            <w:vAlign w:val="center"/>
          </w:tcPr>
          <w:p w14:paraId="4A0E58B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SCOS-TMS-004</w:t>
            </w:r>
          </w:p>
        </w:tc>
        <w:tc>
          <w:tcPr>
            <w:tcW w:w="1200" w:type="dxa"/>
            <w:vAlign w:val="center"/>
          </w:tcPr>
          <w:p w14:paraId="45A16D6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5C2E2AC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SCOS向TMS下发要货计划表，驱动运输计划、车辆调度和到厂反馈。</w:t>
            </w:r>
          </w:p>
        </w:tc>
        <w:tc>
          <w:tcPr>
            <w:tcW w:w="967" w:type="dxa"/>
            <w:vAlign w:val="center"/>
          </w:tcPr>
          <w:p w14:paraId="7C573A8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0EFBEB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2DA4AC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w:t>
            </w:r>
          </w:p>
        </w:tc>
        <w:tc>
          <w:tcPr>
            <w:tcW w:w="1108" w:type="dxa"/>
            <w:vAlign w:val="center"/>
          </w:tcPr>
          <w:p w14:paraId="79C193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建议：tms/arrival-plan</w:t>
            </w:r>
          </w:p>
        </w:tc>
        <w:tc>
          <w:tcPr>
            <w:tcW w:w="1165" w:type="dxa"/>
            <w:vAlign w:val="center"/>
          </w:tcPr>
          <w:p w14:paraId="3A8EED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要货计划确认或调整后</w:t>
            </w:r>
          </w:p>
        </w:tc>
      </w:tr>
      <w:tr w14:paraId="46D7F291">
        <w:trPr>
          <w:cantSplit/>
          <w:jc w:val="center"/>
        </w:trPr>
        <w:tc>
          <w:tcPr>
            <w:tcW w:w="714" w:type="dxa"/>
            <w:vAlign w:val="center"/>
          </w:tcPr>
          <w:p w14:paraId="73F8B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23</w:t>
            </w:r>
          </w:p>
        </w:tc>
        <w:tc>
          <w:tcPr>
            <w:tcW w:w="1095" w:type="dxa"/>
            <w:vAlign w:val="center"/>
          </w:tcPr>
          <w:p w14:paraId="5E099A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SCOS-MES-004</w:t>
            </w:r>
          </w:p>
        </w:tc>
        <w:tc>
          <w:tcPr>
            <w:tcW w:w="1200" w:type="dxa"/>
            <w:vAlign w:val="center"/>
          </w:tcPr>
          <w:p w14:paraId="48697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71E004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SCOS向MES下发生产订单，驱动生产组织并回传进度、产量和批次。</w:t>
            </w:r>
          </w:p>
        </w:tc>
        <w:tc>
          <w:tcPr>
            <w:tcW w:w="967" w:type="dxa"/>
            <w:vAlign w:val="center"/>
          </w:tcPr>
          <w:p w14:paraId="675D2B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696371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2E413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w:t>
            </w:r>
          </w:p>
        </w:tc>
        <w:tc>
          <w:tcPr>
            <w:tcW w:w="1108" w:type="dxa"/>
            <w:vAlign w:val="center"/>
          </w:tcPr>
          <w:p w14:paraId="33CDE17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建议：mes/production-order</w:t>
            </w:r>
          </w:p>
        </w:tc>
        <w:tc>
          <w:tcPr>
            <w:tcW w:w="1165" w:type="dxa"/>
            <w:vAlign w:val="center"/>
          </w:tcPr>
          <w:p w14:paraId="5DBE0C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生产订单确认后</w:t>
            </w:r>
          </w:p>
        </w:tc>
      </w:tr>
    </w:tbl>
    <w:p w14:paraId="7260F875">
      <w:pPr>
        <w:rPr>
          <w:rFonts w:hint="eastAsia"/>
        </w:rPr>
      </w:pPr>
    </w:p>
    <w:bookmarkEnd w:id="54"/>
    <w:p w14:paraId="259758A1">
      <w:pPr>
        <w:pStyle w:val="2"/>
        <w:keepNext/>
        <w:pageBreakBefore/>
        <w:rPr>
          <w:rFonts w:hint="eastAsia" w:ascii="黑体" w:hAnsi="黑体" w:eastAsia="黑体" w:cs="黑体"/>
          <w:color w:val="auto"/>
        </w:rPr>
      </w:pPr>
      <w:bookmarkStart w:id="55" w:name="_Toc197180906"/>
      <w:bookmarkStart w:id="56" w:name="_【待优化-格式不对】SCOS业务场景-智能化覆盖率映射表"/>
      <w:r>
        <w:rPr>
          <w:rFonts w:hint="eastAsia" w:ascii="黑体" w:hAnsi="黑体" w:eastAsia="黑体" w:cs="黑体"/>
          <w:b/>
          <w:color w:val="auto"/>
          <w:sz w:val="32"/>
        </w:rPr>
        <w:t>SCOS业务场景-智能化覆盖率映射表</w:t>
      </w:r>
      <w:bookmarkEnd w:id="55"/>
    </w:p>
    <w:bookmarkEnd w:id="56"/>
    <w:p w14:paraId="5530E875">
      <w:pPr>
        <w:pStyle w:val="3"/>
        <w:bidi w:val="0"/>
        <w:rPr>
          <w:rFonts w:hint="eastAsia" w:ascii="黑体" w:hAnsi="黑体" w:eastAsia="黑体" w:cs="黑体"/>
        </w:rPr>
      </w:pPr>
      <w:bookmarkStart w:id="57" w:name="_Toc452219821"/>
      <w:r>
        <w:rPr>
          <w:rFonts w:hint="eastAsia" w:ascii="黑体" w:hAnsi="黑体" w:eastAsia="黑体" w:cs="黑体"/>
        </w:rPr>
        <w:t>智能化场景清单</w:t>
      </w:r>
      <w:bookmarkEnd w:id="57"/>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02DB1C5F">
        <w:trPr>
          <w:cantSpli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28164D4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19655F12">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EECE95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6356040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718D7893">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5696F36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3FC5C55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22D137A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5100BF2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2E0A303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226BE4A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27B249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3753EAA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1718006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56FADD8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6C98B76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137CD22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0FAAE3D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2C27568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A941F8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3EB298A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480103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170C0C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17BAD7E">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7EEFD7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8C12B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16CCFE5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164D83B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3A29F9F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3BB86BBA">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70BBB3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28DA2AA">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9E3BF9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1FC49E9E">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778DA8AB">
            <w:pPr>
              <w:keepNext w:val="0"/>
              <w:keepLines w:val="0"/>
              <w:widowControl/>
              <w:suppressLineNumbers w:val="0"/>
              <w:snapToGrid w:val="0"/>
              <w:spacing w:before="0" w:beforeAutospacing="0" w:after="0" w:afterAutospacing="0" w:line="240" w:lineRule="auto"/>
              <w:ind w:left="0" w:leftChars="0" w:right="0" w:rightChars="0"/>
              <w:jc w:val="center"/>
              <w:rPr>
                <w:rFonts w:hint="default"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参考精益排程部分</w:t>
            </w:r>
          </w:p>
        </w:tc>
        <w:tc>
          <w:tcPr>
            <w:tcW w:w="1657" w:type="dxa"/>
            <w:tcBorders>
              <w:top w:val="nil"/>
              <w:left w:val="nil"/>
              <w:bottom w:val="nil"/>
              <w:right w:val="nil"/>
            </w:tcBorders>
            <w:noWrap w:val="0"/>
            <w:tcMar>
              <w:top w:w="-1" w:type="dxa"/>
              <w:left w:w="-1" w:type="dxa"/>
              <w:bottom w:w="-1" w:type="dxa"/>
              <w:right w:w="-1" w:type="dxa"/>
            </w:tcMar>
            <w:vAlign w:val="center"/>
          </w:tcPr>
          <w:p w14:paraId="218530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p>
        </w:tc>
        <w:tc>
          <w:tcPr>
            <w:tcW w:w="1428" w:type="dxa"/>
            <w:tcBorders>
              <w:top w:val="nil"/>
              <w:left w:val="nil"/>
              <w:bottom w:val="nil"/>
              <w:right w:val="nil"/>
            </w:tcBorders>
            <w:noWrap w:val="0"/>
            <w:tcMar>
              <w:top w:w="-1" w:type="dxa"/>
              <w:left w:w="-1" w:type="dxa"/>
              <w:bottom w:w="-1" w:type="dxa"/>
              <w:right w:w="-1" w:type="dxa"/>
            </w:tcMar>
            <w:vAlign w:val="center"/>
          </w:tcPr>
          <w:p w14:paraId="2599516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423" w:type="dxa"/>
            <w:tcBorders>
              <w:top w:val="nil"/>
              <w:left w:val="nil"/>
              <w:bottom w:val="nil"/>
              <w:right w:val="nil"/>
            </w:tcBorders>
            <w:noWrap w:val="0"/>
            <w:tcMar>
              <w:top w:w="-1" w:type="dxa"/>
              <w:left w:w="-1" w:type="dxa"/>
              <w:bottom w:w="-1" w:type="dxa"/>
              <w:right w:w="-1" w:type="dxa"/>
            </w:tcMar>
            <w:vAlign w:val="center"/>
          </w:tcPr>
          <w:p w14:paraId="6657A96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757" w:type="dxa"/>
            <w:tcBorders>
              <w:top w:val="nil"/>
              <w:left w:val="nil"/>
              <w:bottom w:val="nil"/>
              <w:right w:val="nil"/>
            </w:tcBorders>
            <w:noWrap w:val="0"/>
            <w:tcMar>
              <w:top w:w="-1" w:type="dxa"/>
              <w:left w:w="-1" w:type="dxa"/>
              <w:bottom w:w="-1" w:type="dxa"/>
              <w:right w:w="-1" w:type="dxa"/>
            </w:tcMar>
            <w:vAlign w:val="center"/>
          </w:tcPr>
          <w:p w14:paraId="62D5FC7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r>
      <w:tr w14:paraId="63409BB8">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077E0E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2BE702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6642083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0251B35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596330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6FA5E0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740F843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361394F4">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8B2F2C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2F5AFE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F6643F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31B3F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2BC8F5F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080F897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499833C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474DBC0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6A8068B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7F4FEA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5F9A4A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2F3A41C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C591F1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68E31D0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07B6566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5D6E833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F52FA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3C5D77B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43E4F5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6F1CE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4B77534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1D7B104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5E6D3E4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bl>
    <w:p w14:paraId="70642555"/>
    <w:p w14:paraId="0F08390F">
      <w:pPr>
        <w:pStyle w:val="3"/>
        <w:bidi w:val="0"/>
        <w:rPr>
          <w:rFonts w:hint="eastAsia" w:ascii="黑体" w:hAnsi="黑体" w:eastAsia="黑体" w:cs="黑体"/>
        </w:rPr>
      </w:pPr>
      <w:bookmarkStart w:id="58" w:name="_Toc513904814"/>
      <w:r>
        <w:rPr>
          <w:rFonts w:hint="eastAsia" w:ascii="黑体" w:hAnsi="黑体" w:eastAsia="黑体" w:cs="黑体"/>
        </w:rPr>
        <w:t>场景验收指标</w:t>
      </w:r>
      <w:bookmarkEnd w:id="58"/>
    </w:p>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8"/>
        <w:gridCol w:w="1708"/>
        <w:gridCol w:w="1525"/>
        <w:gridCol w:w="2579"/>
        <w:gridCol w:w="2117"/>
      </w:tblGrid>
      <w:tr w14:paraId="3C011DB0">
        <w:trPr>
          <w:cantSplit/>
          <w:tblHeader/>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587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2D262D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306A7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0B834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762858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0E534A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8D49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ECFA1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主视图加载及钻取响应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14A3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w:t>
            </w:r>
            <w:r>
              <w:rPr>
                <w:rFonts w:hint="eastAsia" w:ascii="宋体" w:hAnsi="宋体" w:eastAsia="宋体"/>
                <w:sz w:val="20"/>
                <w:szCs w:val="22"/>
                <w:lang w:val="en-US" w:eastAsia="zh-CN"/>
              </w:rPr>
              <w:t>5</w:t>
            </w:r>
            <w:r>
              <w:rPr>
                <w:rFonts w:hint="default" w:ascii="宋体" w:hAnsi="宋体" w:eastAsia="宋体"/>
                <w:sz w:val="20"/>
                <w:szCs w:val="22"/>
              </w:rPr>
              <w:t>秒；钻取≤</w:t>
            </w:r>
            <w:r>
              <w:rPr>
                <w:rFonts w:hint="eastAsia" w:ascii="宋体" w:hAnsi="宋体"/>
                <w:sz w:val="20"/>
                <w:szCs w:val="22"/>
                <w:lang w:val="en-US" w:eastAsia="zh-CN"/>
              </w:rPr>
              <w:t>10</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5BFA46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在约定数据量及50并发条件下，连续执行主视图加载和逐级钻取，统计95分位响应时间。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D100F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不含首次缓存预热和外部源系统不可用时段。</w:t>
            </w:r>
          </w:p>
        </w:tc>
      </w:tr>
      <w:tr w14:paraId="0591F8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F3C42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E0A5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规则型预警触发准确率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28950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准确率100%；关键异常漏报率0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29D7D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构造正常、越界和恢复样本，逐项比对阈值规则、预警级别、触发时间和处置记录。</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463E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以双方确认的指标口径、阈值和抑制规则为准。</w:t>
            </w:r>
          </w:p>
        </w:tc>
      </w:tr>
      <w:tr w14:paraId="38475AFF">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716F3E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2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沙盘数据隔离率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8FBF6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A5EA78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对同一业务快照执行多组情景推演，核对正式计划、交易和主数据在推演前后均未被修改。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B3A5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沙盘结果只有经审批发布后方可形成正式业务数据。</w:t>
            </w:r>
          </w:p>
        </w:tc>
      </w:tr>
      <w:tr w14:paraId="064579A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3DED6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FAC99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推演结果可复现率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003D0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5ABF4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使用相同快照、参数和模型版本重复运行三次，比对主要产能、库存、采购、交付及成本结果。</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AB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允许显示精度导致的舍入差异。</w:t>
            </w:r>
          </w:p>
        </w:tc>
      </w:tr>
      <w:tr w14:paraId="755C9A1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8AA17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0E72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月度订单满足率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1E52F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和设定的服务水平相差小于5%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8F7250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基于销售订单，计算各产品月度实际的订单满足率，和各产品设定的服务水平进行比对。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6C9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15C762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261C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36353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sz w:val="20"/>
                <w:szCs w:val="22"/>
                <w:lang w:val="en-US" w:eastAsia="zh-CN"/>
              </w:rPr>
              <w:t>月度库存周转天数</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94544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降低5%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3583C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基于月度库存平均水位和月度平均出库，计算月度库存周转天数，和现状进行比对。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7BD9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4635F72D">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F47B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E682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补货约束满足率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1003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3CF18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设置重复计划入库、储罐容量不足和补充周期变化场景，核对防重、容量和风险日判断。</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6370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锁定期内风险只预警，不自动修改已锁定计划。</w:t>
            </w:r>
          </w:p>
        </w:tc>
      </w:tr>
      <w:tr w14:paraId="45B9BEA3">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A887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69DA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排程硬约束满足率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9565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53640E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在确认的订单、产线、物料、设备和清洗约束数据集上运行排程，逐项检查硬约束。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1CC5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预留场景；正式考核前须确认完整约束清单及优先级。</w:t>
            </w:r>
          </w:p>
        </w:tc>
      </w:tr>
      <w:tr w14:paraId="384B3E2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18FB5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BA89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72小时详细排程耗时</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7F98F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≤5分钟</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B977C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在双方确认的数据规模、计算资源和典型生产场景下连续运行三次，记录完整排程时间。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4C41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预留场景；正式考核前须固化数据规模和测试环境。</w:t>
            </w:r>
          </w:p>
        </w:tc>
      </w:tr>
      <w:tr w14:paraId="08FC6E3B">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20178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B516C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待采购需求净算准确率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2C62F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4189B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选取典型物料，按需求、未完成采购承诺和在途数据手工复算，并与系统净算结果逐项比较。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5DD1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以已发布需求版本及有效采购承诺为统计边界。</w:t>
            </w:r>
          </w:p>
        </w:tc>
      </w:tr>
      <w:tr w14:paraId="29FB256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D5BC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8110F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采购方案硬约束满足率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026C37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C4CE80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检查推荐方案是否满足需求量、供应商可供量、交付期、资质和合同等已确认硬约束。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4510D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不可行时必须输出数量或时间缺口及原因。</w:t>
            </w:r>
          </w:p>
        </w:tc>
      </w:tr>
      <w:tr w14:paraId="2D304FC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196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680ED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要货需求覆盖准确率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3CC51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0</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A9F1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选取典型物料和日期，按生产耗用、可用库存及固定到货手工复算，并与系统建议逐项比较。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A07AE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以已发布需求、合格未冻结库存及已确认到货为统计边界。</w:t>
            </w:r>
          </w:p>
        </w:tc>
      </w:tr>
      <w:tr w14:paraId="4167FAE7">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B513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DB2191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B9EFD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CC41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逐项核对合同余量、最早到货、供应能力、收货能力、禁运状态及锁定安排是否满足。</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4673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不可行时必须输出风险日期、缺口数量及原因。</w:t>
            </w:r>
          </w:p>
        </w:tc>
      </w:tr>
      <w:tr w14:paraId="5D00E6C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8A64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D30D53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成本归集对账一致率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4D6C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C6F1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抽取完整核算周期，按费用池、产品、订单和批次汇总SCOS结果，并与SAP权威</w:t>
            </w:r>
            <w:r>
              <w:rPr>
                <w:rFonts w:hint="eastAsia" w:ascii="宋体" w:hAnsi="宋体"/>
                <w:sz w:val="20"/>
                <w:szCs w:val="22"/>
                <w:lang w:val="en-US" w:eastAsia="zh-CN"/>
              </w:rPr>
              <w:t>生产相关</w:t>
            </w:r>
            <w:r>
              <w:rPr>
                <w:rFonts w:hint="default" w:ascii="宋体" w:hAnsi="宋体" w:eastAsia="宋体"/>
                <w:sz w:val="20"/>
                <w:szCs w:val="22"/>
              </w:rPr>
              <w:t>成本对账。</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D32C2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允许双方确认的币种换算和小数舍入差异。</w:t>
            </w:r>
          </w:p>
        </w:tc>
      </w:tr>
      <w:tr w14:paraId="2CBB547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C471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6F2A9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分摊结果可追溯率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413BF3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1602D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从成本结果反查来源凭证、费用池、分摊规则、参数版本和计算记录，检查链路完整性。</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412C8D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所有人工调整须保留原因、操作者和审批记录。</w:t>
            </w:r>
          </w:p>
        </w:tc>
      </w:tr>
      <w:tr w14:paraId="694698E5">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30F7B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0243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批次追溯链完整率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A51C7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63B38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使用预置的原料至客户完整批次链，执行正向和反向查询，与MES、WMS、QMS及SAP记录比对。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C82076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源系统缺失且已登记的数据除外，并单独列示。</w:t>
            </w:r>
          </w:p>
        </w:tc>
      </w:tr>
      <w:tr w14:paraId="1F7BC0D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C2E5EA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AA06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批次追溯查询响应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0902FC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95分位≤</w:t>
            </w:r>
            <w:r>
              <w:rPr>
                <w:rFonts w:hint="eastAsia" w:ascii="宋体" w:hAnsi="宋体"/>
                <w:sz w:val="20"/>
                <w:szCs w:val="22"/>
                <w:lang w:val="en-US" w:eastAsia="zh-CN"/>
              </w:rPr>
              <w:t>10</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8A8C9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在约定批次数量和50并发条件下执行正反向查询，统计95分位端到端响应时间。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95D99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不含外部源系统临时补查等待时间。</w:t>
            </w:r>
          </w:p>
        </w:tc>
      </w:tr>
    </w:tbl>
    <w:p w14:paraId="5209DCF1"/>
    <w:p w14:paraId="256C883B">
      <w:pPr>
        <w:pStyle w:val="3"/>
        <w:bidi w:val="0"/>
        <w:rPr>
          <w:rFonts w:hint="eastAsia" w:ascii="黑体" w:hAnsi="黑体" w:eastAsia="黑体" w:cs="黑体"/>
          <w:b/>
          <w:color w:val="auto"/>
          <w:sz w:val="30"/>
        </w:rPr>
      </w:pPr>
      <w:bookmarkStart w:id="59" w:name="_Toc18980664"/>
      <w:r>
        <w:rPr>
          <w:rFonts w:hint="eastAsia" w:ascii="黑体" w:hAnsi="黑体" w:eastAsia="黑体" w:cs="黑体"/>
          <w:color w:val="auto"/>
        </w:rPr>
        <w:t>智能化场景覆盖率</w:t>
      </w:r>
      <w:bookmarkEnd w:id="59"/>
    </w:p>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5AC06409">
        <w:trPr>
          <w:cantSpli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9C75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0E34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CCCC8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CDAB8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684CFE79">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B9F61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3C2AC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4D07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6.1去重场景编号数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E9A44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001—008共8项，含1项预留场景。</w:t>
            </w:r>
          </w:p>
        </w:tc>
      </w:tr>
      <w:tr w14:paraId="0D347E1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67C35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计入智能化覆盖率考核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94E7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39034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6.1“考核”为“是”的场景数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050B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001—003、005—008，共7项。</w:t>
            </w:r>
          </w:p>
        </w:tc>
      </w:tr>
      <w:tr w14:paraId="5BCAD65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6BF46B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暂不计入考核（预留场景）</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8C720E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2558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DEEF2C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004共1项，待场景内容及约束确认后转入考核。</w:t>
            </w:r>
          </w:p>
        </w:tc>
      </w:tr>
      <w:tr w14:paraId="0F2C53DA">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CA05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本章内部考核覆盖率</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544BF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87.5%</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50299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7÷8×100%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2A85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反映当前已具备明确考核口径的场景比例。</w:t>
            </w:r>
          </w:p>
        </w:tc>
      </w:tr>
      <w:tr w14:paraId="34E91685">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762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10892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4A279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5C9E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待全厂智能化场景总清单确认后更新。</w:t>
            </w:r>
          </w:p>
        </w:tc>
      </w:tr>
    </w:tbl>
    <w:p w14:paraId="5CCDE163"/>
    <w:p w14:paraId="5EA18E2A">
      <w:pPr>
        <w:pStyle w:val="2"/>
        <w:keepNext/>
        <w:pageBreakBefore/>
        <w:rPr>
          <w:rFonts w:hint="eastAsia" w:ascii="黑体" w:hAnsi="黑体" w:eastAsia="黑体" w:cs="黑体"/>
          <w:color w:val="auto"/>
        </w:rPr>
      </w:pPr>
      <w:bookmarkStart w:id="60" w:name="_Toc1180440092"/>
      <w:bookmarkStart w:id="61" w:name="_SCOS非功能性需求响应表"/>
      <w:r>
        <w:rPr>
          <w:rFonts w:hint="eastAsia" w:ascii="黑体" w:hAnsi="黑体" w:eastAsia="黑体" w:cs="黑体"/>
          <w:b/>
          <w:color w:val="auto"/>
          <w:sz w:val="32"/>
        </w:rPr>
        <w:t>SCOS非功能性需求响应表</w:t>
      </w:r>
      <w:bookmarkEnd w:id="60"/>
    </w:p>
    <w:bookmarkEnd w:id="61"/>
    <w:tbl>
      <w:tblPr>
        <w:tblStyle w:val="79"/>
        <w:tblW w:w="10317"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2956"/>
        <w:gridCol w:w="3205"/>
        <w:gridCol w:w="2135"/>
        <w:gridCol w:w="2021"/>
      </w:tblGrid>
      <w:tr w14:paraId="0EC9A410">
        <w:trPr>
          <w:trHeight w:val="546" w:hRule="atLeast"/>
          <w:tblHeader/>
          <w:jc w:val="center"/>
        </w:trPr>
        <w:tc>
          <w:tcPr>
            <w:tcW w:w="2956" w:type="dxa"/>
            <w:tcBorders>
              <w:tl2br w:val="nil"/>
              <w:tr2bl w:val="nil"/>
            </w:tcBorders>
            <w:vAlign w:val="center"/>
          </w:tcPr>
          <w:p w14:paraId="6EB9318E">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招标条款编号及原文</w:t>
            </w:r>
          </w:p>
        </w:tc>
        <w:tc>
          <w:tcPr>
            <w:tcW w:w="3205" w:type="dxa"/>
            <w:tcBorders>
              <w:tl2br w:val="nil"/>
              <w:tr2bl w:val="nil"/>
            </w:tcBorders>
            <w:vAlign w:val="center"/>
          </w:tcPr>
          <w:p w14:paraId="40AD5AD3">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响应方案</w:t>
            </w:r>
          </w:p>
        </w:tc>
        <w:tc>
          <w:tcPr>
            <w:tcW w:w="2135" w:type="dxa"/>
            <w:tcBorders>
              <w:tl2br w:val="nil"/>
              <w:tr2bl w:val="nil"/>
            </w:tcBorders>
            <w:vAlign w:val="center"/>
          </w:tcPr>
          <w:p w14:paraId="027CEB0D">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满足方式</w:t>
            </w:r>
          </w:p>
        </w:tc>
        <w:tc>
          <w:tcPr>
            <w:tcW w:w="2021" w:type="dxa"/>
            <w:tcBorders>
              <w:tl2br w:val="nil"/>
              <w:tr2bl w:val="nil"/>
            </w:tcBorders>
            <w:vAlign w:val="center"/>
          </w:tcPr>
          <w:p w14:paraId="2EF8A134">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对应交付物章节</w:t>
            </w:r>
          </w:p>
        </w:tc>
      </w:tr>
      <w:tr w14:paraId="2DD7C0E1">
        <w:trPr>
          <w:trHeight w:val="1431" w:hRule="atLeast"/>
          <w:jc w:val="center"/>
        </w:trPr>
        <w:tc>
          <w:tcPr>
            <w:tcW w:w="2956" w:type="dxa"/>
            <w:tcBorders>
              <w:tl2br w:val="nil"/>
              <w:tr2bl w:val="nil"/>
            </w:tcBorders>
            <w:vAlign w:val="center"/>
          </w:tcPr>
          <w:p w14:paraId="54CD445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（1）数据高保真与一致性：</w:t>
            </w:r>
            <w:r>
              <w:rPr>
                <w:rStyle w:val="82"/>
                <w:sz w:val="21"/>
                <w:szCs w:val="21"/>
                <w:lang w:val="en-US" w:eastAsia="zh-CN" w:bidi="ar"/>
              </w:rPr>
              <w:t>作为供应链计划中枢，必须确保计划、订单、库存、成本数据绝对准确、版本清晰</w:t>
            </w:r>
          </w:p>
        </w:tc>
        <w:tc>
          <w:tcPr>
            <w:tcW w:w="3205" w:type="dxa"/>
            <w:tcBorders>
              <w:tl2br w:val="nil"/>
              <w:tr2bl w:val="nil"/>
            </w:tcBorders>
            <w:vAlign w:val="center"/>
          </w:tcPr>
          <w:p w14:paraId="71E70B5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、变更管理，确保数据全链路可追溯。</w:t>
            </w:r>
          </w:p>
        </w:tc>
        <w:tc>
          <w:tcPr>
            <w:tcW w:w="2135" w:type="dxa"/>
            <w:tcBorders>
              <w:tl2br w:val="nil"/>
              <w:tr2bl w:val="nil"/>
            </w:tcBorders>
            <w:vAlign w:val="center"/>
          </w:tcPr>
          <w:p w14:paraId="1D6CCF0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主数据唯一编码、版本号规则、</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机制、数据对账机制等闭环管理。</w:t>
            </w:r>
          </w:p>
        </w:tc>
        <w:tc>
          <w:tcPr>
            <w:tcW w:w="2021" w:type="dxa"/>
            <w:tcBorders>
              <w:tl2br w:val="nil"/>
              <w:tr2bl w:val="nil"/>
            </w:tcBorders>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2.2.1</w:t>
            </w:r>
            <w:r>
              <w:rPr>
                <w:rFonts w:hint="eastAsia"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cs="宋体"/>
                <w:i w:val="0"/>
                <w:iCs w:val="0"/>
                <w:color w:val="000000"/>
                <w:kern w:val="0"/>
                <w:sz w:val="21"/>
                <w:szCs w:val="21"/>
                <w:u w:val="none"/>
                <w:lang w:val="en-US" w:eastAsia="zh-CN" w:bidi="ar"/>
              </w:rPr>
              <w:t>2.2.9 每日玉米淀粉投料需求制定</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cs="宋体"/>
                <w:i w:val="0"/>
                <w:iCs w:val="0"/>
                <w:color w:val="000000"/>
                <w:kern w:val="0"/>
                <w:sz w:val="21"/>
                <w:szCs w:val="21"/>
                <w:u w:val="none"/>
                <w:lang w:val="en-US" w:eastAsia="zh-CN" w:bidi="ar"/>
              </w:rPr>
              <w:t>2.5</w:t>
            </w:r>
            <w:r>
              <w:rPr>
                <w:rFonts w:hint="eastAsia" w:ascii="宋体" w:hAnsi="宋体" w:eastAsia="宋体" w:cs="宋体"/>
                <w:i w:val="0"/>
                <w:iCs w:val="0"/>
                <w:color w:val="000000"/>
                <w:kern w:val="0"/>
                <w:sz w:val="21"/>
                <w:szCs w:val="21"/>
                <w:u w:val="none"/>
                <w:lang w:val="en-US" w:eastAsia="zh-CN" w:bidi="ar"/>
              </w:rPr>
              <w:t xml:space="preserve"> SCOS业务规则清单</w:t>
            </w:r>
          </w:p>
        </w:tc>
      </w:tr>
      <w:tr w14:paraId="0273954B">
        <w:trPr>
          <w:trHeight w:val="1115" w:hRule="atLeast"/>
          <w:jc w:val="center"/>
        </w:trPr>
        <w:tc>
          <w:tcPr>
            <w:tcW w:w="2956" w:type="dxa"/>
            <w:tcBorders>
              <w:tl2br w:val="nil"/>
              <w:tr2bl w:val="nil"/>
            </w:tcBorders>
            <w:vAlign w:val="center"/>
          </w:tcPr>
          <w:p w14:paraId="78EAB0FB">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（2）结构化与可配置性：</w:t>
            </w:r>
            <w:r>
              <w:rPr>
                <w:rStyle w:val="82"/>
                <w:sz w:val="21"/>
                <w:szCs w:val="21"/>
                <w:lang w:val="en-US" w:eastAsia="zh-CN" w:bidi="ar"/>
              </w:rPr>
              <w:t>系统需高度结构化以适应淀粉糖行业多品类、多产线、多供应商的复杂供应链场景，同时支持业务流程的灵活配置</w:t>
            </w:r>
          </w:p>
        </w:tc>
        <w:tc>
          <w:tcPr>
            <w:tcW w:w="3205" w:type="dxa"/>
            <w:tcBorders>
              <w:tl2br w:val="nil"/>
              <w:tr2bl w:val="nil"/>
            </w:tcBorders>
            <w:vAlign w:val="center"/>
          </w:tcPr>
          <w:p w14:paraId="3307854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流程的灵活配置</w:t>
            </w:r>
          </w:p>
        </w:tc>
        <w:tc>
          <w:tcPr>
            <w:tcW w:w="2135" w:type="dxa"/>
            <w:tcBorders>
              <w:tl2br w:val="nil"/>
              <w:tr2bl w:val="nil"/>
            </w:tcBorders>
            <w:vAlign w:val="center"/>
          </w:tcPr>
          <w:p w14:paraId="6822822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字段映射表、流程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节点配置、优化参数配置、业务规则配置</w:t>
            </w:r>
          </w:p>
        </w:tc>
        <w:tc>
          <w:tcPr>
            <w:tcW w:w="2021" w:type="dxa"/>
            <w:tcBorders>
              <w:tl2br w:val="nil"/>
              <w:tr2bl w:val="nil"/>
            </w:tcBorders>
            <w:vAlign w:val="center"/>
          </w:tcPr>
          <w:p w14:paraId="6C41C3C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章 全部业务文档</w:t>
            </w:r>
          </w:p>
        </w:tc>
      </w:tr>
      <w:tr w14:paraId="11612A3B">
        <w:trPr>
          <w:trHeight w:val="1115" w:hRule="atLeast"/>
          <w:jc w:val="center"/>
        </w:trPr>
        <w:tc>
          <w:tcPr>
            <w:tcW w:w="2956" w:type="dxa"/>
            <w:tcBorders>
              <w:tl2br w:val="nil"/>
              <w:tr2bl w:val="nil"/>
            </w:tcBorders>
            <w:vAlign w:val="center"/>
          </w:tcPr>
          <w:p w14:paraId="7C53B4CD">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（3）集成可靠性：</w:t>
            </w:r>
            <w:r>
              <w:rPr>
                <w:rStyle w:val="82"/>
                <w:sz w:val="21"/>
                <w:szCs w:val="21"/>
                <w:lang w:val="en-US" w:eastAsia="zh-CN" w:bidi="ar"/>
              </w:rPr>
              <w:t>与其它系统的接口必须具备高可靠性与事务一致性</w:t>
            </w:r>
          </w:p>
        </w:tc>
        <w:tc>
          <w:tcPr>
            <w:tcW w:w="3205" w:type="dxa"/>
            <w:tcBorders>
              <w:tl2br w:val="nil"/>
              <w:tr2bl w:val="nil"/>
            </w:tcBorders>
            <w:vAlign w:val="center"/>
          </w:tcPr>
          <w:p w14:paraId="74A9888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采用统一数据服务层、接口</w:t>
            </w:r>
            <w:r>
              <w:rPr>
                <w:rFonts w:hint="eastAsia" w:ascii="宋体" w:hAnsi="宋体" w:cs="宋体"/>
                <w:i w:val="0"/>
                <w:iCs w:val="0"/>
                <w:color w:val="000000"/>
                <w:kern w:val="0"/>
                <w:sz w:val="21"/>
                <w:szCs w:val="21"/>
                <w:u w:val="none"/>
                <w:lang w:val="en-US" w:eastAsia="zh-CN" w:bidi="ar"/>
              </w:rPr>
              <w:t>请求</w:t>
            </w:r>
            <w:r>
              <w:rPr>
                <w:rFonts w:hint="eastAsia" w:ascii="宋体" w:hAnsi="宋体" w:eastAsia="宋体" w:cs="宋体"/>
                <w:i w:val="0"/>
                <w:iCs w:val="0"/>
                <w:color w:val="000000"/>
                <w:kern w:val="0"/>
                <w:sz w:val="21"/>
                <w:szCs w:val="21"/>
                <w:u w:val="none"/>
                <w:lang w:val="en-US" w:eastAsia="zh-CN" w:bidi="ar"/>
              </w:rPr>
              <w:t>重试</w:t>
            </w:r>
            <w:r>
              <w:rPr>
                <w:rFonts w:hint="eastAsia" w:ascii="宋体" w:hAnsi="宋体" w:eastAsia="宋体" w:cs="宋体"/>
                <w:i w:val="0"/>
                <w:iCs w:val="0"/>
                <w:color w:val="000000"/>
                <w:kern w:val="0"/>
                <w:sz w:val="21"/>
                <w:szCs w:val="21"/>
                <w:highlight w:val="none"/>
                <w:u w:val="none"/>
                <w:lang w:val="en-US" w:eastAsia="zh-CN" w:bidi="ar"/>
              </w:rPr>
              <w:t>、幂等控制</w:t>
            </w:r>
            <w:r>
              <w:rPr>
                <w:rFonts w:hint="eastAsia" w:ascii="宋体" w:hAnsi="宋体" w:cs="宋体"/>
                <w:i w:val="0"/>
                <w:iCs w:val="0"/>
                <w:color w:val="000000"/>
                <w:kern w:val="0"/>
                <w:sz w:val="21"/>
                <w:szCs w:val="21"/>
                <w:highlight w:val="none"/>
                <w:u w:val="none"/>
                <w:lang w:val="en-US" w:eastAsia="zh-CN" w:bidi="ar"/>
              </w:rPr>
              <w:t>（防重）</w:t>
            </w:r>
            <w:r>
              <w:rPr>
                <w:rFonts w:hint="eastAsia" w:ascii="宋体" w:hAnsi="宋体" w:eastAsia="宋体" w:cs="宋体"/>
                <w:i w:val="0"/>
                <w:iCs w:val="0"/>
                <w:color w:val="000000"/>
                <w:kern w:val="0"/>
                <w:sz w:val="21"/>
                <w:szCs w:val="21"/>
                <w:highlight w:val="none"/>
                <w:u w:val="none"/>
                <w:lang w:val="en-US" w:eastAsia="zh-CN" w:bidi="ar"/>
              </w:rPr>
              <w:t>、</w:t>
            </w:r>
            <w:r>
              <w:rPr>
                <w:rFonts w:hint="eastAsia" w:ascii="宋体" w:hAnsi="宋体" w:eastAsia="宋体" w:cs="宋体"/>
                <w:i w:val="0"/>
                <w:iCs w:val="0"/>
                <w:color w:val="000000"/>
                <w:kern w:val="0"/>
                <w:sz w:val="21"/>
                <w:szCs w:val="21"/>
                <w:u w:val="none"/>
                <w:lang w:val="en-US" w:eastAsia="zh-CN" w:bidi="ar"/>
              </w:rPr>
              <w:t>错误码与人工介入机制，保障跨系统数据一致性</w:t>
            </w:r>
          </w:p>
        </w:tc>
        <w:tc>
          <w:tcPr>
            <w:tcW w:w="2135" w:type="dxa"/>
            <w:tcBorders>
              <w:tl2br w:val="nil"/>
              <w:tr2bl w:val="nil"/>
            </w:tcBorders>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HTTP 接口定义超时、</w:t>
            </w:r>
            <w:r>
              <w:rPr>
                <w:rFonts w:hint="eastAsia" w:ascii="宋体" w:hAnsi="宋体" w:cs="宋体"/>
                <w:i w:val="0"/>
                <w:iCs w:val="0"/>
                <w:color w:val="000000"/>
                <w:kern w:val="0"/>
                <w:sz w:val="21"/>
                <w:szCs w:val="21"/>
                <w:u w:val="none"/>
                <w:lang w:val="en-US" w:eastAsia="zh-CN" w:bidi="ar"/>
              </w:rPr>
              <w:t>身份</w:t>
            </w:r>
            <w:r>
              <w:rPr>
                <w:rFonts w:hint="eastAsia" w:ascii="宋体" w:hAnsi="宋体" w:eastAsia="宋体" w:cs="宋体"/>
                <w:i w:val="0"/>
                <w:iCs w:val="0"/>
                <w:color w:val="000000"/>
                <w:kern w:val="0"/>
                <w:sz w:val="21"/>
                <w:szCs w:val="21"/>
                <w:u w:val="none"/>
                <w:lang w:val="en-US" w:eastAsia="zh-CN" w:bidi="ar"/>
              </w:rPr>
              <w:t>鉴权、完整链路日志记录和异常处理</w:t>
            </w:r>
          </w:p>
        </w:tc>
        <w:tc>
          <w:tcPr>
            <w:tcW w:w="2021" w:type="dxa"/>
            <w:tcBorders>
              <w:tl2br w:val="nil"/>
              <w:tr2bl w:val="nil"/>
            </w:tcBorders>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五</w:t>
            </w:r>
            <w:r>
              <w:rPr>
                <w:rFonts w:hint="eastAsia" w:ascii="宋体" w:hAnsi="宋体" w:eastAsia="宋体" w:cs="宋体"/>
                <w:i w:val="0"/>
                <w:iCs w:val="0"/>
                <w:color w:val="000000"/>
                <w:kern w:val="0"/>
                <w:sz w:val="21"/>
                <w:szCs w:val="21"/>
                <w:u w:val="none"/>
                <w:lang w:val="en-US" w:eastAsia="zh-CN" w:bidi="ar"/>
              </w:rPr>
              <w:t>章 SCOS 集成接口规范</w:t>
            </w:r>
          </w:p>
        </w:tc>
      </w:tr>
      <w:tr w14:paraId="409EA768">
        <w:trPr>
          <w:trHeight w:val="1245" w:hRule="atLeast"/>
          <w:jc w:val="center"/>
        </w:trPr>
        <w:tc>
          <w:tcPr>
            <w:tcW w:w="2956" w:type="dxa"/>
            <w:tcBorders>
              <w:tl2br w:val="nil"/>
              <w:tr2bl w:val="nil"/>
            </w:tcBorders>
            <w:vAlign w:val="center"/>
          </w:tcPr>
          <w:p w14:paraId="2CA61F05">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（4）安全性：</w:t>
            </w:r>
            <w:r>
              <w:rPr>
                <w:rStyle w:val="82"/>
                <w:sz w:val="21"/>
                <w:szCs w:val="21"/>
                <w:lang w:val="en-US" w:eastAsia="zh-CN" w:bidi="ar"/>
              </w:rPr>
              <w:t>成本、价格、供应商信息等核心供应链数据须具备严格的访问控制、操作审计与数据加密保护</w:t>
            </w:r>
          </w:p>
        </w:tc>
        <w:tc>
          <w:tcPr>
            <w:tcW w:w="3205" w:type="dxa"/>
            <w:tcBorders>
              <w:tl2br w:val="nil"/>
              <w:tr2bl w:val="nil"/>
            </w:tcBorders>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，数据库</w:t>
            </w:r>
            <w:r>
              <w:rPr>
                <w:rFonts w:hint="eastAsia" w:ascii="宋体" w:hAnsi="宋体" w:cs="宋体"/>
                <w:i w:val="0"/>
                <w:iCs w:val="0"/>
                <w:color w:val="000000"/>
                <w:kern w:val="0"/>
                <w:sz w:val="21"/>
                <w:szCs w:val="21"/>
                <w:highlight w:val="none"/>
                <w:u w:val="none"/>
                <w:lang w:val="en-US" w:eastAsia="zh-CN" w:bidi="ar"/>
              </w:rPr>
              <w:t>文档</w:t>
            </w:r>
            <w:r>
              <w:rPr>
                <w:rFonts w:hint="eastAsia" w:ascii="宋体" w:hAnsi="宋体" w:eastAsia="宋体" w:cs="宋体"/>
                <w:i w:val="0"/>
                <w:iCs w:val="0"/>
                <w:color w:val="000000"/>
                <w:kern w:val="0"/>
                <w:sz w:val="21"/>
                <w:szCs w:val="21"/>
                <w:highlight w:val="none"/>
                <w:u w:val="none"/>
                <w:lang w:val="en-US" w:eastAsia="zh-CN" w:bidi="ar"/>
              </w:rPr>
              <w:t>加密处理</w:t>
            </w:r>
          </w:p>
        </w:tc>
        <w:tc>
          <w:tcPr>
            <w:tcW w:w="2135" w:type="dxa"/>
            <w:tcBorders>
              <w:tl2br w:val="nil"/>
              <w:tr2bl w:val="nil"/>
            </w:tcBorders>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RBAC角色权限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、ABAC字段权限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、接口鉴权、操作审计</w:t>
            </w:r>
          </w:p>
        </w:tc>
        <w:tc>
          <w:tcPr>
            <w:tcW w:w="2021" w:type="dxa"/>
            <w:tcBorders>
              <w:tl2br w:val="nil"/>
              <w:tr2bl w:val="nil"/>
            </w:tcBorders>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cs="宋体"/>
                <w:i w:val="0"/>
                <w:iCs w:val="0"/>
                <w:color w:val="000000"/>
                <w:kern w:val="0"/>
                <w:sz w:val="21"/>
                <w:szCs w:val="21"/>
                <w:u w:val="none"/>
                <w:lang w:val="en-US" w:eastAsia="zh-CN" w:bidi="ar"/>
              </w:rPr>
              <w:t>2.4</w:t>
            </w:r>
            <w:r>
              <w:rPr>
                <w:rFonts w:hint="eastAsia" w:ascii="宋体" w:hAnsi="宋体" w:eastAsia="宋体" w:cs="宋体"/>
                <w:i w:val="0"/>
                <w:iCs w:val="0"/>
                <w:color w:val="000000"/>
                <w:kern w:val="0"/>
                <w:sz w:val="21"/>
                <w:szCs w:val="21"/>
                <w:u w:val="none"/>
                <w:lang w:val="en-US" w:eastAsia="zh-CN" w:bidi="ar"/>
              </w:rPr>
              <w:t xml:space="preserve"> SCOS 角色权限矩阵</w:t>
            </w:r>
          </w:p>
        </w:tc>
      </w:tr>
      <w:tr w14:paraId="272C9F25">
        <w:trPr>
          <w:trHeight w:val="934" w:hRule="atLeast"/>
          <w:jc w:val="center"/>
        </w:trPr>
        <w:tc>
          <w:tcPr>
            <w:tcW w:w="2956" w:type="dxa"/>
            <w:tcBorders>
              <w:tl2br w:val="nil"/>
              <w:tr2bl w:val="nil"/>
            </w:tcBorders>
            <w:vAlign w:val="center"/>
          </w:tcPr>
          <w:p w14:paraId="191CBC6F">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（5）易用性与协同性：</w:t>
            </w:r>
            <w:r>
              <w:rPr>
                <w:rStyle w:val="82"/>
                <w:sz w:val="21"/>
                <w:szCs w:val="21"/>
                <w:lang w:val="en-US" w:eastAsia="zh-CN" w:bidi="ar"/>
              </w:rPr>
              <w:t>界面应直观，便于计划、采购、生产、物流、销售多角色在线协同工作</w:t>
            </w:r>
          </w:p>
        </w:tc>
        <w:tc>
          <w:tcPr>
            <w:tcW w:w="3205" w:type="dxa"/>
            <w:tcBorders>
              <w:tl2br w:val="nil"/>
              <w:tr2bl w:val="nil"/>
            </w:tcBorders>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通过计划池、需求汇总、复核确认、异常预警支持跨部门在线协同，计划调整自动同步相关环节</w:t>
            </w:r>
          </w:p>
        </w:tc>
        <w:tc>
          <w:tcPr>
            <w:tcW w:w="2135" w:type="dxa"/>
            <w:tcBorders>
              <w:tl2br w:val="nil"/>
              <w:tr2bl w:val="nil"/>
            </w:tcBorders>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流程表单标准化、消息通知闭环、数据联动更新</w:t>
            </w:r>
          </w:p>
        </w:tc>
        <w:tc>
          <w:tcPr>
            <w:tcW w:w="2021" w:type="dxa"/>
            <w:tcBorders>
              <w:tl2br w:val="nil"/>
              <w:tr2bl w:val="nil"/>
            </w:tcBorders>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478A3F52">
        <w:trPr>
          <w:trHeight w:val="980" w:hRule="atLeast"/>
          <w:jc w:val="center"/>
        </w:trPr>
        <w:tc>
          <w:tcPr>
            <w:tcW w:w="2956" w:type="dxa"/>
            <w:tcBorders>
              <w:tl2br w:val="nil"/>
              <w:tr2bl w:val="nil"/>
            </w:tcBorders>
            <w:vAlign w:val="center"/>
          </w:tcPr>
          <w:p w14:paraId="6934B789">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（6）可用性要求：</w:t>
            </w:r>
            <w:r>
              <w:rPr>
                <w:rStyle w:val="82"/>
                <w:sz w:val="21"/>
                <w:szCs w:val="21"/>
                <w:lang w:val="en-US" w:eastAsia="zh-CN" w:bidi="ar"/>
              </w:rPr>
              <w:t>系统需 7×24 稳定运行，年可用率≥99.5%</w:t>
            </w:r>
          </w:p>
        </w:tc>
        <w:tc>
          <w:tcPr>
            <w:tcW w:w="3205" w:type="dxa"/>
            <w:tcBorders>
              <w:tl2br w:val="nil"/>
              <w:tr2bl w:val="nil"/>
            </w:tcBorders>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系统建立日常运维监控机制，对系统运行状态、数据备份、接口调用情况进行监控；制定数据备份策略，定期进行数据库备份，确保数据可恢复</w:t>
            </w:r>
          </w:p>
        </w:tc>
        <w:tc>
          <w:tcPr>
            <w:tcW w:w="2135" w:type="dxa"/>
            <w:tcBorders>
              <w:tl2br w:val="nil"/>
              <w:tr2bl w:val="nil"/>
            </w:tcBorders>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系统运行状态监控、数据备份机制、接口调用监控、灾备方案</w:t>
            </w:r>
          </w:p>
        </w:tc>
        <w:tc>
          <w:tcPr>
            <w:tcW w:w="2021" w:type="dxa"/>
            <w:tcBorders>
              <w:tl2br w:val="nil"/>
              <w:tr2bl w:val="nil"/>
            </w:tcBorders>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5D25443F">
        <w:trPr>
          <w:trHeight w:val="934" w:hRule="atLeast"/>
          <w:jc w:val="center"/>
        </w:trPr>
        <w:tc>
          <w:tcPr>
            <w:tcW w:w="2956" w:type="dxa"/>
            <w:tcBorders>
              <w:tl2br w:val="nil"/>
              <w:tr2bl w:val="nil"/>
            </w:tcBorders>
            <w:vAlign w:val="center"/>
          </w:tcPr>
          <w:p w14:paraId="6B5D228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（7）性能要求：</w:t>
            </w:r>
            <w:r>
              <w:rPr>
                <w:rStyle w:val="82"/>
                <w:sz w:val="21"/>
                <w:szCs w:val="21"/>
                <w:lang w:val="en-US" w:eastAsia="zh-CN" w:bidi="ar"/>
              </w:rPr>
              <w:t>页面响应≤</w:t>
            </w:r>
            <w:r>
              <w:rPr>
                <w:rStyle w:val="82"/>
                <w:rFonts w:hint="eastAsia"/>
                <w:sz w:val="21"/>
                <w:szCs w:val="21"/>
                <w:lang w:val="en-US" w:eastAsia="zh-CN" w:bidi="ar"/>
              </w:rPr>
              <w:t>5</w:t>
            </w:r>
            <w:r>
              <w:rPr>
                <w:rStyle w:val="82"/>
                <w:sz w:val="21"/>
                <w:szCs w:val="21"/>
                <w:lang w:val="en-US" w:eastAsia="zh-CN" w:bidi="ar"/>
              </w:rPr>
              <w:t>s，复杂查询≤10s，排程与优化计算≤30s</w:t>
            </w:r>
          </w:p>
        </w:tc>
        <w:tc>
          <w:tcPr>
            <w:tcW w:w="3205" w:type="dxa"/>
            <w:tcBorders>
              <w:tl2br w:val="nil"/>
              <w:tr2bl w:val="nil"/>
            </w:tcBorders>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常用</w:t>
            </w:r>
            <w:r>
              <w:rPr>
                <w:rFonts w:hint="eastAsia" w:ascii="宋体" w:hAnsi="宋体" w:cs="宋体"/>
                <w:i w:val="0"/>
                <w:iCs w:val="0"/>
                <w:color w:val="000000"/>
                <w:kern w:val="0"/>
                <w:sz w:val="21"/>
                <w:szCs w:val="21"/>
                <w:highlight w:val="none"/>
                <w:u w:val="none"/>
                <w:lang w:val="en-US" w:eastAsia="zh-CN" w:bidi="ar"/>
              </w:rPr>
              <w:t>数据</w:t>
            </w:r>
            <w:r>
              <w:rPr>
                <w:rFonts w:hint="eastAsia" w:ascii="宋体" w:hAnsi="宋体" w:eastAsia="宋体" w:cs="宋体"/>
                <w:i w:val="0"/>
                <w:iCs w:val="0"/>
                <w:color w:val="000000"/>
                <w:kern w:val="0"/>
                <w:sz w:val="21"/>
                <w:szCs w:val="21"/>
                <w:highlight w:val="none"/>
                <w:u w:val="none"/>
                <w:lang w:val="en-US" w:eastAsia="zh-CN" w:bidi="ar"/>
              </w:rPr>
              <w:t>与权限</w:t>
            </w:r>
            <w:r>
              <w:rPr>
                <w:rFonts w:hint="eastAsia" w:ascii="宋体" w:hAnsi="宋体" w:cs="宋体"/>
                <w:i w:val="0"/>
                <w:iCs w:val="0"/>
                <w:color w:val="000000"/>
                <w:kern w:val="0"/>
                <w:sz w:val="21"/>
                <w:szCs w:val="21"/>
                <w:highlight w:val="none"/>
                <w:u w:val="none"/>
                <w:lang w:val="en-US" w:eastAsia="zh-CN" w:bidi="ar"/>
              </w:rPr>
              <w:t>等</w:t>
            </w:r>
            <w:r>
              <w:rPr>
                <w:rFonts w:hint="eastAsia" w:ascii="宋体" w:hAnsi="宋体" w:eastAsia="宋体" w:cs="宋体"/>
                <w:i w:val="0"/>
                <w:iCs w:val="0"/>
                <w:color w:val="000000"/>
                <w:kern w:val="0"/>
                <w:sz w:val="21"/>
                <w:szCs w:val="21"/>
                <w:highlight w:val="none"/>
                <w:u w:val="none"/>
                <w:lang w:val="en-US" w:eastAsia="zh-CN" w:bidi="ar"/>
              </w:rPr>
              <w:t>热数据常态缓存</w:t>
            </w:r>
            <w:r>
              <w:rPr>
                <w:rFonts w:hint="eastAsia" w:ascii="宋体" w:hAnsi="宋体" w:cs="宋体"/>
                <w:i w:val="0"/>
                <w:iCs w:val="0"/>
                <w:color w:val="000000"/>
                <w:kern w:val="0"/>
                <w:sz w:val="21"/>
                <w:szCs w:val="21"/>
                <w:highlight w:val="none"/>
                <w:u w:val="none"/>
                <w:lang w:val="en-US" w:eastAsia="zh-CN" w:bidi="ar"/>
              </w:rPr>
              <w:t>化</w:t>
            </w:r>
            <w:r>
              <w:rPr>
                <w:rFonts w:hint="eastAsia" w:ascii="宋体" w:hAnsi="宋体" w:eastAsia="宋体" w:cs="宋体"/>
                <w:i w:val="0"/>
                <w:iCs w:val="0"/>
                <w:color w:val="000000"/>
                <w:kern w:val="0"/>
                <w:sz w:val="21"/>
                <w:szCs w:val="21"/>
                <w:highlight w:val="none"/>
                <w:u w:val="none"/>
                <w:lang w:val="en-US" w:eastAsia="zh-CN" w:bidi="ar"/>
              </w:rPr>
              <w:t>，详情页采用索引、缓存和分页加速；复杂排程与优化计算采用异步任务队列处理</w:t>
            </w:r>
          </w:p>
        </w:tc>
        <w:tc>
          <w:tcPr>
            <w:tcW w:w="2135" w:type="dxa"/>
            <w:tcBorders>
              <w:tl2br w:val="nil"/>
              <w:tr2bl w:val="nil"/>
            </w:tcBorders>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页面查询优化、异步计算任务、结果缓存、接口 QPS</w:t>
            </w:r>
            <w:r>
              <w:rPr>
                <w:rFonts w:hint="eastAsia" w:ascii="宋体" w:hAnsi="宋体" w:cs="宋体"/>
                <w:i w:val="0"/>
                <w:iCs w:val="0"/>
                <w:color w:val="000000"/>
                <w:kern w:val="0"/>
                <w:sz w:val="21"/>
                <w:szCs w:val="21"/>
                <w:highlight w:val="none"/>
                <w:u w:val="none"/>
                <w:lang w:val="en-US" w:eastAsia="zh-CN" w:bidi="ar"/>
              </w:rPr>
              <w:t>（每秒请求数）</w:t>
            </w:r>
            <w:r>
              <w:rPr>
                <w:rFonts w:hint="eastAsia" w:ascii="宋体" w:hAnsi="宋体" w:eastAsia="宋体" w:cs="宋体"/>
                <w:i w:val="0"/>
                <w:iCs w:val="0"/>
                <w:color w:val="000000"/>
                <w:kern w:val="0"/>
                <w:sz w:val="21"/>
                <w:szCs w:val="21"/>
                <w:highlight w:val="none"/>
                <w:u w:val="none"/>
                <w:lang w:val="en-US" w:eastAsia="zh-CN" w:bidi="ar"/>
              </w:rPr>
              <w:t>限制与超时控制</w:t>
            </w:r>
          </w:p>
        </w:tc>
        <w:tc>
          <w:tcPr>
            <w:tcW w:w="2021" w:type="dxa"/>
            <w:tcBorders>
              <w:tl2br w:val="nil"/>
              <w:tr2bl w:val="nil"/>
            </w:tcBorders>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bl>
    <w:p w14:paraId="475E5FFC"/>
    <w:p w14:paraId="3F478F35">
      <w:pPr>
        <w:pStyle w:val="2"/>
        <w:keepNext/>
        <w:pageBreakBefore/>
        <w:rPr>
          <w:rFonts w:hint="eastAsia" w:ascii="黑体" w:hAnsi="黑体" w:eastAsia="黑体" w:cs="黑体"/>
          <w:color w:val="auto"/>
        </w:rPr>
      </w:pPr>
      <w:bookmarkStart w:id="62" w:name="_Toc1202695258"/>
      <w:r>
        <w:rPr>
          <w:rFonts w:hint="eastAsia" w:ascii="黑体" w:hAnsi="黑体" w:eastAsia="黑体" w:cs="黑体"/>
          <w:b/>
          <w:color w:val="auto"/>
          <w:sz w:val="32"/>
        </w:rPr>
        <w:t>SCOS蓝图交付物清单</w:t>
      </w:r>
      <w:bookmarkEnd w:id="62"/>
    </w:p>
    <w:tbl>
      <w:tblPr>
        <w:tblStyle w:val="32"/>
        <w:tblW w:w="10298"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rPr>
          <w:trHeight w:val="514" w:hRule="atLeast"/>
          <w:tblHeader/>
          <w:jc w:val="center"/>
        </w:trPr>
        <w:tc>
          <w:tcPr>
            <w:tcW w:w="823" w:type="dxa"/>
            <w:tcBorders>
              <w:tl2br w:val="nil"/>
              <w:tr2bl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2246" w:type="dxa"/>
            <w:tcBorders>
              <w:tl2br w:val="nil"/>
              <w:tr2bl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交付物名称</w:t>
            </w:r>
          </w:p>
        </w:tc>
        <w:tc>
          <w:tcPr>
            <w:tcW w:w="1080" w:type="dxa"/>
            <w:tcBorders>
              <w:tl2br w:val="nil"/>
              <w:tr2bl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文件格式</w:t>
            </w:r>
          </w:p>
        </w:tc>
        <w:tc>
          <w:tcPr>
            <w:tcW w:w="2434" w:type="dxa"/>
            <w:tcBorders>
              <w:tl2br w:val="nil"/>
              <w:tr2bl w:val="nil"/>
            </w:tcBorders>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lang w:val="en-US" w:eastAsia="zh-CN"/>
              </w:rPr>
            </w:pPr>
            <w:r>
              <w:rPr>
                <w:rFonts w:hint="eastAsia" w:ascii="宋体" w:hAnsi="宋体" w:eastAsia="宋体" w:cs="宋体"/>
                <w:b/>
                <w:sz w:val="21"/>
                <w:szCs w:val="21"/>
              </w:rPr>
              <w:t>页数/</w:t>
            </w:r>
            <w:r>
              <w:rPr>
                <w:rFonts w:hint="eastAsia" w:ascii="宋体" w:hAnsi="宋体" w:eastAsia="宋体" w:cs="宋体"/>
                <w:b/>
                <w:sz w:val="21"/>
                <w:szCs w:val="21"/>
                <w:lang w:val="en-US" w:eastAsia="zh-CN"/>
              </w:rPr>
              <w:t>规模</w:t>
            </w:r>
          </w:p>
        </w:tc>
        <w:tc>
          <w:tcPr>
            <w:tcW w:w="2625" w:type="dxa"/>
            <w:tcBorders>
              <w:tl2br w:val="nil"/>
              <w:tr2bl w:val="nil"/>
            </w:tcBorders>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对应本细则条款号</w:t>
            </w:r>
          </w:p>
        </w:tc>
        <w:tc>
          <w:tcPr>
            <w:tcW w:w="1090" w:type="dxa"/>
            <w:tcBorders>
              <w:tl2br w:val="nil"/>
              <w:tr2bl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提交状态</w:t>
            </w:r>
          </w:p>
        </w:tc>
      </w:tr>
      <w:tr w14:paraId="1129939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2246" w:type="dxa"/>
            <w:tcBorders>
              <w:tl2br w:val="nil"/>
              <w:tr2bl w:val="nil"/>
            </w:tcBorders>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业务流程总览</w:t>
            </w:r>
          </w:p>
        </w:tc>
        <w:tc>
          <w:tcPr>
            <w:tcW w:w="1080" w:type="dxa"/>
            <w:tcBorders>
              <w:tl2br w:val="nil"/>
              <w:tr2bl w:val="nil"/>
            </w:tcBorders>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"_SCOS业务流程总览" </w:instrText>
            </w:r>
            <w:r>
              <w:rPr>
                <w:rFonts w:hint="eastAsia" w:ascii="宋体" w:hAnsi="宋体" w:eastAsia="宋体" w:cs="宋体"/>
                <w:sz w:val="21"/>
                <w:szCs w:val="21"/>
                <w:lang w:val="en-US" w:eastAsia="zh-CN"/>
              </w:rPr>
              <w:fldChar w:fldCharType="separate"/>
            </w:r>
            <w:r>
              <w:rPr>
                <w:rStyle w:val="36"/>
                <w:rFonts w:hint="eastAsia" w:ascii="宋体" w:hAnsi="宋体" w:eastAsia="宋体" w:cs="宋体"/>
                <w:sz w:val="21"/>
                <w:szCs w:val="21"/>
                <w:lang w:val="en-US" w:eastAsia="zh-CN"/>
              </w:rPr>
              <w:t>SCOS业务流程总览</w:t>
            </w:r>
            <w:r>
              <w:rPr>
                <w:rFonts w:hint="eastAsia" w:ascii="宋体" w:hAnsi="宋体" w:eastAsia="宋体" w:cs="宋体"/>
                <w:sz w:val="21"/>
                <w:szCs w:val="21"/>
                <w:lang w:val="en-US" w:eastAsia="zh-CN"/>
              </w:rPr>
              <w:fldChar w:fldCharType="end"/>
            </w:r>
          </w:p>
        </w:tc>
        <w:tc>
          <w:tcPr>
            <w:tcW w:w="2625" w:type="dxa"/>
            <w:tcBorders>
              <w:tl2br w:val="nil"/>
              <w:tr2bl w:val="nil"/>
            </w:tcBorders>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 SCOS</w:t>
            </w:r>
            <w:r>
              <w:rPr>
                <w:rFonts w:hint="eastAsia" w:ascii="宋体" w:hAnsi="宋体" w:eastAsia="宋体" w:cs="宋体"/>
                <w:sz w:val="21"/>
                <w:szCs w:val="21"/>
              </w:rPr>
              <w:t>业务流程总</w:t>
            </w:r>
            <w:r>
              <w:rPr>
                <w:rFonts w:hint="eastAsia" w:ascii="宋体" w:hAnsi="宋体" w:eastAsia="宋体" w:cs="宋体"/>
                <w:sz w:val="21"/>
                <w:szCs w:val="21"/>
                <w:lang w:val="en-US" w:eastAsia="zh-CN"/>
              </w:rPr>
              <w:t>图</w:t>
            </w:r>
          </w:p>
        </w:tc>
        <w:tc>
          <w:tcPr>
            <w:tcW w:w="1090" w:type="dxa"/>
            <w:tcBorders>
              <w:tl2br w:val="nil"/>
              <w:tr2bl w:val="nil"/>
            </w:tcBorders>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6F06DF0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2246" w:type="dxa"/>
            <w:tcBorders>
              <w:tl2br w:val="nil"/>
              <w:tr2bl w:val="nil"/>
            </w:tcBorders>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关键业务流程说明</w:t>
            </w:r>
          </w:p>
        </w:tc>
        <w:tc>
          <w:tcPr>
            <w:tcW w:w="1080" w:type="dxa"/>
            <w:tcBorders>
              <w:tl2br w:val="nil"/>
              <w:tr2bl w:val="nil"/>
            </w:tcBorders>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"_【核心部分-待后续优化】关键业务流程说明" </w:instrText>
            </w:r>
            <w:r>
              <w:rPr>
                <w:rFonts w:hint="eastAsia" w:ascii="宋体" w:hAnsi="宋体" w:eastAsia="宋体" w:cs="宋体"/>
                <w:sz w:val="21"/>
                <w:szCs w:val="21"/>
              </w:rPr>
              <w:fldChar w:fldCharType="separate"/>
            </w:r>
            <w:r>
              <w:rPr>
                <w:rStyle w:val="36"/>
                <w:rFonts w:hint="eastAsia" w:ascii="宋体" w:hAnsi="宋体" w:eastAsia="宋体" w:cs="宋体"/>
                <w:sz w:val="21"/>
                <w:szCs w:val="21"/>
              </w:rPr>
              <w:t>SCOS关键业务流程说明</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1"/>
                <w:szCs w:val="21"/>
                <w:lang w:val="en-US"/>
              </w:rPr>
            </w:pPr>
            <w:r>
              <w:rPr>
                <w:rFonts w:hint="eastAsia" w:ascii="宋体" w:hAnsi="宋体" w:eastAsia="宋体" w:cs="宋体"/>
                <w:sz w:val="21"/>
                <w:szCs w:val="21"/>
                <w:lang w:val="en-US" w:eastAsia="zh-CN"/>
              </w:rPr>
              <w:t>2.2 SCOS关键业务流程说明</w:t>
            </w:r>
          </w:p>
        </w:tc>
        <w:tc>
          <w:tcPr>
            <w:tcW w:w="1090" w:type="dxa"/>
            <w:tcBorders>
              <w:tl2br w:val="nil"/>
              <w:tr2bl w:val="nil"/>
            </w:tcBorders>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5DCE4959">
        <w:trPr>
          <w:trHeight w:val="517"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3</w:t>
            </w:r>
          </w:p>
        </w:tc>
        <w:tc>
          <w:tcPr>
            <w:tcW w:w="2246" w:type="dxa"/>
            <w:tcBorders>
              <w:tl2br w:val="nil"/>
              <w:tr2bl w:val="nil"/>
            </w:tcBorders>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rPr>
              <w:t>系统边界与分工表</w:t>
            </w:r>
          </w:p>
        </w:tc>
        <w:tc>
          <w:tcPr>
            <w:tcW w:w="1080" w:type="dxa"/>
            <w:tcBorders>
              <w:tl2br w:val="nil"/>
              <w:tr2bl w:val="nil"/>
            </w:tcBorders>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"_系统边界与分工"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SCOS系统边界与分工</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2.2.6 SCOS</w:t>
            </w:r>
            <w:r>
              <w:rPr>
                <w:rFonts w:hint="eastAsia" w:ascii="宋体" w:hAnsi="宋体" w:eastAsia="宋体" w:cs="宋体"/>
                <w:sz w:val="21"/>
                <w:szCs w:val="21"/>
              </w:rPr>
              <w:t>系统边界与分工</w:t>
            </w:r>
          </w:p>
        </w:tc>
        <w:tc>
          <w:tcPr>
            <w:tcW w:w="1090" w:type="dxa"/>
            <w:tcBorders>
              <w:tl2br w:val="nil"/>
              <w:tr2bl w:val="nil"/>
            </w:tcBorders>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2529D958">
        <w:trPr>
          <w:trHeight w:val="445"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w:t>
            </w:r>
          </w:p>
        </w:tc>
        <w:tc>
          <w:tcPr>
            <w:tcW w:w="2246" w:type="dxa"/>
            <w:tcBorders>
              <w:tl2br w:val="nil"/>
              <w:tr2bl w:val="nil"/>
            </w:tcBorders>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SCOS功能架构</w:t>
            </w:r>
          </w:p>
        </w:tc>
        <w:tc>
          <w:tcPr>
            <w:tcW w:w="1080" w:type="dxa"/>
            <w:tcBorders>
              <w:tl2br w:val="nil"/>
              <w:tr2bl w:val="nil"/>
            </w:tcBorders>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"_功能架构"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SCOS功能架构</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2.3 SCOS功能架构图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2D6A628">
        <w:trPr>
          <w:trHeight w:val="508" w:hRule="atLeast"/>
          <w:jc w:val="center"/>
        </w:trPr>
        <w:tc>
          <w:tcPr>
            <w:tcW w:w="823" w:type="dxa"/>
            <w:tcBorders>
              <w:tl2br w:val="nil"/>
              <w:tr2bl w:val="nil"/>
            </w:tcBorders>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2246" w:type="dxa"/>
            <w:tcBorders>
              <w:tl2br w:val="nil"/>
              <w:tr2bl w:val="nil"/>
            </w:tcBorders>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角色权限矩阵</w:t>
            </w:r>
          </w:p>
        </w:tc>
        <w:tc>
          <w:tcPr>
            <w:tcW w:w="1080" w:type="dxa"/>
            <w:tcBorders>
              <w:tl2br w:val="nil"/>
              <w:tr2bl w:val="nil"/>
            </w:tcBorders>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"_SCOS角色权限矩阵"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SCOS角色权限矩阵</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2.4 SCOS</w:t>
            </w:r>
            <w:r>
              <w:rPr>
                <w:rFonts w:hint="eastAsia" w:ascii="宋体" w:hAnsi="宋体" w:eastAsia="宋体" w:cs="宋体"/>
                <w:sz w:val="21"/>
                <w:szCs w:val="21"/>
              </w:rPr>
              <w:t>角色权限矩阵</w:t>
            </w:r>
          </w:p>
        </w:tc>
        <w:tc>
          <w:tcPr>
            <w:tcW w:w="1090" w:type="dxa"/>
            <w:tcBorders>
              <w:tl2br w:val="nil"/>
              <w:tr2bl w:val="nil"/>
            </w:tcBorders>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2AE35F98">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6</w:t>
            </w:r>
          </w:p>
        </w:tc>
        <w:tc>
          <w:tcPr>
            <w:tcW w:w="2246" w:type="dxa"/>
            <w:tcBorders>
              <w:tl2br w:val="nil"/>
              <w:tr2bl w:val="nil"/>
            </w:tcBorders>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业务规则清单</w:t>
            </w:r>
          </w:p>
        </w:tc>
        <w:tc>
          <w:tcPr>
            <w:tcW w:w="1080" w:type="dxa"/>
            <w:tcBorders>
              <w:tl2br w:val="nil"/>
              <w:tr2bl w:val="nil"/>
            </w:tcBorders>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"_SCOS业务规则清单"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SCOS业务规则清单</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2.5 SCOS</w:t>
            </w:r>
            <w:r>
              <w:rPr>
                <w:rFonts w:hint="eastAsia" w:ascii="宋体" w:hAnsi="宋体" w:eastAsia="宋体" w:cs="宋体"/>
                <w:sz w:val="21"/>
                <w:szCs w:val="21"/>
              </w:rPr>
              <w:t>业务规则清单</w:t>
            </w:r>
          </w:p>
        </w:tc>
        <w:tc>
          <w:tcPr>
            <w:tcW w:w="1090" w:type="dxa"/>
            <w:tcBorders>
              <w:tl2br w:val="nil"/>
              <w:tr2bl w:val="nil"/>
            </w:tcBorders>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BE5791C">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2246" w:type="dxa"/>
            <w:tcBorders>
              <w:tl2br w:val="nil"/>
              <w:tr2bl w:val="nil"/>
            </w:tcBorders>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数据流架构图</w:t>
            </w:r>
          </w:p>
        </w:tc>
        <w:tc>
          <w:tcPr>
            <w:tcW w:w="1080" w:type="dxa"/>
            <w:tcBorders>
              <w:tl2br w:val="nil"/>
              <w:tr2bl w:val="nil"/>
            </w:tcBorders>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"_SCOS数据流架构图"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SCOS数据流架构图</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4.1 SCOS</w:t>
            </w:r>
            <w:r>
              <w:rPr>
                <w:rFonts w:hint="eastAsia" w:ascii="宋体" w:hAnsi="宋体" w:eastAsia="宋体" w:cs="宋体"/>
                <w:sz w:val="21"/>
                <w:szCs w:val="21"/>
              </w:rPr>
              <w:t>数据流架构图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4F9D22A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8</w:t>
            </w:r>
          </w:p>
        </w:tc>
        <w:tc>
          <w:tcPr>
            <w:tcW w:w="2246" w:type="dxa"/>
            <w:tcBorders>
              <w:tl2br w:val="nil"/>
              <w:tr2bl w:val="nil"/>
            </w:tcBorders>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数据实体与字段映射表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"_SCOS数据实体与字段映射表"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SCOS数据实体与字段映射表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4.2 SCOS</w:t>
            </w:r>
            <w:r>
              <w:rPr>
                <w:rFonts w:hint="eastAsia" w:ascii="宋体" w:hAnsi="宋体" w:eastAsia="宋体" w:cs="宋体"/>
                <w:sz w:val="21"/>
                <w:szCs w:val="21"/>
              </w:rPr>
              <w:t>数据实体与字段映射表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D227824">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w:t>
            </w:r>
          </w:p>
        </w:tc>
        <w:tc>
          <w:tcPr>
            <w:tcW w:w="2246" w:type="dxa"/>
            <w:tcBorders>
              <w:tl2br w:val="nil"/>
              <w:tr2bl w:val="nil"/>
            </w:tcBorders>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集成接口规范</w:t>
            </w:r>
          </w:p>
        </w:tc>
        <w:tc>
          <w:tcPr>
            <w:tcW w:w="1080" w:type="dxa"/>
            <w:tcBorders>
              <w:tl2br w:val="nil"/>
              <w:tr2bl w:val="nil"/>
            </w:tcBorders>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"_【待优化-格式不对】SCOS集成接口规范"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SCOS集成接口规范</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五、SCOS</w:t>
            </w:r>
            <w:r>
              <w:rPr>
                <w:rFonts w:hint="eastAsia" w:ascii="宋体" w:hAnsi="宋体" w:eastAsia="宋体" w:cs="宋体"/>
                <w:sz w:val="21"/>
                <w:szCs w:val="21"/>
              </w:rPr>
              <w:t>集成接口规范</w:t>
            </w:r>
          </w:p>
        </w:tc>
        <w:tc>
          <w:tcPr>
            <w:tcW w:w="1090" w:type="dxa"/>
            <w:tcBorders>
              <w:tl2br w:val="nil"/>
              <w:tr2bl w:val="nil"/>
            </w:tcBorders>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5E8499E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5B5015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2246" w:type="dxa"/>
            <w:tcBorders>
              <w:tl2br w:val="nil"/>
              <w:tr2bl w:val="nil"/>
            </w:tcBorders>
            <w:shd w:val="clear" w:color="auto" w:fill="auto"/>
            <w:noWrap w:val="0"/>
            <w:tcMar>
              <w:top w:w="-1" w:type="dxa"/>
              <w:left w:w="-1" w:type="dxa"/>
              <w:bottom w:w="-1" w:type="dxa"/>
              <w:right w:w="-1" w:type="dxa"/>
            </w:tcMar>
            <w:vAlign w:val="center"/>
          </w:tcPr>
          <w:p w14:paraId="312CFB0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SCOS业务场景-智能化覆盖率映射表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3F6EC2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8F3F1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"_【待优化-格式不对】SCOS业务场景-智能化覆盖率映射表" </w:instrText>
            </w:r>
            <w:r>
              <w:rPr>
                <w:rFonts w:hint="eastAsia" w:ascii="宋体" w:hAnsi="宋体" w:eastAsia="宋体" w:cs="宋体"/>
                <w:sz w:val="21"/>
                <w:szCs w:val="21"/>
                <w:lang w:val="en-US" w:eastAsia="zh-CN"/>
              </w:rPr>
              <w:fldChar w:fldCharType="separate"/>
            </w:r>
            <w:r>
              <w:rPr>
                <w:rStyle w:val="37"/>
                <w:rFonts w:hint="eastAsia" w:ascii="宋体" w:hAnsi="宋体" w:eastAsia="宋体" w:cs="宋体"/>
                <w:sz w:val="21"/>
                <w:szCs w:val="21"/>
                <w:lang w:val="en-US" w:eastAsia="zh-CN"/>
              </w:rPr>
              <w:t>SCOS业务场景-智能化覆盖率映射表</w:t>
            </w:r>
            <w:r>
              <w:rPr>
                <w:rFonts w:hint="eastAsia" w:ascii="宋体" w:hAnsi="宋体" w:eastAsia="宋体" w:cs="宋体"/>
                <w:sz w:val="21"/>
                <w:szCs w:val="21"/>
                <w:lang w:val="en-US" w:eastAsia="zh-CN"/>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EC64C9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六、SCOS业务场景-智能化覆盖率映射表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6854B8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205D43C">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w:t>
            </w:r>
          </w:p>
        </w:tc>
        <w:tc>
          <w:tcPr>
            <w:tcW w:w="2246" w:type="dxa"/>
            <w:tcBorders>
              <w:tl2br w:val="nil"/>
              <w:tr2bl w:val="nil"/>
            </w:tcBorders>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非功能性需求响应表</w:t>
            </w:r>
          </w:p>
        </w:tc>
        <w:tc>
          <w:tcPr>
            <w:tcW w:w="1080" w:type="dxa"/>
            <w:tcBorders>
              <w:tl2br w:val="nil"/>
              <w:tr2bl w:val="nil"/>
            </w:tcBorders>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"_SCOS非功能性需求响应表"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SCOS非功能性需求响应表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七、SCOS</w:t>
            </w:r>
            <w:r>
              <w:rPr>
                <w:rFonts w:hint="eastAsia" w:ascii="宋体" w:hAnsi="宋体" w:eastAsia="宋体" w:cs="宋体"/>
                <w:sz w:val="21"/>
                <w:szCs w:val="21"/>
              </w:rPr>
              <w:t>非功能性需求响应表</w:t>
            </w:r>
          </w:p>
        </w:tc>
        <w:tc>
          <w:tcPr>
            <w:tcW w:w="1090" w:type="dxa"/>
            <w:tcBorders>
              <w:tl2br w:val="nil"/>
              <w:tr2bl w:val="nil"/>
            </w:tcBorders>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1FA6F1FE">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2</w:t>
            </w:r>
          </w:p>
        </w:tc>
        <w:tc>
          <w:tcPr>
            <w:tcW w:w="2246" w:type="dxa"/>
            <w:tcBorders>
              <w:tl2br w:val="nil"/>
              <w:tr2bl w:val="nil"/>
            </w:tcBorders>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蓝图交付物清单</w:t>
            </w:r>
          </w:p>
        </w:tc>
        <w:tc>
          <w:tcPr>
            <w:tcW w:w="1080" w:type="dxa"/>
            <w:tcBorders>
              <w:tl2br w:val="nil"/>
              <w:tr2bl w:val="nil"/>
            </w:tcBorders>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"_【待输出】SCOS蓝图交付物清单"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SCOS蓝图交付物清单</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八、SCOS</w:t>
            </w:r>
            <w:r>
              <w:rPr>
                <w:rFonts w:hint="eastAsia" w:ascii="宋体" w:hAnsi="宋体" w:eastAsia="宋体" w:cs="宋体"/>
                <w:sz w:val="21"/>
                <w:szCs w:val="21"/>
              </w:rPr>
              <w:t>蓝图交付物清单</w:t>
            </w:r>
          </w:p>
        </w:tc>
        <w:tc>
          <w:tcPr>
            <w:tcW w:w="1090" w:type="dxa"/>
            <w:tcBorders>
              <w:tl2br w:val="nil"/>
              <w:tr2bl w:val="nil"/>
            </w:tcBorders>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7A9D2"/>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BF0310"/>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75D4F"/>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BD69B9"/>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319BA"/>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2E3B"/>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EFF668B"/>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5B9F"/>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BF96C"/>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E3FBC1"/>
    <w:rsid w:val="4EF23735"/>
    <w:rsid w:val="4EF902B0"/>
    <w:rsid w:val="4EFE032C"/>
    <w:rsid w:val="4F0F4779"/>
    <w:rsid w:val="4F174A8C"/>
    <w:rsid w:val="4F583D63"/>
    <w:rsid w:val="4F592503"/>
    <w:rsid w:val="4F6F8B0A"/>
    <w:rsid w:val="4F7BF45A"/>
    <w:rsid w:val="4F7F4E05"/>
    <w:rsid w:val="4F8DC100"/>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DAA665"/>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3FB6FA"/>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CF743D"/>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C73051"/>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4350"/>
    <w:rsid w:val="5EFB6493"/>
    <w:rsid w:val="5EFDF16C"/>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BD2A5"/>
    <w:rsid w:val="5FFCB86E"/>
    <w:rsid w:val="5FFCCFEF"/>
    <w:rsid w:val="5FFD6422"/>
    <w:rsid w:val="5FFE82FB"/>
    <w:rsid w:val="5FFF2132"/>
    <w:rsid w:val="5FFF2478"/>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770C5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781CA"/>
    <w:rsid w:val="6CEA1EDF"/>
    <w:rsid w:val="6CF5580F"/>
    <w:rsid w:val="6CFB0115"/>
    <w:rsid w:val="6CFC5A53"/>
    <w:rsid w:val="6D0A4613"/>
    <w:rsid w:val="6D0F7C1C"/>
    <w:rsid w:val="6D1B4804"/>
    <w:rsid w:val="6D21195D"/>
    <w:rsid w:val="6D285BB7"/>
    <w:rsid w:val="6D291C5E"/>
    <w:rsid w:val="6D376AB8"/>
    <w:rsid w:val="6D3C105A"/>
    <w:rsid w:val="6D3F3718"/>
    <w:rsid w:val="6D406899"/>
    <w:rsid w:val="6D4A2C62"/>
    <w:rsid w:val="6D66182D"/>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EF5ACC"/>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B17E6"/>
    <w:rsid w:val="749C0C4A"/>
    <w:rsid w:val="74AF3B68"/>
    <w:rsid w:val="74B22B0A"/>
    <w:rsid w:val="74B4020F"/>
    <w:rsid w:val="74D996C1"/>
    <w:rsid w:val="74E46B7B"/>
    <w:rsid w:val="74E66F97"/>
    <w:rsid w:val="74EF9BEE"/>
    <w:rsid w:val="74F47DEE"/>
    <w:rsid w:val="74F5C14B"/>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9BB09"/>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C208A"/>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6C22"/>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D7D65"/>
    <w:rsid w:val="7BBE3C27"/>
    <w:rsid w:val="7BBFC333"/>
    <w:rsid w:val="7BBFC387"/>
    <w:rsid w:val="7BBFCEEC"/>
    <w:rsid w:val="7BC8F17D"/>
    <w:rsid w:val="7BCE76B2"/>
    <w:rsid w:val="7BD66276"/>
    <w:rsid w:val="7BD754CD"/>
    <w:rsid w:val="7BD7816E"/>
    <w:rsid w:val="7BDA1655"/>
    <w:rsid w:val="7BDED489"/>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EE2025"/>
    <w:rsid w:val="7CF65414"/>
    <w:rsid w:val="7CFD9520"/>
    <w:rsid w:val="7CFE5CAF"/>
    <w:rsid w:val="7CFF60D8"/>
    <w:rsid w:val="7CFFBEEF"/>
    <w:rsid w:val="7CFFD058"/>
    <w:rsid w:val="7D07578C"/>
    <w:rsid w:val="7D0A5F6A"/>
    <w:rsid w:val="7D0C7F34"/>
    <w:rsid w:val="7D0E6E9F"/>
    <w:rsid w:val="7D1C7A4B"/>
    <w:rsid w:val="7D23702C"/>
    <w:rsid w:val="7D374D33"/>
    <w:rsid w:val="7D37782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1335"/>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0C11"/>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6D6954"/>
    <w:rsid w:val="7E785749"/>
    <w:rsid w:val="7E7EFF04"/>
    <w:rsid w:val="7E7FC91B"/>
    <w:rsid w:val="7E8169F8"/>
    <w:rsid w:val="7E926980"/>
    <w:rsid w:val="7E951C6A"/>
    <w:rsid w:val="7E97A8A7"/>
    <w:rsid w:val="7E9A9745"/>
    <w:rsid w:val="7EAC0D86"/>
    <w:rsid w:val="7EB18D0D"/>
    <w:rsid w:val="7EB70CC9"/>
    <w:rsid w:val="7EB70CDE"/>
    <w:rsid w:val="7EBB7375"/>
    <w:rsid w:val="7EBBE874"/>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DE39C"/>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28D"/>
    <w:rsid w:val="7F9FD9EC"/>
    <w:rsid w:val="7F9FF007"/>
    <w:rsid w:val="7FA288B2"/>
    <w:rsid w:val="7FA56CBA"/>
    <w:rsid w:val="7FAB1B6C"/>
    <w:rsid w:val="7FAB5503"/>
    <w:rsid w:val="7FADC52C"/>
    <w:rsid w:val="7FAE1F83"/>
    <w:rsid w:val="7FAF004A"/>
    <w:rsid w:val="7FAF3B77"/>
    <w:rsid w:val="7FAF67D1"/>
    <w:rsid w:val="7FAFA22C"/>
    <w:rsid w:val="7FB1B426"/>
    <w:rsid w:val="7FB31036"/>
    <w:rsid w:val="7FB71B95"/>
    <w:rsid w:val="7FB7359B"/>
    <w:rsid w:val="7FB796A0"/>
    <w:rsid w:val="7FB9453E"/>
    <w:rsid w:val="7FB96E7E"/>
    <w:rsid w:val="7FBA2458"/>
    <w:rsid w:val="7FBB28C8"/>
    <w:rsid w:val="7FBBE37D"/>
    <w:rsid w:val="7FBC51B1"/>
    <w:rsid w:val="7FBC6330"/>
    <w:rsid w:val="7FBC6DFA"/>
    <w:rsid w:val="7FBD0F25"/>
    <w:rsid w:val="7FBD6926"/>
    <w:rsid w:val="7FBDBCF1"/>
    <w:rsid w:val="7FBDFDA8"/>
    <w:rsid w:val="7FBF085D"/>
    <w:rsid w:val="7FBF85D0"/>
    <w:rsid w:val="7FBFF27E"/>
    <w:rsid w:val="7FC31497"/>
    <w:rsid w:val="7FCB4EC8"/>
    <w:rsid w:val="7FCB5E84"/>
    <w:rsid w:val="7FCD4F21"/>
    <w:rsid w:val="7FCFF9DD"/>
    <w:rsid w:val="7FD3B142"/>
    <w:rsid w:val="7FD5CD06"/>
    <w:rsid w:val="7FD689B3"/>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8B50"/>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B884"/>
    <w:rsid w:val="7FEFF883"/>
    <w:rsid w:val="7FF07158"/>
    <w:rsid w:val="7FF1DFCC"/>
    <w:rsid w:val="7FF33C62"/>
    <w:rsid w:val="7FF37B6D"/>
    <w:rsid w:val="7FF3B4DA"/>
    <w:rsid w:val="7FF51C4E"/>
    <w:rsid w:val="7FF56A5D"/>
    <w:rsid w:val="7FF58C17"/>
    <w:rsid w:val="7FF5B5BB"/>
    <w:rsid w:val="7FF5EAE8"/>
    <w:rsid w:val="7FF6901D"/>
    <w:rsid w:val="7FF7673A"/>
    <w:rsid w:val="7FF77DAF"/>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4B1"/>
    <w:rsid w:val="7FFF77FF"/>
    <w:rsid w:val="7FFF79EC"/>
    <w:rsid w:val="7FFF8F5A"/>
    <w:rsid w:val="7FFF9B82"/>
    <w:rsid w:val="7FFFE3FD"/>
    <w:rsid w:val="7FFFE541"/>
    <w:rsid w:val="7FFFF5D4"/>
    <w:rsid w:val="7FFFF703"/>
    <w:rsid w:val="83DF4BA6"/>
    <w:rsid w:val="85EF88A3"/>
    <w:rsid w:val="864B19B8"/>
    <w:rsid w:val="8677DBB2"/>
    <w:rsid w:val="87352C0B"/>
    <w:rsid w:val="87BE58AC"/>
    <w:rsid w:val="8AF7A7D1"/>
    <w:rsid w:val="8CF61D35"/>
    <w:rsid w:val="8EEEDA0D"/>
    <w:rsid w:val="8EFC1318"/>
    <w:rsid w:val="8F5B8CB4"/>
    <w:rsid w:val="8FAF319E"/>
    <w:rsid w:val="8FFFB737"/>
    <w:rsid w:val="92FD2B40"/>
    <w:rsid w:val="93FFE889"/>
    <w:rsid w:val="954E26E9"/>
    <w:rsid w:val="95BF23FC"/>
    <w:rsid w:val="95E57FE1"/>
    <w:rsid w:val="95FB80A8"/>
    <w:rsid w:val="96543735"/>
    <w:rsid w:val="96DE6EF5"/>
    <w:rsid w:val="977DA018"/>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BE818E"/>
    <w:rsid w:val="9FD40F55"/>
    <w:rsid w:val="9FD7214E"/>
    <w:rsid w:val="9FD7A23A"/>
    <w:rsid w:val="9FED48A6"/>
    <w:rsid w:val="9FFB9CA7"/>
    <w:rsid w:val="9FFBDE45"/>
    <w:rsid w:val="9FFE16FE"/>
    <w:rsid w:val="9FFF2B06"/>
    <w:rsid w:val="9FFFCF06"/>
    <w:rsid w:val="9FFFD77E"/>
    <w:rsid w:val="A1EF8BFD"/>
    <w:rsid w:val="A1FF023B"/>
    <w:rsid w:val="A31FF8B2"/>
    <w:rsid w:val="A35F3774"/>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EFF108D"/>
    <w:rsid w:val="BF1BE272"/>
    <w:rsid w:val="BF1F8E7C"/>
    <w:rsid w:val="BF2328A9"/>
    <w:rsid w:val="BF374F23"/>
    <w:rsid w:val="BF3B1846"/>
    <w:rsid w:val="BF3F92D4"/>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DBD8A"/>
    <w:rsid w:val="BFFE2535"/>
    <w:rsid w:val="BFFEEF0B"/>
    <w:rsid w:val="BFFF16C7"/>
    <w:rsid w:val="BFFF5AA0"/>
    <w:rsid w:val="BFFF66B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24DB"/>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DCFE1"/>
    <w:rsid w:val="DBDEE984"/>
    <w:rsid w:val="DBDF4CAB"/>
    <w:rsid w:val="DBDF6C3C"/>
    <w:rsid w:val="DBFC0F7C"/>
    <w:rsid w:val="DBFDB6CF"/>
    <w:rsid w:val="DBFDE603"/>
    <w:rsid w:val="DBFF193B"/>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499DE"/>
    <w:rsid w:val="DDFBC95C"/>
    <w:rsid w:val="DDFF6FA4"/>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DFFFAD9F"/>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BE04EF"/>
    <w:rsid w:val="EBD54A6B"/>
    <w:rsid w:val="EBDE2B25"/>
    <w:rsid w:val="EBEDCF1A"/>
    <w:rsid w:val="EBEF7733"/>
    <w:rsid w:val="EBF7114F"/>
    <w:rsid w:val="EBFD3F93"/>
    <w:rsid w:val="EBFF2342"/>
    <w:rsid w:val="EBFF9926"/>
    <w:rsid w:val="EC2FDCD0"/>
    <w:rsid w:val="EC3B4D1A"/>
    <w:rsid w:val="EC3F85E1"/>
    <w:rsid w:val="ECD8E8D3"/>
    <w:rsid w:val="ECFBE4CD"/>
    <w:rsid w:val="ED5FC1AE"/>
    <w:rsid w:val="ED75487F"/>
    <w:rsid w:val="ED77DA7F"/>
    <w:rsid w:val="ED7AE755"/>
    <w:rsid w:val="ED8FDAFE"/>
    <w:rsid w:val="EDBB208B"/>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D7F98"/>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05B5"/>
    <w:rsid w:val="EFED51D6"/>
    <w:rsid w:val="EFEDEC5D"/>
    <w:rsid w:val="EFEE1584"/>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39BDCAB"/>
    <w:rsid w:val="F39F26CA"/>
    <w:rsid w:val="F39F6079"/>
    <w:rsid w:val="F3B5F21A"/>
    <w:rsid w:val="F3BE2AAF"/>
    <w:rsid w:val="F3DCF0ED"/>
    <w:rsid w:val="F3DF811A"/>
    <w:rsid w:val="F3E3E4BE"/>
    <w:rsid w:val="F3EB4E2B"/>
    <w:rsid w:val="F3EF5B10"/>
    <w:rsid w:val="F3F167E4"/>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EBC14"/>
    <w:rsid w:val="F5DFEF11"/>
    <w:rsid w:val="F5EB0C16"/>
    <w:rsid w:val="F5EB676B"/>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A69CC"/>
    <w:rsid w:val="F78FDD92"/>
    <w:rsid w:val="F79EC383"/>
    <w:rsid w:val="F79FA3F2"/>
    <w:rsid w:val="F7ADBA6B"/>
    <w:rsid w:val="F7AEA0C8"/>
    <w:rsid w:val="F7B695CC"/>
    <w:rsid w:val="F7B91025"/>
    <w:rsid w:val="F7B93460"/>
    <w:rsid w:val="F7BCE39F"/>
    <w:rsid w:val="F7BDFDC5"/>
    <w:rsid w:val="F7C70161"/>
    <w:rsid w:val="F7CBB2EB"/>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D23AE"/>
    <w:rsid w:val="F7FE4E74"/>
    <w:rsid w:val="F7FF243C"/>
    <w:rsid w:val="F7FF7B64"/>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EA11A"/>
    <w:rsid w:val="FAFFC179"/>
    <w:rsid w:val="FB1BD6B4"/>
    <w:rsid w:val="FB2E0913"/>
    <w:rsid w:val="FB4537F8"/>
    <w:rsid w:val="FB5E947A"/>
    <w:rsid w:val="FB6FDB88"/>
    <w:rsid w:val="FB729E2A"/>
    <w:rsid w:val="FB7D4B94"/>
    <w:rsid w:val="FB9F81E0"/>
    <w:rsid w:val="FB9FED65"/>
    <w:rsid w:val="FBAFAB6E"/>
    <w:rsid w:val="FBB0619E"/>
    <w:rsid w:val="FBB26FA9"/>
    <w:rsid w:val="FBB9AB0D"/>
    <w:rsid w:val="FBB9F3C4"/>
    <w:rsid w:val="FBBB10BF"/>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6D8F5"/>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CE3F09"/>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EAAB2"/>
    <w:rsid w:val="FE7FFD49"/>
    <w:rsid w:val="FE9F7EB8"/>
    <w:rsid w:val="FEA35C32"/>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5357"/>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DCEBF"/>
    <w:rsid w:val="FFDE7AA0"/>
    <w:rsid w:val="FFDF6E0E"/>
    <w:rsid w:val="FFDFB31B"/>
    <w:rsid w:val="FFDFC932"/>
    <w:rsid w:val="FFE1A067"/>
    <w:rsid w:val="FFE2F0F3"/>
    <w:rsid w:val="FFE30D38"/>
    <w:rsid w:val="FFE6180F"/>
    <w:rsid w:val="FFE6A8D9"/>
    <w:rsid w:val="FFE75944"/>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7" Type="http://schemas.openxmlformats.org/officeDocument/2006/relationships/fontTable" Target="fontTable.xml"/><Relationship Id="rId76" Type="http://schemas.openxmlformats.org/officeDocument/2006/relationships/customXml" Target="../customXml/item2.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svg"/><Relationship Id="rId64" Type="http://schemas.openxmlformats.org/officeDocument/2006/relationships/image" Target="media/image57.png"/><Relationship Id="rId63" Type="http://schemas.openxmlformats.org/officeDocument/2006/relationships/image" Target="media/image56.svg"/><Relationship Id="rId62" Type="http://schemas.openxmlformats.org/officeDocument/2006/relationships/image" Target="media/image55.png"/><Relationship Id="rId61" Type="http://schemas.openxmlformats.org/officeDocument/2006/relationships/image" Target="media/image54.sv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sv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sv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svg"/><Relationship Id="rId48" Type="http://schemas.openxmlformats.org/officeDocument/2006/relationships/image" Target="media/image41.png"/><Relationship Id="rId47" Type="http://schemas.openxmlformats.org/officeDocument/2006/relationships/image" Target="media/image40.svg"/><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svg"/><Relationship Id="rId38" Type="http://schemas.openxmlformats.org/officeDocument/2006/relationships/image" Target="media/image31.png"/><Relationship Id="rId37" Type="http://schemas.openxmlformats.org/officeDocument/2006/relationships/image" Target="media/image30.sv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184</Pages>
  <Words>636</Words>
  <Characters>965</Characters>
  <Lines>345</Lines>
  <Paragraphs>97</Paragraphs>
  <TotalTime>0</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2011-06-21T22:57:00Z</dcterms:created>
  <dc:creator>fancl</dc:creator>
  <cp:lastModifiedBy>郭子豪</cp:lastModifiedBy>
  <dcterms:modified xsi:type="dcterms:W3CDTF">2026-09-28T20:12:14Z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